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F3DA" w14:textId="59E1DFDF" w:rsidR="00A46F61" w:rsidRPr="00E26B8A" w:rsidRDefault="00A46F61" w:rsidP="0056755C">
      <w:r>
        <w:t>PUBLIC MATTER—</w:t>
      </w:r>
      <w:sdt>
        <w:sdtPr>
          <w:alias w:val="Designation"/>
          <w:tag w:val="Designation"/>
          <w:id w:val="122977762"/>
          <w:placeholder>
            <w:docPart w:val="6165A4A77C1A4A7FADAF0592D790FD5B"/>
          </w:placeholder>
          <w15:color w:val="FF0000"/>
          <w:dropDownList>
            <w:listItem w:displayText="DESIGNATED FOR PUBLICATION" w:value="DESIGNATED FOR PUBLICATION"/>
            <w:listItem w:displayText="NOT DESIGNATED FOR PUBLICATION" w:value="NOT DESIGNATED FOR PUBLICATION"/>
          </w:dropDownList>
        </w:sdtPr>
        <w:sdtEndPr/>
        <w:sdtContent>
          <w:r w:rsidR="00C41375">
            <w:t>DESIGNATED FOR PUBLICATION</w:t>
          </w:r>
        </w:sdtContent>
      </w:sdt>
    </w:p>
    <w:p w14:paraId="30E6B99A" w14:textId="1A9572BD" w:rsidR="00832223" w:rsidRDefault="00DD1468" w:rsidP="00DD1468">
      <w:pPr>
        <w:tabs>
          <w:tab w:val="left" w:pos="5820"/>
        </w:tabs>
        <w:spacing w:line="240" w:lineRule="auto"/>
      </w:pPr>
      <w:r>
        <w:tab/>
        <w:t>Filed October 17, 2023</w:t>
      </w:r>
    </w:p>
    <w:p w14:paraId="1E6B26C2" w14:textId="77777777" w:rsidR="00832223" w:rsidRPr="00C11CC8" w:rsidRDefault="00832223" w:rsidP="00C9615B">
      <w:pPr>
        <w:spacing w:line="240" w:lineRule="auto"/>
      </w:pPr>
    </w:p>
    <w:p w14:paraId="0FBAA3D7" w14:textId="77777777" w:rsidR="00832223" w:rsidRDefault="00832223" w:rsidP="00C9615B">
      <w:pPr>
        <w:spacing w:line="240" w:lineRule="auto"/>
      </w:pPr>
    </w:p>
    <w:p w14:paraId="062C2DE6" w14:textId="77777777" w:rsidR="00C9615B" w:rsidRPr="00C11CC8" w:rsidRDefault="00C9615B" w:rsidP="00C9615B">
      <w:pPr>
        <w:spacing w:line="240" w:lineRule="auto"/>
      </w:pPr>
    </w:p>
    <w:p w14:paraId="67E98C45" w14:textId="77777777" w:rsidR="00832223" w:rsidRPr="00AB315E" w:rsidRDefault="00832223" w:rsidP="00AB315E">
      <w:pPr>
        <w:jc w:val="center"/>
        <w:rPr>
          <w:b/>
          <w:bCs/>
        </w:rPr>
      </w:pPr>
      <w:r w:rsidRPr="00AB315E">
        <w:rPr>
          <w:b/>
          <w:bCs/>
        </w:rPr>
        <w:t>STATE BAR COURT OF CALIFORNIA</w:t>
      </w:r>
    </w:p>
    <w:p w14:paraId="05B72A5B" w14:textId="77777777" w:rsidR="00832223" w:rsidRPr="00AB315E" w:rsidRDefault="00832223" w:rsidP="00AB315E">
      <w:pPr>
        <w:jc w:val="center"/>
        <w:rPr>
          <w:b/>
          <w:bCs/>
        </w:rPr>
      </w:pPr>
      <w:r w:rsidRPr="00AB315E">
        <w:rPr>
          <w:b/>
          <w:bCs/>
        </w:rPr>
        <w:t>REVIEW DEPARTMENT</w:t>
      </w:r>
    </w:p>
    <w:p w14:paraId="5EE09F20" w14:textId="77777777" w:rsidR="00832223" w:rsidRPr="00C11CC8" w:rsidRDefault="00832223" w:rsidP="00832223">
      <w:pPr>
        <w:jc w:val="center"/>
        <w:rPr>
          <w:b/>
        </w:rPr>
      </w:pPr>
    </w:p>
    <w:p w14:paraId="6A45860F" w14:textId="77777777" w:rsidR="00832223" w:rsidRPr="00C11CC8" w:rsidRDefault="00832223" w:rsidP="00C9615B">
      <w:pPr>
        <w:spacing w:line="240" w:lineRule="auto"/>
        <w:rPr>
          <w:b/>
        </w:rPr>
      </w:pPr>
    </w:p>
    <w:tbl>
      <w:tblPr>
        <w:tblStyle w:val="TableGrid"/>
        <w:tblW w:w="0" w:type="auto"/>
        <w:tblLook w:val="04A0" w:firstRow="1" w:lastRow="0" w:firstColumn="1" w:lastColumn="0" w:noHBand="0" w:noVBand="1"/>
      </w:tblPr>
      <w:tblGrid>
        <w:gridCol w:w="4716"/>
        <w:gridCol w:w="490"/>
        <w:gridCol w:w="4154"/>
      </w:tblGrid>
      <w:tr w:rsidR="00832223" w:rsidRPr="00C11CC8" w14:paraId="5E35BC9B" w14:textId="77777777" w:rsidTr="00357051">
        <w:tc>
          <w:tcPr>
            <w:tcW w:w="4770" w:type="dxa"/>
            <w:tcBorders>
              <w:top w:val="nil"/>
              <w:left w:val="nil"/>
              <w:right w:val="nil"/>
            </w:tcBorders>
            <w:tcMar>
              <w:left w:w="0" w:type="dxa"/>
              <w:right w:w="0" w:type="dxa"/>
            </w:tcMar>
          </w:tcPr>
          <w:p w14:paraId="0834DBD3" w14:textId="77777777" w:rsidR="00832223" w:rsidRDefault="00832223" w:rsidP="0056755C">
            <w:r>
              <w:t>In the Matter of</w:t>
            </w:r>
          </w:p>
          <w:p w14:paraId="6EE1D01E" w14:textId="77777777" w:rsidR="00832223" w:rsidRDefault="00832223" w:rsidP="00C9615B"/>
          <w:bookmarkStart w:id="0" w:name="Respondent"/>
          <w:bookmarkEnd w:id="0"/>
          <w:p w14:paraId="67F9FE04" w14:textId="22F0F251" w:rsidR="00832223" w:rsidRPr="008F3169" w:rsidRDefault="00DD1468" w:rsidP="0056755C">
            <w:sdt>
              <w:sdtPr>
                <w:alias w:val="Enter Respondent's Name"/>
                <w:tag w:val="Enter Respondent's Name"/>
                <w:id w:val="-1392577500"/>
                <w:placeholder>
                  <w:docPart w:val="3C6B7C5B5D7642F1A88F4392E848C3B6"/>
                </w:placeholder>
                <w15:color w:val="FF0000"/>
              </w:sdtPr>
              <w:sdtEndPr/>
              <w:sdtContent>
                <w:r w:rsidR="00257587">
                  <w:t>ELANA THIBAULT</w:t>
                </w:r>
              </w:sdtContent>
            </w:sdt>
            <w:r w:rsidR="00832223" w:rsidRPr="008F3169">
              <w:t>,</w:t>
            </w:r>
          </w:p>
          <w:p w14:paraId="7C92C7AD" w14:textId="77777777" w:rsidR="00832223" w:rsidRDefault="00832223" w:rsidP="00C9615B"/>
          <w:p w14:paraId="26032B17" w14:textId="7EDD51BF" w:rsidR="00832223" w:rsidRPr="00C11CC8" w:rsidRDefault="000469FB" w:rsidP="0056755C">
            <w:bookmarkStart w:id="1" w:name="type"/>
            <w:bookmarkEnd w:id="1"/>
            <w:r>
              <w:t>State Bar No.</w:t>
            </w:r>
            <w:r w:rsidR="00832223">
              <w:t xml:space="preserve"> </w:t>
            </w:r>
            <w:bookmarkStart w:id="2" w:name="memno"/>
            <w:bookmarkStart w:id="3" w:name="MemberNo"/>
            <w:bookmarkEnd w:id="2"/>
            <w:bookmarkEnd w:id="3"/>
            <w:sdt>
              <w:sdtPr>
                <w:alias w:val="Enter State Bar No."/>
                <w:tag w:val="Enter State Bar No."/>
                <w:id w:val="-1539580479"/>
                <w:placeholder>
                  <w:docPart w:val="386EE8EA72E84959866117AA38CE9860"/>
                </w:placeholder>
                <w15:color w:val="FF0000"/>
              </w:sdtPr>
              <w:sdtEndPr/>
              <w:sdtContent>
                <w:r w:rsidR="00257587">
                  <w:t>302572</w:t>
                </w:r>
              </w:sdtContent>
            </w:sdt>
            <w:r w:rsidR="00D8287E">
              <w:t>.</w:t>
            </w:r>
          </w:p>
        </w:tc>
        <w:tc>
          <w:tcPr>
            <w:tcW w:w="497" w:type="dxa"/>
            <w:tcBorders>
              <w:top w:val="nil"/>
              <w:left w:val="nil"/>
              <w:bottom w:val="nil"/>
              <w:right w:val="nil"/>
            </w:tcBorders>
            <w:tcMar>
              <w:left w:w="0" w:type="dxa"/>
              <w:right w:w="0" w:type="dxa"/>
            </w:tcMar>
          </w:tcPr>
          <w:p w14:paraId="6298D2EA" w14:textId="77777777" w:rsidR="00832223" w:rsidRPr="004D32E9" w:rsidRDefault="00832223" w:rsidP="00D8602F">
            <w:r w:rsidRPr="004D32E9">
              <w:t>)</w:t>
            </w:r>
          </w:p>
          <w:p w14:paraId="1BE058BD" w14:textId="77777777" w:rsidR="00832223" w:rsidRPr="004D32E9" w:rsidRDefault="00832223" w:rsidP="00D8602F">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EndPr/>
            <w:sdtContent>
              <w:p w14:paraId="08B91C8F" w14:textId="256B6577" w:rsidR="00832223" w:rsidRPr="005E6703" w:rsidRDefault="00257587" w:rsidP="00C9615B">
                <w:r>
                  <w:t>SBC-22-O-30033</w:t>
                </w:r>
              </w:p>
            </w:sdtContent>
          </w:sdt>
          <w:p w14:paraId="408961E1" w14:textId="77777777" w:rsidR="00832223" w:rsidRDefault="00832223" w:rsidP="00C9615B"/>
          <w:bookmarkStart w:id="5" w:name="title" w:displacedByCustomXml="next"/>
          <w:bookmarkEnd w:id="5" w:displacedByCustomXml="next"/>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EndPr/>
            <w:sdtContent>
              <w:p w14:paraId="717CDCF6" w14:textId="08350E2C" w:rsidR="00832223" w:rsidRPr="00D90643" w:rsidRDefault="003D6A93" w:rsidP="00C9615B">
                <w:r>
                  <w:t>OPINION</w:t>
                </w:r>
              </w:p>
            </w:sdtContent>
          </w:sdt>
        </w:tc>
      </w:tr>
    </w:tbl>
    <w:p w14:paraId="4E916E3C" w14:textId="77777777" w:rsidR="00832223" w:rsidRDefault="00832223" w:rsidP="009E067F">
      <w:pPr>
        <w:spacing w:line="240" w:lineRule="auto"/>
      </w:pPr>
      <w:bookmarkStart w:id="6" w:name="start"/>
      <w:bookmarkEnd w:id="6"/>
    </w:p>
    <w:p w14:paraId="2676E167" w14:textId="40EF20B7" w:rsidR="00283C9B" w:rsidRPr="00352AF6" w:rsidRDefault="00AB315E" w:rsidP="00352AF6">
      <w:r>
        <w:t xml:space="preserve"> </w:t>
      </w:r>
      <w:r w:rsidR="003D0DC2">
        <w:tab/>
      </w:r>
      <w:r w:rsidR="00D00FAF">
        <w:t>T</w:t>
      </w:r>
      <w:r w:rsidR="00D00FAF" w:rsidRPr="00D00FAF">
        <w:t xml:space="preserve">his case </w:t>
      </w:r>
      <w:r w:rsidR="006A294E">
        <w:t xml:space="preserve">underscores </w:t>
      </w:r>
      <w:r w:rsidR="00D00FAF" w:rsidRPr="00D00FAF">
        <w:t xml:space="preserve">the </w:t>
      </w:r>
      <w:r w:rsidR="006A294E">
        <w:t xml:space="preserve">need for attorneys to </w:t>
      </w:r>
      <w:r w:rsidR="009165BD">
        <w:t xml:space="preserve">understand </w:t>
      </w:r>
      <w:r w:rsidR="004E6656">
        <w:t xml:space="preserve">the </w:t>
      </w:r>
      <w:r w:rsidR="00DF5587">
        <w:t xml:space="preserve">broad </w:t>
      </w:r>
      <w:r w:rsidR="004E6656">
        <w:t xml:space="preserve">scope </w:t>
      </w:r>
      <w:r w:rsidR="007D3E14">
        <w:t xml:space="preserve">of our </w:t>
      </w:r>
      <w:r w:rsidR="00D00FAF" w:rsidRPr="00D00FAF">
        <w:t xml:space="preserve">conflicts of interest </w:t>
      </w:r>
      <w:r w:rsidR="00EA6242">
        <w:t>rules</w:t>
      </w:r>
      <w:r w:rsidR="00116390">
        <w:t xml:space="preserve">, which </w:t>
      </w:r>
      <w:r w:rsidR="00112BFD">
        <w:t xml:space="preserve">require </w:t>
      </w:r>
      <w:r w:rsidR="00CA5552">
        <w:t xml:space="preserve">the </w:t>
      </w:r>
      <w:r w:rsidR="00112BFD">
        <w:t>avoidance of adverse interests</w:t>
      </w:r>
      <w:r w:rsidR="00882BC2">
        <w:t>,</w:t>
      </w:r>
      <w:r w:rsidR="00112BFD">
        <w:t xml:space="preserve"> </w:t>
      </w:r>
      <w:r w:rsidR="00D00FAF" w:rsidRPr="00D00FAF">
        <w:t xml:space="preserve">and </w:t>
      </w:r>
      <w:r w:rsidR="00AB49D9">
        <w:t>it demonstrate</w:t>
      </w:r>
      <w:r w:rsidR="00AB2296">
        <w:t xml:space="preserve">s </w:t>
      </w:r>
      <w:r w:rsidR="00D00FAF" w:rsidRPr="00D00FAF">
        <w:t xml:space="preserve">the perils </w:t>
      </w:r>
      <w:r w:rsidR="00992F06">
        <w:t xml:space="preserve">that can result </w:t>
      </w:r>
      <w:r w:rsidR="00540D88">
        <w:t xml:space="preserve">when an attorney </w:t>
      </w:r>
      <w:r w:rsidR="007071C9">
        <w:t xml:space="preserve">is not careful in </w:t>
      </w:r>
      <w:r w:rsidR="00CE2CFD">
        <w:t>following the requirements of these rules.</w:t>
      </w:r>
      <w:r w:rsidR="00D00FAF" w:rsidRPr="00D00FAF">
        <w:t xml:space="preserve"> </w:t>
      </w:r>
      <w:r w:rsidR="00CE2CFD">
        <w:t xml:space="preserve"> </w:t>
      </w:r>
      <w:r w:rsidR="00E0324E">
        <w:t xml:space="preserve">In </w:t>
      </w:r>
      <w:r w:rsidR="002B453B">
        <w:t xml:space="preserve">her </w:t>
      </w:r>
      <w:r w:rsidR="00E0324E">
        <w:t>first disciplinary matter</w:t>
      </w:r>
      <w:r w:rsidR="00D91030">
        <w:t xml:space="preserve">, </w:t>
      </w:r>
      <w:r w:rsidR="002B453B">
        <w:t>Elana Thibault is charged with four counts of misconduct stemming from her a</w:t>
      </w:r>
      <w:r w:rsidR="0023386E">
        <w:t xml:space="preserve">greement </w:t>
      </w:r>
      <w:r w:rsidR="002B453B">
        <w:t xml:space="preserve">to represent a client in a litigation matter whose interests were </w:t>
      </w:r>
      <w:proofErr w:type="gramStart"/>
      <w:r w:rsidR="002B453B">
        <w:t>adverse</w:t>
      </w:r>
      <w:proofErr w:type="gramEnd"/>
      <w:r w:rsidR="002B453B">
        <w:t xml:space="preserve"> to a prior client of Thibault’s former employer</w:t>
      </w:r>
      <w:r w:rsidR="00DB5231">
        <w:t xml:space="preserve">.  </w:t>
      </w:r>
      <w:r w:rsidR="00C51883" w:rsidRPr="00303B37">
        <w:t xml:space="preserve">The hearing judge found </w:t>
      </w:r>
      <w:r w:rsidR="00C51883">
        <w:t>Thibault culpable on three</w:t>
      </w:r>
      <w:r w:rsidR="00C51883" w:rsidRPr="00303B37">
        <w:t xml:space="preserve"> of the </w:t>
      </w:r>
      <w:r w:rsidR="00C51883">
        <w:t xml:space="preserve">four </w:t>
      </w:r>
      <w:r w:rsidR="00C51883" w:rsidRPr="00303B37">
        <w:t>charges</w:t>
      </w:r>
      <w:r w:rsidR="009E0E78">
        <w:t xml:space="preserve"> and </w:t>
      </w:r>
      <w:r w:rsidR="00C51883">
        <w:t xml:space="preserve">recommended a 30-day actual suspension.  Thibault appeals the </w:t>
      </w:r>
      <w:r w:rsidR="009E0E78">
        <w:t>j</w:t>
      </w:r>
      <w:r w:rsidR="00C51883">
        <w:t xml:space="preserve">udge’s recommendation, maintaining that the evidence is not sufficient to </w:t>
      </w:r>
      <w:r w:rsidR="0072533B">
        <w:t xml:space="preserve">support </w:t>
      </w:r>
      <w:r w:rsidR="0047292E">
        <w:t xml:space="preserve">the </w:t>
      </w:r>
      <w:r w:rsidR="00C51883">
        <w:t>culpability</w:t>
      </w:r>
      <w:r w:rsidR="0047292E">
        <w:t xml:space="preserve"> findings made by the judge</w:t>
      </w:r>
      <w:r w:rsidR="00C51883">
        <w:t xml:space="preserve">.  </w:t>
      </w:r>
      <w:r w:rsidR="00C13A73">
        <w:t>The Office of Chief Trial Counsel of the State Bar (</w:t>
      </w:r>
      <w:r w:rsidR="00C51883">
        <w:t>OCTC</w:t>
      </w:r>
      <w:r w:rsidR="00C13A73">
        <w:t>)</w:t>
      </w:r>
      <w:r w:rsidR="00C51883">
        <w:t xml:space="preserve"> does not appeal and requests that we uphold the judge’s recommendation.  </w:t>
      </w:r>
      <w:r w:rsidR="00C51883" w:rsidRPr="00E71581">
        <w:t>Upon our independent r</w:t>
      </w:r>
      <w:r w:rsidR="00C51883">
        <w:t>eview of the record (</w:t>
      </w:r>
      <w:r w:rsidR="00C51883" w:rsidRPr="00E71581">
        <w:t>Cal</w:t>
      </w:r>
      <w:r w:rsidR="00C51883">
        <w:t>. R</w:t>
      </w:r>
      <w:r w:rsidR="00C51883" w:rsidRPr="00E71581">
        <w:t>ules of Court, rule 9.12</w:t>
      </w:r>
      <w:r w:rsidR="00C51883">
        <w:t>)</w:t>
      </w:r>
      <w:r w:rsidR="00C51883" w:rsidRPr="00E71581">
        <w:t xml:space="preserve">, we </w:t>
      </w:r>
      <w:r w:rsidR="00C51883">
        <w:t>affirm the judge’s culpability findings</w:t>
      </w:r>
      <w:r w:rsidR="008C77D6">
        <w:t xml:space="preserve">, </w:t>
      </w:r>
      <w:r w:rsidR="006C5DC1">
        <w:t>the aggravati</w:t>
      </w:r>
      <w:r w:rsidR="00A95B6D">
        <w:t>ng</w:t>
      </w:r>
      <w:r w:rsidR="006C5DC1">
        <w:t xml:space="preserve"> and </w:t>
      </w:r>
      <w:r w:rsidR="00490AD9">
        <w:t>mitigati</w:t>
      </w:r>
      <w:r w:rsidR="00A95B6D">
        <w:t>ng</w:t>
      </w:r>
      <w:r w:rsidR="006C5DC1">
        <w:t xml:space="preserve"> circumstance</w:t>
      </w:r>
      <w:r w:rsidR="00490AD9">
        <w:t>s</w:t>
      </w:r>
      <w:r w:rsidR="006C5DC1">
        <w:t xml:space="preserve">, </w:t>
      </w:r>
      <w:r w:rsidR="00C51883">
        <w:t xml:space="preserve">and </w:t>
      </w:r>
      <w:r w:rsidR="006C5DC1">
        <w:t xml:space="preserve">the </w:t>
      </w:r>
      <w:r w:rsidR="00C51883">
        <w:t xml:space="preserve">discipline recommendation.  </w:t>
      </w:r>
      <w:r w:rsidR="00283C9B">
        <w:br w:type="page"/>
      </w:r>
    </w:p>
    <w:p w14:paraId="5004DC27" w14:textId="62CB25D2" w:rsidR="00C66903" w:rsidRDefault="00DF3AF4" w:rsidP="002871B4">
      <w:pPr>
        <w:pStyle w:val="Heading1"/>
        <w:spacing w:after="0" w:line="480" w:lineRule="auto"/>
      </w:pPr>
      <w:r>
        <w:lastRenderedPageBreak/>
        <w:t xml:space="preserve">relevant </w:t>
      </w:r>
      <w:r w:rsidR="00C66903" w:rsidRPr="00C66903">
        <w:t>PROCEDURAL BACKGROUND</w:t>
      </w:r>
      <w:r w:rsidR="00E830B8">
        <w:t xml:space="preserve"> </w:t>
      </w:r>
    </w:p>
    <w:p w14:paraId="073BB7CB" w14:textId="709FE964" w:rsidR="00C13A73" w:rsidRDefault="00C13A73" w:rsidP="00B41AA7">
      <w:pPr>
        <w:ind w:firstLine="720"/>
      </w:pPr>
      <w:r w:rsidRPr="00380D7F">
        <w:t xml:space="preserve">On </w:t>
      </w:r>
      <w:r>
        <w:t>February </w:t>
      </w:r>
      <w:r w:rsidRPr="00380D7F">
        <w:t>2, 20</w:t>
      </w:r>
      <w:r>
        <w:t>22</w:t>
      </w:r>
      <w:r w:rsidRPr="00380D7F">
        <w:t>,</w:t>
      </w:r>
      <w:r>
        <w:t xml:space="preserve"> OCTC filed a </w:t>
      </w:r>
      <w:r w:rsidR="00D8602F">
        <w:t xml:space="preserve">four-count </w:t>
      </w:r>
      <w:r w:rsidR="0072533B">
        <w:t>Notice of Disciplinary Charges (</w:t>
      </w:r>
      <w:r>
        <w:t>NDC</w:t>
      </w:r>
      <w:r w:rsidR="0072533B">
        <w:t>)</w:t>
      </w:r>
      <w:r w:rsidRPr="00380D7F">
        <w:t xml:space="preserve"> charging </w:t>
      </w:r>
      <w:r w:rsidR="00D8602F">
        <w:t>Thibault</w:t>
      </w:r>
      <w:r w:rsidRPr="00380D7F">
        <w:t xml:space="preserve"> with </w:t>
      </w:r>
      <w:r>
        <w:t>(1) </w:t>
      </w:r>
      <w:r w:rsidR="00D8602F">
        <w:t>failing to obey a court order under</w:t>
      </w:r>
      <w:r>
        <w:t xml:space="preserve"> section 610</w:t>
      </w:r>
      <w:r w:rsidR="00D8602F">
        <w:t xml:space="preserve">3 </w:t>
      </w:r>
      <w:r>
        <w:t>of the Business and Profession Code</w:t>
      </w:r>
      <w:r w:rsidR="00DB5231">
        <w:t>;</w:t>
      </w:r>
      <w:r>
        <w:rPr>
          <w:rStyle w:val="FootnoteReference"/>
        </w:rPr>
        <w:footnoteReference w:id="2"/>
      </w:r>
      <w:r>
        <w:t xml:space="preserve"> (2) </w:t>
      </w:r>
      <w:r w:rsidR="00D8602F">
        <w:t xml:space="preserve">accepting employment adverse to another individual who was previously represented by respondent’s employer without informed </w:t>
      </w:r>
      <w:r w:rsidR="009E0E78">
        <w:t xml:space="preserve">written </w:t>
      </w:r>
      <w:r w:rsidR="00D8602F">
        <w:t xml:space="preserve">consent under former rule 3-310(E) </w:t>
      </w:r>
      <w:r>
        <w:t>of the Rules of Professional Conduct;</w:t>
      </w:r>
      <w:r>
        <w:rPr>
          <w:rStyle w:val="FootnoteReference"/>
        </w:rPr>
        <w:footnoteReference w:id="3"/>
      </w:r>
      <w:r>
        <w:t xml:space="preserve"> (</w:t>
      </w:r>
      <w:r w:rsidR="00D8602F">
        <w:t>3</w:t>
      </w:r>
      <w:r>
        <w:t>) </w:t>
      </w:r>
      <w:r w:rsidR="00D8602F">
        <w:t>failing to maintain client confidence</w:t>
      </w:r>
      <w:r w:rsidR="00D868B9">
        <w:t>s</w:t>
      </w:r>
      <w:r w:rsidR="00D8602F">
        <w:t xml:space="preserve"> under section 6068, subdivision (e)(1); and (4) failing to </w:t>
      </w:r>
      <w:r w:rsidR="002603DC">
        <w:t xml:space="preserve">timely </w:t>
      </w:r>
      <w:r w:rsidR="00D8602F">
        <w:t>report</w:t>
      </w:r>
      <w:r w:rsidR="002603DC">
        <w:t xml:space="preserve"> a</w:t>
      </w:r>
      <w:r w:rsidR="00D8602F">
        <w:t xml:space="preserve"> judicial sanctions </w:t>
      </w:r>
      <w:r w:rsidR="002603DC">
        <w:t xml:space="preserve">order </w:t>
      </w:r>
      <w:r w:rsidR="00D8602F">
        <w:t>to the State Bar under section</w:t>
      </w:r>
      <w:r>
        <w:t> 6068, subdivision (</w:t>
      </w:r>
      <w:r w:rsidR="00D8602F">
        <w:t>o</w:t>
      </w:r>
      <w:r>
        <w:t>)(</w:t>
      </w:r>
      <w:r w:rsidR="00D8602F">
        <w:t>3</w:t>
      </w:r>
      <w:r>
        <w:t>)</w:t>
      </w:r>
      <w:r w:rsidR="00D8602F">
        <w:t xml:space="preserve">.  Thibault filed a response on February 22.  </w:t>
      </w:r>
    </w:p>
    <w:p w14:paraId="0B2B8817" w14:textId="3DBDF620" w:rsidR="00DF3AF4" w:rsidRDefault="00DF3AF4" w:rsidP="00B41AA7">
      <w:pPr>
        <w:ind w:firstLine="720"/>
      </w:pPr>
      <w:r>
        <w:t xml:space="preserve">On April 6, 2022, the hearing judge granted </w:t>
      </w:r>
      <w:r w:rsidR="00C76D73">
        <w:t xml:space="preserve">a </w:t>
      </w:r>
      <w:r>
        <w:t xml:space="preserve">motion for abatement </w:t>
      </w:r>
      <w:r w:rsidR="00C76D73">
        <w:t xml:space="preserve">filed by Thibault </w:t>
      </w:r>
      <w:r>
        <w:t xml:space="preserve">based on her having filed a writ of mandate regarding the </w:t>
      </w:r>
      <w:r w:rsidR="002603DC">
        <w:t xml:space="preserve">judicial </w:t>
      </w:r>
      <w:r>
        <w:t>sanctions order.</w:t>
      </w:r>
      <w:r w:rsidR="00320D8B">
        <w:t xml:space="preserve">  On May 23, the </w:t>
      </w:r>
      <w:r w:rsidR="009E0E78">
        <w:t xml:space="preserve">judge </w:t>
      </w:r>
      <w:r w:rsidR="00DB5231">
        <w:t>terminated</w:t>
      </w:r>
      <w:r w:rsidR="009E0E78">
        <w:t xml:space="preserve"> the abatement</w:t>
      </w:r>
      <w:r w:rsidR="00C76D73">
        <w:t xml:space="preserve"> as the writ had been summarily denied</w:t>
      </w:r>
      <w:r w:rsidR="00234DD8">
        <w:t xml:space="preserve"> by the Court of Appeal</w:t>
      </w:r>
      <w:r w:rsidR="00320D8B">
        <w:t xml:space="preserve">.  </w:t>
      </w:r>
      <w:r w:rsidR="006C24F1">
        <w:t xml:space="preserve">Thibault subsequently filed a second motion to abate and a motion to dismiss counts one, two, and three.  Both motions were denied on June 27.  </w:t>
      </w:r>
      <w:r w:rsidR="00C76D73">
        <w:t xml:space="preserve">Thibault filed a petition for interlocutory review regarding the second motion to abate, which was denied on July 14.  </w:t>
      </w:r>
      <w:r w:rsidR="00320D8B">
        <w:t xml:space="preserve">Trial was held on July 21 and 22.  The judge issued </w:t>
      </w:r>
      <w:r w:rsidR="00D12DD6">
        <w:t xml:space="preserve">a </w:t>
      </w:r>
      <w:r w:rsidR="00320D8B">
        <w:t>decision on October 17, 2022</w:t>
      </w:r>
      <w:r w:rsidR="009E0E78">
        <w:t>, finding culpability on all counts except count three.</w:t>
      </w:r>
    </w:p>
    <w:p w14:paraId="5B2C0D10" w14:textId="1DBDFCAB" w:rsidR="008A75E7" w:rsidRDefault="00320D8B" w:rsidP="00B41AA7">
      <w:pPr>
        <w:ind w:firstLine="720"/>
        <w:rPr>
          <w:rFonts w:eastAsiaTheme="majorEastAsia" w:cstheme="majorBidi"/>
          <w:b/>
          <w:caps/>
          <w:szCs w:val="32"/>
        </w:rPr>
      </w:pPr>
      <w:r>
        <w:t xml:space="preserve">On October 31, 2022, Thibault filed a motion for reconsideration and </w:t>
      </w:r>
      <w:r w:rsidR="00D12DD6">
        <w:t xml:space="preserve">a </w:t>
      </w:r>
      <w:r>
        <w:t>request to disqualify the hearing judge</w:t>
      </w:r>
      <w:r w:rsidR="001E5B63">
        <w:t>, which were denied on November 8 and November 16</w:t>
      </w:r>
      <w:r w:rsidR="003A0D79">
        <w:t>,</w:t>
      </w:r>
      <w:r w:rsidR="001E5B63">
        <w:t xml:space="preserve"> respectively.  </w:t>
      </w:r>
      <w:r w:rsidR="00234DD8">
        <w:t xml:space="preserve">On November 18, Thibault filed a second petition for interlocutory review regarding the denial of her motion to disqualify the judge, and it was denied on November 23.  </w:t>
      </w:r>
      <w:r w:rsidR="001E5B63">
        <w:t xml:space="preserve">Thibault filed her </w:t>
      </w:r>
      <w:r w:rsidR="001E5B63">
        <w:lastRenderedPageBreak/>
        <w:t xml:space="preserve">request for review on December 13.  Oral arguments were </w:t>
      </w:r>
      <w:r w:rsidR="001E5B63" w:rsidRPr="006068DD">
        <w:t>heard on July</w:t>
      </w:r>
      <w:r w:rsidR="0034582C" w:rsidRPr="006068DD">
        <w:t xml:space="preserve"> 20, 2023</w:t>
      </w:r>
      <w:r w:rsidR="00DB5231" w:rsidRPr="006068DD">
        <w:t>, and</w:t>
      </w:r>
      <w:r w:rsidR="00DB5231">
        <w:t xml:space="preserve"> </w:t>
      </w:r>
      <w:r w:rsidR="00234DD8">
        <w:t xml:space="preserve">the matter was </w:t>
      </w:r>
      <w:r w:rsidR="00DB5231">
        <w:t>submitted that day</w:t>
      </w:r>
      <w:r w:rsidR="0034582C">
        <w:t>.</w:t>
      </w:r>
      <w:r w:rsidR="001E5B63">
        <w:t xml:space="preserve"> </w:t>
      </w:r>
    </w:p>
    <w:p w14:paraId="077B0299" w14:textId="6225B20A" w:rsidR="00C66903" w:rsidRDefault="00C66903" w:rsidP="00F9668B">
      <w:pPr>
        <w:pStyle w:val="Heading1"/>
        <w:spacing w:after="0" w:line="480" w:lineRule="auto"/>
      </w:pPr>
      <w:r w:rsidRPr="00C66903">
        <w:t>FACTUAL BACKGROUND</w:t>
      </w:r>
    </w:p>
    <w:p w14:paraId="151F68FF" w14:textId="2008F32C" w:rsidR="005D62C6" w:rsidRDefault="00CB7BFA" w:rsidP="00B41AA7">
      <w:pPr>
        <w:ind w:firstLine="720"/>
      </w:pPr>
      <w:r>
        <w:t xml:space="preserve">Thibault was </w:t>
      </w:r>
      <w:r w:rsidR="00D50F0A">
        <w:t xml:space="preserve">admitted to the practice of law on </w:t>
      </w:r>
      <w:r w:rsidR="007E6D6F">
        <w:t xml:space="preserve">February 17, </w:t>
      </w:r>
      <w:r w:rsidR="003012F7">
        <w:t>2015,</w:t>
      </w:r>
      <w:r w:rsidR="007E6D6F">
        <w:t xml:space="preserve"> and has no prior discipline.  She </w:t>
      </w:r>
      <w:r w:rsidR="007E6D6F" w:rsidRPr="00E620BE">
        <w:rPr>
          <w:szCs w:val="24"/>
        </w:rPr>
        <w:t xml:space="preserve">is </w:t>
      </w:r>
      <w:r w:rsidR="00BF4F95">
        <w:rPr>
          <w:szCs w:val="24"/>
        </w:rPr>
        <w:t xml:space="preserve">currently </w:t>
      </w:r>
      <w:r w:rsidR="007E6D6F" w:rsidRPr="00E620BE">
        <w:rPr>
          <w:szCs w:val="24"/>
        </w:rPr>
        <w:t>a sol</w:t>
      </w:r>
      <w:r w:rsidR="00DB5231">
        <w:rPr>
          <w:szCs w:val="24"/>
        </w:rPr>
        <w:t>o</w:t>
      </w:r>
      <w:r w:rsidR="007E6D6F" w:rsidRPr="00E620BE">
        <w:rPr>
          <w:szCs w:val="24"/>
        </w:rPr>
        <w:t xml:space="preserve"> practitioner </w:t>
      </w:r>
      <w:r w:rsidR="007E6D6F">
        <w:rPr>
          <w:szCs w:val="24"/>
        </w:rPr>
        <w:t>and focuses her practice on</w:t>
      </w:r>
      <w:r w:rsidR="007E6D6F" w:rsidRPr="00E620BE">
        <w:rPr>
          <w:szCs w:val="24"/>
        </w:rPr>
        <w:t xml:space="preserve"> family and immigration law</w:t>
      </w:r>
      <w:r w:rsidR="007E6D6F">
        <w:rPr>
          <w:szCs w:val="24"/>
        </w:rPr>
        <w:t>.  Prior to starting her solo practice</w:t>
      </w:r>
      <w:r w:rsidR="00652CCE">
        <w:rPr>
          <w:szCs w:val="24"/>
        </w:rPr>
        <w:t xml:space="preserve">, </w:t>
      </w:r>
      <w:r w:rsidR="007E6D6F">
        <w:rPr>
          <w:szCs w:val="24"/>
        </w:rPr>
        <w:t xml:space="preserve">Thibault was employed by </w:t>
      </w:r>
      <w:r w:rsidR="00941B21">
        <w:rPr>
          <w:szCs w:val="24"/>
        </w:rPr>
        <w:t xml:space="preserve">Anu </w:t>
      </w:r>
      <w:proofErr w:type="spellStart"/>
      <w:r w:rsidR="00941B21">
        <w:rPr>
          <w:szCs w:val="24"/>
        </w:rPr>
        <w:t>Peshawaria</w:t>
      </w:r>
      <w:proofErr w:type="spellEnd"/>
      <w:r w:rsidR="00652CCE">
        <w:rPr>
          <w:szCs w:val="24"/>
        </w:rPr>
        <w:t xml:space="preserve"> </w:t>
      </w:r>
      <w:r w:rsidR="002F376D">
        <w:rPr>
          <w:szCs w:val="24"/>
        </w:rPr>
        <w:t xml:space="preserve">between </w:t>
      </w:r>
      <w:r w:rsidR="00941B21">
        <w:rPr>
          <w:szCs w:val="24"/>
        </w:rPr>
        <w:t xml:space="preserve">August 2015 </w:t>
      </w:r>
      <w:r w:rsidR="002F376D">
        <w:rPr>
          <w:szCs w:val="24"/>
        </w:rPr>
        <w:t>and</w:t>
      </w:r>
      <w:r w:rsidR="00941B21">
        <w:rPr>
          <w:szCs w:val="24"/>
        </w:rPr>
        <w:t xml:space="preserve"> March 2018. </w:t>
      </w:r>
      <w:r w:rsidR="0030225A">
        <w:rPr>
          <w:szCs w:val="24"/>
        </w:rPr>
        <w:t xml:space="preserve"> </w:t>
      </w:r>
      <w:proofErr w:type="spellStart"/>
      <w:r w:rsidR="00652CCE">
        <w:rPr>
          <w:szCs w:val="24"/>
        </w:rPr>
        <w:t>Peshawaria</w:t>
      </w:r>
      <w:proofErr w:type="spellEnd"/>
      <w:r w:rsidR="00941B21">
        <w:rPr>
          <w:szCs w:val="24"/>
        </w:rPr>
        <w:t xml:space="preserve"> </w:t>
      </w:r>
      <w:r w:rsidR="0072533B">
        <w:rPr>
          <w:szCs w:val="24"/>
        </w:rPr>
        <w:t>has</w:t>
      </w:r>
      <w:r w:rsidR="003733E9">
        <w:rPr>
          <w:szCs w:val="24"/>
        </w:rPr>
        <w:t xml:space="preserve"> never</w:t>
      </w:r>
      <w:r w:rsidR="0072533B">
        <w:rPr>
          <w:szCs w:val="24"/>
        </w:rPr>
        <w:t xml:space="preserve"> been</w:t>
      </w:r>
      <w:r w:rsidR="003733E9">
        <w:rPr>
          <w:szCs w:val="24"/>
        </w:rPr>
        <w:t xml:space="preserve"> licensed to practice law in California, </w:t>
      </w:r>
      <w:r w:rsidR="00D7369F">
        <w:rPr>
          <w:szCs w:val="24"/>
        </w:rPr>
        <w:t xml:space="preserve">but </w:t>
      </w:r>
      <w:r w:rsidR="003733E9">
        <w:rPr>
          <w:szCs w:val="24"/>
        </w:rPr>
        <w:t xml:space="preserve">she </w:t>
      </w:r>
      <w:r w:rsidR="00D12DD6">
        <w:rPr>
          <w:szCs w:val="24"/>
        </w:rPr>
        <w:t>operated</w:t>
      </w:r>
      <w:r w:rsidR="00941B21">
        <w:rPr>
          <w:szCs w:val="24"/>
        </w:rPr>
        <w:t xml:space="preserve"> a law office </w:t>
      </w:r>
      <w:r w:rsidR="00652CCE">
        <w:rPr>
          <w:szCs w:val="24"/>
        </w:rPr>
        <w:t>in Fremont</w:t>
      </w:r>
      <w:r w:rsidR="0089178A">
        <w:rPr>
          <w:szCs w:val="24"/>
        </w:rPr>
        <w:t xml:space="preserve"> where she </w:t>
      </w:r>
      <w:r w:rsidR="00652CCE">
        <w:rPr>
          <w:szCs w:val="24"/>
        </w:rPr>
        <w:t xml:space="preserve">advertised </w:t>
      </w:r>
      <w:r w:rsidR="002F376D">
        <w:rPr>
          <w:szCs w:val="24"/>
        </w:rPr>
        <w:t>as</w:t>
      </w:r>
      <w:r w:rsidR="00652CCE">
        <w:rPr>
          <w:szCs w:val="24"/>
        </w:rPr>
        <w:t xml:space="preserve"> specializ</w:t>
      </w:r>
      <w:r w:rsidR="002F376D">
        <w:rPr>
          <w:szCs w:val="24"/>
        </w:rPr>
        <w:t>ing</w:t>
      </w:r>
      <w:r w:rsidR="00652CCE">
        <w:rPr>
          <w:szCs w:val="24"/>
        </w:rPr>
        <w:t xml:space="preserve"> in a wide array of legal matters throughout the United States and India.</w:t>
      </w:r>
      <w:r w:rsidR="00A729F0">
        <w:rPr>
          <w:rStyle w:val="FootnoteReference"/>
          <w:szCs w:val="24"/>
        </w:rPr>
        <w:footnoteReference w:id="4"/>
      </w:r>
      <w:r w:rsidR="00D60B09">
        <w:rPr>
          <w:szCs w:val="24"/>
        </w:rPr>
        <w:t xml:space="preserve">  </w:t>
      </w:r>
      <w:r w:rsidR="0072533B">
        <w:rPr>
          <w:szCs w:val="24"/>
        </w:rPr>
        <w:t xml:space="preserve"> </w:t>
      </w:r>
      <w:r w:rsidR="003733E9">
        <w:rPr>
          <w:szCs w:val="24"/>
        </w:rPr>
        <w:t xml:space="preserve"> </w:t>
      </w:r>
      <w:r w:rsidR="0030225A">
        <w:rPr>
          <w:szCs w:val="24"/>
        </w:rPr>
        <w:t xml:space="preserve"> </w:t>
      </w:r>
    </w:p>
    <w:p w14:paraId="710BC810" w14:textId="5C3A3A45" w:rsidR="005D62C6" w:rsidRDefault="00DE2E73" w:rsidP="00FA0AC6">
      <w:pPr>
        <w:pStyle w:val="Heading2"/>
        <w:spacing w:before="0" w:after="0" w:line="480" w:lineRule="auto"/>
      </w:pPr>
      <w:proofErr w:type="spellStart"/>
      <w:r>
        <w:t>Peshawaria</w:t>
      </w:r>
      <w:proofErr w:type="spellEnd"/>
      <w:r>
        <w:t xml:space="preserve"> </w:t>
      </w:r>
      <w:r w:rsidR="00442CE1">
        <w:t>C</w:t>
      </w:r>
      <w:r w:rsidR="00FA0AC6">
        <w:t>onsulted</w:t>
      </w:r>
      <w:r>
        <w:t xml:space="preserve"> with Rattan and </w:t>
      </w:r>
      <w:r w:rsidR="00442CE1">
        <w:t>O</w:t>
      </w:r>
      <w:r>
        <w:t xml:space="preserve">btained </w:t>
      </w:r>
      <w:r w:rsidR="00442CE1">
        <w:t>C</w:t>
      </w:r>
      <w:r>
        <w:t xml:space="preserve">lient </w:t>
      </w:r>
      <w:r w:rsidR="00442CE1">
        <w:t>C</w:t>
      </w:r>
      <w:r>
        <w:t>onfidences</w:t>
      </w:r>
    </w:p>
    <w:p w14:paraId="18CAD2B4" w14:textId="0552A869" w:rsidR="00825AD6" w:rsidRDefault="002B4C01" w:rsidP="00B41AA7">
      <w:pPr>
        <w:ind w:firstLine="720"/>
      </w:pPr>
      <w:r>
        <w:t>I</w:t>
      </w:r>
      <w:r w:rsidR="00FA0AC6">
        <w:t>n</w:t>
      </w:r>
      <w:r w:rsidR="00F22B66">
        <w:t xml:space="preserve"> June</w:t>
      </w:r>
      <w:r w:rsidR="00FA0AC6">
        <w:t xml:space="preserve"> 2008, </w:t>
      </w:r>
      <w:r w:rsidR="00C030EF">
        <w:t xml:space="preserve">well before the </w:t>
      </w:r>
      <w:r w:rsidR="007E2415">
        <w:t xml:space="preserve">misconduct alleged in this matter, </w:t>
      </w:r>
      <w:r w:rsidR="00FA0AC6">
        <w:t xml:space="preserve">Komal </w:t>
      </w:r>
      <w:r w:rsidR="00DE2E73">
        <w:t xml:space="preserve">Rattan consulted with </w:t>
      </w:r>
      <w:proofErr w:type="spellStart"/>
      <w:r w:rsidR="00DE2E73">
        <w:t>Peshawaria</w:t>
      </w:r>
      <w:proofErr w:type="spellEnd"/>
      <w:r w:rsidR="00DE2E73">
        <w:t xml:space="preserve"> regarding </w:t>
      </w:r>
      <w:r>
        <w:t>a</w:t>
      </w:r>
      <w:r w:rsidR="0089178A">
        <w:t>n on-going</w:t>
      </w:r>
      <w:r>
        <w:t xml:space="preserve"> </w:t>
      </w:r>
      <w:r w:rsidR="00DE2E73">
        <w:t>mar</w:t>
      </w:r>
      <w:r w:rsidR="0050286D">
        <w:t xml:space="preserve">ital </w:t>
      </w:r>
      <w:r w:rsidR="00DE2E73">
        <w:t>dissolution</w:t>
      </w:r>
      <w:r w:rsidR="00BA1E36">
        <w:t xml:space="preserve"> </w:t>
      </w:r>
      <w:r w:rsidR="006818B8">
        <w:t>matter</w:t>
      </w:r>
      <w:r w:rsidR="00836C2B">
        <w:t xml:space="preserve"> </w:t>
      </w:r>
      <w:r w:rsidR="00E74068">
        <w:t>that</w:t>
      </w:r>
      <w:r w:rsidR="0090553D">
        <w:t xml:space="preserve"> involved </w:t>
      </w:r>
      <w:r w:rsidR="00DE2E73">
        <w:t>domestic violence</w:t>
      </w:r>
      <w:r>
        <w:t xml:space="preserve"> with </w:t>
      </w:r>
      <w:r w:rsidR="00BA1E36">
        <w:t>her</w:t>
      </w:r>
      <w:r>
        <w:t xml:space="preserve"> </w:t>
      </w:r>
      <w:r w:rsidR="00DE2E73">
        <w:t>then-husband Abhijit Prasad.</w:t>
      </w:r>
      <w:r w:rsidR="00BA1E36">
        <w:t xml:space="preserve">  </w:t>
      </w:r>
      <w:r w:rsidR="00D60B09">
        <w:t>Rattan’s</w:t>
      </w:r>
      <w:r w:rsidR="00BA1E36">
        <w:t xml:space="preserve"> </w:t>
      </w:r>
      <w:r>
        <w:t>divorce proceeding was filed on November 14, 2007</w:t>
      </w:r>
      <w:r w:rsidR="00812D29">
        <w:t xml:space="preserve">, entitled </w:t>
      </w:r>
      <w:r w:rsidR="00197C0F" w:rsidRPr="00197C0F">
        <w:rPr>
          <w:i/>
          <w:iCs/>
        </w:rPr>
        <w:t>Rattan v. Prasad</w:t>
      </w:r>
      <w:r w:rsidR="00812D29">
        <w:t xml:space="preserve"> </w:t>
      </w:r>
      <w:r w:rsidR="008D5685">
        <w:t>(</w:t>
      </w:r>
      <w:r w:rsidR="00812D29">
        <w:t xml:space="preserve">Alameda County Superior Court, </w:t>
      </w:r>
      <w:r w:rsidR="00D868B9">
        <w:t>No.</w:t>
      </w:r>
      <w:r w:rsidR="00197C0F">
        <w:t xml:space="preserve"> </w:t>
      </w:r>
      <w:r w:rsidR="0090553D">
        <w:t>VF07356209</w:t>
      </w:r>
      <w:r w:rsidR="00445DFA">
        <w:t>)</w:t>
      </w:r>
      <w:r w:rsidR="00197C0F">
        <w:t>.</w:t>
      </w:r>
      <w:r w:rsidR="0090553D">
        <w:t xml:space="preserve">  </w:t>
      </w:r>
      <w:r w:rsidR="003518C4">
        <w:t>The c</w:t>
      </w:r>
      <w:r w:rsidR="00FA0AC6">
        <w:t xml:space="preserve">onsultation </w:t>
      </w:r>
      <w:r w:rsidR="003518C4">
        <w:t xml:space="preserve">between Rattan and </w:t>
      </w:r>
      <w:proofErr w:type="spellStart"/>
      <w:r w:rsidR="00FA0AC6">
        <w:t>Peshawaria</w:t>
      </w:r>
      <w:proofErr w:type="spellEnd"/>
      <w:r w:rsidR="003518C4">
        <w:t xml:space="preserve"> occ</w:t>
      </w:r>
      <w:r w:rsidR="00FA0AC6">
        <w:t>urred prior to Thibault</w:t>
      </w:r>
      <w:r w:rsidR="00664727">
        <w:t xml:space="preserve">’s </w:t>
      </w:r>
      <w:r w:rsidR="00FA0AC6">
        <w:t>employ</w:t>
      </w:r>
      <w:r w:rsidR="00664727">
        <w:t>ment</w:t>
      </w:r>
      <w:r w:rsidR="00FA0AC6">
        <w:t xml:space="preserve"> </w:t>
      </w:r>
      <w:r w:rsidR="00752D1C">
        <w:t>by</w:t>
      </w:r>
      <w:r w:rsidR="00FA0AC6">
        <w:t xml:space="preserve"> </w:t>
      </w:r>
      <w:proofErr w:type="spellStart"/>
      <w:r w:rsidR="00FA0AC6">
        <w:t>Peshawaria</w:t>
      </w:r>
      <w:proofErr w:type="spellEnd"/>
      <w:r w:rsidR="00FA0AC6">
        <w:t>.</w:t>
      </w:r>
      <w:r w:rsidR="003518C4">
        <w:t xml:space="preserve">  </w:t>
      </w:r>
    </w:p>
    <w:p w14:paraId="3B7E87FC" w14:textId="3DCC0DFF" w:rsidR="00DE2E73" w:rsidRDefault="003518C4" w:rsidP="00B41AA7">
      <w:pPr>
        <w:ind w:firstLine="720"/>
      </w:pPr>
      <w:r>
        <w:t xml:space="preserve">During the disciplinary trial, </w:t>
      </w:r>
      <w:r w:rsidR="00DE2E73">
        <w:t xml:space="preserve">Rattan </w:t>
      </w:r>
      <w:r>
        <w:t xml:space="preserve">testified </w:t>
      </w:r>
      <w:r w:rsidR="007D0782">
        <w:t xml:space="preserve">she believed </w:t>
      </w:r>
      <w:r w:rsidR="00E128CE">
        <w:t xml:space="preserve">that </w:t>
      </w:r>
      <w:proofErr w:type="spellStart"/>
      <w:r w:rsidR="007D0782">
        <w:t>Peshawaria</w:t>
      </w:r>
      <w:proofErr w:type="spellEnd"/>
      <w:r w:rsidR="007D0782">
        <w:t xml:space="preserve"> was a licensed attorney in both India and California at the time of the</w:t>
      </w:r>
      <w:r w:rsidR="00D60B09">
        <w:t>ir</w:t>
      </w:r>
      <w:r w:rsidR="007D0782">
        <w:t xml:space="preserve"> initial </w:t>
      </w:r>
      <w:r w:rsidR="007D0782" w:rsidRPr="006068DD">
        <w:t>consultation</w:t>
      </w:r>
      <w:r w:rsidR="00F27A7C" w:rsidRPr="006068DD">
        <w:t xml:space="preserve"> in </w:t>
      </w:r>
      <w:r w:rsidR="006068DD" w:rsidRPr="006068DD">
        <w:t xml:space="preserve">June </w:t>
      </w:r>
      <w:r w:rsidR="00F27A7C" w:rsidRPr="006068DD">
        <w:t>2008</w:t>
      </w:r>
      <w:r w:rsidR="00F27A7C">
        <w:t xml:space="preserve">.  </w:t>
      </w:r>
      <w:r w:rsidR="00E5025B">
        <w:t>Rattan</w:t>
      </w:r>
      <w:r w:rsidR="007D0782">
        <w:t xml:space="preserve"> testified </w:t>
      </w:r>
      <w:r w:rsidR="00E5025B">
        <w:t>that their</w:t>
      </w:r>
      <w:r w:rsidR="007D0782">
        <w:t xml:space="preserve"> consultation occurred at </w:t>
      </w:r>
      <w:proofErr w:type="spellStart"/>
      <w:r w:rsidR="007D0782">
        <w:t>Peshawaria’s</w:t>
      </w:r>
      <w:proofErr w:type="spellEnd"/>
      <w:r w:rsidR="007D0782">
        <w:t xml:space="preserve"> office in </w:t>
      </w:r>
      <w:r w:rsidR="00005B79">
        <w:t>Fremont,</w:t>
      </w:r>
      <w:r w:rsidR="007D0782">
        <w:t xml:space="preserve"> </w:t>
      </w:r>
      <w:r w:rsidR="00005B79">
        <w:t xml:space="preserve">California, </w:t>
      </w:r>
      <w:r w:rsidR="007D0782">
        <w:t xml:space="preserve">and they discussed all aspects of </w:t>
      </w:r>
      <w:r w:rsidR="002D17C8">
        <w:t xml:space="preserve">the </w:t>
      </w:r>
      <w:r w:rsidR="007D0782">
        <w:t>divorce proceeding</w:t>
      </w:r>
      <w:r w:rsidR="002D17C8">
        <w:t>,</w:t>
      </w:r>
      <w:r w:rsidR="007D0782">
        <w:t xml:space="preserve"> including </w:t>
      </w:r>
      <w:r w:rsidR="00BE20F6">
        <w:t>child custody and marital property</w:t>
      </w:r>
      <w:r w:rsidR="007D0782">
        <w:t>.</w:t>
      </w:r>
      <w:r w:rsidR="00005B79">
        <w:t xml:space="preserve"> </w:t>
      </w:r>
      <w:r w:rsidR="007D0782">
        <w:t xml:space="preserve"> </w:t>
      </w:r>
      <w:r w:rsidR="00BE20F6">
        <w:lastRenderedPageBreak/>
        <w:t xml:space="preserve">Rattan </w:t>
      </w:r>
      <w:r w:rsidR="000C13D6">
        <w:t>stated</w:t>
      </w:r>
      <w:r w:rsidR="00BE20F6">
        <w:t xml:space="preserve"> th</w:t>
      </w:r>
      <w:r w:rsidR="007D0782">
        <w:t>at</w:t>
      </w:r>
      <w:r w:rsidR="002D17C8">
        <w:t>,</w:t>
      </w:r>
      <w:r w:rsidR="007D0782">
        <w:t xml:space="preserve"> during their meeting</w:t>
      </w:r>
      <w:r w:rsidR="002D17C8">
        <w:t>,</w:t>
      </w:r>
      <w:r w:rsidR="007D0782">
        <w:t xml:space="preserve"> </w:t>
      </w:r>
      <w:r w:rsidR="00836C2B">
        <w:t>they discussed her p</w:t>
      </w:r>
      <w:r w:rsidR="0089178A">
        <w:t xml:space="preserve">ending </w:t>
      </w:r>
      <w:r w:rsidR="007D0782">
        <w:t xml:space="preserve">martial dissolution petition </w:t>
      </w:r>
      <w:r w:rsidR="00836C2B">
        <w:t>filed by her prior attorney</w:t>
      </w:r>
      <w:r w:rsidR="0043420C">
        <w:t>,</w:t>
      </w:r>
      <w:r w:rsidR="00836C2B">
        <w:t xml:space="preserve"> </w:t>
      </w:r>
      <w:r w:rsidR="00BE20F6">
        <w:t xml:space="preserve">and </w:t>
      </w:r>
      <w:proofErr w:type="spellStart"/>
      <w:r w:rsidR="00BE20F6">
        <w:t>Peshawaria</w:t>
      </w:r>
      <w:proofErr w:type="spellEnd"/>
      <w:r w:rsidR="00BE20F6">
        <w:t xml:space="preserve"> requested </w:t>
      </w:r>
      <w:r w:rsidR="00E5025B">
        <w:t xml:space="preserve">a copy of </w:t>
      </w:r>
      <w:r w:rsidR="00FC62A9">
        <w:t>it</w:t>
      </w:r>
      <w:r w:rsidR="00BE20F6">
        <w:t xml:space="preserve">.  </w:t>
      </w:r>
      <w:r w:rsidR="000C13D6">
        <w:t xml:space="preserve">Rattan also testified that she signed a retainer agreement during the meeting and paid </w:t>
      </w:r>
      <w:proofErr w:type="spellStart"/>
      <w:r w:rsidR="000C13D6">
        <w:t>Peshawaria</w:t>
      </w:r>
      <w:proofErr w:type="spellEnd"/>
      <w:r w:rsidR="000C13D6">
        <w:t xml:space="preserve"> $5,000 to retai</w:t>
      </w:r>
      <w:r w:rsidR="00E5025B">
        <w:t>n</w:t>
      </w:r>
      <w:r w:rsidR="000C13D6">
        <w:t xml:space="preserve"> her</w:t>
      </w:r>
      <w:r w:rsidR="00005B79">
        <w:t xml:space="preserve"> for her</w:t>
      </w:r>
      <w:r w:rsidR="000C13D6">
        <w:t xml:space="preserve"> services.  </w:t>
      </w:r>
      <w:r w:rsidR="000538D9">
        <w:t xml:space="preserve">The retainer check was dated June 25, 2008, and written out to “Anu </w:t>
      </w:r>
      <w:proofErr w:type="spellStart"/>
      <w:r w:rsidR="000538D9">
        <w:t>Peshawaria</w:t>
      </w:r>
      <w:proofErr w:type="spellEnd"/>
      <w:r w:rsidR="000538D9">
        <w:t>/IBS.”</w:t>
      </w:r>
      <w:r w:rsidR="00E5025B">
        <w:rPr>
          <w:rStyle w:val="FootnoteReference"/>
        </w:rPr>
        <w:footnoteReference w:id="5"/>
      </w:r>
      <w:r w:rsidR="000538D9">
        <w:t xml:space="preserve">  </w:t>
      </w:r>
      <w:r w:rsidR="000C13D6">
        <w:t xml:space="preserve">Rattan </w:t>
      </w:r>
      <w:r w:rsidR="00E5025B">
        <w:t xml:space="preserve">stated she </w:t>
      </w:r>
      <w:r w:rsidR="00E74068">
        <w:t>pr</w:t>
      </w:r>
      <w:r w:rsidR="000C13D6">
        <w:t xml:space="preserve">epared </w:t>
      </w:r>
      <w:r w:rsidR="00E74068">
        <w:t xml:space="preserve">a written </w:t>
      </w:r>
      <w:r w:rsidR="000C13D6">
        <w:t>narrative</w:t>
      </w:r>
      <w:r w:rsidR="00E74068">
        <w:t xml:space="preserve"> </w:t>
      </w:r>
      <w:r w:rsidR="000C13D6">
        <w:t xml:space="preserve">for </w:t>
      </w:r>
      <w:proofErr w:type="spellStart"/>
      <w:r w:rsidR="000C13D6">
        <w:t>Peshawaria</w:t>
      </w:r>
      <w:proofErr w:type="spellEnd"/>
      <w:r w:rsidR="00836C2B">
        <w:t>,</w:t>
      </w:r>
      <w:r w:rsidR="000538D9">
        <w:t xml:space="preserve"> which </w:t>
      </w:r>
      <w:r w:rsidR="000C13D6">
        <w:t>discuss</w:t>
      </w:r>
      <w:r w:rsidR="000538D9">
        <w:t>ed</w:t>
      </w:r>
      <w:r w:rsidR="000C13D6">
        <w:t xml:space="preserve"> </w:t>
      </w:r>
      <w:r w:rsidR="002D3AAB">
        <w:t>the issues related to her marriage and her domestic violence claims</w:t>
      </w:r>
      <w:r w:rsidR="00005B79">
        <w:t xml:space="preserve"> against Prasad</w:t>
      </w:r>
      <w:r w:rsidR="000C13D6">
        <w:t xml:space="preserve">.  </w:t>
      </w:r>
      <w:r w:rsidR="00752D1C">
        <w:t xml:space="preserve">Rattan </w:t>
      </w:r>
      <w:r w:rsidR="00005B79">
        <w:t>stated that</w:t>
      </w:r>
      <w:r w:rsidR="00752D1C">
        <w:t xml:space="preserve"> she believed she was retaining </w:t>
      </w:r>
      <w:proofErr w:type="spellStart"/>
      <w:r w:rsidR="00752D1C">
        <w:t>Peshawaria</w:t>
      </w:r>
      <w:proofErr w:type="spellEnd"/>
      <w:r w:rsidR="00752D1C">
        <w:t xml:space="preserve"> to </w:t>
      </w:r>
      <w:r w:rsidR="00D961D6">
        <w:t xml:space="preserve">represent her in the </w:t>
      </w:r>
      <w:r w:rsidR="009C7346">
        <w:rPr>
          <w:i/>
          <w:iCs/>
        </w:rPr>
        <w:t xml:space="preserve">Rattan v. Prasad </w:t>
      </w:r>
      <w:r w:rsidR="00D961D6">
        <w:t xml:space="preserve">divorce proceeding.  </w:t>
      </w:r>
    </w:p>
    <w:p w14:paraId="67C83032" w14:textId="67177DBC" w:rsidR="001229C3" w:rsidRDefault="001229C3" w:rsidP="00B41AA7">
      <w:pPr>
        <w:ind w:firstLine="720"/>
      </w:pPr>
      <w:r>
        <w:t>Rattan</w:t>
      </w:r>
      <w:r w:rsidR="00AB778B">
        <w:t xml:space="preserve">’s prior attorney filed a substitution of attorney on June 24, 2008. </w:t>
      </w:r>
      <w:r w:rsidR="009A4E4A">
        <w:t xml:space="preserve"> </w:t>
      </w:r>
      <w:r w:rsidR="00AB778B">
        <w:t xml:space="preserve">On June 26, proceeding in pro per, Rattan </w:t>
      </w:r>
      <w:r>
        <w:t xml:space="preserve">filed a </w:t>
      </w:r>
      <w:r w:rsidR="00AB778B">
        <w:t xml:space="preserve">Domestic Violence Temporary Restraining Order based on </w:t>
      </w:r>
      <w:r w:rsidR="00FD2A42">
        <w:t>d</w:t>
      </w:r>
      <w:r w:rsidR="00AB778B">
        <w:t>omestic abuse</w:t>
      </w:r>
      <w:r w:rsidR="00FD2A42">
        <w:t xml:space="preserve"> allegations</w:t>
      </w:r>
      <w:r w:rsidR="00AB778B">
        <w:t xml:space="preserve">. </w:t>
      </w:r>
      <w:r w:rsidR="00BA564F">
        <w:t xml:space="preserve"> </w:t>
      </w:r>
      <w:r w:rsidR="00D60B09">
        <w:t xml:space="preserve">Rattan </w:t>
      </w:r>
      <w:r w:rsidR="000C096D">
        <w:t xml:space="preserve">ultimately </w:t>
      </w:r>
      <w:r w:rsidR="00D60B09">
        <w:t xml:space="preserve">severed her relationship with </w:t>
      </w:r>
      <w:proofErr w:type="spellStart"/>
      <w:r w:rsidR="000C096D">
        <w:t>Peshawaria</w:t>
      </w:r>
      <w:proofErr w:type="spellEnd"/>
      <w:r w:rsidR="00BA564F">
        <w:t xml:space="preserve"> </w:t>
      </w:r>
      <w:r w:rsidR="00D60B09">
        <w:t>and</w:t>
      </w:r>
      <w:r w:rsidR="00166FFF">
        <w:t xml:space="preserve"> </w:t>
      </w:r>
      <w:r w:rsidR="000C096D">
        <w:t>hi</w:t>
      </w:r>
      <w:r w:rsidR="00166FFF">
        <w:t>red new counsel</w:t>
      </w:r>
      <w:r w:rsidR="00F9240D">
        <w:t xml:space="preserve"> </w:t>
      </w:r>
      <w:r w:rsidR="00C36A61">
        <w:t>who</w:t>
      </w:r>
      <w:r w:rsidR="00F9240D">
        <w:t xml:space="preserve"> substituted into </w:t>
      </w:r>
      <w:r w:rsidR="00FD2A42">
        <w:t>Rattan’s</w:t>
      </w:r>
      <w:r w:rsidR="00F9240D">
        <w:t xml:space="preserve"> case </w:t>
      </w:r>
      <w:r w:rsidR="00C36A61">
        <w:t>on</w:t>
      </w:r>
      <w:r w:rsidR="00F9240D">
        <w:t xml:space="preserve"> September </w:t>
      </w:r>
      <w:r w:rsidR="00C36A61">
        <w:t>26</w:t>
      </w:r>
      <w:r w:rsidR="00166FFF">
        <w:t>.</w:t>
      </w:r>
      <w:r w:rsidR="006068DD">
        <w:t xml:space="preserve">  </w:t>
      </w:r>
      <w:r w:rsidR="00166FFF">
        <w:t xml:space="preserve">Rattan </w:t>
      </w:r>
      <w:r w:rsidR="00BA564F">
        <w:t xml:space="preserve">had never spoken to or met Thibault until years later in May 2018.  </w:t>
      </w:r>
    </w:p>
    <w:p w14:paraId="25C12BAB" w14:textId="0A3558B7" w:rsidR="002B4C01" w:rsidRDefault="003518C4" w:rsidP="002B4C01">
      <w:pPr>
        <w:pStyle w:val="Heading2"/>
      </w:pPr>
      <w:r>
        <w:t xml:space="preserve">Prasad </w:t>
      </w:r>
      <w:r w:rsidR="00DD0344">
        <w:t>R</w:t>
      </w:r>
      <w:r>
        <w:t>etain</w:t>
      </w:r>
      <w:r w:rsidR="00212D16">
        <w:t>ed</w:t>
      </w:r>
      <w:r>
        <w:t xml:space="preserve"> </w:t>
      </w:r>
      <w:proofErr w:type="spellStart"/>
      <w:r>
        <w:t>Peshawaria’s</w:t>
      </w:r>
      <w:proofErr w:type="spellEnd"/>
      <w:r>
        <w:t xml:space="preserve"> </w:t>
      </w:r>
      <w:r w:rsidR="00DD0344">
        <w:t>Of</w:t>
      </w:r>
      <w:r>
        <w:t xml:space="preserve">fice and Thibault </w:t>
      </w:r>
      <w:r w:rsidR="00DD0344">
        <w:t>W</w:t>
      </w:r>
      <w:r>
        <w:t xml:space="preserve">as </w:t>
      </w:r>
      <w:r w:rsidR="00DD0344">
        <w:t>A</w:t>
      </w:r>
      <w:r>
        <w:t xml:space="preserve">ssigned </w:t>
      </w:r>
      <w:r w:rsidR="00DD0344">
        <w:t>H</w:t>
      </w:r>
      <w:r>
        <w:t xml:space="preserve">is </w:t>
      </w:r>
      <w:r w:rsidR="00DD0344">
        <w:t>C</w:t>
      </w:r>
      <w:r>
        <w:t xml:space="preserve">ase but </w:t>
      </w:r>
      <w:r w:rsidR="00671146">
        <w:t>Withdrew</w:t>
      </w:r>
    </w:p>
    <w:p w14:paraId="2EF12D50" w14:textId="674A7C08" w:rsidR="00F02512" w:rsidRPr="00F02512" w:rsidRDefault="00A04D06" w:rsidP="00B41AA7">
      <w:pPr>
        <w:ind w:firstLine="720"/>
      </w:pPr>
      <w:r>
        <w:t xml:space="preserve">In 2016, Prasad retained </w:t>
      </w:r>
      <w:proofErr w:type="spellStart"/>
      <w:r>
        <w:t>Peshawaria’s</w:t>
      </w:r>
      <w:proofErr w:type="spellEnd"/>
      <w:r>
        <w:t xml:space="preserve"> office to represent him in </w:t>
      </w:r>
      <w:r w:rsidRPr="00197C0F">
        <w:rPr>
          <w:i/>
          <w:iCs/>
        </w:rPr>
        <w:t>Rattan v. Prasad</w:t>
      </w:r>
      <w:r w:rsidR="00C2480B">
        <w:t xml:space="preserve">.  Thibault was </w:t>
      </w:r>
      <w:r w:rsidR="00F9240D">
        <w:t xml:space="preserve">employed by </w:t>
      </w:r>
      <w:proofErr w:type="spellStart"/>
      <w:r w:rsidR="00F9240D">
        <w:t>Peshawaria</w:t>
      </w:r>
      <w:proofErr w:type="spellEnd"/>
      <w:r w:rsidR="00F9240D">
        <w:t xml:space="preserve"> </w:t>
      </w:r>
      <w:r w:rsidR="00BF5B7B">
        <w:t>at the time</w:t>
      </w:r>
      <w:r w:rsidR="00C2480B">
        <w:t xml:space="preserve"> </w:t>
      </w:r>
      <w:r w:rsidR="00F9240D">
        <w:t xml:space="preserve">and Prasad’s matter was assigned to her.  </w:t>
      </w:r>
      <w:r w:rsidR="00C2480B">
        <w:t xml:space="preserve">The pending issues in the case </w:t>
      </w:r>
      <w:r w:rsidR="00BF5B7B">
        <w:t xml:space="preserve">were </w:t>
      </w:r>
      <w:r w:rsidR="00C2480B">
        <w:t xml:space="preserve">related to child custody, child and spousal support, and the division of marital property.  On July 8, 2016, Rattan’s attorney, Jason </w:t>
      </w:r>
      <w:proofErr w:type="spellStart"/>
      <w:r w:rsidR="00C2480B">
        <w:t>Elter</w:t>
      </w:r>
      <w:proofErr w:type="spellEnd"/>
      <w:r w:rsidR="00C2480B">
        <w:t xml:space="preserve">, sent Thibault a </w:t>
      </w:r>
      <w:r w:rsidR="00C2480B">
        <w:lastRenderedPageBreak/>
        <w:t xml:space="preserve">letter notifying her that a conflict of interest existed since </w:t>
      </w:r>
      <w:proofErr w:type="spellStart"/>
      <w:r w:rsidR="00C2480B">
        <w:t>Peshawaria</w:t>
      </w:r>
      <w:proofErr w:type="spellEnd"/>
      <w:r w:rsidR="00C2480B">
        <w:t xml:space="preserve"> had previously represented Rattan in the same mar</w:t>
      </w:r>
      <w:r w:rsidR="000145F8">
        <w:t>ital</w:t>
      </w:r>
      <w:r w:rsidR="00C2480B">
        <w:t xml:space="preserve"> dissolution matter in 2008.  </w:t>
      </w:r>
      <w:r w:rsidR="00115B74">
        <w:t xml:space="preserve">Enclosed with the letter, </w:t>
      </w:r>
      <w:proofErr w:type="spellStart"/>
      <w:r w:rsidR="00115B74">
        <w:t>Elter</w:t>
      </w:r>
      <w:proofErr w:type="spellEnd"/>
      <w:r w:rsidR="00115B74">
        <w:t xml:space="preserve"> included a copy of the $5,000 retainer check that Rattan paid to </w:t>
      </w:r>
      <w:proofErr w:type="spellStart"/>
      <w:r w:rsidR="00115B74">
        <w:t>Peshawaria</w:t>
      </w:r>
      <w:proofErr w:type="spellEnd"/>
      <w:r w:rsidR="00115B74">
        <w:t xml:space="preserve">.  </w:t>
      </w:r>
      <w:r w:rsidR="001210FE">
        <w:t>During the disciplinary trial, Thibault testified</w:t>
      </w:r>
      <w:r w:rsidR="003D2CF2">
        <w:t xml:space="preserve"> that</w:t>
      </w:r>
      <w:r w:rsidR="001210FE">
        <w:t xml:space="preserve"> </w:t>
      </w:r>
      <w:proofErr w:type="spellStart"/>
      <w:r w:rsidR="001210FE">
        <w:t>Elter’s</w:t>
      </w:r>
      <w:proofErr w:type="spellEnd"/>
      <w:r w:rsidR="001210FE">
        <w:t xml:space="preserve"> claimed conflict “didn’t sound right</w:t>
      </w:r>
      <w:r w:rsidR="000526FE">
        <w:t>.</w:t>
      </w:r>
      <w:r w:rsidR="001210FE">
        <w:t>”</w:t>
      </w:r>
      <w:r w:rsidR="000526FE">
        <w:t xml:space="preserve">  S</w:t>
      </w:r>
      <w:r w:rsidR="001210FE">
        <w:t xml:space="preserve">he </w:t>
      </w:r>
      <w:r w:rsidR="000526FE">
        <w:t>discussed</w:t>
      </w:r>
      <w:r w:rsidR="00D868B9">
        <w:t xml:space="preserve"> the issue </w:t>
      </w:r>
      <w:r w:rsidR="001210FE">
        <w:t xml:space="preserve">with </w:t>
      </w:r>
      <w:proofErr w:type="spellStart"/>
      <w:r w:rsidR="001210FE">
        <w:t>Peshawaria</w:t>
      </w:r>
      <w:proofErr w:type="spellEnd"/>
      <w:r w:rsidR="000526FE">
        <w:t>,</w:t>
      </w:r>
      <w:r w:rsidR="001210FE">
        <w:t xml:space="preserve"> who </w:t>
      </w:r>
      <w:r w:rsidR="00E53496">
        <w:t>instructed her to</w:t>
      </w:r>
      <w:r w:rsidR="00ED6988">
        <w:t xml:space="preserve"> </w:t>
      </w:r>
      <w:r w:rsidR="001210FE">
        <w:t xml:space="preserve">withdraw from the case.  </w:t>
      </w:r>
      <w:r w:rsidR="004D0A6F">
        <w:t>A few days later, T</w:t>
      </w:r>
      <w:r w:rsidR="0030655A">
        <w:t xml:space="preserve">hibault reluctantly withdrew.  </w:t>
      </w:r>
      <w:r w:rsidR="000D2E87">
        <w:tab/>
      </w:r>
    </w:p>
    <w:p w14:paraId="17826A6D" w14:textId="4C45C84D" w:rsidR="00F02512" w:rsidRDefault="00F02512" w:rsidP="00F02512">
      <w:pPr>
        <w:pStyle w:val="Heading2"/>
      </w:pPr>
      <w:r>
        <w:t>Thibault</w:t>
      </w:r>
      <w:r w:rsidR="00992136">
        <w:t>, as a Solo Practitioner,</w:t>
      </w:r>
      <w:r>
        <w:t xml:space="preserve"> </w:t>
      </w:r>
      <w:r w:rsidR="00992136">
        <w:t>A</w:t>
      </w:r>
      <w:r>
        <w:t xml:space="preserve">greed to </w:t>
      </w:r>
      <w:r w:rsidR="00992136">
        <w:t>R</w:t>
      </w:r>
      <w:r>
        <w:t>epresent Prasad</w:t>
      </w:r>
      <w:r w:rsidR="00992136">
        <w:t xml:space="preserve"> in May 2018</w:t>
      </w:r>
    </w:p>
    <w:p w14:paraId="0D6BBD06" w14:textId="1633CF91" w:rsidR="00C30B7C" w:rsidRDefault="00DB0F6A" w:rsidP="00B41AA7">
      <w:pPr>
        <w:ind w:firstLine="720"/>
      </w:pPr>
      <w:r>
        <w:t xml:space="preserve">On </w:t>
      </w:r>
      <w:r w:rsidR="00556A59">
        <w:t xml:space="preserve">March </w:t>
      </w:r>
      <w:r>
        <w:t xml:space="preserve">9, </w:t>
      </w:r>
      <w:r w:rsidR="00556A59">
        <w:t xml:space="preserve">2018, Thibault ended her employment with </w:t>
      </w:r>
      <w:proofErr w:type="spellStart"/>
      <w:r w:rsidR="00556A59">
        <w:t>P</w:t>
      </w:r>
      <w:r w:rsidR="00B61A61">
        <w:t>e</w:t>
      </w:r>
      <w:r w:rsidR="00556A59">
        <w:t>shawaria</w:t>
      </w:r>
      <w:proofErr w:type="spellEnd"/>
      <w:r w:rsidR="00556A59">
        <w:t xml:space="preserve"> and </w:t>
      </w:r>
      <w:r>
        <w:t xml:space="preserve">began </w:t>
      </w:r>
      <w:r w:rsidR="00556A59">
        <w:t>her solo practice</w:t>
      </w:r>
      <w:r w:rsidR="00760D65">
        <w:t xml:space="preserve">; however, </w:t>
      </w:r>
      <w:r w:rsidR="00970682">
        <w:t>she</w:t>
      </w:r>
      <w:r w:rsidR="00760D65">
        <w:t xml:space="preserve"> and </w:t>
      </w:r>
      <w:proofErr w:type="spellStart"/>
      <w:r w:rsidR="00760D65">
        <w:t>P</w:t>
      </w:r>
      <w:r w:rsidR="0099445F">
        <w:t>e</w:t>
      </w:r>
      <w:r w:rsidR="00760D65">
        <w:t>shawaria</w:t>
      </w:r>
      <w:proofErr w:type="spellEnd"/>
      <w:r w:rsidR="00760D65">
        <w:t xml:space="preserve"> continued to share office space</w:t>
      </w:r>
      <w:r w:rsidR="00556A59">
        <w:t>.</w:t>
      </w:r>
      <w:r w:rsidR="00144628">
        <w:rPr>
          <w:rStyle w:val="FootnoteReference"/>
        </w:rPr>
        <w:footnoteReference w:id="6"/>
      </w:r>
      <w:r w:rsidR="00556A59">
        <w:t xml:space="preserve">  </w:t>
      </w:r>
      <w:r w:rsidR="00C36A61">
        <w:t xml:space="preserve">In May 2018, Prasad approached Thibault seeking </w:t>
      </w:r>
      <w:r w:rsidR="000E5868">
        <w:t xml:space="preserve">legal </w:t>
      </w:r>
      <w:r w:rsidR="00C36A61">
        <w:t xml:space="preserve">assistance </w:t>
      </w:r>
      <w:r w:rsidR="00970682">
        <w:t>i</w:t>
      </w:r>
      <w:r w:rsidR="00C36A61">
        <w:t xml:space="preserve">n </w:t>
      </w:r>
      <w:r w:rsidR="00C36A61" w:rsidRPr="00197C0F">
        <w:rPr>
          <w:i/>
          <w:iCs/>
        </w:rPr>
        <w:t>Rattan v. Prasad</w:t>
      </w:r>
      <w:r w:rsidR="00C36A61" w:rsidRPr="00197C0F">
        <w:t>,</w:t>
      </w:r>
      <w:r w:rsidR="00EB5794">
        <w:t xml:space="preserve"> th</w:t>
      </w:r>
      <w:r w:rsidR="00E50272">
        <w:t>e same marital dissolution matter</w:t>
      </w:r>
      <w:r w:rsidR="00EB5794">
        <w:t xml:space="preserve"> </w:t>
      </w:r>
      <w:r w:rsidR="00970682">
        <w:t xml:space="preserve">from which </w:t>
      </w:r>
      <w:r w:rsidR="00EB5794">
        <w:t xml:space="preserve">Thibault had previously withdrawn </w:t>
      </w:r>
      <w:r w:rsidR="00970682">
        <w:t>i</w:t>
      </w:r>
      <w:r w:rsidR="00EB5794">
        <w:t xml:space="preserve">n July 2016.    </w:t>
      </w:r>
    </w:p>
    <w:p w14:paraId="26A64ED5" w14:textId="21039D3E" w:rsidR="00307AE6" w:rsidRDefault="00DE6D4F" w:rsidP="00B41AA7">
      <w:pPr>
        <w:ind w:firstLine="720"/>
      </w:pPr>
      <w:r>
        <w:t>During the disciplinary trial, T</w:t>
      </w:r>
      <w:r w:rsidR="00EB5794">
        <w:t>hibault testified that Prasad</w:t>
      </w:r>
      <w:r w:rsidR="00C36A61">
        <w:t xml:space="preserve"> specifically </w:t>
      </w:r>
      <w:r w:rsidR="00EB5794">
        <w:t>sought</w:t>
      </w:r>
      <w:r w:rsidR="00C36A61">
        <w:t xml:space="preserve"> her services regarding a </w:t>
      </w:r>
      <w:r w:rsidR="00123507">
        <w:t>w</w:t>
      </w:r>
      <w:r w:rsidR="00C36A61">
        <w:t xml:space="preserve">rit of </w:t>
      </w:r>
      <w:r w:rsidR="00123507">
        <w:t>p</w:t>
      </w:r>
      <w:r w:rsidR="00C36A61">
        <w:t xml:space="preserve">ossession related to </w:t>
      </w:r>
      <w:r w:rsidR="00CB5F8F">
        <w:t xml:space="preserve">the </w:t>
      </w:r>
      <w:r w:rsidR="00EB5794">
        <w:t xml:space="preserve">marital </w:t>
      </w:r>
      <w:r w:rsidR="00144628">
        <w:t>property</w:t>
      </w:r>
      <w:r w:rsidR="00EB5794">
        <w:t xml:space="preserve">, </w:t>
      </w:r>
      <w:r w:rsidR="00123507">
        <w:t xml:space="preserve">which was </w:t>
      </w:r>
      <w:r w:rsidR="00970682">
        <w:t xml:space="preserve">a </w:t>
      </w:r>
      <w:r w:rsidR="00123507">
        <w:t>house</w:t>
      </w:r>
      <w:r w:rsidR="00C36A61">
        <w:t xml:space="preserve"> </w:t>
      </w:r>
      <w:r w:rsidR="00970682">
        <w:t xml:space="preserve">located </w:t>
      </w:r>
      <w:r w:rsidR="00C36A61">
        <w:t xml:space="preserve">in Tracy, California.  </w:t>
      </w:r>
      <w:r w:rsidR="00AA28F9">
        <w:t xml:space="preserve">She </w:t>
      </w:r>
      <w:r w:rsidR="00B54FC9">
        <w:t>stated</w:t>
      </w:r>
      <w:r w:rsidR="00842C54">
        <w:t xml:space="preserve"> that</w:t>
      </w:r>
      <w:r w:rsidR="004535F8">
        <w:t>,</w:t>
      </w:r>
      <w:r w:rsidR="00842C54">
        <w:t xml:space="preserve"> “because there was a previous conflict of interest</w:t>
      </w:r>
      <w:r w:rsidR="00C05755">
        <w:t>,</w:t>
      </w:r>
      <w:r w:rsidR="00842C54">
        <w:t xml:space="preserve">” she contacted the State Bar Ethics Hotline for guidance on whether she could proceed with the representation.  </w:t>
      </w:r>
      <w:r w:rsidR="00AA28F9">
        <w:t>Thibault</w:t>
      </w:r>
      <w:r w:rsidR="00842C54">
        <w:t xml:space="preserve"> </w:t>
      </w:r>
      <w:r w:rsidR="00FF6634">
        <w:t xml:space="preserve">testified that the State Bar Ethics hotline referred her to </w:t>
      </w:r>
      <w:r w:rsidR="00FF6634" w:rsidRPr="00594B7A">
        <w:rPr>
          <w:i/>
          <w:iCs/>
        </w:rPr>
        <w:t xml:space="preserve">Ochoa v. </w:t>
      </w:r>
      <w:proofErr w:type="spellStart"/>
      <w:r w:rsidR="00FF6634" w:rsidRPr="00594B7A">
        <w:rPr>
          <w:i/>
          <w:iCs/>
        </w:rPr>
        <w:t>Fordel</w:t>
      </w:r>
      <w:proofErr w:type="spellEnd"/>
      <w:r w:rsidR="00FF6634">
        <w:rPr>
          <w:i/>
          <w:iCs/>
        </w:rPr>
        <w:t>, Inc.</w:t>
      </w:r>
      <w:r w:rsidR="00FF6634">
        <w:t xml:space="preserve"> (2007) 146 Cal.App.4th 898</w:t>
      </w:r>
      <w:r w:rsidR="00C05755">
        <w:t>,</w:t>
      </w:r>
      <w:r w:rsidR="006D0439">
        <w:t xml:space="preserve"> and </w:t>
      </w:r>
      <w:r w:rsidR="00E50272">
        <w:t>she determined that she did not have a conflict of interest and could represent Prasad.  Thibault did not seek Rattan’s consent</w:t>
      </w:r>
      <w:r w:rsidR="002A2FA8">
        <w:t xml:space="preserve"> before accepting Prasad’s representation</w:t>
      </w:r>
      <w:r w:rsidR="00E50272">
        <w:t xml:space="preserve">. </w:t>
      </w:r>
    </w:p>
    <w:p w14:paraId="42CBC3DB" w14:textId="1FA008EE" w:rsidR="00842C54" w:rsidRDefault="00842C54" w:rsidP="00B41AA7">
      <w:pPr>
        <w:ind w:firstLine="720"/>
      </w:pPr>
      <w:r>
        <w:t xml:space="preserve">On May 17, 2018, Thibault filed a substitution of attorney to proceed as Prasad’s attorney in the marital dissolution matter.  </w:t>
      </w:r>
      <w:r w:rsidR="007726D0">
        <w:t xml:space="preserve">The superior court held a hearing on May 21, and Thibault </w:t>
      </w:r>
      <w:r w:rsidR="007726D0">
        <w:lastRenderedPageBreak/>
        <w:t>appeared on behalf of Prasad.</w:t>
      </w:r>
      <w:r w:rsidR="006068DD">
        <w:t xml:space="preserve">  </w:t>
      </w:r>
      <w:r w:rsidR="007726D0">
        <w:t xml:space="preserve">During the hearing, </w:t>
      </w:r>
      <w:proofErr w:type="spellStart"/>
      <w:r w:rsidR="007726D0">
        <w:t>Elter</w:t>
      </w:r>
      <w:proofErr w:type="spellEnd"/>
      <w:r w:rsidR="007726D0">
        <w:t xml:space="preserve"> objected to Thibault’s representation </w:t>
      </w:r>
      <w:r w:rsidR="007E02DC">
        <w:t xml:space="preserve">and </w:t>
      </w:r>
      <w:r w:rsidR="007726D0">
        <w:t>assert</w:t>
      </w:r>
      <w:r w:rsidR="007E02DC">
        <w:t>ed</w:t>
      </w:r>
      <w:r w:rsidR="008871C3">
        <w:t xml:space="preserve"> that</w:t>
      </w:r>
      <w:r w:rsidR="007726D0">
        <w:t xml:space="preserve"> </w:t>
      </w:r>
      <w:r w:rsidR="007E02DC">
        <w:t xml:space="preserve">she had </w:t>
      </w:r>
      <w:r w:rsidR="007726D0">
        <w:t xml:space="preserve">a conflict of interest.  The superior court did not accept Thibault’s substitution as Prasad’s attorney and continued the matter to July 13, allowing time for </w:t>
      </w:r>
      <w:proofErr w:type="spellStart"/>
      <w:r w:rsidR="007726D0">
        <w:t>Elter</w:t>
      </w:r>
      <w:proofErr w:type="spellEnd"/>
      <w:r w:rsidR="007726D0">
        <w:t xml:space="preserve"> to file a formal motion for disqualification and </w:t>
      </w:r>
      <w:r w:rsidR="007E02DC">
        <w:t xml:space="preserve">for </w:t>
      </w:r>
      <w:r w:rsidR="007726D0">
        <w:t xml:space="preserve">Thibault to respond to the motion.  </w:t>
      </w:r>
      <w:r w:rsidR="007E02DC">
        <w:t>Three days later</w:t>
      </w:r>
      <w:r w:rsidR="000E7A03">
        <w:t xml:space="preserve">, Thibault </w:t>
      </w:r>
      <w:r w:rsidR="00C05755">
        <w:t xml:space="preserve">filed </w:t>
      </w:r>
      <w:r w:rsidR="000E7A03">
        <w:t xml:space="preserve">an amended </w:t>
      </w:r>
      <w:r w:rsidR="007B7036">
        <w:t xml:space="preserve">substitution of attorney, </w:t>
      </w:r>
      <w:r w:rsidR="00C05755">
        <w:t xml:space="preserve">a </w:t>
      </w:r>
      <w:r w:rsidR="007B7036">
        <w:t xml:space="preserve">declaration regarding </w:t>
      </w:r>
      <w:proofErr w:type="spellStart"/>
      <w:r w:rsidR="00C30B7C">
        <w:t>Elter’s</w:t>
      </w:r>
      <w:proofErr w:type="spellEnd"/>
      <w:r w:rsidR="00C30B7C">
        <w:t xml:space="preserve"> claimed</w:t>
      </w:r>
      <w:r w:rsidR="007B7036">
        <w:t xml:space="preserve"> conflict of interest, and an ex </w:t>
      </w:r>
      <w:proofErr w:type="spellStart"/>
      <w:r w:rsidR="007B7036">
        <w:t>parte</w:t>
      </w:r>
      <w:proofErr w:type="spellEnd"/>
      <w:r w:rsidR="007B7036">
        <w:t xml:space="preserve"> motion seeking temporary emergency orders for Prasad’s possession of the marital residence.  </w:t>
      </w:r>
      <w:proofErr w:type="spellStart"/>
      <w:r w:rsidR="007B7036">
        <w:t>Elter</w:t>
      </w:r>
      <w:proofErr w:type="spellEnd"/>
      <w:r w:rsidR="007B7036">
        <w:t xml:space="preserve"> </w:t>
      </w:r>
      <w:r w:rsidR="00323A01">
        <w:t>moved to disqualify Thibault as counsel for Prasad</w:t>
      </w:r>
      <w:r w:rsidR="007E02DC">
        <w:t xml:space="preserve"> and</w:t>
      </w:r>
      <w:r w:rsidR="00323A01">
        <w:t xml:space="preserve"> </w:t>
      </w:r>
      <w:r w:rsidR="00C05755">
        <w:t xml:space="preserve">to </w:t>
      </w:r>
      <w:r w:rsidR="00323A01">
        <w:t>strike her</w:t>
      </w:r>
      <w:r w:rsidR="007B7036">
        <w:t xml:space="preserve"> plea</w:t>
      </w:r>
      <w:r w:rsidR="00B604A6">
        <w:t>ding</w:t>
      </w:r>
      <w:r w:rsidR="00C30B7C">
        <w:t>s</w:t>
      </w:r>
      <w:r w:rsidR="007E02DC">
        <w:t xml:space="preserve">.  He also </w:t>
      </w:r>
      <w:r w:rsidR="000A185B">
        <w:t>requested $6,000 in sanctions</w:t>
      </w:r>
      <w:r w:rsidR="003619C1">
        <w:t xml:space="preserve">.    </w:t>
      </w:r>
      <w:r w:rsidR="00B604A6">
        <w:t xml:space="preserve"> </w:t>
      </w:r>
    </w:p>
    <w:p w14:paraId="1EDEC4C2" w14:textId="1E2957DA" w:rsidR="00DD0344" w:rsidRDefault="00DD0344" w:rsidP="00DD0344">
      <w:pPr>
        <w:pStyle w:val="Heading2"/>
      </w:pPr>
      <w:r>
        <w:t>T</w:t>
      </w:r>
      <w:r w:rsidR="00B657F9">
        <w:t>h</w:t>
      </w:r>
      <w:r w:rsidR="00820F72">
        <w:t xml:space="preserve">ibault Is </w:t>
      </w:r>
      <w:r w:rsidR="00B657F9">
        <w:t>Disqualified</w:t>
      </w:r>
      <w:r>
        <w:t xml:space="preserve"> </w:t>
      </w:r>
      <w:r w:rsidR="00B657F9">
        <w:t xml:space="preserve">from Representing Prasad and </w:t>
      </w:r>
      <w:r w:rsidR="0034773B">
        <w:t xml:space="preserve">the Superior Court </w:t>
      </w:r>
      <w:r w:rsidR="00B657F9">
        <w:t xml:space="preserve">Sanctioned </w:t>
      </w:r>
      <w:r w:rsidR="00C05755">
        <w:t xml:space="preserve">Her </w:t>
      </w:r>
      <w:r w:rsidR="00B657F9">
        <w:t>$5,000</w:t>
      </w:r>
    </w:p>
    <w:p w14:paraId="0A519DAF" w14:textId="7B4AA800" w:rsidR="00A72256" w:rsidRDefault="00323A01" w:rsidP="00B41AA7">
      <w:pPr>
        <w:ind w:firstLine="720"/>
      </w:pPr>
      <w:r>
        <w:t xml:space="preserve">The superior court held its disqualification hearings on July 13 and 19, 2018.  </w:t>
      </w:r>
      <w:r w:rsidR="008605F8">
        <w:t>During the</w:t>
      </w:r>
      <w:r w:rsidR="00D27321">
        <w:t xml:space="preserve"> July 19 hearing, Thibault attempted to introduce</w:t>
      </w:r>
      <w:r w:rsidR="004E3CA1">
        <w:t xml:space="preserve"> two documents into evidence</w:t>
      </w:r>
      <w:r w:rsidR="008605F8">
        <w:t xml:space="preserve"> while cross-examining Rattan</w:t>
      </w:r>
      <w:r w:rsidR="008131D0">
        <w:t xml:space="preserve">, which </w:t>
      </w:r>
      <w:r w:rsidR="00B50A13">
        <w:t xml:space="preserve">she had retrieved from </w:t>
      </w:r>
      <w:proofErr w:type="spellStart"/>
      <w:r w:rsidR="00B50A13">
        <w:t>Peshawaria’s</w:t>
      </w:r>
      <w:proofErr w:type="spellEnd"/>
      <w:r w:rsidR="00B50A13">
        <w:t xml:space="preserve"> database</w:t>
      </w:r>
      <w:r w:rsidR="004E3CA1">
        <w:t xml:space="preserve">: a written narrative that Rattan had prepared for </w:t>
      </w:r>
      <w:proofErr w:type="spellStart"/>
      <w:r w:rsidR="004E3CA1">
        <w:t>Peshawaria</w:t>
      </w:r>
      <w:proofErr w:type="spellEnd"/>
      <w:r w:rsidR="004E3CA1">
        <w:t xml:space="preserve"> in connection with the 2008 representation and the purported retainer agreement between Rattan and </w:t>
      </w:r>
      <w:proofErr w:type="spellStart"/>
      <w:r w:rsidR="004E3CA1">
        <w:t>Peshawaria</w:t>
      </w:r>
      <w:proofErr w:type="spellEnd"/>
      <w:r w:rsidR="00FD01B5">
        <w:t xml:space="preserve">.  </w:t>
      </w:r>
      <w:r w:rsidR="008605F8">
        <w:t xml:space="preserve">At </w:t>
      </w:r>
      <w:r w:rsidR="00B50A13">
        <w:t xml:space="preserve">one </w:t>
      </w:r>
      <w:r w:rsidR="008605F8">
        <w:t xml:space="preserve">point </w:t>
      </w:r>
      <w:r w:rsidR="00B50A13">
        <w:t xml:space="preserve">during the hearing, </w:t>
      </w:r>
      <w:r w:rsidR="008A2168">
        <w:t xml:space="preserve">Superior Court </w:t>
      </w:r>
      <w:r w:rsidR="008605F8">
        <w:t xml:space="preserve">Judge </w:t>
      </w:r>
      <w:r w:rsidR="008A2168">
        <w:t xml:space="preserve">Gregory </w:t>
      </w:r>
      <w:proofErr w:type="spellStart"/>
      <w:r w:rsidR="008605F8">
        <w:t>Syren</w:t>
      </w:r>
      <w:proofErr w:type="spellEnd"/>
      <w:r w:rsidR="008605F8">
        <w:t xml:space="preserve"> </w:t>
      </w:r>
      <w:r w:rsidR="009C7346">
        <w:t>asked</w:t>
      </w:r>
      <w:r w:rsidR="00C05755">
        <w:t>,</w:t>
      </w:r>
      <w:r w:rsidR="008605F8">
        <w:t xml:space="preserve"> “I’m asking you a question very directly, Ms. Thibault.  You’re offering to show [Rattan] documentation regarding [her] </w:t>
      </w:r>
      <w:r w:rsidR="00B50A13">
        <w:t>consultation</w:t>
      </w:r>
      <w:r w:rsidR="008605F8">
        <w:t xml:space="preserve"> with Ms.</w:t>
      </w:r>
      <w:r w:rsidR="006F5760">
        <w:t> </w:t>
      </w:r>
      <w:proofErr w:type="spellStart"/>
      <w:r w:rsidR="008605F8">
        <w:t>Peshawaria</w:t>
      </w:r>
      <w:proofErr w:type="spellEnd"/>
      <w:r w:rsidR="008605F8">
        <w:t xml:space="preserve"> . . . back in 2008?”</w:t>
      </w:r>
      <w:r w:rsidR="00FD01B5">
        <w:t xml:space="preserve">  </w:t>
      </w:r>
      <w:r w:rsidR="008605F8">
        <w:t xml:space="preserve">Thibault replied, “That’s correct.”  Judge </w:t>
      </w:r>
      <w:proofErr w:type="spellStart"/>
      <w:r w:rsidR="008605F8">
        <w:t>Syren</w:t>
      </w:r>
      <w:proofErr w:type="spellEnd"/>
      <w:r w:rsidR="008605F8">
        <w:t xml:space="preserve"> </w:t>
      </w:r>
      <w:r w:rsidR="00C71CCF">
        <w:t xml:space="preserve">then </w:t>
      </w:r>
      <w:r w:rsidR="00EC2380">
        <w:t>stated</w:t>
      </w:r>
      <w:r w:rsidR="008605F8">
        <w:t>, “Alright.  This examination is done.  I’m not going to hear any further testimony at this point from Ms. Rattan.”</w:t>
      </w:r>
      <w:r w:rsidR="00FD01B5">
        <w:t xml:space="preserve">  </w:t>
      </w:r>
      <w:r w:rsidR="00B50A13">
        <w:t xml:space="preserve">The </w:t>
      </w:r>
      <w:r w:rsidR="008A2168">
        <w:t xml:space="preserve">judge </w:t>
      </w:r>
      <w:r w:rsidR="00B50A13">
        <w:t>further stated</w:t>
      </w:r>
      <w:r w:rsidR="00C05755">
        <w:t>,</w:t>
      </w:r>
      <w:r w:rsidR="00B50A13">
        <w:t xml:space="preserve"> “Ms. Thibault, the fact that you brought to court today a document . . . from a database which purports to be the, quote, unquote, story which Ms.</w:t>
      </w:r>
      <w:r w:rsidR="006F5760">
        <w:t> </w:t>
      </w:r>
      <w:r w:rsidR="00B50A13">
        <w:t xml:space="preserve">Rattan provided to Ms. </w:t>
      </w:r>
      <w:proofErr w:type="spellStart"/>
      <w:r w:rsidR="00B50A13">
        <w:t>Peshawaria</w:t>
      </w:r>
      <w:proofErr w:type="spellEnd"/>
      <w:r w:rsidR="00B50A13">
        <w:t xml:space="preserve"> in 2008</w:t>
      </w:r>
      <w:r w:rsidR="00BC20EC">
        <w:t>[,]</w:t>
      </w:r>
      <w:r w:rsidR="00B50A13">
        <w:t xml:space="preserve"> I don’t think I need to hear anything else at this point.” </w:t>
      </w:r>
    </w:p>
    <w:p w14:paraId="76D24072" w14:textId="36C64FF1" w:rsidR="00323A01" w:rsidRDefault="008A2168" w:rsidP="00B41AA7">
      <w:pPr>
        <w:ind w:firstLine="720"/>
      </w:pPr>
      <w:r>
        <w:lastRenderedPageBreak/>
        <w:t xml:space="preserve">Judge </w:t>
      </w:r>
      <w:proofErr w:type="spellStart"/>
      <w:r>
        <w:t>Syren</w:t>
      </w:r>
      <w:proofErr w:type="spellEnd"/>
      <w:r>
        <w:t xml:space="preserve"> </w:t>
      </w:r>
      <w:r w:rsidR="00EC2380">
        <w:t xml:space="preserve">made </w:t>
      </w:r>
      <w:r w:rsidR="008678F5">
        <w:t>several</w:t>
      </w:r>
      <w:r w:rsidR="00EC2380">
        <w:t xml:space="preserve"> findings</w:t>
      </w:r>
      <w:r w:rsidR="00A72256">
        <w:t xml:space="preserve"> at the end of the July 19</w:t>
      </w:r>
      <w:r>
        <w:t>, 2018</w:t>
      </w:r>
      <w:r w:rsidR="00A72256">
        <w:t xml:space="preserve"> hearing</w:t>
      </w:r>
      <w:r w:rsidR="008678F5">
        <w:t>, including</w:t>
      </w:r>
      <w:r w:rsidR="00862073">
        <w:t xml:space="preserve"> that</w:t>
      </w:r>
      <w:r w:rsidR="00EC2380">
        <w:t xml:space="preserve"> (1) in 20</w:t>
      </w:r>
      <w:r w:rsidR="00DF61D0">
        <w:t>0</w:t>
      </w:r>
      <w:r w:rsidR="00EC2380">
        <w:t xml:space="preserve">8, Rattan retained </w:t>
      </w:r>
      <w:proofErr w:type="spellStart"/>
      <w:r w:rsidR="00EC2380">
        <w:t>Peshawaria</w:t>
      </w:r>
      <w:proofErr w:type="spellEnd"/>
      <w:r w:rsidR="00EC2380">
        <w:t xml:space="preserve"> to assist her in </w:t>
      </w:r>
      <w:r w:rsidR="00B13A94">
        <w:t>the</w:t>
      </w:r>
      <w:r w:rsidR="00EC2380">
        <w:t xml:space="preserve"> mar</w:t>
      </w:r>
      <w:r w:rsidR="00745002">
        <w:t>ital</w:t>
      </w:r>
      <w:r w:rsidR="00EC2380">
        <w:t xml:space="preserve"> dissolution matter; (2) </w:t>
      </w:r>
      <w:r w:rsidR="00A72256">
        <w:t xml:space="preserve">the retention was </w:t>
      </w:r>
      <w:r w:rsidR="002B0330">
        <w:t xml:space="preserve">based on </w:t>
      </w:r>
      <w:r w:rsidR="00A72256">
        <w:t xml:space="preserve">Rattan’s </w:t>
      </w:r>
      <w:r w:rsidR="002B0330">
        <w:t xml:space="preserve">belief that </w:t>
      </w:r>
      <w:proofErr w:type="spellStart"/>
      <w:r w:rsidR="00A72256">
        <w:t>Peshawaria</w:t>
      </w:r>
      <w:proofErr w:type="spellEnd"/>
      <w:r w:rsidR="002B0330">
        <w:t xml:space="preserve"> was an attorney licensed in California; (3)</w:t>
      </w:r>
      <w:r w:rsidR="006F5760">
        <w:t> </w:t>
      </w:r>
      <w:r w:rsidR="002B0330">
        <w:t xml:space="preserve">Rattan paid </w:t>
      </w:r>
      <w:proofErr w:type="spellStart"/>
      <w:r w:rsidR="002B0330">
        <w:t>Peshawaria</w:t>
      </w:r>
      <w:proofErr w:type="spellEnd"/>
      <w:r w:rsidR="002B0330">
        <w:t xml:space="preserve"> $5,000 </w:t>
      </w:r>
      <w:r w:rsidR="00A72256">
        <w:t>for her services and met with her a couple of times providing personal information about her case; (4)</w:t>
      </w:r>
      <w:r w:rsidR="002B0330">
        <w:t xml:space="preserve"> </w:t>
      </w:r>
      <w:r w:rsidR="004A2233">
        <w:t>i</w:t>
      </w:r>
      <w:r w:rsidR="00032BC6">
        <w:t>n</w:t>
      </w:r>
      <w:r w:rsidR="0035577F">
        <w:t xml:space="preserve"> 2016, </w:t>
      </w:r>
      <w:r w:rsidR="00032BC6">
        <w:t>a</w:t>
      </w:r>
      <w:r w:rsidR="00A3041E">
        <w:t xml:space="preserve">s </w:t>
      </w:r>
      <w:proofErr w:type="spellStart"/>
      <w:r w:rsidR="00A3041E">
        <w:t>Peshawaria’s</w:t>
      </w:r>
      <w:proofErr w:type="spellEnd"/>
      <w:r w:rsidR="00A3041E">
        <w:t xml:space="preserve"> </w:t>
      </w:r>
      <w:r w:rsidR="00D90B70">
        <w:t xml:space="preserve">employee, </w:t>
      </w:r>
      <w:r w:rsidR="008678F5">
        <w:t xml:space="preserve">Thibault substituted into the </w:t>
      </w:r>
      <w:r w:rsidR="0064678F">
        <w:t>marital dissolution matter</w:t>
      </w:r>
      <w:r w:rsidR="008678F5">
        <w:t xml:space="preserve"> </w:t>
      </w:r>
      <w:r w:rsidR="00032BC6">
        <w:t xml:space="preserve">on Prasad’s behalf </w:t>
      </w:r>
      <w:r w:rsidR="008678F5">
        <w:t xml:space="preserve">but substituted out due to a conflict; (5) </w:t>
      </w:r>
      <w:r w:rsidR="0000407D">
        <w:t>in 201</w:t>
      </w:r>
      <w:r w:rsidR="00CC7CDE">
        <w:t>8</w:t>
      </w:r>
      <w:r w:rsidR="0000407D">
        <w:t xml:space="preserve">, </w:t>
      </w:r>
      <w:r w:rsidR="003F5CA5">
        <w:t xml:space="preserve">Thibault substituted </w:t>
      </w:r>
      <w:r w:rsidR="00FB088F">
        <w:t xml:space="preserve">again </w:t>
      </w:r>
      <w:r w:rsidR="003F5CA5">
        <w:t xml:space="preserve">into the case </w:t>
      </w:r>
      <w:r w:rsidR="006F5BB6">
        <w:t>on behalf of Prasad</w:t>
      </w:r>
      <w:r w:rsidR="00394CA4">
        <w:t xml:space="preserve"> and filed </w:t>
      </w:r>
      <w:r w:rsidR="00F5485A">
        <w:t xml:space="preserve">pleadings with </w:t>
      </w:r>
      <w:r w:rsidR="00DE20B1">
        <w:t>the superior court</w:t>
      </w:r>
      <w:r w:rsidR="00FB088F">
        <w:t xml:space="preserve">, despite </w:t>
      </w:r>
      <w:r w:rsidR="00DE20B1">
        <w:t>the</w:t>
      </w:r>
      <w:r w:rsidR="00FB4A9B">
        <w:t xml:space="preserve"> court </w:t>
      </w:r>
      <w:r w:rsidR="00D77B81">
        <w:t xml:space="preserve">having told </w:t>
      </w:r>
      <w:r w:rsidR="00FB4A9B">
        <w:t xml:space="preserve">Thibault </w:t>
      </w:r>
      <w:r w:rsidR="00B504A8">
        <w:t xml:space="preserve">three days earlier </w:t>
      </w:r>
      <w:r w:rsidR="00FB4A9B">
        <w:t xml:space="preserve">that a substitution would not </w:t>
      </w:r>
      <w:r w:rsidR="000E242B">
        <w:t>be allowed at that time</w:t>
      </w:r>
      <w:r w:rsidR="00113C1E">
        <w:t xml:space="preserve">; </w:t>
      </w:r>
      <w:r w:rsidR="00862073">
        <w:t xml:space="preserve">and </w:t>
      </w:r>
      <w:r w:rsidR="00113C1E">
        <w:t xml:space="preserve">(6) </w:t>
      </w:r>
      <w:r w:rsidR="008678F5">
        <w:t>at no time did Thibault ask Rattan to waive any conflict</w:t>
      </w:r>
      <w:r w:rsidR="00862073">
        <w:t>s</w:t>
      </w:r>
      <w:r w:rsidR="008678F5">
        <w:t xml:space="preserve">.  </w:t>
      </w:r>
      <w:r>
        <w:t xml:space="preserve">He </w:t>
      </w:r>
      <w:r w:rsidR="00242C2B">
        <w:t xml:space="preserve">concluded that the </w:t>
      </w:r>
      <w:r w:rsidR="00040686">
        <w:t xml:space="preserve">matter before him </w:t>
      </w:r>
      <w:r w:rsidR="00242C2B">
        <w:t xml:space="preserve">was </w:t>
      </w:r>
      <w:r w:rsidR="00242C2B" w:rsidRPr="00415407">
        <w:t xml:space="preserve">the same </w:t>
      </w:r>
      <w:r w:rsidR="00C83C13">
        <w:t xml:space="preserve">marital </w:t>
      </w:r>
      <w:r w:rsidR="00242C2B" w:rsidRPr="00415407">
        <w:t xml:space="preserve">dissolution case </w:t>
      </w:r>
      <w:r w:rsidR="00CB6A92">
        <w:t xml:space="preserve">for which </w:t>
      </w:r>
      <w:r w:rsidR="00242C2B" w:rsidRPr="00415407">
        <w:t xml:space="preserve">Rattan had retained </w:t>
      </w:r>
      <w:proofErr w:type="spellStart"/>
      <w:r w:rsidR="00242C2B" w:rsidRPr="00415407">
        <w:t>Peshawaria</w:t>
      </w:r>
      <w:proofErr w:type="spellEnd"/>
      <w:r w:rsidR="00242C2B" w:rsidRPr="00415407">
        <w:t xml:space="preserve"> in 2008 and that </w:t>
      </w:r>
      <w:r w:rsidR="00242C2B">
        <w:t>Thibault</w:t>
      </w:r>
      <w:r w:rsidR="00242C2B" w:rsidRPr="00415407">
        <w:t xml:space="preserve"> had access to Rattan’s confidential information</w:t>
      </w:r>
      <w:r w:rsidR="00242C2B">
        <w:t xml:space="preserve">, </w:t>
      </w:r>
      <w:r w:rsidR="00242C2B" w:rsidRPr="00415407">
        <w:t xml:space="preserve">which </w:t>
      </w:r>
      <w:r w:rsidR="00242C2B">
        <w:t>Thibault</w:t>
      </w:r>
      <w:r w:rsidR="00242C2B" w:rsidRPr="00415407">
        <w:t xml:space="preserve"> was prepared to present in court.</w:t>
      </w:r>
      <w:r w:rsidR="00FD01B5">
        <w:t xml:space="preserve">  </w:t>
      </w:r>
      <w:r w:rsidR="00C9689A">
        <w:t xml:space="preserve">Based on </w:t>
      </w:r>
      <w:r w:rsidR="004D2A5B">
        <w:t>these</w:t>
      </w:r>
      <w:r w:rsidR="00C9689A">
        <w:t xml:space="preserve"> findings, </w:t>
      </w:r>
      <w:r w:rsidR="004D2A5B">
        <w:t xml:space="preserve">Judge </w:t>
      </w:r>
      <w:proofErr w:type="spellStart"/>
      <w:r w:rsidR="004D2A5B">
        <w:t>Syren</w:t>
      </w:r>
      <w:proofErr w:type="spellEnd"/>
      <w:r w:rsidR="00C9689A">
        <w:t xml:space="preserve"> </w:t>
      </w:r>
      <w:r w:rsidR="000D2496">
        <w:t>ordered Thibault disqualified from representing Prasad and sanction</w:t>
      </w:r>
      <w:r w:rsidR="008E0D24">
        <w:t>ed</w:t>
      </w:r>
      <w:r w:rsidR="000D2496">
        <w:t xml:space="preserve"> her $5,000</w:t>
      </w:r>
      <w:r w:rsidR="008E0D24">
        <w:rPr>
          <w:rStyle w:val="FootnoteReference"/>
        </w:rPr>
        <w:footnoteReference w:id="7"/>
      </w:r>
      <w:r w:rsidR="000D2496">
        <w:t xml:space="preserve"> under California Code of Civil Procedure</w:t>
      </w:r>
      <w:r w:rsidR="00B80BB8">
        <w:t xml:space="preserve"> s</w:t>
      </w:r>
      <w:r w:rsidR="000D2496">
        <w:t>ections 128.5 and 128.7</w:t>
      </w:r>
      <w:r w:rsidR="008E0D24">
        <w:t xml:space="preserve">, finding </w:t>
      </w:r>
      <w:r w:rsidR="006611EE">
        <w:t xml:space="preserve">that </w:t>
      </w:r>
      <w:r w:rsidR="008E0D24">
        <w:t xml:space="preserve">her ex </w:t>
      </w:r>
      <w:proofErr w:type="spellStart"/>
      <w:r w:rsidR="008E0D24">
        <w:t>parte</w:t>
      </w:r>
      <w:proofErr w:type="spellEnd"/>
      <w:r w:rsidR="008E0D24">
        <w:t xml:space="preserve"> motion and response to the disqualification motion </w:t>
      </w:r>
      <w:r w:rsidR="006611EE">
        <w:t xml:space="preserve">were </w:t>
      </w:r>
      <w:r w:rsidR="008E0D24">
        <w:t>frivolous</w:t>
      </w:r>
      <w:r w:rsidR="000D2496">
        <w:t>.</w:t>
      </w:r>
      <w:r w:rsidR="00FD01B5">
        <w:t xml:space="preserve">  </w:t>
      </w:r>
      <w:r w:rsidR="00B80BB8">
        <w:t>Thibault was</w:t>
      </w:r>
      <w:r w:rsidR="008E0D24">
        <w:t xml:space="preserve"> ordered to pa</w:t>
      </w:r>
      <w:r w:rsidR="00B80BB8">
        <w:t>y the sanctions</w:t>
      </w:r>
      <w:r w:rsidR="008E0D24">
        <w:t xml:space="preserve"> to </w:t>
      </w:r>
      <w:proofErr w:type="spellStart"/>
      <w:r w:rsidR="008E0D24">
        <w:t>Elter</w:t>
      </w:r>
      <w:proofErr w:type="spellEnd"/>
      <w:r w:rsidR="008E0D24">
        <w:t xml:space="preserve"> within 60 days. </w:t>
      </w:r>
    </w:p>
    <w:p w14:paraId="217A8889" w14:textId="1537328B" w:rsidR="000F35B8" w:rsidRDefault="00B80BB8" w:rsidP="00B41AA7">
      <w:pPr>
        <w:ind w:firstLine="720"/>
      </w:pPr>
      <w:r>
        <w:t xml:space="preserve">Thibault appealed the disqualification ruling and sanctions order.  </w:t>
      </w:r>
      <w:r w:rsidRPr="00452F85">
        <w:t xml:space="preserve">On </w:t>
      </w:r>
      <w:r w:rsidR="008E0D24" w:rsidRPr="00452F85">
        <w:t>September 24, 2020</w:t>
      </w:r>
      <w:r w:rsidR="008E0D24" w:rsidRPr="00415407">
        <w:t xml:space="preserve">, the Court of Appeal affirmed </w:t>
      </w:r>
      <w:r>
        <w:t>Thibault</w:t>
      </w:r>
      <w:r w:rsidR="008E0D24" w:rsidRPr="00415407">
        <w:t>’s disqualification and dismissed her appeal of the sanctions order</w:t>
      </w:r>
      <w:r>
        <w:t>.</w:t>
      </w:r>
      <w:r w:rsidR="00FD01B5">
        <w:t xml:space="preserve">  </w:t>
      </w:r>
      <w:r>
        <w:t xml:space="preserve">The Court of Appeal found the sanctions order </w:t>
      </w:r>
      <w:r w:rsidR="00862073">
        <w:t xml:space="preserve">was not appealable </w:t>
      </w:r>
      <w:r w:rsidR="0097069B">
        <w:t>pursuant to</w:t>
      </w:r>
      <w:r w:rsidR="008E0D24" w:rsidRPr="00415407">
        <w:t xml:space="preserve"> Code of Civil Procedure section 904.1, subdivision (a)(12)</w:t>
      </w:r>
      <w:r w:rsidR="00F42E09">
        <w:t>,</w:t>
      </w:r>
      <w:r w:rsidR="001D60AC">
        <w:t xml:space="preserve"> because the sanctions did not exceed </w:t>
      </w:r>
      <w:r w:rsidR="00F42E09">
        <w:t>$5,000</w:t>
      </w:r>
      <w:r w:rsidR="008E0D24" w:rsidRPr="00415407">
        <w:t>.</w:t>
      </w:r>
      <w:r w:rsidR="00FD01B5">
        <w:t xml:space="preserve">  </w:t>
      </w:r>
      <w:r w:rsidRPr="00452F85">
        <w:t>Thibault</w:t>
      </w:r>
      <w:r w:rsidR="008E0D24" w:rsidRPr="00452F85">
        <w:t xml:space="preserve"> filed a petition for rehearing, which was denied</w:t>
      </w:r>
      <w:r w:rsidR="008E0D24" w:rsidRPr="00415407">
        <w:t>.</w:t>
      </w:r>
      <w:r w:rsidR="00FD01B5">
        <w:t xml:space="preserve">  </w:t>
      </w:r>
      <w:r w:rsidR="008A2168">
        <w:t xml:space="preserve">She appealed to </w:t>
      </w:r>
      <w:r w:rsidR="0097069B">
        <w:t xml:space="preserve">the </w:t>
      </w:r>
      <w:r w:rsidR="008E0D24" w:rsidRPr="00415407">
        <w:t>Supreme Court</w:t>
      </w:r>
      <w:r w:rsidR="008A2168">
        <w:t>, which</w:t>
      </w:r>
      <w:r w:rsidR="008E0D24" w:rsidRPr="00415407">
        <w:t xml:space="preserve"> </w:t>
      </w:r>
      <w:r w:rsidR="0097069B">
        <w:t xml:space="preserve">denied review </w:t>
      </w:r>
      <w:r w:rsidR="008E0D24" w:rsidRPr="00415407">
        <w:t xml:space="preserve">on December 30, 2020. </w:t>
      </w:r>
      <w:r w:rsidR="0097069B">
        <w:t xml:space="preserve"> </w:t>
      </w:r>
    </w:p>
    <w:p w14:paraId="2F617B11" w14:textId="0D918044" w:rsidR="008E0D24" w:rsidRPr="00557B17" w:rsidRDefault="00800401" w:rsidP="00B41AA7">
      <w:pPr>
        <w:ind w:firstLine="720"/>
      </w:pPr>
      <w:proofErr w:type="spellStart"/>
      <w:r>
        <w:lastRenderedPageBreak/>
        <w:t>Elter</w:t>
      </w:r>
      <w:proofErr w:type="spellEnd"/>
      <w:r>
        <w:t xml:space="preserve"> sent Thibault several email reminders inquiring about the </w:t>
      </w:r>
      <w:proofErr w:type="gramStart"/>
      <w:r>
        <w:t>sanctions</w:t>
      </w:r>
      <w:proofErr w:type="gramEnd"/>
      <w:r>
        <w:t xml:space="preserve"> payment following the July 2018 hearing.  </w:t>
      </w:r>
      <w:r w:rsidR="000620F6">
        <w:t>Thibault</w:t>
      </w:r>
      <w:r w:rsidR="008E0D24" w:rsidRPr="00415407">
        <w:t xml:space="preserve"> did not pay the sanctions until August 18, 2021</w:t>
      </w:r>
      <w:r w:rsidR="000620F6">
        <w:t xml:space="preserve">, </w:t>
      </w:r>
      <w:r w:rsidR="008E0D24" w:rsidRPr="00415407">
        <w:t>after an OCTC investigator inquired about the status of the payment in 2019.</w:t>
      </w:r>
      <w:r w:rsidR="00FD01B5">
        <w:t xml:space="preserve">  </w:t>
      </w:r>
      <w:r w:rsidR="00217CD5">
        <w:t xml:space="preserve">Subsequently, </w:t>
      </w:r>
      <w:r w:rsidR="001F2385">
        <w:t xml:space="preserve">Thibault </w:t>
      </w:r>
      <w:r w:rsidR="0055707E">
        <w:t>filed a writ of mandate</w:t>
      </w:r>
      <w:r w:rsidR="00B53A36">
        <w:t xml:space="preserve"> regarding the sanctions order</w:t>
      </w:r>
      <w:r w:rsidR="008A1630">
        <w:t xml:space="preserve">, which was summarily denied on April </w:t>
      </w:r>
      <w:r w:rsidR="00B910FA">
        <w:t>1</w:t>
      </w:r>
      <w:r w:rsidR="008A1630">
        <w:t xml:space="preserve">2, 2022.  </w:t>
      </w:r>
      <w:r w:rsidR="00557B17">
        <w:t xml:space="preserve">She </w:t>
      </w:r>
      <w:r w:rsidR="008E0D24" w:rsidRPr="00415407">
        <w:t>report</w:t>
      </w:r>
      <w:r w:rsidR="00C9403F">
        <w:t>ed</w:t>
      </w:r>
      <w:r w:rsidR="008E0D24" w:rsidRPr="00415407">
        <w:t xml:space="preserve"> the sanctions order to the State Bar </w:t>
      </w:r>
      <w:r w:rsidR="00C9403F">
        <w:t xml:space="preserve">on </w:t>
      </w:r>
      <w:r w:rsidR="008E0D24" w:rsidRPr="00415407">
        <w:t>June 22</w:t>
      </w:r>
      <w:r w:rsidR="004B64FA">
        <w:t>, but</w:t>
      </w:r>
      <w:r w:rsidR="00FC37E0">
        <w:t xml:space="preserve"> previously</w:t>
      </w:r>
      <w:r w:rsidR="004B64FA">
        <w:t xml:space="preserve">, on </w:t>
      </w:r>
      <w:r w:rsidR="008E0D24" w:rsidRPr="00415407">
        <w:rPr>
          <w:szCs w:val="24"/>
        </w:rPr>
        <w:t xml:space="preserve">June 9, </w:t>
      </w:r>
      <w:r w:rsidR="00B80BB8">
        <w:rPr>
          <w:szCs w:val="24"/>
        </w:rPr>
        <w:t>Thibault</w:t>
      </w:r>
      <w:r w:rsidR="008E0D24" w:rsidRPr="00415407">
        <w:rPr>
          <w:szCs w:val="24"/>
        </w:rPr>
        <w:t xml:space="preserve"> filed a motion in the superior court to set aside the sanction</w:t>
      </w:r>
      <w:r w:rsidR="00A95EEC">
        <w:rPr>
          <w:szCs w:val="24"/>
        </w:rPr>
        <w:t>s</w:t>
      </w:r>
      <w:r w:rsidR="008E0D24" w:rsidRPr="00415407">
        <w:rPr>
          <w:szCs w:val="24"/>
        </w:rPr>
        <w:t xml:space="preserve"> order pursuant to Code of Civil Procedure section 473, subsection (d). </w:t>
      </w:r>
      <w:r w:rsidR="00BF38A7">
        <w:rPr>
          <w:szCs w:val="24"/>
        </w:rPr>
        <w:t xml:space="preserve"> </w:t>
      </w:r>
      <w:r w:rsidR="00B80BB8">
        <w:rPr>
          <w:szCs w:val="24"/>
        </w:rPr>
        <w:t>In her</w:t>
      </w:r>
      <w:r w:rsidR="000620F6">
        <w:rPr>
          <w:szCs w:val="24"/>
        </w:rPr>
        <w:t xml:space="preserve"> opening</w:t>
      </w:r>
      <w:r w:rsidR="00B80BB8">
        <w:rPr>
          <w:szCs w:val="24"/>
        </w:rPr>
        <w:t xml:space="preserve"> brief on review, Thibault </w:t>
      </w:r>
      <w:r w:rsidR="00862964">
        <w:rPr>
          <w:szCs w:val="24"/>
        </w:rPr>
        <w:t>claims</w:t>
      </w:r>
      <w:r w:rsidR="00B80BB8">
        <w:rPr>
          <w:szCs w:val="24"/>
        </w:rPr>
        <w:t xml:space="preserve"> that the motion to set aside the sanction</w:t>
      </w:r>
      <w:r w:rsidR="00583161">
        <w:rPr>
          <w:szCs w:val="24"/>
        </w:rPr>
        <w:t>s</w:t>
      </w:r>
      <w:r w:rsidR="00B80BB8">
        <w:rPr>
          <w:szCs w:val="24"/>
        </w:rPr>
        <w:t xml:space="preserve"> order </w:t>
      </w:r>
      <w:r w:rsidR="008E0D24" w:rsidRPr="00415407">
        <w:rPr>
          <w:szCs w:val="24"/>
        </w:rPr>
        <w:t>is still pending.</w:t>
      </w:r>
      <w:r w:rsidR="000620F6">
        <w:rPr>
          <w:szCs w:val="24"/>
        </w:rPr>
        <w:t xml:space="preserve"> </w:t>
      </w:r>
    </w:p>
    <w:p w14:paraId="19236BE0" w14:textId="429D7D4C" w:rsidR="00E425CC" w:rsidRDefault="00E425CC" w:rsidP="00E425CC">
      <w:pPr>
        <w:pStyle w:val="Heading1"/>
      </w:pPr>
      <w:r>
        <w:t>CULPABILITY</w:t>
      </w:r>
      <w:r w:rsidR="00E5025B">
        <w:rPr>
          <w:rStyle w:val="FootnoteReference"/>
        </w:rPr>
        <w:footnoteReference w:id="8"/>
      </w:r>
    </w:p>
    <w:p w14:paraId="03DB17EE" w14:textId="2C1E2120" w:rsidR="00F80BD1" w:rsidRDefault="00025CE6" w:rsidP="00F80BD1">
      <w:pPr>
        <w:pStyle w:val="Heading2"/>
      </w:pPr>
      <w:r>
        <w:t xml:space="preserve">Count Two: Former Rule 3-310(E)—Representation Adverse to Former </w:t>
      </w:r>
      <w:r w:rsidR="009174C8">
        <w:t>C</w:t>
      </w:r>
      <w:r>
        <w:t>lient</w:t>
      </w:r>
    </w:p>
    <w:p w14:paraId="388B3F96" w14:textId="598C4F07" w:rsidR="006E2732" w:rsidRDefault="006C21FC" w:rsidP="00B41AA7">
      <w:pPr>
        <w:ind w:firstLine="720"/>
      </w:pPr>
      <w:r>
        <w:t>The NDC</w:t>
      </w:r>
      <w:r w:rsidR="006B439E">
        <w:t xml:space="preserve"> </w:t>
      </w:r>
      <w:r>
        <w:t xml:space="preserve">charged </w:t>
      </w:r>
      <w:r w:rsidR="006B439E">
        <w:t xml:space="preserve">Thibault </w:t>
      </w:r>
      <w:r>
        <w:t xml:space="preserve">with willfully </w:t>
      </w:r>
      <w:r w:rsidR="006B439E">
        <w:t>violat</w:t>
      </w:r>
      <w:r>
        <w:t>ing</w:t>
      </w:r>
      <w:r w:rsidR="006B439E">
        <w:t xml:space="preserve"> former rule 3-310(E) by </w:t>
      </w:r>
      <w:r w:rsidR="008A276A">
        <w:t xml:space="preserve">agreeing to represent Prasad in </w:t>
      </w:r>
      <w:r w:rsidR="008A276A" w:rsidRPr="00B02FE4">
        <w:rPr>
          <w:i/>
          <w:iCs/>
        </w:rPr>
        <w:t>Rattan v. Prasad</w:t>
      </w:r>
      <w:r w:rsidR="008A276A">
        <w:t xml:space="preserve">, </w:t>
      </w:r>
      <w:r w:rsidR="008A276A" w:rsidRPr="000B4358">
        <w:t xml:space="preserve">without the informed written </w:t>
      </w:r>
      <w:r w:rsidR="004A0399" w:rsidRPr="000B4358">
        <w:t>consent</w:t>
      </w:r>
      <w:r w:rsidR="008A276A" w:rsidRPr="000B4358">
        <w:t xml:space="preserve"> of Rattan</w:t>
      </w:r>
      <w:r w:rsidR="008A276A">
        <w:t xml:space="preserve">, when Thibault’s former employer </w:t>
      </w:r>
      <w:proofErr w:type="spellStart"/>
      <w:r w:rsidR="008A276A" w:rsidRPr="000B4358">
        <w:t>Peshawaria</w:t>
      </w:r>
      <w:proofErr w:type="spellEnd"/>
      <w:r w:rsidR="008A276A" w:rsidRPr="000B4358">
        <w:t xml:space="preserve"> had represented Rattan in the same matter</w:t>
      </w:r>
      <w:r w:rsidR="008A276A">
        <w:t xml:space="preserve"> and Thibault </w:t>
      </w:r>
      <w:r w:rsidR="00EE312B">
        <w:t xml:space="preserve">had </w:t>
      </w:r>
      <w:r w:rsidR="008A276A" w:rsidRPr="000B4358">
        <w:t>obtained confidential information</w:t>
      </w:r>
      <w:r w:rsidR="007E1200" w:rsidRPr="000B4358">
        <w:t xml:space="preserve"> material</w:t>
      </w:r>
      <w:r w:rsidR="007E1200">
        <w:t xml:space="preserve"> to the case</w:t>
      </w:r>
      <w:r w:rsidR="008A276A">
        <w:t>.</w:t>
      </w:r>
      <w:r w:rsidR="00EB3CA3">
        <w:t xml:space="preserve">  </w:t>
      </w:r>
      <w:r w:rsidR="006E2732">
        <w:t xml:space="preserve">Former rule 3-310(E) provides that an attorney shall not, without the informed written consent of a client or former client, accept employment adverse to the client or former client where, by reason of the representation of the client or former client, the member has obtained confidential information material to the employment.  </w:t>
      </w:r>
      <w:r w:rsidR="00B6791B">
        <w:t>Thibault argues that OCTC did not sustain its burden in proving th</w:t>
      </w:r>
      <w:r w:rsidR="00E715D8">
        <w:t xml:space="preserve">e elements </w:t>
      </w:r>
      <w:r w:rsidR="00947E89">
        <w:t xml:space="preserve">on </w:t>
      </w:r>
      <w:r w:rsidR="00947E89">
        <w:lastRenderedPageBreak/>
        <w:t xml:space="preserve">this charge.  </w:t>
      </w:r>
      <w:r w:rsidR="0005249B">
        <w:t>S</w:t>
      </w:r>
      <w:r w:rsidR="00B6791B">
        <w:t>pecifically</w:t>
      </w:r>
      <w:r w:rsidR="0005249B">
        <w:t>, she</w:t>
      </w:r>
      <w:r w:rsidR="00B6791B">
        <w:t xml:space="preserve"> argues that </w:t>
      </w:r>
      <w:r w:rsidR="00965A39">
        <w:t>(1)</w:t>
      </w:r>
      <w:r w:rsidR="00B02CBC">
        <w:t xml:space="preserve"> </w:t>
      </w:r>
      <w:r w:rsidR="001D3DC3">
        <w:t>no</w:t>
      </w:r>
      <w:r w:rsidR="00B6791B">
        <w:t xml:space="preserve"> attorney-client relationship exist</w:t>
      </w:r>
      <w:r w:rsidR="001D3DC3">
        <w:t>ed</w:t>
      </w:r>
      <w:r w:rsidR="00B6791B">
        <w:t xml:space="preserve"> between </w:t>
      </w:r>
      <w:proofErr w:type="spellStart"/>
      <w:r w:rsidR="00B6791B">
        <w:t>Peshawaria</w:t>
      </w:r>
      <w:proofErr w:type="spellEnd"/>
      <w:r w:rsidR="00B6791B">
        <w:t xml:space="preserve"> and Rattan</w:t>
      </w:r>
      <w:r w:rsidR="00753A70">
        <w:t>;</w:t>
      </w:r>
      <w:r w:rsidR="008443EA">
        <w:rPr>
          <w:rStyle w:val="FootnoteReference"/>
        </w:rPr>
        <w:footnoteReference w:id="9"/>
      </w:r>
      <w:r w:rsidR="00753A70">
        <w:t xml:space="preserve"> (2) </w:t>
      </w:r>
      <w:r w:rsidR="00D40A66">
        <w:t xml:space="preserve">the </w:t>
      </w:r>
      <w:r w:rsidR="00F81AF5">
        <w:t xml:space="preserve">information Thibault gained was not </w:t>
      </w:r>
      <w:r w:rsidR="00AB029B">
        <w:t>“‘</w:t>
      </w:r>
      <w:r w:rsidR="00D40A66">
        <w:t>by reason</w:t>
      </w:r>
      <w:r w:rsidR="00AB029B">
        <w:t>’</w:t>
      </w:r>
      <w:r w:rsidR="00D714C7">
        <w:t xml:space="preserve"> of her representation of Ratt</w:t>
      </w:r>
      <w:r w:rsidR="001F6479">
        <w:t>a</w:t>
      </w:r>
      <w:r w:rsidR="00D714C7">
        <w:t>n</w:t>
      </w:r>
      <w:r w:rsidR="000E6CB0">
        <w:t>;</w:t>
      </w:r>
      <w:r w:rsidR="001F6479">
        <w:t xml:space="preserve">” and </w:t>
      </w:r>
      <w:r w:rsidR="00453FF7">
        <w:t xml:space="preserve">(3) </w:t>
      </w:r>
      <w:r w:rsidR="001F6479">
        <w:t xml:space="preserve">the information was not </w:t>
      </w:r>
      <w:r w:rsidR="00F81AF5">
        <w:t>material</w:t>
      </w:r>
      <w:r w:rsidR="00215C87">
        <w:t xml:space="preserve"> to her re</w:t>
      </w:r>
      <w:r w:rsidR="00F81AF5">
        <w:t xml:space="preserve">presentation of Prasad.  </w:t>
      </w:r>
      <w:r w:rsidR="005753E8">
        <w:t>Upon our independent review, w</w:t>
      </w:r>
      <w:r w:rsidR="00F81AF5">
        <w:t>e</w:t>
      </w:r>
      <w:r w:rsidR="00552CCB">
        <w:t xml:space="preserve"> reject Thibault’s arguments a</w:t>
      </w:r>
      <w:r w:rsidR="00D1509F">
        <w:t xml:space="preserve">nd find the record supports Thibault’s culpability </w:t>
      </w:r>
      <w:r w:rsidR="00142F98">
        <w:t xml:space="preserve">under count two </w:t>
      </w:r>
      <w:r w:rsidR="00D1509F">
        <w:t xml:space="preserve">by </w:t>
      </w:r>
      <w:r w:rsidR="001D6287">
        <w:t>clear and convincing evidence.</w:t>
      </w:r>
      <w:r w:rsidR="001D6287">
        <w:rPr>
          <w:rStyle w:val="FootnoteReference"/>
        </w:rPr>
        <w:footnoteReference w:id="10"/>
      </w:r>
      <w:r w:rsidR="001D6287">
        <w:t xml:space="preserve">  </w:t>
      </w:r>
    </w:p>
    <w:p w14:paraId="71202F7D" w14:textId="3440FD6F" w:rsidR="00552CCB" w:rsidRDefault="00244C83" w:rsidP="00B41AA7">
      <w:pPr>
        <w:ind w:firstLine="720"/>
      </w:pPr>
      <w:r>
        <w:t xml:space="preserve">Regarding Thibault’s first argument, </w:t>
      </w:r>
      <w:r w:rsidR="00652457">
        <w:t>t</w:t>
      </w:r>
      <w:r w:rsidR="00552CCB">
        <w:t>he hearing judge relied on the findings of the superior court</w:t>
      </w:r>
      <w:r w:rsidR="00F86EBB">
        <w:t xml:space="preserve">, discussed </w:t>
      </w:r>
      <w:r w:rsidR="00F86EBB">
        <w:rPr>
          <w:i/>
          <w:iCs/>
        </w:rPr>
        <w:t>ante</w:t>
      </w:r>
      <w:r w:rsidR="00F86EBB">
        <w:t>,</w:t>
      </w:r>
      <w:r w:rsidR="00552CCB">
        <w:t xml:space="preserve"> </w:t>
      </w:r>
      <w:r w:rsidR="00647FAA">
        <w:t xml:space="preserve">to </w:t>
      </w:r>
      <w:r w:rsidR="003D0606" w:rsidRPr="004B7770">
        <w:t>determin</w:t>
      </w:r>
      <w:r w:rsidR="00647FAA">
        <w:t>e</w:t>
      </w:r>
      <w:r w:rsidR="003D0606" w:rsidRPr="004B7770">
        <w:t xml:space="preserve"> </w:t>
      </w:r>
      <w:r w:rsidR="003D0606">
        <w:t xml:space="preserve">that Rattan believed she formed an attorney-client relationship with </w:t>
      </w:r>
      <w:proofErr w:type="spellStart"/>
      <w:r w:rsidR="003D0606">
        <w:t>Peshawaria</w:t>
      </w:r>
      <w:proofErr w:type="spellEnd"/>
      <w:r w:rsidR="003D0606">
        <w:t xml:space="preserve"> when she consulted with her regarding her marriage dissolution matter </w:t>
      </w:r>
      <w:r w:rsidR="003A31A2">
        <w:t>in 20</w:t>
      </w:r>
      <w:r w:rsidR="003A7B6D">
        <w:t>0</w:t>
      </w:r>
      <w:r w:rsidR="003A31A2">
        <w:t>8</w:t>
      </w:r>
      <w:r w:rsidR="00CC2731">
        <w:t xml:space="preserve">.  </w:t>
      </w:r>
      <w:r w:rsidR="000E55E8">
        <w:t>We agree with th</w:t>
      </w:r>
      <w:r w:rsidR="00DE13DE">
        <w:t xml:space="preserve">e judge’s </w:t>
      </w:r>
      <w:r w:rsidR="00997E7D">
        <w:t>reliance o</w:t>
      </w:r>
      <w:r w:rsidR="00FD127B">
        <w:t>n</w:t>
      </w:r>
      <w:r w:rsidR="00997E7D">
        <w:t xml:space="preserve"> the superior court’s findings</w:t>
      </w:r>
      <w:r w:rsidR="00B72AAC">
        <w:t xml:space="preserve"> and </w:t>
      </w:r>
      <w:r w:rsidR="00640510">
        <w:t>t</w:t>
      </w:r>
      <w:r w:rsidR="00CC2731">
        <w:t>he Court of Appeal</w:t>
      </w:r>
      <w:r w:rsidR="00640510">
        <w:t xml:space="preserve">’s opinion </w:t>
      </w:r>
      <w:r w:rsidR="00D97679">
        <w:t>on this point</w:t>
      </w:r>
      <w:r w:rsidR="00640510">
        <w:t>:</w:t>
      </w:r>
      <w:r w:rsidR="00D46AD3">
        <w:rPr>
          <w:rStyle w:val="FootnoteReference"/>
        </w:rPr>
        <w:footnoteReference w:id="11"/>
      </w:r>
      <w:r w:rsidR="00CC2731">
        <w:t xml:space="preserve"> </w:t>
      </w:r>
    </w:p>
    <w:p w14:paraId="275618A3" w14:textId="3DC3BCCD" w:rsidR="00D1509F" w:rsidRDefault="00D1509F" w:rsidP="00D1509F">
      <w:pPr>
        <w:pStyle w:val="Quote"/>
      </w:pPr>
      <w:r>
        <w:t xml:space="preserve">Thibault’s more substantive argument that no vicarious conflict of interest could arise from </w:t>
      </w:r>
      <w:proofErr w:type="spellStart"/>
      <w:r>
        <w:t>Peshawaria’s</w:t>
      </w:r>
      <w:proofErr w:type="spellEnd"/>
      <w:r>
        <w:t xml:space="preserve"> representation of Rattan because </w:t>
      </w:r>
      <w:proofErr w:type="spellStart"/>
      <w:r>
        <w:t>Peshawaria</w:t>
      </w:r>
      <w:proofErr w:type="spellEnd"/>
      <w:r>
        <w:t xml:space="preserve"> was not an attorney in 2018 is also meritless.  Whether or not she was duly licensed to practice law, </w:t>
      </w:r>
      <w:proofErr w:type="spellStart"/>
      <w:r>
        <w:t>Pesh</w:t>
      </w:r>
      <w:r w:rsidR="00760D65">
        <w:t>a</w:t>
      </w:r>
      <w:r>
        <w:t>waria</w:t>
      </w:r>
      <w:proofErr w:type="spellEnd"/>
      <w:r>
        <w:t xml:space="preserve"> held herself out as an attorney and Rattan reasonably believed her to be so.</w:t>
      </w:r>
      <w:r w:rsidR="00911870">
        <w:rPr>
          <w:rStyle w:val="FootnoteReference"/>
        </w:rPr>
        <w:footnoteReference w:id="12"/>
      </w:r>
      <w:r>
        <w:t xml:space="preserve"> </w:t>
      </w:r>
    </w:p>
    <w:p w14:paraId="15665A0B" w14:textId="46F97220" w:rsidR="00EB714D" w:rsidRDefault="00753FA6" w:rsidP="00B41AA7">
      <w:pPr>
        <w:ind w:firstLine="720"/>
        <w:rPr>
          <w:szCs w:val="24"/>
        </w:rPr>
      </w:pPr>
      <w:r>
        <w:rPr>
          <w:szCs w:val="24"/>
        </w:rPr>
        <w:t xml:space="preserve">Additionally, the record clearly establishes that </w:t>
      </w:r>
      <w:proofErr w:type="spellStart"/>
      <w:r>
        <w:rPr>
          <w:szCs w:val="24"/>
        </w:rPr>
        <w:t>Peshawaria</w:t>
      </w:r>
      <w:proofErr w:type="spellEnd"/>
      <w:r>
        <w:rPr>
          <w:szCs w:val="24"/>
        </w:rPr>
        <w:t xml:space="preserve"> and Rattan had an implied attorney-client relationship in 2008.  </w:t>
      </w:r>
      <w:r w:rsidRPr="005753E8">
        <w:rPr>
          <w:szCs w:val="24"/>
        </w:rPr>
        <w:t>(</w:t>
      </w:r>
      <w:r>
        <w:t xml:space="preserve">See </w:t>
      </w:r>
      <w:r w:rsidRPr="00206B5A">
        <w:rPr>
          <w:i/>
          <w:iCs/>
        </w:rPr>
        <w:t>Lister v. State Bar</w:t>
      </w:r>
      <w:r w:rsidRPr="00206B5A">
        <w:t> (1990) 51</w:t>
      </w:r>
      <w:r>
        <w:t> </w:t>
      </w:r>
      <w:r w:rsidRPr="00206B5A">
        <w:t>Cal.3d 1117, 1126</w:t>
      </w:r>
      <w:r>
        <w:t xml:space="preserve"> </w:t>
      </w:r>
      <w:r>
        <w:lastRenderedPageBreak/>
        <w:t>[attorney-client relationship can arise by inference from conduct of parties].)</w:t>
      </w:r>
      <w:r w:rsidRPr="005753E8">
        <w:rPr>
          <w:rFonts w:ascii="Arial" w:hAnsi="Arial" w:cs="Arial"/>
          <w:color w:val="212121"/>
          <w:sz w:val="21"/>
          <w:szCs w:val="21"/>
        </w:rPr>
        <w:t xml:space="preserve"> </w:t>
      </w:r>
      <w:r>
        <w:rPr>
          <w:rFonts w:ascii="Arial" w:hAnsi="Arial" w:cs="Arial"/>
          <w:color w:val="212121"/>
          <w:sz w:val="21"/>
          <w:szCs w:val="21"/>
        </w:rPr>
        <w:t xml:space="preserve"> </w:t>
      </w:r>
      <w:r>
        <w:rPr>
          <w:color w:val="212121"/>
          <w:szCs w:val="24"/>
        </w:rPr>
        <w:t xml:space="preserve">After their initial consultation, Rattan testified that </w:t>
      </w:r>
      <w:proofErr w:type="spellStart"/>
      <w:r>
        <w:rPr>
          <w:color w:val="212121"/>
          <w:szCs w:val="24"/>
        </w:rPr>
        <w:t>Peshawaria</w:t>
      </w:r>
      <w:proofErr w:type="spellEnd"/>
      <w:r>
        <w:rPr>
          <w:color w:val="212121"/>
          <w:szCs w:val="24"/>
        </w:rPr>
        <w:t xml:space="preserve"> presented her with a retainer agreement, and she paid the retainer fee.</w:t>
      </w:r>
      <w:r>
        <w:rPr>
          <w:rStyle w:val="FootnoteReference"/>
          <w:color w:val="212121"/>
          <w:szCs w:val="24"/>
        </w:rPr>
        <w:footnoteReference w:id="13"/>
      </w:r>
      <w:r>
        <w:rPr>
          <w:color w:val="212121"/>
          <w:szCs w:val="24"/>
        </w:rPr>
        <w:t xml:space="preserve">  Also, </w:t>
      </w:r>
      <w:r w:rsidR="007524B5">
        <w:rPr>
          <w:color w:val="212121"/>
          <w:szCs w:val="24"/>
        </w:rPr>
        <w:t xml:space="preserve">both </w:t>
      </w:r>
      <w:r>
        <w:rPr>
          <w:color w:val="212121"/>
          <w:szCs w:val="24"/>
        </w:rPr>
        <w:t>t</w:t>
      </w:r>
      <w:r>
        <w:rPr>
          <w:szCs w:val="24"/>
        </w:rPr>
        <w:t xml:space="preserve">he documentary evidence and </w:t>
      </w:r>
      <w:r w:rsidR="00A97280">
        <w:rPr>
          <w:szCs w:val="24"/>
        </w:rPr>
        <w:t xml:space="preserve">Rattan’s </w:t>
      </w:r>
      <w:r>
        <w:rPr>
          <w:szCs w:val="24"/>
        </w:rPr>
        <w:t xml:space="preserve">testimony reveal </w:t>
      </w:r>
      <w:proofErr w:type="spellStart"/>
      <w:r>
        <w:rPr>
          <w:szCs w:val="24"/>
        </w:rPr>
        <w:t>Peshawaria</w:t>
      </w:r>
      <w:proofErr w:type="spellEnd"/>
      <w:r>
        <w:rPr>
          <w:szCs w:val="24"/>
        </w:rPr>
        <w:t xml:space="preserve"> held herself out as a California attorney by advertising herself as “Founder and Attorney” of “Anu Attorney Law Group” in Fremont, California, and stating that her firm specialized in immigration, family, and business law.  The hearing judge determined Rattan testified credibly that she relied on </w:t>
      </w:r>
      <w:proofErr w:type="spellStart"/>
      <w:r>
        <w:rPr>
          <w:szCs w:val="24"/>
        </w:rPr>
        <w:t>Peshawaria’s</w:t>
      </w:r>
      <w:proofErr w:type="spellEnd"/>
      <w:r>
        <w:rPr>
          <w:szCs w:val="24"/>
        </w:rPr>
        <w:t xml:space="preserve"> advertisement when seeking to secure her attorney services to represent her in the marriage dissolution matter.  We affirm the judge’s conclusions regarding Rattan’s credibility.  </w:t>
      </w:r>
      <w:r w:rsidRPr="006E31EF">
        <w:rPr>
          <w:szCs w:val="24"/>
        </w:rPr>
        <w:t>(</w:t>
      </w:r>
      <w:r>
        <w:rPr>
          <w:szCs w:val="24"/>
        </w:rPr>
        <w:t>See r</w:t>
      </w:r>
      <w:r w:rsidRPr="006E31EF">
        <w:rPr>
          <w:szCs w:val="24"/>
        </w:rPr>
        <w:t xml:space="preserve">ule 5.155(A) [great weight given to hearing judge’s factual findings]; see </w:t>
      </w:r>
      <w:r w:rsidRPr="00161290">
        <w:rPr>
          <w:i/>
          <w:iCs/>
          <w:szCs w:val="24"/>
        </w:rPr>
        <w:t>McKnight v. State Bar</w:t>
      </w:r>
      <w:r w:rsidRPr="00161290">
        <w:rPr>
          <w:szCs w:val="24"/>
        </w:rPr>
        <w:t xml:space="preserve"> (1991) 53 Cal.3d 1025, 1032 [hearing judge best suited to resolve credibility questions “because [</w:t>
      </w:r>
      <w:r w:rsidR="00D47B62">
        <w:rPr>
          <w:szCs w:val="24"/>
        </w:rPr>
        <w:t>that judge</w:t>
      </w:r>
      <w:r w:rsidRPr="00161290">
        <w:rPr>
          <w:szCs w:val="24"/>
        </w:rPr>
        <w:t>] alone is able to observe the witnesses’ demeanor and evaluate their veracity firsthand”].) </w:t>
      </w:r>
    </w:p>
    <w:p w14:paraId="48B27EB6" w14:textId="3E411768" w:rsidR="00FA4E43" w:rsidRDefault="00FA4E43" w:rsidP="00B41AA7">
      <w:pPr>
        <w:ind w:firstLine="720"/>
        <w:rPr>
          <w:szCs w:val="24"/>
        </w:rPr>
      </w:pPr>
      <w:r w:rsidRPr="00512585">
        <w:rPr>
          <w:szCs w:val="24"/>
        </w:rPr>
        <w:t xml:space="preserve">The record demonstrates </w:t>
      </w:r>
      <w:proofErr w:type="spellStart"/>
      <w:r w:rsidRPr="00512585">
        <w:rPr>
          <w:szCs w:val="24"/>
        </w:rPr>
        <w:t>Peshawaria</w:t>
      </w:r>
      <w:proofErr w:type="spellEnd"/>
      <w:r w:rsidRPr="00512585">
        <w:rPr>
          <w:szCs w:val="24"/>
        </w:rPr>
        <w:t xml:space="preserve"> held herself out as entitled to practice law through her various actions, as discussed in detail </w:t>
      </w:r>
      <w:r w:rsidRPr="00512585">
        <w:rPr>
          <w:i/>
          <w:iCs/>
          <w:szCs w:val="24"/>
        </w:rPr>
        <w:t>ante</w:t>
      </w:r>
      <w:r w:rsidRPr="00512585">
        <w:rPr>
          <w:szCs w:val="24"/>
        </w:rPr>
        <w:t xml:space="preserve">.  As a result of </w:t>
      </w:r>
      <w:proofErr w:type="spellStart"/>
      <w:r w:rsidRPr="00512585">
        <w:rPr>
          <w:szCs w:val="24"/>
        </w:rPr>
        <w:t>Peshawaria’s</w:t>
      </w:r>
      <w:proofErr w:type="spellEnd"/>
      <w:r w:rsidRPr="00512585">
        <w:rPr>
          <w:szCs w:val="24"/>
        </w:rPr>
        <w:t xml:space="preserve"> actions, Rattan sought her legal services.  In fact, </w:t>
      </w:r>
      <w:r w:rsidRPr="00512585">
        <w:rPr>
          <w:rFonts w:eastAsia="Times New Roman"/>
          <w:szCs w:val="24"/>
        </w:rPr>
        <w:t xml:space="preserve">Rattan testified that </w:t>
      </w:r>
      <w:proofErr w:type="spellStart"/>
      <w:r w:rsidRPr="00512585">
        <w:rPr>
          <w:rFonts w:eastAsia="Times New Roman"/>
          <w:szCs w:val="24"/>
        </w:rPr>
        <w:t>Peshawaria</w:t>
      </w:r>
      <w:proofErr w:type="spellEnd"/>
      <w:r w:rsidRPr="00512585">
        <w:rPr>
          <w:rFonts w:eastAsia="Times New Roman"/>
          <w:szCs w:val="24"/>
        </w:rPr>
        <w:t xml:space="preserve"> advertised herself as an attorney in magazines such as “</w:t>
      </w:r>
      <w:bookmarkStart w:id="7" w:name="_Hlk148014258"/>
      <w:r w:rsidRPr="00512585">
        <w:rPr>
          <w:rFonts w:eastAsia="Times New Roman"/>
          <w:szCs w:val="24"/>
        </w:rPr>
        <w:t>India Currents</w:t>
      </w:r>
      <w:bookmarkEnd w:id="7"/>
      <w:r w:rsidRPr="00512585">
        <w:rPr>
          <w:rFonts w:eastAsia="Times New Roman"/>
          <w:szCs w:val="24"/>
        </w:rPr>
        <w:t xml:space="preserve">” and stated that she believed </w:t>
      </w:r>
      <w:proofErr w:type="spellStart"/>
      <w:r w:rsidRPr="00512585">
        <w:rPr>
          <w:rFonts w:eastAsia="Times New Roman"/>
          <w:szCs w:val="24"/>
        </w:rPr>
        <w:t>Peshawaria</w:t>
      </w:r>
      <w:proofErr w:type="spellEnd"/>
      <w:r w:rsidRPr="00512585">
        <w:rPr>
          <w:rFonts w:eastAsia="Times New Roman"/>
          <w:szCs w:val="24"/>
        </w:rPr>
        <w:t xml:space="preserve"> was “licensed in India as well as in America.”  After retaining </w:t>
      </w:r>
      <w:proofErr w:type="spellStart"/>
      <w:r w:rsidRPr="00512585">
        <w:rPr>
          <w:rFonts w:eastAsia="Times New Roman"/>
          <w:szCs w:val="24"/>
        </w:rPr>
        <w:t>Peshawaria</w:t>
      </w:r>
      <w:proofErr w:type="spellEnd"/>
      <w:r w:rsidRPr="00512585">
        <w:rPr>
          <w:rFonts w:eastAsia="Times New Roman"/>
          <w:szCs w:val="24"/>
        </w:rPr>
        <w:t xml:space="preserve">, </w:t>
      </w:r>
      <w:r w:rsidRPr="006F5F4F">
        <w:rPr>
          <w:szCs w:val="24"/>
        </w:rPr>
        <w:t xml:space="preserve">Rattan reasonably believed </w:t>
      </w:r>
      <w:proofErr w:type="spellStart"/>
      <w:r w:rsidRPr="006F5F4F">
        <w:rPr>
          <w:szCs w:val="24"/>
        </w:rPr>
        <w:t>Peshawaria</w:t>
      </w:r>
      <w:proofErr w:type="spellEnd"/>
      <w:r w:rsidRPr="006F5F4F">
        <w:rPr>
          <w:szCs w:val="24"/>
        </w:rPr>
        <w:t xml:space="preserve"> was her attorney and she </w:t>
      </w:r>
      <w:r w:rsidR="00874688">
        <w:rPr>
          <w:szCs w:val="24"/>
        </w:rPr>
        <w:t xml:space="preserve">acted </w:t>
      </w:r>
      <w:r w:rsidRPr="006F5F4F">
        <w:rPr>
          <w:szCs w:val="24"/>
        </w:rPr>
        <w:t xml:space="preserve">on that belief by providing a confidential written narrative to </w:t>
      </w:r>
      <w:proofErr w:type="spellStart"/>
      <w:r w:rsidRPr="006F5F4F">
        <w:rPr>
          <w:szCs w:val="24"/>
        </w:rPr>
        <w:t>Peshawaria</w:t>
      </w:r>
      <w:proofErr w:type="spellEnd"/>
      <w:r w:rsidR="00217F6F">
        <w:rPr>
          <w:szCs w:val="24"/>
        </w:rPr>
        <w:t>, which</w:t>
      </w:r>
      <w:r w:rsidRPr="006F5F4F">
        <w:rPr>
          <w:szCs w:val="24"/>
        </w:rPr>
        <w:t xml:space="preserve"> contain</w:t>
      </w:r>
      <w:r w:rsidR="00217F6F">
        <w:rPr>
          <w:szCs w:val="24"/>
        </w:rPr>
        <w:t>ed</w:t>
      </w:r>
      <w:r w:rsidRPr="006F5F4F">
        <w:rPr>
          <w:szCs w:val="24"/>
        </w:rPr>
        <w:t xml:space="preserve"> specific details concerning her marriage with Prasad.  </w:t>
      </w:r>
      <w:r w:rsidRPr="00217F6F">
        <w:rPr>
          <w:szCs w:val="24"/>
        </w:rPr>
        <w:t xml:space="preserve">Rattan even stated </w:t>
      </w:r>
      <w:r w:rsidR="00121B89" w:rsidRPr="00217F6F">
        <w:rPr>
          <w:szCs w:val="24"/>
        </w:rPr>
        <w:t xml:space="preserve">that </w:t>
      </w:r>
      <w:proofErr w:type="spellStart"/>
      <w:r w:rsidRPr="00217F6F">
        <w:rPr>
          <w:szCs w:val="24"/>
        </w:rPr>
        <w:t>Peshawaria</w:t>
      </w:r>
      <w:proofErr w:type="spellEnd"/>
      <w:r w:rsidRPr="00217F6F">
        <w:rPr>
          <w:szCs w:val="24"/>
        </w:rPr>
        <w:t xml:space="preserve"> requested a copy of the court filings in the pending </w:t>
      </w:r>
      <w:r w:rsidRPr="00217F6F">
        <w:rPr>
          <w:szCs w:val="24"/>
        </w:rPr>
        <w:lastRenderedPageBreak/>
        <w:t>marital dissolution matter in addition to all paperwork related to the divorce, custody</w:t>
      </w:r>
      <w:r w:rsidR="00284BB1" w:rsidRPr="00217F6F">
        <w:rPr>
          <w:szCs w:val="24"/>
        </w:rPr>
        <w:t>,</w:t>
      </w:r>
      <w:r w:rsidRPr="00217F6F">
        <w:rPr>
          <w:szCs w:val="24"/>
        </w:rPr>
        <w:t xml:space="preserve"> and marital property.  </w:t>
      </w:r>
      <w:r w:rsidR="00F76714" w:rsidRPr="00217F6F">
        <w:rPr>
          <w:rFonts w:eastAsia="Times New Roman"/>
          <w:szCs w:val="24"/>
        </w:rPr>
        <w:t>As we have demonstrated</w:t>
      </w:r>
      <w:r w:rsidRPr="00217F6F">
        <w:rPr>
          <w:rFonts w:eastAsia="Times New Roman"/>
          <w:szCs w:val="24"/>
        </w:rPr>
        <w:t xml:space="preserve">, California law </w:t>
      </w:r>
      <w:r w:rsidR="00F76714" w:rsidRPr="00217F6F">
        <w:rPr>
          <w:rFonts w:eastAsia="Times New Roman"/>
          <w:szCs w:val="24"/>
        </w:rPr>
        <w:t xml:space="preserve">clearly </w:t>
      </w:r>
      <w:r w:rsidRPr="00217F6F">
        <w:rPr>
          <w:rFonts w:eastAsia="Times New Roman"/>
          <w:szCs w:val="24"/>
        </w:rPr>
        <w:t xml:space="preserve">extends the definition of “lawyer” to encompass those who </w:t>
      </w:r>
      <w:r w:rsidR="006E743C" w:rsidRPr="00217F6F">
        <w:rPr>
          <w:rFonts w:eastAsia="Times New Roman"/>
          <w:szCs w:val="24"/>
        </w:rPr>
        <w:t>another person</w:t>
      </w:r>
      <w:r w:rsidRPr="00217F6F">
        <w:rPr>
          <w:rFonts w:eastAsia="Times New Roman"/>
          <w:szCs w:val="24"/>
        </w:rPr>
        <w:t xml:space="preserve"> reasonably believe</w:t>
      </w:r>
      <w:r w:rsidR="002D42B0" w:rsidRPr="00217F6F">
        <w:rPr>
          <w:rFonts w:eastAsia="Times New Roman"/>
          <w:szCs w:val="24"/>
        </w:rPr>
        <w:t>s</w:t>
      </w:r>
      <w:r w:rsidRPr="00217F6F">
        <w:rPr>
          <w:rFonts w:eastAsia="Times New Roman"/>
          <w:szCs w:val="24"/>
        </w:rPr>
        <w:t xml:space="preserve"> to be authorized to practice law.</w:t>
      </w:r>
      <w:r w:rsidR="00DD10A8" w:rsidRPr="00725DEB">
        <w:rPr>
          <w:rStyle w:val="FootnoteReference"/>
          <w:rFonts w:eastAsia="Times New Roman"/>
          <w:szCs w:val="24"/>
        </w:rPr>
        <w:footnoteReference w:id="14"/>
      </w:r>
      <w:r w:rsidRPr="00725DEB">
        <w:rPr>
          <w:rFonts w:eastAsia="Times New Roman"/>
          <w:szCs w:val="24"/>
        </w:rPr>
        <w:t xml:space="preserve">  </w:t>
      </w:r>
      <w:r w:rsidRPr="00E96EBB">
        <w:rPr>
          <w:szCs w:val="24"/>
        </w:rPr>
        <w:t xml:space="preserve">Therefore, we reject </w:t>
      </w:r>
      <w:r w:rsidR="00864355">
        <w:rPr>
          <w:szCs w:val="24"/>
        </w:rPr>
        <w:t>any</w:t>
      </w:r>
      <w:r w:rsidRPr="00E96EBB">
        <w:rPr>
          <w:szCs w:val="24"/>
        </w:rPr>
        <w:t xml:space="preserve"> contention that </w:t>
      </w:r>
      <w:proofErr w:type="spellStart"/>
      <w:r w:rsidRPr="00E96EBB">
        <w:rPr>
          <w:szCs w:val="24"/>
        </w:rPr>
        <w:t>Peshawaria</w:t>
      </w:r>
      <w:proofErr w:type="spellEnd"/>
      <w:r w:rsidRPr="00E96EBB">
        <w:rPr>
          <w:szCs w:val="24"/>
        </w:rPr>
        <w:t xml:space="preserve"> did not have an </w:t>
      </w:r>
      <w:r w:rsidR="009A3C1E" w:rsidRPr="00E96EBB">
        <w:rPr>
          <w:szCs w:val="24"/>
        </w:rPr>
        <w:t xml:space="preserve">implied </w:t>
      </w:r>
      <w:r w:rsidRPr="00E96EBB">
        <w:rPr>
          <w:szCs w:val="24"/>
        </w:rPr>
        <w:t>attorney-client relationship with Rattan</w:t>
      </w:r>
      <w:r>
        <w:rPr>
          <w:szCs w:val="24"/>
        </w:rPr>
        <w:t>.</w:t>
      </w:r>
      <w:r w:rsidR="005458C9">
        <w:rPr>
          <w:rStyle w:val="FootnoteReference"/>
          <w:szCs w:val="24"/>
        </w:rPr>
        <w:footnoteReference w:id="15"/>
      </w:r>
    </w:p>
    <w:p w14:paraId="149CE200" w14:textId="0C76B585" w:rsidR="001A5B6E" w:rsidRDefault="00D74438" w:rsidP="00B41AA7">
      <w:pPr>
        <w:ind w:firstLine="720"/>
      </w:pPr>
      <w:r>
        <w:rPr>
          <w:szCs w:val="24"/>
        </w:rPr>
        <w:t xml:space="preserve">Thibault’s main argument against </w:t>
      </w:r>
      <w:proofErr w:type="spellStart"/>
      <w:r w:rsidR="00DC5C1D">
        <w:rPr>
          <w:szCs w:val="24"/>
        </w:rPr>
        <w:t>Peshawaria</w:t>
      </w:r>
      <w:proofErr w:type="spellEnd"/>
      <w:r w:rsidR="00DC5C1D">
        <w:rPr>
          <w:szCs w:val="24"/>
        </w:rPr>
        <w:t xml:space="preserve"> </w:t>
      </w:r>
      <w:r w:rsidR="00A96B60">
        <w:rPr>
          <w:szCs w:val="24"/>
        </w:rPr>
        <w:t>having had</w:t>
      </w:r>
      <w:r w:rsidR="00DC5C1D">
        <w:rPr>
          <w:szCs w:val="24"/>
        </w:rPr>
        <w:t xml:space="preserve"> an attorney-client relationship with Rattan </w:t>
      </w:r>
      <w:r w:rsidR="008F4939">
        <w:rPr>
          <w:szCs w:val="24"/>
        </w:rPr>
        <w:t xml:space="preserve">is that </w:t>
      </w:r>
      <w:proofErr w:type="spellStart"/>
      <w:r w:rsidR="008F4939">
        <w:rPr>
          <w:szCs w:val="24"/>
        </w:rPr>
        <w:t>Peshawaria</w:t>
      </w:r>
      <w:proofErr w:type="spellEnd"/>
      <w:r w:rsidR="008F4939">
        <w:rPr>
          <w:szCs w:val="24"/>
        </w:rPr>
        <w:t xml:space="preserve"> </w:t>
      </w:r>
      <w:r w:rsidR="00F24BD5">
        <w:rPr>
          <w:szCs w:val="24"/>
        </w:rPr>
        <w:t>was not licensed as an attorney in California</w:t>
      </w:r>
      <w:r w:rsidR="00806E0A">
        <w:rPr>
          <w:szCs w:val="24"/>
        </w:rPr>
        <w:t xml:space="preserve">, which she argues is a necessary precondition to </w:t>
      </w:r>
      <w:r w:rsidR="00AE26EF">
        <w:rPr>
          <w:szCs w:val="24"/>
        </w:rPr>
        <w:t>finding culpability under rule 3-310(E).</w:t>
      </w:r>
      <w:r w:rsidR="00420834">
        <w:rPr>
          <w:szCs w:val="24"/>
        </w:rPr>
        <w:t xml:space="preserve">  </w:t>
      </w:r>
      <w:r w:rsidR="00420834">
        <w:t xml:space="preserve">She argues two cases support her assertion: </w:t>
      </w:r>
      <w:r w:rsidR="00420834">
        <w:rPr>
          <w:i/>
          <w:iCs/>
        </w:rPr>
        <w:t xml:space="preserve">O’Gara Coach Company, LLC v. Joseph Ra </w:t>
      </w:r>
      <w:r w:rsidR="00420834">
        <w:t>(2019) 30 Cal.App.5</w:t>
      </w:r>
      <w:r w:rsidR="00AB2753">
        <w:t>th</w:t>
      </w:r>
      <w:r w:rsidR="00420834">
        <w:t xml:space="preserve"> </w:t>
      </w:r>
      <w:r w:rsidR="003140C1">
        <w:t>1</w:t>
      </w:r>
      <w:r w:rsidR="00420834">
        <w:t xml:space="preserve">115 and </w:t>
      </w:r>
      <w:r w:rsidR="00420834">
        <w:rPr>
          <w:i/>
          <w:iCs/>
        </w:rPr>
        <w:t xml:space="preserve">Allen v. Academic Games Leagues of America, Inc. </w:t>
      </w:r>
      <w:r w:rsidR="00420834">
        <w:t>(C.D. Cal. 1993) 831 F. Supp. 785.</w:t>
      </w:r>
      <w:r w:rsidR="00AE26EF">
        <w:rPr>
          <w:szCs w:val="24"/>
        </w:rPr>
        <w:t xml:space="preserve">  </w:t>
      </w:r>
      <w:r w:rsidR="00E34B02">
        <w:rPr>
          <w:szCs w:val="24"/>
        </w:rPr>
        <w:t xml:space="preserve">We reject Thibault’s </w:t>
      </w:r>
      <w:r w:rsidR="009E194B">
        <w:rPr>
          <w:szCs w:val="24"/>
        </w:rPr>
        <w:t>argument</w:t>
      </w:r>
      <w:r w:rsidR="00DE7347">
        <w:rPr>
          <w:szCs w:val="24"/>
        </w:rPr>
        <w:t xml:space="preserve"> </w:t>
      </w:r>
      <w:r w:rsidR="00470DF6">
        <w:rPr>
          <w:szCs w:val="24"/>
        </w:rPr>
        <w:t xml:space="preserve">that these cases apply </w:t>
      </w:r>
      <w:r w:rsidR="00841950">
        <w:rPr>
          <w:szCs w:val="24"/>
        </w:rPr>
        <w:t>here</w:t>
      </w:r>
      <w:r w:rsidR="00407386">
        <w:rPr>
          <w:szCs w:val="24"/>
        </w:rPr>
        <w:t xml:space="preserve"> and </w:t>
      </w:r>
      <w:r w:rsidR="000D386E">
        <w:t>note that</w:t>
      </w:r>
      <w:r w:rsidR="00C03397">
        <w:t>,</w:t>
      </w:r>
      <w:r w:rsidR="000D386E">
        <w:t xml:space="preserve"> although </w:t>
      </w:r>
      <w:r w:rsidR="000D386E" w:rsidRPr="00E5569A">
        <w:rPr>
          <w:i/>
          <w:iCs/>
        </w:rPr>
        <w:t xml:space="preserve">O’Gara </w:t>
      </w:r>
      <w:r w:rsidR="000D386E">
        <w:t xml:space="preserve">and </w:t>
      </w:r>
      <w:r w:rsidR="000D386E" w:rsidRPr="00E5569A">
        <w:rPr>
          <w:i/>
          <w:iCs/>
        </w:rPr>
        <w:t>Allen</w:t>
      </w:r>
      <w:r w:rsidR="000D386E">
        <w:t xml:space="preserve"> discussed former rule 3-310(E), neither is an attorney discipline case, and the central point of both cases pertained to a motion for disqualification due to conflicts of interests.  A motion for disqualification was at</w:t>
      </w:r>
      <w:r w:rsidR="004B584F">
        <w:t xml:space="preserve"> </w:t>
      </w:r>
      <w:r w:rsidR="000D386E">
        <w:t xml:space="preserve">issue for Thibault in the superior court; however, our analysis under </w:t>
      </w:r>
      <w:r w:rsidR="000D386E">
        <w:lastRenderedPageBreak/>
        <w:t xml:space="preserve">former rule 3-310(E) is broader in scope.  Also, </w:t>
      </w:r>
      <w:r w:rsidR="000D386E" w:rsidRPr="00E5569A">
        <w:rPr>
          <w:i/>
          <w:iCs/>
        </w:rPr>
        <w:t xml:space="preserve">O’Gara </w:t>
      </w:r>
      <w:r w:rsidR="000D386E">
        <w:t xml:space="preserve">and </w:t>
      </w:r>
      <w:r w:rsidR="000D386E" w:rsidRPr="00E5569A">
        <w:rPr>
          <w:i/>
          <w:iCs/>
        </w:rPr>
        <w:t xml:space="preserve">Allen </w:t>
      </w:r>
      <w:r w:rsidR="000D386E">
        <w:t xml:space="preserve">are factually different—both involved individuals who eventually became licensed attorneys in California prior to the litigation of the underlying disqualification motions in those cases.  Accordingly, we do not find either </w:t>
      </w:r>
      <w:r w:rsidR="000D386E" w:rsidRPr="00E5569A">
        <w:rPr>
          <w:i/>
          <w:iCs/>
        </w:rPr>
        <w:t xml:space="preserve">O’Gara </w:t>
      </w:r>
      <w:r w:rsidR="000D386E">
        <w:t xml:space="preserve">or </w:t>
      </w:r>
      <w:r w:rsidR="000D386E" w:rsidRPr="00E5569A">
        <w:rPr>
          <w:i/>
          <w:iCs/>
        </w:rPr>
        <w:t>Allen</w:t>
      </w:r>
      <w:r w:rsidR="000D386E">
        <w:t xml:space="preserve"> as limiting our analysis </w:t>
      </w:r>
      <w:r w:rsidR="004A1023">
        <w:t>and therefore</w:t>
      </w:r>
      <w:r w:rsidR="004F209B">
        <w:t>,</w:t>
      </w:r>
      <w:r w:rsidR="004A1023">
        <w:t xml:space="preserve"> </w:t>
      </w:r>
      <w:r w:rsidR="00B30A1E">
        <w:t xml:space="preserve">we </w:t>
      </w:r>
      <w:r w:rsidR="000D386E">
        <w:t>find that an</w:t>
      </w:r>
      <w:r w:rsidR="005062B1">
        <w:t xml:space="preserve"> </w:t>
      </w:r>
      <w:r w:rsidR="000D386E">
        <w:t xml:space="preserve">attorney-client relationship existed between </w:t>
      </w:r>
      <w:proofErr w:type="spellStart"/>
      <w:r w:rsidR="000D386E">
        <w:t>Peshawaria</w:t>
      </w:r>
      <w:proofErr w:type="spellEnd"/>
      <w:r w:rsidR="000D386E">
        <w:t xml:space="preserve"> and Rattan.</w:t>
      </w:r>
    </w:p>
    <w:p w14:paraId="2D9FFD20" w14:textId="76555FB8" w:rsidR="00462386" w:rsidRDefault="00411672" w:rsidP="00B41AA7">
      <w:pPr>
        <w:ind w:firstLine="720"/>
      </w:pPr>
      <w:r>
        <w:t>T</w:t>
      </w:r>
      <w:r w:rsidR="00E028F6">
        <w:t>he hearing judge</w:t>
      </w:r>
      <w:r w:rsidR="00631DBD">
        <w:t xml:space="preserve"> </w:t>
      </w:r>
      <w:r>
        <w:t xml:space="preserve">determined </w:t>
      </w:r>
      <w:r w:rsidR="00C5423D">
        <w:t xml:space="preserve">Thibault accessed </w:t>
      </w:r>
      <w:r w:rsidR="00575D2B">
        <w:t>confidential information</w:t>
      </w:r>
      <w:r w:rsidR="00997512">
        <w:t xml:space="preserve"> that was given by </w:t>
      </w:r>
      <w:r w:rsidR="008A2A46">
        <w:t xml:space="preserve">Rattan to </w:t>
      </w:r>
      <w:proofErr w:type="spellStart"/>
      <w:r w:rsidR="008A2A46">
        <w:t>Peshawaria</w:t>
      </w:r>
      <w:proofErr w:type="spellEnd"/>
      <w:r w:rsidR="008A2A46">
        <w:t xml:space="preserve"> </w:t>
      </w:r>
      <w:r w:rsidR="00FF1988">
        <w:t xml:space="preserve">when Rattan consulted </w:t>
      </w:r>
      <w:r w:rsidR="002E1B01">
        <w:t xml:space="preserve">with </w:t>
      </w:r>
      <w:proofErr w:type="spellStart"/>
      <w:r w:rsidR="00FF1988">
        <w:t>Peshawaria</w:t>
      </w:r>
      <w:proofErr w:type="spellEnd"/>
      <w:r w:rsidR="00FF1988">
        <w:t xml:space="preserve"> </w:t>
      </w:r>
      <w:r w:rsidR="002E1B01">
        <w:t>in 2008.</w:t>
      </w:r>
      <w:r w:rsidR="002622E2">
        <w:t xml:space="preserve">  </w:t>
      </w:r>
      <w:r>
        <w:t>T</w:t>
      </w:r>
      <w:r w:rsidR="002622E2">
        <w:t xml:space="preserve">he judge </w:t>
      </w:r>
      <w:r w:rsidR="00FA2FB9">
        <w:t xml:space="preserve">also concluded that </w:t>
      </w:r>
      <w:r w:rsidR="002622E2">
        <w:t xml:space="preserve">the confidential information </w:t>
      </w:r>
      <w:r w:rsidR="00FA2121">
        <w:t xml:space="preserve">included issues of child custody </w:t>
      </w:r>
      <w:r w:rsidR="00827570">
        <w:t xml:space="preserve">and property division </w:t>
      </w:r>
      <w:r w:rsidR="00FA2121">
        <w:t xml:space="preserve">and </w:t>
      </w:r>
      <w:r w:rsidR="00433237">
        <w:t xml:space="preserve">that </w:t>
      </w:r>
      <w:r w:rsidR="009E5AAF">
        <w:t xml:space="preserve">Thibault obtained this information from </w:t>
      </w:r>
      <w:proofErr w:type="spellStart"/>
      <w:r w:rsidR="009E5AAF">
        <w:t>Pesh</w:t>
      </w:r>
      <w:r w:rsidR="00E96EBB">
        <w:t>a</w:t>
      </w:r>
      <w:r w:rsidR="009E5AAF">
        <w:t>waria’s</w:t>
      </w:r>
      <w:proofErr w:type="spellEnd"/>
      <w:r w:rsidR="009E5AAF">
        <w:t xml:space="preserve"> database.</w:t>
      </w:r>
      <w:r w:rsidR="00890671">
        <w:t xml:space="preserve">  Thibault does not appear to dispute these findings</w:t>
      </w:r>
      <w:r w:rsidR="00FA2FB9">
        <w:t xml:space="preserve"> and we agree with them</w:t>
      </w:r>
      <w:r w:rsidR="00890671">
        <w:t>.</w:t>
      </w:r>
      <w:r w:rsidR="002C6FFC">
        <w:t xml:space="preserve">  However, she attempts to </w:t>
      </w:r>
      <w:r w:rsidR="00CE5E5F">
        <w:t xml:space="preserve">avoid the judge’s findings </w:t>
      </w:r>
      <w:r w:rsidR="00672A6A">
        <w:t xml:space="preserve">by arguing that </w:t>
      </w:r>
      <w:r w:rsidR="00DC6E4E">
        <w:t>her action</w:t>
      </w:r>
      <w:r w:rsidR="00082330">
        <w:t xml:space="preserve">s did not fall under </w:t>
      </w:r>
      <w:r w:rsidR="00F51B48">
        <w:t xml:space="preserve">the requirements of </w:t>
      </w:r>
      <w:r w:rsidR="00082330">
        <w:t>former rule 3-310(E)</w:t>
      </w:r>
      <w:r w:rsidR="00CB2FCA">
        <w:t>, because</w:t>
      </w:r>
      <w:r w:rsidR="00082330">
        <w:t xml:space="preserve"> </w:t>
      </w:r>
      <w:r w:rsidR="00672A6A">
        <w:t xml:space="preserve">she did not learn any information </w:t>
      </w:r>
      <w:r w:rsidR="006C1E48">
        <w:t xml:space="preserve">“‘by reason’ of her representation of Rattan,” </w:t>
      </w:r>
      <w:r w:rsidR="00E74C62">
        <w:t>and that the information was not material.</w:t>
      </w:r>
      <w:r w:rsidR="00E01D3B">
        <w:t xml:space="preserve">  We </w:t>
      </w:r>
      <w:r w:rsidR="00DC04F0">
        <w:t xml:space="preserve">disagree </w:t>
      </w:r>
      <w:r w:rsidR="004F3B8A">
        <w:t xml:space="preserve">with </w:t>
      </w:r>
      <w:r w:rsidR="00092622">
        <w:t>her</w:t>
      </w:r>
      <w:r w:rsidR="00E01D3B">
        <w:t xml:space="preserve"> arguments</w:t>
      </w:r>
      <w:r w:rsidR="00DC04F0">
        <w:t>, as explained below.</w:t>
      </w:r>
    </w:p>
    <w:p w14:paraId="38646AC7" w14:textId="0B9B1738" w:rsidR="00476FF8" w:rsidRDefault="00092622" w:rsidP="00B41AA7">
      <w:pPr>
        <w:ind w:firstLine="720"/>
      </w:pPr>
      <w:r>
        <w:t xml:space="preserve">While Thibault </w:t>
      </w:r>
      <w:r w:rsidR="002E7195">
        <w:t>never represented Rattan</w:t>
      </w:r>
      <w:r w:rsidR="002A0508">
        <w:t xml:space="preserve">, </w:t>
      </w:r>
      <w:r w:rsidR="00942C4E">
        <w:t xml:space="preserve">case law </w:t>
      </w:r>
      <w:r w:rsidR="002052B6">
        <w:t xml:space="preserve">extends </w:t>
      </w:r>
      <w:r w:rsidR="00194349">
        <w:t>former rule 3-310</w:t>
      </w:r>
      <w:r w:rsidR="00D61FFF">
        <w:t>(E)</w:t>
      </w:r>
      <w:r w:rsidR="00194349">
        <w:t xml:space="preserve"> </w:t>
      </w:r>
      <w:r w:rsidR="002052B6">
        <w:t xml:space="preserve">beyond a limited </w:t>
      </w:r>
      <w:r w:rsidR="00D834E7">
        <w:t xml:space="preserve">class of attorneys who </w:t>
      </w:r>
      <w:r w:rsidR="00194349">
        <w:t xml:space="preserve">may have </w:t>
      </w:r>
      <w:r w:rsidR="00D834E7">
        <w:t>represented a former client</w:t>
      </w:r>
      <w:r w:rsidR="00BF5133">
        <w:t xml:space="preserve"> to </w:t>
      </w:r>
      <w:r w:rsidR="002B33A6">
        <w:t xml:space="preserve">all </w:t>
      </w:r>
      <w:r w:rsidR="00BF5133">
        <w:t xml:space="preserve">attorneys </w:t>
      </w:r>
      <w:r w:rsidR="002B33A6">
        <w:t xml:space="preserve">who are in </w:t>
      </w:r>
      <w:r w:rsidR="002E1209">
        <w:t xml:space="preserve">a law </w:t>
      </w:r>
      <w:r w:rsidR="002B33A6">
        <w:t>firm</w:t>
      </w:r>
      <w:r w:rsidR="002E1209">
        <w:t xml:space="preserve">.  OCTC </w:t>
      </w:r>
      <w:r w:rsidR="00CF26C1">
        <w:t xml:space="preserve">persuasively </w:t>
      </w:r>
      <w:r w:rsidR="002E1209">
        <w:t xml:space="preserve">cites </w:t>
      </w:r>
      <w:r w:rsidR="00C526F4">
        <w:rPr>
          <w:i/>
          <w:iCs/>
        </w:rPr>
        <w:t xml:space="preserve">National Grange of </w:t>
      </w:r>
      <w:r w:rsidR="005E3A75">
        <w:rPr>
          <w:i/>
          <w:iCs/>
        </w:rPr>
        <w:t xml:space="preserve">the </w:t>
      </w:r>
      <w:r w:rsidR="00A7027F">
        <w:rPr>
          <w:i/>
          <w:iCs/>
        </w:rPr>
        <w:t xml:space="preserve">Order of Patrons of Husbandry v. California Guild </w:t>
      </w:r>
      <w:r w:rsidR="00A7027F">
        <w:t>(2019)</w:t>
      </w:r>
      <w:r w:rsidR="00CF26C1">
        <w:t xml:space="preserve"> 38 Cal.App.5</w:t>
      </w:r>
      <w:r w:rsidR="006125DE">
        <w:t xml:space="preserve">th </w:t>
      </w:r>
      <w:r w:rsidR="00CF26C1">
        <w:t xml:space="preserve">706 </w:t>
      </w:r>
      <w:r w:rsidR="00C128F7">
        <w:t>to argue that</w:t>
      </w:r>
      <w:r w:rsidR="00226485">
        <w:t>,</w:t>
      </w:r>
      <w:r w:rsidR="00C128F7">
        <w:t xml:space="preserve"> when </w:t>
      </w:r>
      <w:r w:rsidR="00280816">
        <w:t>Thibault</w:t>
      </w:r>
      <w:r w:rsidR="00C128F7">
        <w:t xml:space="preserve"> had access to Rattan’s </w:t>
      </w:r>
      <w:r w:rsidR="002C4776">
        <w:t>confidential information</w:t>
      </w:r>
      <w:r w:rsidR="00455157">
        <w:t xml:space="preserve"> bec</w:t>
      </w:r>
      <w:r w:rsidR="003009D2">
        <w:t xml:space="preserve">ause of her employment relationship with </w:t>
      </w:r>
      <w:proofErr w:type="spellStart"/>
      <w:r w:rsidR="003009D2">
        <w:t>Peshawaria</w:t>
      </w:r>
      <w:proofErr w:type="spellEnd"/>
      <w:r w:rsidR="002C4776">
        <w:t xml:space="preserve">, </w:t>
      </w:r>
      <w:r w:rsidR="003009D2">
        <w:t xml:space="preserve">the </w:t>
      </w:r>
      <w:r w:rsidR="002C4776">
        <w:t>obligation to protect that information and</w:t>
      </w:r>
      <w:r w:rsidR="0099711F">
        <w:t xml:space="preserve"> to</w:t>
      </w:r>
      <w:r w:rsidR="002C4776">
        <w:t xml:space="preserve"> </w:t>
      </w:r>
      <w:r w:rsidR="00064059">
        <w:t>not use it adversely against Ratt</w:t>
      </w:r>
      <w:r w:rsidR="000A19A5">
        <w:t>a</w:t>
      </w:r>
      <w:r w:rsidR="00064059">
        <w:t xml:space="preserve">n was extended </w:t>
      </w:r>
      <w:r w:rsidR="00226485">
        <w:t xml:space="preserve">from </w:t>
      </w:r>
      <w:proofErr w:type="spellStart"/>
      <w:r w:rsidR="00226485">
        <w:t>Peshawaria</w:t>
      </w:r>
      <w:proofErr w:type="spellEnd"/>
      <w:r w:rsidR="00226485">
        <w:t xml:space="preserve"> </w:t>
      </w:r>
      <w:r w:rsidR="00064059">
        <w:t>to Thibault.</w:t>
      </w:r>
      <w:r w:rsidR="00C26823">
        <w:t xml:space="preserve">  (</w:t>
      </w:r>
      <w:r w:rsidR="00AF1831">
        <w:t xml:space="preserve">See </w:t>
      </w:r>
      <w:r w:rsidR="005E22A2">
        <w:rPr>
          <w:i/>
          <w:iCs/>
        </w:rPr>
        <w:t>id</w:t>
      </w:r>
      <w:r w:rsidR="00C26823">
        <w:t xml:space="preserve">., </w:t>
      </w:r>
      <w:r w:rsidR="0025475E">
        <w:t>at pp. 714–715 [where attorney is disqualified because attorney form</w:t>
      </w:r>
      <w:r w:rsidR="00E708E1">
        <w:t>erly represented client</w:t>
      </w:r>
      <w:r w:rsidR="008D66BF">
        <w:t xml:space="preserve"> and</w:t>
      </w:r>
      <w:r w:rsidR="00357CF0">
        <w:t>,</w:t>
      </w:r>
      <w:r w:rsidR="008D66BF">
        <w:t xml:space="preserve"> therefore</w:t>
      </w:r>
      <w:r w:rsidR="001F5CD7">
        <w:t>,</w:t>
      </w:r>
      <w:r w:rsidR="008D66BF">
        <w:t xml:space="preserve"> possesses confidential information regarding adverse </w:t>
      </w:r>
      <w:r w:rsidR="008D66BF">
        <w:lastRenderedPageBreak/>
        <w:t>party in current litigation, vicarious disqualifi</w:t>
      </w:r>
      <w:r w:rsidR="0062441B">
        <w:t xml:space="preserve">cation </w:t>
      </w:r>
      <w:r w:rsidR="00A02372">
        <w:t xml:space="preserve">automatically </w:t>
      </w:r>
      <w:r w:rsidR="0062441B">
        <w:t>applies to entire firm</w:t>
      </w:r>
      <w:r w:rsidR="00375F5B">
        <w:t xml:space="preserve"> in same litigation</w:t>
      </w:r>
      <w:r w:rsidR="0062441B">
        <w:t>.].)</w:t>
      </w:r>
      <w:r w:rsidR="005F1210">
        <w:rPr>
          <w:rStyle w:val="FootnoteReference"/>
        </w:rPr>
        <w:footnoteReference w:id="16"/>
      </w:r>
    </w:p>
    <w:p w14:paraId="1B8BCD1F" w14:textId="214C3CCB" w:rsidR="00C13A36" w:rsidRPr="001A5B6E" w:rsidRDefault="007A7D22" w:rsidP="00B41AA7">
      <w:pPr>
        <w:ind w:firstLine="720"/>
      </w:pPr>
      <w:r>
        <w:t>While it is true that</w:t>
      </w:r>
      <w:r w:rsidR="006B193B">
        <w:t xml:space="preserve"> </w:t>
      </w:r>
      <w:r w:rsidR="006E1208">
        <w:t>an</w:t>
      </w:r>
      <w:r w:rsidR="006B193B">
        <w:t xml:space="preserve"> attorney </w:t>
      </w:r>
      <w:r w:rsidR="00606D7D">
        <w:t>i</w:t>
      </w:r>
      <w:r w:rsidR="00D73801">
        <w:t xml:space="preserve">n </w:t>
      </w:r>
      <w:r w:rsidR="00D73801">
        <w:rPr>
          <w:i/>
          <w:iCs/>
        </w:rPr>
        <w:t>National Grange</w:t>
      </w:r>
      <w:r w:rsidR="006B193B">
        <w:t xml:space="preserve"> learned confidential information </w:t>
      </w:r>
      <w:r w:rsidR="00606D7D">
        <w:t xml:space="preserve">while </w:t>
      </w:r>
      <w:r w:rsidR="005A132A">
        <w:t>represent</w:t>
      </w:r>
      <w:r w:rsidR="00606D7D">
        <w:t xml:space="preserve">ing </w:t>
      </w:r>
      <w:r w:rsidR="00D73801">
        <w:t xml:space="preserve">a client </w:t>
      </w:r>
      <w:r w:rsidR="005A132A">
        <w:t xml:space="preserve">at one law firm </w:t>
      </w:r>
      <w:r w:rsidR="00DA684F">
        <w:t xml:space="preserve">and subsequently </w:t>
      </w:r>
      <w:r w:rsidR="005A132A">
        <w:t>cause</w:t>
      </w:r>
      <w:r w:rsidR="00D73801">
        <w:t>d</w:t>
      </w:r>
      <w:r w:rsidR="005A132A">
        <w:t xml:space="preserve"> the </w:t>
      </w:r>
      <w:r w:rsidR="00D73801">
        <w:t xml:space="preserve">vicarious disqualification </w:t>
      </w:r>
      <w:r w:rsidR="00DA684F">
        <w:t xml:space="preserve">of all attorneys at </w:t>
      </w:r>
      <w:r w:rsidR="00EE046A">
        <w:t>th</w:t>
      </w:r>
      <w:r w:rsidR="00CD5476">
        <w:t xml:space="preserve">at </w:t>
      </w:r>
      <w:r w:rsidR="00EE046A">
        <w:t>att</w:t>
      </w:r>
      <w:r w:rsidR="00CD5476">
        <w:t>o</w:t>
      </w:r>
      <w:r w:rsidR="00EE046A">
        <w:t>r</w:t>
      </w:r>
      <w:r w:rsidR="00CD5476">
        <w:t>n</w:t>
      </w:r>
      <w:r w:rsidR="00EE046A">
        <w:t>ey’s next law firm</w:t>
      </w:r>
      <w:r w:rsidR="00D23C5A">
        <w:t xml:space="preserve"> </w:t>
      </w:r>
      <w:r w:rsidR="00C2786E">
        <w:t>that was representing an adverse party</w:t>
      </w:r>
      <w:r w:rsidR="00A147E8">
        <w:t xml:space="preserve"> in the same litigation, we see no reason to not extend the</w:t>
      </w:r>
      <w:r w:rsidR="00960710">
        <w:t xml:space="preserve"> case’s holding to the circumstances here</w:t>
      </w:r>
      <w:r w:rsidR="00C7406C">
        <w:t>.</w:t>
      </w:r>
      <w:r w:rsidR="001C2F5D">
        <w:t xml:space="preserve">  </w:t>
      </w:r>
      <w:r w:rsidR="00CD116C">
        <w:t>At the July 2018 hearing, T</w:t>
      </w:r>
      <w:r w:rsidR="0048715E">
        <w:t xml:space="preserve">hibault attempted to </w:t>
      </w:r>
      <w:r w:rsidR="0015244B">
        <w:t xml:space="preserve">cross-examine </w:t>
      </w:r>
      <w:r w:rsidR="002911D3">
        <w:t>Rattan</w:t>
      </w:r>
      <w:r w:rsidR="0015244B">
        <w:t xml:space="preserve"> with </w:t>
      </w:r>
      <w:r w:rsidR="002911D3">
        <w:t>confidential in</w:t>
      </w:r>
      <w:r w:rsidR="0048715E">
        <w:t xml:space="preserve">formation </w:t>
      </w:r>
      <w:r w:rsidR="002364D2">
        <w:t xml:space="preserve">provided to </w:t>
      </w:r>
      <w:proofErr w:type="spellStart"/>
      <w:r w:rsidR="002364D2">
        <w:t>Peshawaria</w:t>
      </w:r>
      <w:proofErr w:type="spellEnd"/>
      <w:r w:rsidR="00CD116C">
        <w:t xml:space="preserve"> </w:t>
      </w:r>
      <w:r w:rsidR="00D910E0">
        <w:t>in 2008</w:t>
      </w:r>
      <w:r w:rsidR="00FC1CE3">
        <w:t xml:space="preserve">, information that </w:t>
      </w:r>
      <w:r w:rsidR="00D910E0">
        <w:t>Thibault</w:t>
      </w:r>
      <w:r w:rsidR="00FC1CE3">
        <w:t xml:space="preserve"> </w:t>
      </w:r>
      <w:r w:rsidR="00B64DC1">
        <w:t xml:space="preserve">only </w:t>
      </w:r>
      <w:r w:rsidR="00FC1CE3">
        <w:t xml:space="preserve">gained </w:t>
      </w:r>
      <w:r w:rsidR="00D910E0">
        <w:t xml:space="preserve">because </w:t>
      </w:r>
      <w:proofErr w:type="spellStart"/>
      <w:r w:rsidR="00FC1CE3">
        <w:t>Peshawaria</w:t>
      </w:r>
      <w:proofErr w:type="spellEnd"/>
      <w:r w:rsidR="00D910E0">
        <w:t xml:space="preserve"> had later employed her</w:t>
      </w:r>
      <w:r w:rsidR="002911D3">
        <w:t>.</w:t>
      </w:r>
      <w:r w:rsidR="009B50C1">
        <w:t xml:space="preserve">  </w:t>
      </w:r>
      <w:r w:rsidR="005B02BD">
        <w:t xml:space="preserve">As previously discussed, Thibault withdrew from representing Prasad </w:t>
      </w:r>
      <w:r w:rsidR="00035A65">
        <w:t xml:space="preserve">once </w:t>
      </w:r>
      <w:r w:rsidR="005B02BD">
        <w:t xml:space="preserve">in 2016 while she was still working for </w:t>
      </w:r>
      <w:proofErr w:type="spellStart"/>
      <w:r w:rsidR="00671B8C">
        <w:t>Peshawaria</w:t>
      </w:r>
      <w:proofErr w:type="spellEnd"/>
      <w:r w:rsidR="005B02BD">
        <w:t xml:space="preserve">. </w:t>
      </w:r>
      <w:r w:rsidR="005108ED">
        <w:t xml:space="preserve"> </w:t>
      </w:r>
      <w:r w:rsidR="005354D1">
        <w:t>In 2016,</w:t>
      </w:r>
      <w:r w:rsidR="00035A65">
        <w:t xml:space="preserve"> </w:t>
      </w:r>
      <w:r w:rsidR="005B02BD">
        <w:t xml:space="preserve">Prasad attempted to hire </w:t>
      </w:r>
      <w:proofErr w:type="spellStart"/>
      <w:r w:rsidR="005B02BD">
        <w:t>Peshawaria’s</w:t>
      </w:r>
      <w:proofErr w:type="spellEnd"/>
      <w:r w:rsidR="005B02BD">
        <w:t xml:space="preserve"> firm</w:t>
      </w:r>
      <w:r w:rsidR="00364597">
        <w:t>,</w:t>
      </w:r>
      <w:r w:rsidR="005B02BD">
        <w:t xml:space="preserve"> </w:t>
      </w:r>
      <w:r w:rsidR="005354D1">
        <w:t xml:space="preserve">but </w:t>
      </w:r>
      <w:r w:rsidR="005B02BD">
        <w:t xml:space="preserve">opposing counsel for Rattan notified Thibault of </w:t>
      </w:r>
      <w:r w:rsidR="005108ED">
        <w:t>an existing</w:t>
      </w:r>
      <w:r w:rsidR="005B02BD">
        <w:t xml:space="preserve"> conflict </w:t>
      </w:r>
      <w:r w:rsidR="005108ED">
        <w:t xml:space="preserve">given </w:t>
      </w:r>
      <w:proofErr w:type="spellStart"/>
      <w:r w:rsidR="005108ED">
        <w:t>Peshawaria</w:t>
      </w:r>
      <w:proofErr w:type="spellEnd"/>
      <w:r w:rsidR="005108ED">
        <w:t xml:space="preserve"> and Rattan’s prior attorney-client relationship.  As the attorney assigned to Prasad’s matter, Thibault accessed Rattan’s case file to determine if she believed a conflict existed.  </w:t>
      </w:r>
      <w:r w:rsidR="005B02BD">
        <w:t xml:space="preserve">Thibault </w:t>
      </w:r>
      <w:r w:rsidR="005108ED">
        <w:t xml:space="preserve">also </w:t>
      </w:r>
      <w:r w:rsidR="005B02BD">
        <w:t xml:space="preserve">discussed </w:t>
      </w:r>
      <w:r w:rsidR="005108ED">
        <w:t>the potential conflict</w:t>
      </w:r>
      <w:r w:rsidR="005B02BD">
        <w:t xml:space="preserve"> with </w:t>
      </w:r>
      <w:proofErr w:type="spellStart"/>
      <w:r w:rsidR="005B02BD">
        <w:t>Peshawaria</w:t>
      </w:r>
      <w:proofErr w:type="spellEnd"/>
      <w:r w:rsidR="005B02BD">
        <w:t xml:space="preserve">, </w:t>
      </w:r>
      <w:r w:rsidR="005108ED">
        <w:t>who</w:t>
      </w:r>
      <w:r w:rsidR="005B02BD">
        <w:t xml:space="preserve"> </w:t>
      </w:r>
      <w:r w:rsidR="00035A65">
        <w:t>informed Thibault to withdraw from the case.  Given these circumstances, it was unreasonable for Thibault to agree to represent Prasad in 201</w:t>
      </w:r>
      <w:r w:rsidR="00056811">
        <w:t xml:space="preserve">8, even </w:t>
      </w:r>
      <w:r w:rsidR="00035A65">
        <w:t>as a solo practitioner</w:t>
      </w:r>
      <w:r w:rsidR="00DF0741">
        <w:t>.  A</w:t>
      </w:r>
      <w:r w:rsidR="00035A65">
        <w:t xml:space="preserve">lthough no longer working for </w:t>
      </w:r>
      <w:proofErr w:type="spellStart"/>
      <w:r w:rsidR="00035A65">
        <w:t>Peshawaria</w:t>
      </w:r>
      <w:proofErr w:type="spellEnd"/>
      <w:r w:rsidR="00035A65">
        <w:t xml:space="preserve"> but sharing office space</w:t>
      </w:r>
      <w:r w:rsidR="008C644B">
        <w:t xml:space="preserve"> with her</w:t>
      </w:r>
      <w:r w:rsidR="00035A65">
        <w:t xml:space="preserve">, </w:t>
      </w:r>
      <w:r w:rsidR="00DF0741">
        <w:t xml:space="preserve">she </w:t>
      </w:r>
      <w:r w:rsidR="00035A65">
        <w:t>access</w:t>
      </w:r>
      <w:r w:rsidR="00DF0741">
        <w:t>ed</w:t>
      </w:r>
      <w:r w:rsidR="00035A65">
        <w:t xml:space="preserve"> Rattan’s case file and attempt</w:t>
      </w:r>
      <w:r w:rsidR="00DF0741">
        <w:t>ed</w:t>
      </w:r>
      <w:r w:rsidR="00035A65">
        <w:t xml:space="preserve"> to </w:t>
      </w:r>
      <w:r w:rsidR="00035A65">
        <w:lastRenderedPageBreak/>
        <w:t xml:space="preserve">use Rattan’s written narrative and an unsigned retainer agreement adversely to oppose </w:t>
      </w:r>
      <w:proofErr w:type="spellStart"/>
      <w:r w:rsidR="00035A65">
        <w:t>Elter’s</w:t>
      </w:r>
      <w:proofErr w:type="spellEnd"/>
      <w:r w:rsidR="00035A65">
        <w:t xml:space="preserve"> motion to disqualify her from the matter.  </w:t>
      </w:r>
    </w:p>
    <w:p w14:paraId="40CE62FA" w14:textId="5658FE3D" w:rsidR="00646B70" w:rsidRPr="00E435F3" w:rsidRDefault="00254D75" w:rsidP="00094285">
      <w:pPr>
        <w:tabs>
          <w:tab w:val="left" w:pos="720"/>
        </w:tabs>
        <w:ind w:right="-144"/>
        <w:rPr>
          <w:szCs w:val="24"/>
        </w:rPr>
      </w:pPr>
      <w:r>
        <w:rPr>
          <w:szCs w:val="24"/>
        </w:rPr>
        <w:tab/>
      </w:r>
      <w:r w:rsidR="00C13A36">
        <w:rPr>
          <w:szCs w:val="24"/>
        </w:rPr>
        <w:t>Thibault</w:t>
      </w:r>
      <w:r w:rsidR="005B294A">
        <w:rPr>
          <w:szCs w:val="24"/>
        </w:rPr>
        <w:t>’s final</w:t>
      </w:r>
      <w:r w:rsidR="00C13A36">
        <w:rPr>
          <w:szCs w:val="24"/>
        </w:rPr>
        <w:t xml:space="preserve"> </w:t>
      </w:r>
      <w:r w:rsidR="00E0606C">
        <w:rPr>
          <w:szCs w:val="24"/>
        </w:rPr>
        <w:t>argument states</w:t>
      </w:r>
      <w:r w:rsidR="00C13A36">
        <w:rPr>
          <w:szCs w:val="24"/>
        </w:rPr>
        <w:t xml:space="preserve"> that </w:t>
      </w:r>
      <w:r w:rsidR="00D804F1">
        <w:rPr>
          <w:szCs w:val="24"/>
        </w:rPr>
        <w:t>OCTC failed to</w:t>
      </w:r>
      <w:r w:rsidR="00C13A36">
        <w:rPr>
          <w:szCs w:val="24"/>
        </w:rPr>
        <w:t xml:space="preserve"> establish </w:t>
      </w:r>
      <w:r w:rsidR="00C13A36">
        <w:t xml:space="preserve">that </w:t>
      </w:r>
      <w:r w:rsidR="00D804F1">
        <w:t xml:space="preserve">the </w:t>
      </w:r>
      <w:r w:rsidR="00C13A36">
        <w:t xml:space="preserve">information she obtained from </w:t>
      </w:r>
      <w:r w:rsidR="00C13A36" w:rsidRPr="00C11707">
        <w:t>Rattan’s file was</w:t>
      </w:r>
      <w:r w:rsidR="00D804F1" w:rsidRPr="00C11707">
        <w:t xml:space="preserve"> material</w:t>
      </w:r>
      <w:r w:rsidR="00D804F1">
        <w:t xml:space="preserve"> to her representation of Prasad in 2018, which she categorizes as “post judgment” </w:t>
      </w:r>
      <w:r w:rsidR="005108ED">
        <w:t xml:space="preserve">related </w:t>
      </w:r>
      <w:r w:rsidR="00D804F1">
        <w:t xml:space="preserve">since the marriage </w:t>
      </w:r>
      <w:r w:rsidR="005108ED">
        <w:t>was</w:t>
      </w:r>
      <w:r w:rsidR="00D804F1">
        <w:t xml:space="preserve"> terminated </w:t>
      </w:r>
      <w:r w:rsidR="005B58A8">
        <w:t>by</w:t>
      </w:r>
      <w:r w:rsidR="00D804F1">
        <w:t xml:space="preserve"> that point.  </w:t>
      </w:r>
      <w:r w:rsidR="00EF1846">
        <w:t>N</w:t>
      </w:r>
      <w:r w:rsidR="00D804F1">
        <w:t>othing in the record suggest</w:t>
      </w:r>
      <w:r w:rsidR="00EF1846">
        <w:t>s</w:t>
      </w:r>
      <w:r w:rsidR="00D804F1">
        <w:t xml:space="preserve"> that</w:t>
      </w:r>
      <w:r w:rsidR="00094285">
        <w:t xml:space="preserve"> </w:t>
      </w:r>
      <w:r w:rsidR="00D804F1">
        <w:t xml:space="preserve">the </w:t>
      </w:r>
      <w:r w:rsidR="00D804F1" w:rsidRPr="00B02FE4">
        <w:rPr>
          <w:i/>
          <w:iCs/>
        </w:rPr>
        <w:t>Rattan v. Prasad</w:t>
      </w:r>
      <w:r w:rsidR="00D804F1">
        <w:rPr>
          <w:i/>
          <w:iCs/>
        </w:rPr>
        <w:t xml:space="preserve"> </w:t>
      </w:r>
      <w:r w:rsidR="00D804F1">
        <w:rPr>
          <w:szCs w:val="24"/>
        </w:rPr>
        <w:t>matter was compartmentalized as Thibault asserts</w:t>
      </w:r>
      <w:r w:rsidR="00554910">
        <w:rPr>
          <w:szCs w:val="24"/>
        </w:rPr>
        <w:t>.</w:t>
      </w:r>
      <w:r w:rsidR="00D804F1">
        <w:rPr>
          <w:szCs w:val="24"/>
        </w:rPr>
        <w:t xml:space="preserve"> </w:t>
      </w:r>
      <w:r w:rsidR="00554910">
        <w:rPr>
          <w:szCs w:val="24"/>
        </w:rPr>
        <w:t>T</w:t>
      </w:r>
      <w:r w:rsidR="00D804F1">
        <w:rPr>
          <w:szCs w:val="24"/>
        </w:rPr>
        <w:t xml:space="preserve">he docket reflects the same case </w:t>
      </w:r>
      <w:r w:rsidR="005108ED">
        <w:rPr>
          <w:szCs w:val="24"/>
        </w:rPr>
        <w:t>number,</w:t>
      </w:r>
      <w:r w:rsidR="00E819DF">
        <w:rPr>
          <w:szCs w:val="24"/>
        </w:rPr>
        <w:t xml:space="preserve"> and the record </w:t>
      </w:r>
      <w:r w:rsidR="00D804F1">
        <w:rPr>
          <w:szCs w:val="24"/>
        </w:rPr>
        <w:t xml:space="preserve">reveals the same </w:t>
      </w:r>
      <w:r w:rsidR="00E819DF">
        <w:rPr>
          <w:szCs w:val="24"/>
        </w:rPr>
        <w:t xml:space="preserve">marital dissolution </w:t>
      </w:r>
      <w:r w:rsidR="00C61EDC">
        <w:rPr>
          <w:szCs w:val="24"/>
        </w:rPr>
        <w:t xml:space="preserve">proceeding </w:t>
      </w:r>
      <w:r w:rsidR="00D804F1">
        <w:rPr>
          <w:szCs w:val="24"/>
        </w:rPr>
        <w:t>was at issue</w:t>
      </w:r>
      <w:r w:rsidR="00BC1A92">
        <w:rPr>
          <w:szCs w:val="24"/>
        </w:rPr>
        <w:t xml:space="preserve"> in 2018</w:t>
      </w:r>
      <w:r w:rsidR="00AC5AF4">
        <w:rPr>
          <w:szCs w:val="24"/>
        </w:rPr>
        <w:t xml:space="preserve">, specifically the </w:t>
      </w:r>
      <w:r w:rsidR="000C7A0F">
        <w:rPr>
          <w:szCs w:val="24"/>
        </w:rPr>
        <w:t xml:space="preserve">martial home </w:t>
      </w:r>
      <w:r w:rsidR="005A3740">
        <w:rPr>
          <w:szCs w:val="24"/>
        </w:rPr>
        <w:t xml:space="preserve">located </w:t>
      </w:r>
      <w:r w:rsidR="000C7A0F">
        <w:rPr>
          <w:szCs w:val="24"/>
        </w:rPr>
        <w:t>in Tracy</w:t>
      </w:r>
      <w:r w:rsidR="00D804F1">
        <w:rPr>
          <w:szCs w:val="24"/>
        </w:rPr>
        <w:t xml:space="preserve">.  </w:t>
      </w:r>
      <w:r w:rsidR="00646B70">
        <w:rPr>
          <w:szCs w:val="24"/>
        </w:rPr>
        <w:t xml:space="preserve">Thibault cites to </w:t>
      </w:r>
      <w:r w:rsidR="00C7327B" w:rsidRPr="00905E1B">
        <w:rPr>
          <w:i/>
          <w:iCs/>
          <w:szCs w:val="24"/>
        </w:rPr>
        <w:t xml:space="preserve">Farris v. </w:t>
      </w:r>
      <w:r w:rsidR="00EA4D1F" w:rsidRPr="00905E1B">
        <w:rPr>
          <w:i/>
          <w:iCs/>
          <w:szCs w:val="24"/>
        </w:rPr>
        <w:t xml:space="preserve">Fireman’s Fund </w:t>
      </w:r>
      <w:r w:rsidR="00C7327B" w:rsidRPr="00905E1B">
        <w:rPr>
          <w:i/>
          <w:iCs/>
          <w:szCs w:val="24"/>
        </w:rPr>
        <w:t xml:space="preserve">Ins. Co. </w:t>
      </w:r>
      <w:r w:rsidR="00C7327B" w:rsidRPr="00905E1B">
        <w:rPr>
          <w:szCs w:val="24"/>
        </w:rPr>
        <w:t>(</w:t>
      </w:r>
      <w:r w:rsidR="00C5143C" w:rsidRPr="00905E1B">
        <w:rPr>
          <w:szCs w:val="24"/>
        </w:rPr>
        <w:t>2004) 119 Cal.App.4</w:t>
      </w:r>
      <w:r w:rsidR="00C15695" w:rsidRPr="00905E1B">
        <w:rPr>
          <w:szCs w:val="24"/>
        </w:rPr>
        <w:t>th</w:t>
      </w:r>
      <w:r w:rsidR="00C5143C" w:rsidRPr="00905E1B">
        <w:rPr>
          <w:szCs w:val="24"/>
        </w:rPr>
        <w:t xml:space="preserve"> 671</w:t>
      </w:r>
      <w:r w:rsidR="00432761">
        <w:rPr>
          <w:szCs w:val="24"/>
        </w:rPr>
        <w:t>,</w:t>
      </w:r>
      <w:r w:rsidR="0053671C">
        <w:rPr>
          <w:szCs w:val="24"/>
        </w:rPr>
        <w:t xml:space="preserve"> stating that inf</w:t>
      </w:r>
      <w:r w:rsidR="00A61AA5">
        <w:rPr>
          <w:szCs w:val="24"/>
        </w:rPr>
        <w:t xml:space="preserve">ormation is material for purposes of former rule 3-310(E) when it is </w:t>
      </w:r>
      <w:r w:rsidR="003C4BA3">
        <w:rPr>
          <w:szCs w:val="24"/>
        </w:rPr>
        <w:t>“</w:t>
      </w:r>
      <w:r w:rsidR="00A61AA5">
        <w:rPr>
          <w:szCs w:val="24"/>
        </w:rPr>
        <w:t xml:space="preserve">directly </w:t>
      </w:r>
      <w:r w:rsidR="00D75589">
        <w:rPr>
          <w:szCs w:val="24"/>
        </w:rPr>
        <w:t>in issue or of critical importance</w:t>
      </w:r>
      <w:r w:rsidR="008755E4">
        <w:rPr>
          <w:szCs w:val="24"/>
        </w:rPr>
        <w:t>”</w:t>
      </w:r>
      <w:r w:rsidR="00D75589">
        <w:rPr>
          <w:szCs w:val="24"/>
        </w:rPr>
        <w:t xml:space="preserve"> to the second representation.” </w:t>
      </w:r>
      <w:r w:rsidR="008755E4" w:rsidRPr="00E435F3">
        <w:rPr>
          <w:szCs w:val="24"/>
        </w:rPr>
        <w:t>(</w:t>
      </w:r>
      <w:r w:rsidR="00432761" w:rsidRPr="00E435F3">
        <w:rPr>
          <w:i/>
          <w:iCs/>
          <w:szCs w:val="24"/>
        </w:rPr>
        <w:t>Id</w:t>
      </w:r>
      <w:r w:rsidR="00432761" w:rsidRPr="00E435F3">
        <w:rPr>
          <w:szCs w:val="24"/>
        </w:rPr>
        <w:t>., at p. 680.)</w:t>
      </w:r>
      <w:r w:rsidR="00271D23" w:rsidRPr="00E435F3">
        <w:rPr>
          <w:szCs w:val="24"/>
        </w:rPr>
        <w:t xml:space="preserve">  </w:t>
      </w:r>
      <w:r w:rsidR="00082BA0" w:rsidRPr="00E435F3">
        <w:rPr>
          <w:szCs w:val="24"/>
        </w:rPr>
        <w:t xml:space="preserve">Using </w:t>
      </w:r>
      <w:r w:rsidR="00082BA0" w:rsidRPr="00E435F3">
        <w:rPr>
          <w:i/>
          <w:iCs/>
          <w:szCs w:val="24"/>
        </w:rPr>
        <w:t>Farris</w:t>
      </w:r>
      <w:r w:rsidR="00082BA0" w:rsidRPr="00E435F3">
        <w:rPr>
          <w:szCs w:val="24"/>
        </w:rPr>
        <w:t xml:space="preserve">, </w:t>
      </w:r>
      <w:r w:rsidR="00271D23" w:rsidRPr="00E435F3">
        <w:rPr>
          <w:szCs w:val="24"/>
        </w:rPr>
        <w:t xml:space="preserve">the </w:t>
      </w:r>
      <w:r w:rsidR="00F41C61" w:rsidRPr="00E435F3">
        <w:rPr>
          <w:szCs w:val="24"/>
        </w:rPr>
        <w:t xml:space="preserve">documents obtained from </w:t>
      </w:r>
      <w:proofErr w:type="spellStart"/>
      <w:r w:rsidR="00F41C61" w:rsidRPr="00E435F3">
        <w:rPr>
          <w:szCs w:val="24"/>
        </w:rPr>
        <w:t>Peshawaria’s</w:t>
      </w:r>
      <w:proofErr w:type="spellEnd"/>
      <w:r w:rsidR="00F41C61" w:rsidRPr="00E435F3">
        <w:rPr>
          <w:szCs w:val="24"/>
        </w:rPr>
        <w:t xml:space="preserve"> database </w:t>
      </w:r>
      <w:r w:rsidR="003900AB" w:rsidRPr="00E435F3">
        <w:rPr>
          <w:szCs w:val="24"/>
        </w:rPr>
        <w:t>w</w:t>
      </w:r>
      <w:r w:rsidR="00F41C61" w:rsidRPr="00E435F3">
        <w:rPr>
          <w:szCs w:val="24"/>
        </w:rPr>
        <w:t>ere</w:t>
      </w:r>
      <w:r w:rsidR="003900AB" w:rsidRPr="00E435F3">
        <w:rPr>
          <w:szCs w:val="24"/>
        </w:rPr>
        <w:t xml:space="preserve"> </w:t>
      </w:r>
      <w:r w:rsidR="00082BA0" w:rsidRPr="00E435F3">
        <w:rPr>
          <w:szCs w:val="24"/>
        </w:rPr>
        <w:t xml:space="preserve">clearly </w:t>
      </w:r>
      <w:r w:rsidR="003900AB" w:rsidRPr="00E435F3">
        <w:rPr>
          <w:szCs w:val="24"/>
        </w:rPr>
        <w:t xml:space="preserve">material, as Thibault intended to use </w:t>
      </w:r>
      <w:r w:rsidR="00F07F9D" w:rsidRPr="00E435F3">
        <w:rPr>
          <w:szCs w:val="24"/>
        </w:rPr>
        <w:t>them</w:t>
      </w:r>
      <w:r w:rsidR="003900AB" w:rsidRPr="00E435F3">
        <w:rPr>
          <w:szCs w:val="24"/>
        </w:rPr>
        <w:t xml:space="preserve"> to Prasad’s advantage </w:t>
      </w:r>
      <w:r w:rsidR="00E0129A" w:rsidRPr="00E435F3">
        <w:rPr>
          <w:szCs w:val="24"/>
        </w:rPr>
        <w:t>when she attempted to cross-examine Rattan</w:t>
      </w:r>
      <w:r w:rsidR="00F07F9D" w:rsidRPr="00E435F3">
        <w:rPr>
          <w:szCs w:val="24"/>
        </w:rPr>
        <w:t>.</w:t>
      </w:r>
    </w:p>
    <w:p w14:paraId="2E5C8E42" w14:textId="7830D5D2" w:rsidR="001A5B6E" w:rsidRDefault="00254D75" w:rsidP="002D3AEF">
      <w:pPr>
        <w:tabs>
          <w:tab w:val="left" w:pos="720"/>
        </w:tabs>
        <w:ind w:right="-144"/>
      </w:pPr>
      <w:r>
        <w:rPr>
          <w:szCs w:val="24"/>
        </w:rPr>
        <w:tab/>
      </w:r>
      <w:r w:rsidR="00E12C92" w:rsidRPr="00E435F3">
        <w:rPr>
          <w:szCs w:val="24"/>
        </w:rPr>
        <w:t xml:space="preserve">The final element that OCTC needs to prove is that </w:t>
      </w:r>
      <w:r w:rsidR="00F03F7A" w:rsidRPr="00E435F3">
        <w:rPr>
          <w:szCs w:val="24"/>
        </w:rPr>
        <w:t xml:space="preserve">Thibault did not obtain the </w:t>
      </w:r>
      <w:r w:rsidR="00C0287F" w:rsidRPr="00E435F3">
        <w:rPr>
          <w:szCs w:val="24"/>
        </w:rPr>
        <w:t xml:space="preserve">informed written consent </w:t>
      </w:r>
      <w:r w:rsidR="00685492" w:rsidRPr="00E435F3">
        <w:rPr>
          <w:szCs w:val="24"/>
        </w:rPr>
        <w:t>from Rattan.  As the hearing judge noted, Thibault admits this.</w:t>
      </w:r>
      <w:r w:rsidR="001B577C" w:rsidRPr="00E435F3">
        <w:rPr>
          <w:szCs w:val="24"/>
        </w:rPr>
        <w:t xml:space="preserve">  Therefore, </w:t>
      </w:r>
      <w:r w:rsidR="00EC5E0E" w:rsidRPr="00E435F3">
        <w:rPr>
          <w:szCs w:val="24"/>
        </w:rPr>
        <w:t>we conclude that all of Thibault’s argument</w:t>
      </w:r>
      <w:r w:rsidR="007C1DE4" w:rsidRPr="00E435F3">
        <w:rPr>
          <w:szCs w:val="24"/>
        </w:rPr>
        <w:t>s</w:t>
      </w:r>
      <w:r w:rsidR="00EC5E0E" w:rsidRPr="00E435F3">
        <w:rPr>
          <w:szCs w:val="24"/>
        </w:rPr>
        <w:t xml:space="preserve"> on this </w:t>
      </w:r>
      <w:r w:rsidR="007C1DE4" w:rsidRPr="00E435F3">
        <w:rPr>
          <w:szCs w:val="24"/>
        </w:rPr>
        <w:t>issue lack merit</w:t>
      </w:r>
      <w:r w:rsidR="001537CC" w:rsidRPr="00E435F3">
        <w:rPr>
          <w:szCs w:val="24"/>
        </w:rPr>
        <w:t>,</w:t>
      </w:r>
      <w:r w:rsidR="007C1DE4" w:rsidRPr="00E435F3">
        <w:rPr>
          <w:szCs w:val="24"/>
        </w:rPr>
        <w:t xml:space="preserve"> and OCTC has proven </w:t>
      </w:r>
      <w:r w:rsidR="0032027D" w:rsidRPr="00E435F3">
        <w:rPr>
          <w:szCs w:val="24"/>
        </w:rPr>
        <w:t xml:space="preserve">by clear and convincing evidence that </w:t>
      </w:r>
      <w:r w:rsidR="007C1DE4" w:rsidRPr="00E435F3">
        <w:rPr>
          <w:szCs w:val="24"/>
        </w:rPr>
        <w:t xml:space="preserve">the necessary elements </w:t>
      </w:r>
      <w:r w:rsidR="0032027D" w:rsidRPr="00E435F3">
        <w:rPr>
          <w:szCs w:val="24"/>
        </w:rPr>
        <w:t>of former rule 3-310(E) have been proven.</w:t>
      </w:r>
      <w:r w:rsidR="00F85F06" w:rsidRPr="00E435F3">
        <w:rPr>
          <w:szCs w:val="24"/>
        </w:rPr>
        <w:t xml:space="preserve">  </w:t>
      </w:r>
      <w:r w:rsidR="00094285">
        <w:t xml:space="preserve">We affirm the hearing </w:t>
      </w:r>
      <w:r w:rsidR="005437ED">
        <w:t>judge’s finding</w:t>
      </w:r>
      <w:r w:rsidR="001C0CBD">
        <w:t xml:space="preserve"> of culpability on this count.  </w:t>
      </w:r>
    </w:p>
    <w:p w14:paraId="6742E521" w14:textId="77777777" w:rsidR="00366F64" w:rsidRDefault="00366F64" w:rsidP="00366F64">
      <w:pPr>
        <w:pStyle w:val="Heading2"/>
      </w:pPr>
      <w:r>
        <w:t>Count One: Section 6103—Failure to Obey a Court Order</w:t>
      </w:r>
    </w:p>
    <w:p w14:paraId="0C5D0F0A" w14:textId="77777777" w:rsidR="00366F64" w:rsidRDefault="00366F64" w:rsidP="00B41AA7">
      <w:pPr>
        <w:ind w:firstLine="720"/>
        <w:jc w:val="both"/>
      </w:pPr>
      <w:r>
        <w:t xml:space="preserve">In count one, the NDC alleged that Thibault willfully violated section 6103 by </w:t>
      </w:r>
      <w:r w:rsidRPr="00B02FE4">
        <w:t xml:space="preserve">failing to comply with the </w:t>
      </w:r>
      <w:r>
        <w:t xml:space="preserve">sanctions order in </w:t>
      </w:r>
      <w:r w:rsidRPr="00B02FE4">
        <w:rPr>
          <w:i/>
          <w:iCs/>
        </w:rPr>
        <w:t>Rattan v. Prasad</w:t>
      </w:r>
      <w:r>
        <w:t xml:space="preserve">, which ordered Thibault </w:t>
      </w:r>
      <w:r w:rsidRPr="00B02FE4">
        <w:t xml:space="preserve">to pay </w:t>
      </w:r>
      <w:proofErr w:type="spellStart"/>
      <w:r w:rsidRPr="00B02FE4">
        <w:t>Elter</w:t>
      </w:r>
      <w:proofErr w:type="spellEnd"/>
      <w:r w:rsidRPr="00B02FE4">
        <w:t xml:space="preserve"> $5,000 within 60 days</w:t>
      </w:r>
      <w:r>
        <w:t xml:space="preserve"> of July 19, 2018</w:t>
      </w:r>
      <w:r w:rsidRPr="00B02FE4">
        <w:t>.</w:t>
      </w:r>
      <w:r>
        <w:t xml:space="preserve">  The hearing judge rejected Thibault’s good faith arguments and found her culpable as charged since Thibault waited over eight months after the sanctions order became final before paying </w:t>
      </w:r>
      <w:proofErr w:type="spellStart"/>
      <w:r>
        <w:t>Elter</w:t>
      </w:r>
      <w:proofErr w:type="spellEnd"/>
      <w:r>
        <w:t xml:space="preserve">.  </w:t>
      </w:r>
    </w:p>
    <w:p w14:paraId="6916A342" w14:textId="3B20D3D5" w:rsidR="00366F64" w:rsidRDefault="00366F64" w:rsidP="00B41AA7">
      <w:pPr>
        <w:ind w:firstLine="720"/>
      </w:pPr>
      <w:r w:rsidRPr="1C042EB2">
        <w:lastRenderedPageBreak/>
        <w:t xml:space="preserve">Section 6103 prohibits an attorney from willful disobedience or violation of a court order </w:t>
      </w:r>
      <w:r>
        <w:t xml:space="preserve">that </w:t>
      </w:r>
      <w:r w:rsidRPr="1C042EB2">
        <w:t>requir</w:t>
      </w:r>
      <w:r>
        <w:t>es</w:t>
      </w:r>
      <w:r w:rsidRPr="1C042EB2">
        <w:t xml:space="preserve"> </w:t>
      </w:r>
      <w:r>
        <w:t>the attorney</w:t>
      </w:r>
      <w:r w:rsidRPr="1C042EB2">
        <w:t xml:space="preserve"> to do or forbear an act.</w:t>
      </w:r>
      <w:r>
        <w:rPr>
          <w:szCs w:val="24"/>
        </w:rPr>
        <w:t xml:space="preserve">  </w:t>
      </w:r>
      <w:r>
        <w:t xml:space="preserve">An attorney willfully violates section 6103 when she </w:t>
      </w:r>
      <w:r w:rsidRPr="1C042EB2">
        <w:t>is aware of a final, binding court order and intends h</w:t>
      </w:r>
      <w:r>
        <w:t>er</w:t>
      </w:r>
      <w:r w:rsidRPr="1C042EB2">
        <w:t xml:space="preserve"> acts or omissions in violating th</w:t>
      </w:r>
      <w:r>
        <w:t>at</w:t>
      </w:r>
      <w:r w:rsidRPr="1C042EB2">
        <w:t xml:space="preserve"> order</w:t>
      </w:r>
      <w:r w:rsidRPr="00610190">
        <w:rPr>
          <w:szCs w:val="24"/>
        </w:rPr>
        <w:t xml:space="preserve">. </w:t>
      </w:r>
      <w:r>
        <w:rPr>
          <w:szCs w:val="24"/>
        </w:rPr>
        <w:t xml:space="preserve"> </w:t>
      </w:r>
      <w:r w:rsidRPr="00610190">
        <w:rPr>
          <w:szCs w:val="24"/>
        </w:rPr>
        <w:t>(</w:t>
      </w:r>
      <w:r w:rsidRPr="53B014EA">
        <w:rPr>
          <w:i/>
          <w:iCs/>
        </w:rPr>
        <w:t xml:space="preserve">In the Matter of Maloney and </w:t>
      </w:r>
      <w:proofErr w:type="spellStart"/>
      <w:r w:rsidRPr="53B014EA">
        <w:rPr>
          <w:i/>
          <w:iCs/>
        </w:rPr>
        <w:t>Virsik</w:t>
      </w:r>
      <w:proofErr w:type="spellEnd"/>
      <w:r w:rsidRPr="1C042EB2">
        <w:t xml:space="preserve"> (Review Dept. 2005) 4 Cal. State Bar Ct. </w:t>
      </w:r>
      <w:proofErr w:type="spellStart"/>
      <w:r w:rsidRPr="1C042EB2">
        <w:t>Rptr</w:t>
      </w:r>
      <w:proofErr w:type="spellEnd"/>
      <w:r w:rsidRPr="1C042EB2">
        <w:t>. 774, 787.)</w:t>
      </w:r>
      <w:r>
        <w:rPr>
          <w:szCs w:val="24"/>
        </w:rPr>
        <w:t xml:space="preserve">  To prove Thibault violated section 6103, OCTC</w:t>
      </w:r>
      <w:r w:rsidRPr="1C042EB2">
        <w:t xml:space="preserve"> must establish that </w:t>
      </w:r>
      <w:r>
        <w:t>Thibault</w:t>
      </w:r>
      <w:r w:rsidRPr="00610190">
        <w:rPr>
          <w:szCs w:val="24"/>
        </w:rPr>
        <w:t xml:space="preserve"> </w:t>
      </w:r>
      <w:r>
        <w:t>(1)</w:t>
      </w:r>
      <w:r w:rsidR="00644553">
        <w:t> </w:t>
      </w:r>
      <w:r>
        <w:t xml:space="preserve">willfully disobeyed a court’s order and (2) the order required her to do or forbear an act in connection with or </w:t>
      </w:r>
      <w:proofErr w:type="gramStart"/>
      <w:r>
        <w:t>in the course of</w:t>
      </w:r>
      <w:proofErr w:type="gramEnd"/>
      <w:r w:rsidRPr="1C042EB2">
        <w:t xml:space="preserve"> h</w:t>
      </w:r>
      <w:r>
        <w:t>er</w:t>
      </w:r>
      <w:r w:rsidRPr="1C042EB2">
        <w:t xml:space="preserve"> profession </w:t>
      </w:r>
      <w:r>
        <w:t>that</w:t>
      </w:r>
      <w:r w:rsidRPr="1C042EB2">
        <w:t xml:space="preserve"> </w:t>
      </w:r>
      <w:r>
        <w:t>s</w:t>
      </w:r>
      <w:r w:rsidRPr="1C042EB2">
        <w:t>he ought in good faith to have done or not done.  (</w:t>
      </w:r>
      <w:r w:rsidRPr="53B014EA">
        <w:rPr>
          <w:i/>
          <w:iCs/>
        </w:rPr>
        <w:t xml:space="preserve">In the Matter of </w:t>
      </w:r>
      <w:proofErr w:type="spellStart"/>
      <w:r w:rsidRPr="53B014EA">
        <w:rPr>
          <w:i/>
          <w:iCs/>
        </w:rPr>
        <w:t>Khakshooy</w:t>
      </w:r>
      <w:proofErr w:type="spellEnd"/>
      <w:r w:rsidRPr="53B014EA">
        <w:rPr>
          <w:i/>
          <w:iCs/>
        </w:rPr>
        <w:t xml:space="preserve"> </w:t>
      </w:r>
      <w:r w:rsidRPr="1C042EB2">
        <w:t>(Review Dept. 2019)</w:t>
      </w:r>
      <w:r w:rsidRPr="53B014EA">
        <w:rPr>
          <w:i/>
          <w:iCs/>
        </w:rPr>
        <w:t xml:space="preserve"> </w:t>
      </w:r>
      <w:r>
        <w:t xml:space="preserve">5 Cal. State Bar Ct. </w:t>
      </w:r>
      <w:proofErr w:type="spellStart"/>
      <w:r>
        <w:t>Rptr</w:t>
      </w:r>
      <w:proofErr w:type="spellEnd"/>
      <w:r w:rsidRPr="1C042EB2">
        <w:t>. 681</w:t>
      </w:r>
      <w:r>
        <w:t>, 6</w:t>
      </w:r>
      <w:r w:rsidR="00F12923">
        <w:t>92</w:t>
      </w:r>
      <w:r>
        <w:t xml:space="preserve">.)  </w:t>
      </w:r>
    </w:p>
    <w:p w14:paraId="248216C3" w14:textId="2ACF5024" w:rsidR="00366F64" w:rsidRDefault="00366F64" w:rsidP="00B41AA7">
      <w:pPr>
        <w:ind w:firstLine="720"/>
      </w:pPr>
      <w:r>
        <w:t>On review, Thibault argues that she did not violate the court’s order because it is not final and binding for the purposes of discipline</w:t>
      </w:r>
      <w:r w:rsidR="008057A9">
        <w:t xml:space="preserve">.  </w:t>
      </w:r>
      <w:r>
        <w:t xml:space="preserve">She further claims she held a good faith belief </w:t>
      </w:r>
      <w:r w:rsidR="007A34AD">
        <w:t xml:space="preserve">that </w:t>
      </w:r>
      <w:r>
        <w:t>the sanctions order was invalid and therefore she was not required to pay the imposed sanctions.  Finally,</w:t>
      </w:r>
      <w:r w:rsidR="008057A9">
        <w:t xml:space="preserve"> </w:t>
      </w:r>
      <w:r w:rsidR="00DA4FF1">
        <w:t>Thibault</w:t>
      </w:r>
      <w:r w:rsidR="008057A9" w:rsidRPr="0015788B">
        <w:t xml:space="preserve"> argues she was denied due process</w:t>
      </w:r>
      <w:r w:rsidR="007C3280">
        <w:t xml:space="preserve"> and </w:t>
      </w:r>
      <w:r w:rsidRPr="00461555">
        <w:t>her payment of the sanctions order was reasonable under the circumstances.</w:t>
      </w:r>
      <w:r>
        <w:t xml:space="preserve">  As explained below, Thibault’s arguments are without merit, and we find her culpable of willfully violating section 6103.  </w:t>
      </w:r>
    </w:p>
    <w:p w14:paraId="2DAFED04" w14:textId="77777777" w:rsidR="00366F64" w:rsidRDefault="00366F64" w:rsidP="00B41AA7">
      <w:pPr>
        <w:ind w:firstLine="720"/>
        <w:rPr>
          <w:szCs w:val="24"/>
        </w:rPr>
      </w:pPr>
      <w:r>
        <w:t xml:space="preserve">The record establishes that Thibault had actual notice of the sanctions order and the requirement that she was to pay the sanctions </w:t>
      </w:r>
      <w:r w:rsidRPr="00B02FE4">
        <w:t>within 60 days</w:t>
      </w:r>
      <w:r>
        <w:t xml:space="preserve"> of the judge ordering them</w:t>
      </w:r>
      <w:r w:rsidRPr="00B02FE4">
        <w:t>.</w:t>
      </w:r>
      <w:r>
        <w:t xml:space="preserve">  She was </w:t>
      </w:r>
      <w:r w:rsidRPr="1C042EB2">
        <w:t>aware o</w:t>
      </w:r>
      <w:r>
        <w:t xml:space="preserve">n July 19, 2018, that the superior court intended to impose sanctions on her as she was present in court for the hearing when Judge </w:t>
      </w:r>
      <w:proofErr w:type="spellStart"/>
      <w:r>
        <w:t>Syren</w:t>
      </w:r>
      <w:proofErr w:type="spellEnd"/>
      <w:r>
        <w:t xml:space="preserve"> ordered her to pay $5,000 to </w:t>
      </w:r>
      <w:proofErr w:type="spellStart"/>
      <w:r>
        <w:t>Elter</w:t>
      </w:r>
      <w:proofErr w:type="spellEnd"/>
      <w:r>
        <w:t xml:space="preserve"> within 60 days of July 19.  Shortly after the sanctions were ordered, Thibault challenged the order by appealing it.  On September 24, 2020, the Court of Appeal dismissed her appeal and held that the sanctions order was not appealable under Code of Civil Procedure section 904.1, subdivision </w:t>
      </w:r>
      <w:r>
        <w:lastRenderedPageBreak/>
        <w:t>(a)(12), and subsequently denied her request to rehear the matter.</w:t>
      </w:r>
      <w:r>
        <w:rPr>
          <w:rStyle w:val="FootnoteReference"/>
        </w:rPr>
        <w:footnoteReference w:id="17"/>
      </w:r>
      <w:r>
        <w:t xml:space="preserve">  The California Supreme Court denied her request for review on December 30.  </w:t>
      </w:r>
      <w:r>
        <w:rPr>
          <w:szCs w:val="24"/>
        </w:rPr>
        <w:t xml:space="preserve">Thibault delayed payment to </w:t>
      </w:r>
      <w:proofErr w:type="spellStart"/>
      <w:r>
        <w:rPr>
          <w:szCs w:val="24"/>
        </w:rPr>
        <w:t>Elter</w:t>
      </w:r>
      <w:proofErr w:type="spellEnd"/>
      <w:r>
        <w:rPr>
          <w:szCs w:val="24"/>
        </w:rPr>
        <w:t xml:space="preserve"> for an additional eight months and only after OCTC began its investigation.  </w:t>
      </w:r>
      <w:r>
        <w:t xml:space="preserve">Contrary to Thibault’s argument stating otherwise, the sanctions order became final no later than December 30, 2020, and is thus binding for the purposes of discipline.  </w:t>
      </w:r>
      <w:r>
        <w:rPr>
          <w:szCs w:val="24"/>
        </w:rPr>
        <w:t xml:space="preserve">(See </w:t>
      </w:r>
      <w:r w:rsidRPr="003154E1">
        <w:rPr>
          <w:i/>
          <w:szCs w:val="24"/>
        </w:rPr>
        <w:t>In the Matter of Collins</w:t>
      </w:r>
      <w:r w:rsidRPr="003154E1">
        <w:rPr>
          <w:szCs w:val="24"/>
        </w:rPr>
        <w:t xml:space="preserve"> (Review Dept. 2018</w:t>
      </w:r>
      <w:r>
        <w:rPr>
          <w:szCs w:val="24"/>
        </w:rPr>
        <w:t>)</w:t>
      </w:r>
      <w:r w:rsidRPr="003154E1">
        <w:rPr>
          <w:szCs w:val="24"/>
        </w:rPr>
        <w:t xml:space="preserve"> 5</w:t>
      </w:r>
      <w:r>
        <w:rPr>
          <w:szCs w:val="24"/>
        </w:rPr>
        <w:t> </w:t>
      </w:r>
      <w:r w:rsidRPr="003154E1">
        <w:rPr>
          <w:szCs w:val="24"/>
        </w:rPr>
        <w:t xml:space="preserve">Cal. State Bar Ct. </w:t>
      </w:r>
      <w:proofErr w:type="spellStart"/>
      <w:r w:rsidRPr="003154E1">
        <w:rPr>
          <w:szCs w:val="24"/>
        </w:rPr>
        <w:t>Rptr</w:t>
      </w:r>
      <w:proofErr w:type="spellEnd"/>
      <w:r w:rsidRPr="003154E1">
        <w:rPr>
          <w:szCs w:val="24"/>
        </w:rPr>
        <w:t>. 551, 559</w:t>
      </w:r>
      <w:r>
        <w:rPr>
          <w:szCs w:val="24"/>
        </w:rPr>
        <w:t>–</w:t>
      </w:r>
      <w:r w:rsidRPr="003154E1">
        <w:rPr>
          <w:szCs w:val="24"/>
        </w:rPr>
        <w:t>560</w:t>
      </w:r>
      <w:r>
        <w:rPr>
          <w:szCs w:val="24"/>
        </w:rPr>
        <w:t xml:space="preserve"> [</w:t>
      </w:r>
      <w:r w:rsidRPr="00675AE5">
        <w:rPr>
          <w:szCs w:val="24"/>
        </w:rPr>
        <w:t>court orders are final for disciplinary purposes once review is waived or exhausted</w:t>
      </w:r>
      <w:r>
        <w:rPr>
          <w:szCs w:val="24"/>
        </w:rPr>
        <w:t>].)</w:t>
      </w:r>
      <w:r>
        <w:rPr>
          <w:rStyle w:val="FootnoteReference"/>
          <w:szCs w:val="24"/>
        </w:rPr>
        <w:footnoteReference w:id="18"/>
      </w:r>
      <w:r>
        <w:rPr>
          <w:szCs w:val="24"/>
        </w:rPr>
        <w:t xml:space="preserve">  </w:t>
      </w:r>
    </w:p>
    <w:p w14:paraId="51247271" w14:textId="77777777" w:rsidR="00366F64" w:rsidRDefault="00366F64" w:rsidP="00B41AA7">
      <w:pPr>
        <w:ind w:firstLine="720"/>
      </w:pPr>
      <w:r>
        <w:t xml:space="preserve">We also reject Thibault’s assertion that she should not be held culpable for violating section 6103 because she acted in good faith.  Thibault knew about the sanctions, ignored reminders from </w:t>
      </w:r>
      <w:proofErr w:type="spellStart"/>
      <w:r>
        <w:t>Elter</w:t>
      </w:r>
      <w:proofErr w:type="spellEnd"/>
      <w:r>
        <w:t>, refused to pay the sanctions even after being contacted by an OCTC investigator in 2019, and unsuccessfully challenged the sanctions order in the California appellate courts.  Her actions were not reasonable, and Thibault’</w:t>
      </w:r>
      <w:r w:rsidRPr="00963B58">
        <w:t xml:space="preserve">s failure to take any action </w:t>
      </w:r>
      <w:r>
        <w:t>for eight months after the order became final and binding</w:t>
      </w:r>
      <w:r w:rsidRPr="00963B58">
        <w:t xml:space="preserve"> does not demonstrate good faith. </w:t>
      </w:r>
      <w:r>
        <w:t xml:space="preserve"> </w:t>
      </w:r>
      <w:r w:rsidRPr="00963B58">
        <w:t>(See </w:t>
      </w:r>
      <w:r w:rsidRPr="00963B58">
        <w:rPr>
          <w:i/>
          <w:iCs/>
        </w:rPr>
        <w:t>In the Matter of Riordan</w:t>
      </w:r>
      <w:r w:rsidRPr="00963B58">
        <w:t xml:space="preserve"> (Review Dept. 2007) 5 Cal. State Bar Ct. </w:t>
      </w:r>
      <w:proofErr w:type="spellStart"/>
      <w:r w:rsidRPr="00963B58">
        <w:t>Rptr</w:t>
      </w:r>
      <w:proofErr w:type="spellEnd"/>
      <w:r w:rsidRPr="00963B58">
        <w:t>. 41, 47 [good faith belief under § 6103 is not established where attorney has affirmative duty to respond to court</w:t>
      </w:r>
      <w:r>
        <w:t>’</w:t>
      </w:r>
      <w:r w:rsidRPr="00963B58">
        <w:t>s order but does not].) </w:t>
      </w:r>
      <w:r>
        <w:t xml:space="preserve"> </w:t>
      </w:r>
    </w:p>
    <w:p w14:paraId="7E473788" w14:textId="671A3BF3" w:rsidR="00366F64" w:rsidRDefault="00366F64" w:rsidP="00B41AA7">
      <w:pPr>
        <w:ind w:firstLine="720"/>
      </w:pPr>
      <w:r>
        <w:lastRenderedPageBreak/>
        <w:t xml:space="preserve">Thibault argues that she was denied due process </w:t>
      </w:r>
      <w:r w:rsidR="001402F9">
        <w:t xml:space="preserve">because </w:t>
      </w:r>
      <w:r>
        <w:t xml:space="preserve">the superior court acted in contravention of certain procedural requirements such that the sanctions order is “legally and factually deficient.”  This claim is meritless because any due process issues must be raised in the superior court and not here.  </w:t>
      </w:r>
      <w:r>
        <w:rPr>
          <w:szCs w:val="24"/>
        </w:rPr>
        <w:t xml:space="preserve">(See </w:t>
      </w:r>
      <w:r w:rsidRPr="003154E1">
        <w:rPr>
          <w:i/>
          <w:szCs w:val="24"/>
        </w:rPr>
        <w:t>In the Matter of Collins</w:t>
      </w:r>
      <w:r>
        <w:rPr>
          <w:iCs/>
          <w:szCs w:val="24"/>
        </w:rPr>
        <w:t xml:space="preserve">, </w:t>
      </w:r>
      <w:r>
        <w:rPr>
          <w:i/>
          <w:szCs w:val="24"/>
        </w:rPr>
        <w:t>supra</w:t>
      </w:r>
      <w:r>
        <w:rPr>
          <w:iCs/>
          <w:szCs w:val="24"/>
        </w:rPr>
        <w:t>,</w:t>
      </w:r>
      <w:r w:rsidRPr="003154E1">
        <w:rPr>
          <w:szCs w:val="24"/>
        </w:rPr>
        <w:t xml:space="preserve"> 5</w:t>
      </w:r>
      <w:r>
        <w:rPr>
          <w:szCs w:val="24"/>
        </w:rPr>
        <w:t> </w:t>
      </w:r>
      <w:r w:rsidRPr="003154E1">
        <w:rPr>
          <w:szCs w:val="24"/>
        </w:rPr>
        <w:t>Cal. State Bar Ct.</w:t>
      </w:r>
      <w:r>
        <w:rPr>
          <w:szCs w:val="24"/>
        </w:rPr>
        <w:t xml:space="preserve"> </w:t>
      </w:r>
      <w:proofErr w:type="spellStart"/>
      <w:r>
        <w:rPr>
          <w:szCs w:val="24"/>
        </w:rPr>
        <w:t>Rptr</w:t>
      </w:r>
      <w:proofErr w:type="spellEnd"/>
      <w:r>
        <w:rPr>
          <w:szCs w:val="24"/>
        </w:rPr>
        <w:t>. at p. 560 [“</w:t>
      </w:r>
      <w:r w:rsidRPr="0099520D">
        <w:rPr>
          <w:szCs w:val="24"/>
        </w:rPr>
        <w:t xml:space="preserve">remedy lies in the </w:t>
      </w:r>
      <w:r>
        <w:rPr>
          <w:szCs w:val="24"/>
        </w:rPr>
        <w:t>‘</w:t>
      </w:r>
      <w:r w:rsidRPr="0099520D">
        <w:rPr>
          <w:szCs w:val="24"/>
        </w:rPr>
        <w:t>courts of record,</w:t>
      </w:r>
      <w:r>
        <w:rPr>
          <w:szCs w:val="24"/>
        </w:rPr>
        <w:t>’”</w:t>
      </w:r>
      <w:r w:rsidRPr="0099520D">
        <w:rPr>
          <w:szCs w:val="24"/>
        </w:rPr>
        <w:t xml:space="preserve"> whe</w:t>
      </w:r>
      <w:r>
        <w:rPr>
          <w:szCs w:val="24"/>
        </w:rPr>
        <w:t xml:space="preserve">n attorney seeks to challenge </w:t>
      </w:r>
      <w:r w:rsidR="0092179C">
        <w:rPr>
          <w:szCs w:val="24"/>
        </w:rPr>
        <w:t xml:space="preserve">superior court’s </w:t>
      </w:r>
      <w:r>
        <w:rPr>
          <w:szCs w:val="24"/>
        </w:rPr>
        <w:t>sanction</w:t>
      </w:r>
      <w:r w:rsidR="001655E8">
        <w:rPr>
          <w:szCs w:val="24"/>
        </w:rPr>
        <w:t>s</w:t>
      </w:r>
      <w:r>
        <w:rPr>
          <w:szCs w:val="24"/>
        </w:rPr>
        <w:t xml:space="preserve"> order]</w:t>
      </w:r>
      <w:r w:rsidRPr="0099520D">
        <w:rPr>
          <w:szCs w:val="24"/>
        </w:rPr>
        <w:t>.</w:t>
      </w:r>
      <w:r>
        <w:rPr>
          <w:szCs w:val="24"/>
        </w:rPr>
        <w:t xml:space="preserve">)  </w:t>
      </w:r>
      <w:r>
        <w:t xml:space="preserve">Considering the Court of Appeal’s opinion from September 2020, which explained that the sanctions order was not appealable, and the fact that Thibault has exhausted the appellate review process, her actions are not objectively reasonable.  Further, the timing of her current motion in superior court to set aside the sanctions order as void—after the NDC was filed and shortly before the disciplinary trial started—does not support her claim of good faith.  To the contrary, it appears she filed the motion </w:t>
      </w:r>
      <w:proofErr w:type="gramStart"/>
      <w:r>
        <w:t>in an attempt to</w:t>
      </w:r>
      <w:proofErr w:type="gramEnd"/>
      <w:r>
        <w:t xml:space="preserve"> delay and frustrate these disciplinary proceedings, which was unsuccessful.  Thibault did not have a good faith reason for failing to comply with the superior court’s sanctions order, which is final and binding.  (See </w:t>
      </w:r>
      <w:proofErr w:type="spellStart"/>
      <w:r>
        <w:rPr>
          <w:i/>
        </w:rPr>
        <w:t>Maltaman</w:t>
      </w:r>
      <w:proofErr w:type="spellEnd"/>
      <w:r>
        <w:rPr>
          <w:i/>
        </w:rPr>
        <w:t xml:space="preserve"> v. State Bar</w:t>
      </w:r>
      <w:r w:rsidR="00C23FB7">
        <w:rPr>
          <w:iCs/>
        </w:rPr>
        <w:t xml:space="preserve">, </w:t>
      </w:r>
      <w:r w:rsidR="00C23FB7">
        <w:rPr>
          <w:i/>
        </w:rPr>
        <w:t>supra</w:t>
      </w:r>
      <w:r w:rsidR="00C23FB7">
        <w:rPr>
          <w:iCs/>
        </w:rPr>
        <w:t>,</w:t>
      </w:r>
      <w:r>
        <w:rPr>
          <w:i/>
        </w:rPr>
        <w:t xml:space="preserve"> </w:t>
      </w:r>
      <w:r>
        <w:t>43 Cal.3d 924, 951</w:t>
      </w:r>
      <w:r w:rsidR="00644553">
        <w:t>–</w:t>
      </w:r>
      <w:r>
        <w:t>952 [</w:t>
      </w:r>
      <w:r w:rsidRPr="003154E1">
        <w:rPr>
          <w:szCs w:val="24"/>
        </w:rPr>
        <w:t xml:space="preserve">technical arguments regarding validity of civil court orders waived </w:t>
      </w:r>
      <w:r>
        <w:rPr>
          <w:szCs w:val="24"/>
        </w:rPr>
        <w:t xml:space="preserve">when </w:t>
      </w:r>
      <w:r w:rsidRPr="003154E1">
        <w:rPr>
          <w:szCs w:val="24"/>
        </w:rPr>
        <w:t>orders became final;</w:t>
      </w:r>
      <w:r>
        <w:t xml:space="preserve"> “no plausible belief in the right to ignore final, unchallengeable orders one personally considers invalid”].)  </w:t>
      </w:r>
    </w:p>
    <w:p w14:paraId="0D2A5E7C" w14:textId="3A5BF539" w:rsidR="00366F64" w:rsidRDefault="00644553" w:rsidP="00366F64">
      <w:pPr>
        <w:tabs>
          <w:tab w:val="left" w:pos="720"/>
        </w:tabs>
      </w:pPr>
      <w:r>
        <w:tab/>
      </w:r>
      <w:r w:rsidR="00366F64">
        <w:t xml:space="preserve">Thibault did not pay the sanctions until over three years after she knew about the obligation and eight months after her appeals were exhausted.  </w:t>
      </w:r>
      <w:r w:rsidR="00191999">
        <w:t>Contrary to her claim, h</w:t>
      </w:r>
      <w:r w:rsidR="00366F64">
        <w:t xml:space="preserve">er actions were </w:t>
      </w:r>
      <w:r w:rsidR="00191999">
        <w:t xml:space="preserve">not </w:t>
      </w:r>
      <w:r w:rsidR="00366F64">
        <w:t xml:space="preserve">reasonable and constituted a violation of the superior court’s order.  (See </w:t>
      </w:r>
      <w:r w:rsidR="00366F64">
        <w:rPr>
          <w:i/>
        </w:rPr>
        <w:t>In the Matter of Burke</w:t>
      </w:r>
      <w:r w:rsidR="00366F64">
        <w:t xml:space="preserve"> (Review Dept. 2016) 5 Cal. State Bar Ct. </w:t>
      </w:r>
      <w:proofErr w:type="spellStart"/>
      <w:r w:rsidR="00366F64">
        <w:t>Rptr</w:t>
      </w:r>
      <w:proofErr w:type="spellEnd"/>
      <w:r w:rsidR="00366F64">
        <w:t>. 448, 45</w:t>
      </w:r>
      <w:r w:rsidR="00A35F83">
        <w:t>8</w:t>
      </w:r>
      <w:r w:rsidR="00366F64">
        <w:t xml:space="preserve"> [failure to pay sanctions for nearly 11 months was not reasonable and established culpability for § 6103]; </w:t>
      </w:r>
      <w:r w:rsidR="00366F64">
        <w:rPr>
          <w:i/>
        </w:rPr>
        <w:t>In the Matter of Respondent Y</w:t>
      </w:r>
      <w:r w:rsidR="00366F64">
        <w:rPr>
          <w:iCs/>
        </w:rPr>
        <w:t xml:space="preserve"> </w:t>
      </w:r>
      <w:r w:rsidR="00366F64">
        <w:t xml:space="preserve">(Review Dept. 1998) 3 Cal. State Bar Ct. </w:t>
      </w:r>
      <w:proofErr w:type="spellStart"/>
      <w:r w:rsidR="00366F64">
        <w:t>Rptr</w:t>
      </w:r>
      <w:proofErr w:type="spellEnd"/>
      <w:r w:rsidR="00366F64">
        <w:t>. 862, 867</w:t>
      </w:r>
      <w:bookmarkStart w:id="8" w:name="_Hlk148352933"/>
      <w:r w:rsidR="00366F64">
        <w:t>–</w:t>
      </w:r>
      <w:bookmarkEnd w:id="8"/>
      <w:r w:rsidR="00366F64">
        <w:t>868 [failure to pay sanctions was § 6103 violation when attorney had over year to pay].)  Accordingly, we affirm the hearing judge’s culpability finding under count one.</w:t>
      </w:r>
    </w:p>
    <w:p w14:paraId="2D777B1D" w14:textId="77777777" w:rsidR="00366F64" w:rsidRDefault="00366F64" w:rsidP="00366F64">
      <w:pPr>
        <w:pStyle w:val="Heading2"/>
      </w:pPr>
      <w:r>
        <w:lastRenderedPageBreak/>
        <w:t>Count Four: Section 6068(o)(3)—Failure to Report Sanctions to the State Bar</w:t>
      </w:r>
    </w:p>
    <w:p w14:paraId="5BBAC6A0" w14:textId="77777777" w:rsidR="00366F64" w:rsidRDefault="00366F64" w:rsidP="00B41AA7">
      <w:pPr>
        <w:ind w:firstLine="720"/>
      </w:pPr>
      <w:r w:rsidRPr="0065633E">
        <w:rPr>
          <w:szCs w:val="24"/>
        </w:rPr>
        <w:t>Section 6068, subdivision (o)(3), provides that</w:t>
      </w:r>
      <w:r>
        <w:rPr>
          <w:szCs w:val="24"/>
        </w:rPr>
        <w:t>,</w:t>
      </w:r>
      <w:r w:rsidRPr="0065633E">
        <w:rPr>
          <w:szCs w:val="24"/>
        </w:rPr>
        <w:t xml:space="preserve"> within 30 days of knowledge, an attorney has a duty to report, in writing, to the State Bar the imposition of judicial sanctions against the attorney of $1,000 or more </w:t>
      </w:r>
      <w:r>
        <w:rPr>
          <w:szCs w:val="24"/>
        </w:rPr>
        <w:t>that</w:t>
      </w:r>
      <w:r w:rsidRPr="0065633E">
        <w:rPr>
          <w:szCs w:val="24"/>
        </w:rPr>
        <w:t xml:space="preserve"> were not imposed for failure to make discovery.</w:t>
      </w:r>
      <w:r>
        <w:rPr>
          <w:szCs w:val="24"/>
        </w:rPr>
        <w:t xml:space="preserve">  OCTC charged Thibault with willfully violating section 6068, </w:t>
      </w:r>
      <w:r w:rsidRPr="0065633E">
        <w:rPr>
          <w:szCs w:val="24"/>
        </w:rPr>
        <w:t>subdivision (o)(3),</w:t>
      </w:r>
      <w:r>
        <w:rPr>
          <w:szCs w:val="24"/>
        </w:rPr>
        <w:t xml:space="preserve"> because she failed to timely report to the State Bar the sanctions order issued on July 19, 2018, that directed her to pay $5,000 to </w:t>
      </w:r>
      <w:proofErr w:type="spellStart"/>
      <w:r>
        <w:rPr>
          <w:szCs w:val="24"/>
        </w:rPr>
        <w:t>Elter</w:t>
      </w:r>
      <w:proofErr w:type="spellEnd"/>
      <w:r>
        <w:rPr>
          <w:szCs w:val="24"/>
        </w:rPr>
        <w:t xml:space="preserve">.  The hearing judge found Thibault culpable under count four because she did not report the sanctions until nearly four years after the court imposed them.  </w:t>
      </w:r>
    </w:p>
    <w:p w14:paraId="2762BFB8" w14:textId="3A806D30" w:rsidR="00366F64" w:rsidRPr="002478F5" w:rsidRDefault="00366F64" w:rsidP="00B41AA7">
      <w:pPr>
        <w:ind w:firstLine="720"/>
        <w:rPr>
          <w:szCs w:val="24"/>
        </w:rPr>
      </w:pPr>
      <w:r>
        <w:t xml:space="preserve">On review, Thibault expresses some acknowledgment of her culpability by stating her failure to report the sanctions order within 30 days “wasn’t the right thing to do.” </w:t>
      </w:r>
      <w:r w:rsidR="00F15F6F">
        <w:t xml:space="preserve"> </w:t>
      </w:r>
      <w:r>
        <w:t xml:space="preserve">Nonetheless, she asserts count four should be dismissed based on her lack of knowledge that the sanctions order is final and binding, relying on </w:t>
      </w:r>
      <w:r w:rsidRPr="53B014EA">
        <w:rPr>
          <w:i/>
          <w:iCs/>
        </w:rPr>
        <w:t xml:space="preserve">In the Matter of Maloney and </w:t>
      </w:r>
      <w:proofErr w:type="spellStart"/>
      <w:r w:rsidRPr="53B014EA">
        <w:rPr>
          <w:i/>
          <w:iCs/>
        </w:rPr>
        <w:t>Virsik</w:t>
      </w:r>
      <w:proofErr w:type="spellEnd"/>
      <w:r>
        <w:t xml:space="preserve">, </w:t>
      </w:r>
      <w:r>
        <w:rPr>
          <w:i/>
          <w:iCs/>
        </w:rPr>
        <w:t>supra</w:t>
      </w:r>
      <w:r>
        <w:t xml:space="preserve">, 4 Cal. State Bar Ct. </w:t>
      </w:r>
      <w:proofErr w:type="spellStart"/>
      <w:r>
        <w:t>Rptr</w:t>
      </w:r>
      <w:proofErr w:type="spellEnd"/>
      <w:r>
        <w:t xml:space="preserve">. 774.  OCTC points out that Thibault’s reliance on </w:t>
      </w:r>
      <w:r w:rsidRPr="53B014EA">
        <w:rPr>
          <w:i/>
          <w:iCs/>
        </w:rPr>
        <w:t xml:space="preserve">In the Matter of Maloney and </w:t>
      </w:r>
      <w:proofErr w:type="spellStart"/>
      <w:r w:rsidRPr="53B014EA">
        <w:rPr>
          <w:i/>
          <w:iCs/>
        </w:rPr>
        <w:t>Virsik</w:t>
      </w:r>
      <w:proofErr w:type="spellEnd"/>
      <w:r>
        <w:t xml:space="preserve"> is misplaced because, unlike the attorneys in that case, Thibault had actual knowledge of the court order.  We agree.  Thibault also claims that </w:t>
      </w:r>
      <w:r w:rsidR="00A33D96">
        <w:t>her un</w:t>
      </w:r>
      <w:r>
        <w:t xml:space="preserve">timely reporting </w:t>
      </w:r>
      <w:r w:rsidR="00FE3734">
        <w:t xml:space="preserve">of </w:t>
      </w:r>
      <w:r>
        <w:t xml:space="preserve">the sanctions </w:t>
      </w:r>
      <w:r w:rsidR="00FE3734">
        <w:t xml:space="preserve">order </w:t>
      </w:r>
      <w:r>
        <w:t xml:space="preserve">to the State Bar was an “honest mistake.”  We reject her defense on this point as irrelevant to avoiding culpability under section 6103.  (See </w:t>
      </w:r>
      <w:r>
        <w:rPr>
          <w:i/>
        </w:rPr>
        <w:t>In the Matter of Respondent Y</w:t>
      </w:r>
      <w:r>
        <w:rPr>
          <w:iCs/>
        </w:rPr>
        <w:t xml:space="preserve">, </w:t>
      </w:r>
      <w:r>
        <w:rPr>
          <w:i/>
        </w:rPr>
        <w:t>supra</w:t>
      </w:r>
      <w:r>
        <w:rPr>
          <w:iCs/>
        </w:rPr>
        <w:t>,</w:t>
      </w:r>
      <w:r>
        <w:t xml:space="preserve"> 3 Cal. State Bar Ct. </w:t>
      </w:r>
      <w:proofErr w:type="spellStart"/>
      <w:r>
        <w:t>Rptr</w:t>
      </w:r>
      <w:proofErr w:type="spellEnd"/>
      <w:r>
        <w:t>. at pp.  867</w:t>
      </w:r>
      <w:r w:rsidR="00F15F6F">
        <w:t>-</w:t>
      </w:r>
      <w:r>
        <w:t xml:space="preserve">868 </w:t>
      </w:r>
      <w:r w:rsidRPr="00176D2F">
        <w:t>[</w:t>
      </w:r>
      <w:r>
        <w:t xml:space="preserve">when </w:t>
      </w:r>
      <w:r w:rsidRPr="00176D2F">
        <w:t xml:space="preserve">attorney clearly </w:t>
      </w:r>
      <w:r>
        <w:t xml:space="preserve">has knowledge of </w:t>
      </w:r>
      <w:r w:rsidRPr="00176D2F">
        <w:t>relevant court order, only issue regarding charged violation of section 6103 was whether attorney had reasonable time to comply with the order]</w:t>
      </w:r>
      <w:r>
        <w:t>.)  We conclude that Thibault is culpable under count four as charged because she knew about the $5,000 sanctions order when the superior court imposed it on July</w:t>
      </w:r>
      <w:r w:rsidR="00F15F6F">
        <w:t> </w:t>
      </w:r>
      <w:r>
        <w:t xml:space="preserve">19, 2018, and she did not notify the State Bar in writing until June 22, 2022.  (See </w:t>
      </w:r>
      <w:r w:rsidR="00CF4E23">
        <w:rPr>
          <w:i/>
          <w:iCs/>
        </w:rPr>
        <w:t>i</w:t>
      </w:r>
      <w:r>
        <w:rPr>
          <w:i/>
          <w:iCs/>
        </w:rPr>
        <w:t>d</w:t>
      </w:r>
      <w:r>
        <w:t xml:space="preserve">., at p. </w:t>
      </w:r>
      <w:r>
        <w:lastRenderedPageBreak/>
        <w:t xml:space="preserve">867 </w:t>
      </w:r>
      <w:r w:rsidRPr="002478F5">
        <w:rPr>
          <w:szCs w:val="24"/>
        </w:rPr>
        <w:t>[</w:t>
      </w:r>
      <w:r w:rsidRPr="007C400B">
        <w:rPr>
          <w:szCs w:val="24"/>
        </w:rPr>
        <w:t>failure to report sanctions three months after attorney learned of order is violation of § 6068, subd. (o)(3), and bad faith is not required].)</w:t>
      </w:r>
    </w:p>
    <w:p w14:paraId="4BD99FB8" w14:textId="35528EB0" w:rsidR="00E954D0" w:rsidRDefault="00E954D0" w:rsidP="00E954D0">
      <w:pPr>
        <w:pStyle w:val="Heading1"/>
      </w:pPr>
      <w:r>
        <w:t>aggravation and mitgation</w:t>
      </w:r>
    </w:p>
    <w:p w14:paraId="65D78517" w14:textId="3B79389A" w:rsidR="00F66457" w:rsidRPr="006E5F20" w:rsidRDefault="00F66457" w:rsidP="00F66457">
      <w:pPr>
        <w:tabs>
          <w:tab w:val="left" w:pos="720"/>
        </w:tabs>
        <w:rPr>
          <w:rFonts w:eastAsia="Times New Roman"/>
          <w:color w:val="000000" w:themeColor="text1"/>
          <w:szCs w:val="24"/>
        </w:rPr>
      </w:pPr>
      <w:r w:rsidRPr="006E5F20">
        <w:rPr>
          <w:color w:val="000000" w:themeColor="text1"/>
        </w:rPr>
        <w:t>Standard 1.5</w:t>
      </w:r>
      <w:r w:rsidRPr="006E5F20">
        <w:rPr>
          <w:rStyle w:val="FootnoteReference"/>
          <w:color w:val="000000" w:themeColor="text1"/>
        </w:rPr>
        <w:footnoteReference w:id="19"/>
      </w:r>
      <w:r w:rsidRPr="006E5F20">
        <w:rPr>
          <w:color w:val="000000" w:themeColor="text1"/>
        </w:rPr>
        <w:t xml:space="preserve"> requires OCTC to establish aggravating circumstances by clear and convincing evidence.  Standard 1.6 requires </w:t>
      </w:r>
      <w:r>
        <w:rPr>
          <w:color w:val="000000" w:themeColor="text1"/>
        </w:rPr>
        <w:t>Thibault</w:t>
      </w:r>
      <w:r w:rsidRPr="006E5F20">
        <w:rPr>
          <w:color w:val="000000" w:themeColor="text1"/>
        </w:rPr>
        <w:t xml:space="preserve"> to meet the same burden to prove mitigation.</w:t>
      </w:r>
    </w:p>
    <w:p w14:paraId="3B38D193" w14:textId="66900D6C" w:rsidR="00F66457" w:rsidRDefault="00F66457" w:rsidP="00F66457">
      <w:pPr>
        <w:pStyle w:val="Heading2"/>
      </w:pPr>
      <w:r>
        <w:t>A</w:t>
      </w:r>
      <w:r w:rsidR="00F15F6F">
        <w:t>ggravation</w:t>
      </w:r>
    </w:p>
    <w:p w14:paraId="2E70E96C" w14:textId="6C770D13" w:rsidR="00F66457" w:rsidRDefault="00F66457" w:rsidP="00F66457">
      <w:pPr>
        <w:pStyle w:val="Heading3"/>
      </w:pPr>
      <w:r>
        <w:t xml:space="preserve"> Multiple Acts (Std. 1.5(b))</w:t>
      </w:r>
    </w:p>
    <w:p w14:paraId="2E3D7363" w14:textId="62E96E85" w:rsidR="00C8369A" w:rsidRPr="00C8369A" w:rsidRDefault="00F15F6F" w:rsidP="00C8369A">
      <w:pPr>
        <w:tabs>
          <w:tab w:val="left" w:pos="720"/>
        </w:tabs>
      </w:pPr>
      <w:r>
        <w:tab/>
      </w:r>
      <w:r w:rsidR="00C8369A">
        <w:t xml:space="preserve">The hearing judge assigned </w:t>
      </w:r>
      <w:r w:rsidR="00E07DB8">
        <w:t xml:space="preserve">limited weight in </w:t>
      </w:r>
      <w:r w:rsidR="00C8369A">
        <w:t xml:space="preserve">aggravation for </w:t>
      </w:r>
      <w:r w:rsidR="000A4776">
        <w:t>Thibault</w:t>
      </w:r>
      <w:r w:rsidR="00C8369A">
        <w:t xml:space="preserve">’s </w:t>
      </w:r>
      <w:r w:rsidR="00AB5823">
        <w:t xml:space="preserve">three </w:t>
      </w:r>
      <w:r w:rsidR="00C8369A">
        <w:t>acts of misconduct</w:t>
      </w:r>
      <w:r w:rsidR="00AB5823">
        <w:t xml:space="preserve">: </w:t>
      </w:r>
      <w:r w:rsidR="00C8369A">
        <w:t xml:space="preserve">failing to </w:t>
      </w:r>
      <w:r w:rsidR="0074449F">
        <w:t xml:space="preserve">timely </w:t>
      </w:r>
      <w:r w:rsidR="00C8369A">
        <w:t>pay sanctions</w:t>
      </w:r>
      <w:r w:rsidR="0074449F">
        <w:t xml:space="preserve"> in violation of the superior court order, failing to timely report sanctions to the State Bar, and engaging in a representation adverse to a former client</w:t>
      </w:r>
      <w:r w:rsidR="00C8369A">
        <w:t xml:space="preserve">. </w:t>
      </w:r>
      <w:r w:rsidR="00932E7B">
        <w:t xml:space="preserve"> </w:t>
      </w:r>
      <w:r w:rsidR="0020270E">
        <w:t xml:space="preserve">OCTC </w:t>
      </w:r>
      <w:r w:rsidR="00687428">
        <w:t xml:space="preserve">does not contest this determination.  </w:t>
      </w:r>
      <w:r w:rsidR="00716E54">
        <w:t xml:space="preserve">Thibault argues </w:t>
      </w:r>
      <w:r w:rsidR="0020270E">
        <w:t xml:space="preserve">that the </w:t>
      </w:r>
      <w:r w:rsidR="00932E7B">
        <w:t xml:space="preserve">acts themselves were not </w:t>
      </w:r>
      <w:r w:rsidR="0020270E">
        <w:t>est</w:t>
      </w:r>
      <w:r w:rsidR="00687428">
        <w:t>abl</w:t>
      </w:r>
      <w:r w:rsidR="00932E7B">
        <w:t>ished</w:t>
      </w:r>
      <w:r w:rsidR="00E74CDA">
        <w:t xml:space="preserve">.  </w:t>
      </w:r>
      <w:r w:rsidR="00C8369A">
        <w:t>We agree</w:t>
      </w:r>
      <w:r w:rsidR="004F58E9">
        <w:t xml:space="preserve"> with the jud</w:t>
      </w:r>
      <w:r w:rsidR="007C3CA3">
        <w:t>ge</w:t>
      </w:r>
      <w:r w:rsidR="00C8369A">
        <w:t xml:space="preserve"> and </w:t>
      </w:r>
      <w:r w:rsidR="00E07DB8">
        <w:t>affirm limited</w:t>
      </w:r>
      <w:r w:rsidR="00C8369A">
        <w:t xml:space="preserve"> </w:t>
      </w:r>
      <w:r w:rsidR="00E07DB8">
        <w:t>weight for this circumstance</w:t>
      </w:r>
      <w:r w:rsidR="00C8369A">
        <w:t>.  (</w:t>
      </w:r>
      <w:r w:rsidR="00C8369A">
        <w:rPr>
          <w:i/>
        </w:rPr>
        <w:t>In the Matter of Bach</w:t>
      </w:r>
      <w:r w:rsidR="00C8369A">
        <w:t xml:space="preserve"> (Review Dept. 1991) 1 Cal. State Bar Ct. </w:t>
      </w:r>
      <w:proofErr w:type="spellStart"/>
      <w:r w:rsidR="00C8369A">
        <w:t>Rptr</w:t>
      </w:r>
      <w:proofErr w:type="spellEnd"/>
      <w:r w:rsidR="00C8369A">
        <w:t>. 631, 646</w:t>
      </w:r>
      <w:r w:rsidR="00C8369A">
        <w:rPr>
          <w:rFonts w:eastAsia="Times New Roman"/>
          <w:szCs w:val="24"/>
        </w:rPr>
        <w:t>–</w:t>
      </w:r>
      <w:r w:rsidR="00C8369A">
        <w:t>647 [three instances of misconduct considered multiple acts].)</w:t>
      </w:r>
    </w:p>
    <w:p w14:paraId="16132150" w14:textId="6CA2EC5C" w:rsidR="00F66457" w:rsidRDefault="00F66457" w:rsidP="00F66457">
      <w:pPr>
        <w:pStyle w:val="Heading3"/>
      </w:pPr>
      <w:r>
        <w:t xml:space="preserve"> Indifference (Std. 1.5(k))</w:t>
      </w:r>
    </w:p>
    <w:p w14:paraId="24E4BD04" w14:textId="77ACC7E4" w:rsidR="00C8369A" w:rsidRDefault="00F15F6F" w:rsidP="00C8369A">
      <w:pPr>
        <w:tabs>
          <w:tab w:val="left" w:pos="720"/>
        </w:tabs>
        <w:ind w:right="-144"/>
      </w:pPr>
      <w:r>
        <w:tab/>
      </w:r>
      <w:r w:rsidR="00C8369A">
        <w:t xml:space="preserve">Indifference toward rectification or atonement for the consequences of misconduct is an aggravating circumstance.  The hearing judge found that </w:t>
      </w:r>
      <w:r w:rsidR="00595C93">
        <w:t>Thibault’s attitude during the disciplinary proceeding revealed a lack of insight and understanding of her ethical responsibilities</w:t>
      </w:r>
      <w:r w:rsidR="005C4EFD">
        <w:t>,</w:t>
      </w:r>
      <w:r w:rsidR="00C627AE">
        <w:t xml:space="preserve"> and</w:t>
      </w:r>
      <w:r w:rsidR="005C4EFD">
        <w:t xml:space="preserve"> the judge</w:t>
      </w:r>
      <w:r w:rsidR="00C8369A">
        <w:t xml:space="preserve"> assigned </w:t>
      </w:r>
      <w:r w:rsidR="00C627AE">
        <w:t xml:space="preserve">moderate </w:t>
      </w:r>
      <w:r w:rsidR="005D0AD4">
        <w:t>weight</w:t>
      </w:r>
      <w:r w:rsidR="00455777">
        <w:t>.</w:t>
      </w:r>
      <w:r w:rsidR="005D0AD4">
        <w:t xml:space="preserve"> </w:t>
      </w:r>
    </w:p>
    <w:p w14:paraId="55D60576" w14:textId="51776BB4" w:rsidR="007F5A17" w:rsidRDefault="00F15F6F" w:rsidP="0095067E">
      <w:pPr>
        <w:tabs>
          <w:tab w:val="left" w:pos="720"/>
        </w:tabs>
        <w:ind w:right="-144"/>
      </w:pPr>
      <w:bookmarkStart w:id="9" w:name="_Hlk63087100"/>
      <w:r>
        <w:tab/>
      </w:r>
      <w:r w:rsidR="00595C93">
        <w:t>Thibault</w:t>
      </w:r>
      <w:r w:rsidR="001A4CE6">
        <w:t xml:space="preserve"> has displayed an attitude that demonstrates she </w:t>
      </w:r>
      <w:r w:rsidR="001A4CE6" w:rsidRPr="001A4CE6">
        <w:rPr>
          <w:szCs w:val="24"/>
        </w:rPr>
        <w:t>lacks</w:t>
      </w:r>
      <w:r w:rsidR="001A4CE6" w:rsidRPr="001A4CE6">
        <w:rPr>
          <w:color w:val="212121"/>
          <w:szCs w:val="24"/>
        </w:rPr>
        <w:t xml:space="preserve"> </w:t>
      </w:r>
      <w:r w:rsidR="001A4CE6" w:rsidRPr="005C4EFD">
        <w:rPr>
          <w:szCs w:val="24"/>
        </w:rPr>
        <w:t xml:space="preserve">“a full understanding of the seriousness of </w:t>
      </w:r>
      <w:r w:rsidR="008C644B" w:rsidRPr="005C4EFD">
        <w:rPr>
          <w:szCs w:val="24"/>
        </w:rPr>
        <w:t>[her]</w:t>
      </w:r>
      <w:r w:rsidR="001A4CE6" w:rsidRPr="005C4EFD">
        <w:rPr>
          <w:szCs w:val="24"/>
        </w:rPr>
        <w:t xml:space="preserve"> </w:t>
      </w:r>
      <w:r w:rsidR="001A4CE6" w:rsidRPr="001A4CE6">
        <w:rPr>
          <w:szCs w:val="24"/>
        </w:rPr>
        <w:t>misconduct.” (</w:t>
      </w:r>
      <w:r w:rsidR="001A4CE6" w:rsidRPr="001A4CE6">
        <w:rPr>
          <w:i/>
          <w:iCs/>
          <w:szCs w:val="24"/>
        </w:rPr>
        <w:t>In the Matter of Duxbury</w:t>
      </w:r>
      <w:r w:rsidR="001A4CE6" w:rsidRPr="001A4CE6">
        <w:rPr>
          <w:szCs w:val="24"/>
        </w:rPr>
        <w:t xml:space="preserve"> (Review Dept.1999) 4 Cal. State Bar Ct. </w:t>
      </w:r>
      <w:proofErr w:type="spellStart"/>
      <w:r w:rsidR="001A4CE6" w:rsidRPr="001A4CE6">
        <w:rPr>
          <w:szCs w:val="24"/>
        </w:rPr>
        <w:t>Rptr</w:t>
      </w:r>
      <w:proofErr w:type="spellEnd"/>
      <w:r w:rsidR="001A4CE6" w:rsidRPr="001A4CE6">
        <w:rPr>
          <w:szCs w:val="24"/>
        </w:rPr>
        <w:t>. 61, 68.)</w:t>
      </w:r>
      <w:r w:rsidR="001A4CE6" w:rsidRPr="001A4CE6">
        <w:rPr>
          <w:color w:val="212121"/>
          <w:szCs w:val="24"/>
        </w:rPr>
        <w:t xml:space="preserve"> </w:t>
      </w:r>
      <w:r w:rsidR="00C8369A" w:rsidRPr="001A4CE6">
        <w:rPr>
          <w:szCs w:val="24"/>
        </w:rPr>
        <w:t xml:space="preserve">  While the law does not require false penitence, it does require that an attorney </w:t>
      </w:r>
      <w:r w:rsidR="00C8369A" w:rsidRPr="001A4CE6">
        <w:rPr>
          <w:szCs w:val="24"/>
        </w:rPr>
        <w:lastRenderedPageBreak/>
        <w:t>accept responsibility for wrongful acts</w:t>
      </w:r>
      <w:r w:rsidR="00C8369A">
        <w:t xml:space="preserve"> and come to grips with culpability.  (</w:t>
      </w:r>
      <w:r w:rsidR="00C8369A">
        <w:rPr>
          <w:i/>
        </w:rPr>
        <w:t>In the Matter of Katz</w:t>
      </w:r>
      <w:r w:rsidR="00C8369A">
        <w:t xml:space="preserve"> (Review Dept. 1991) 1 Cal. State Bar Ct. </w:t>
      </w:r>
      <w:proofErr w:type="spellStart"/>
      <w:r w:rsidR="00C8369A">
        <w:t>Rptr</w:t>
      </w:r>
      <w:proofErr w:type="spellEnd"/>
      <w:r w:rsidR="00C8369A">
        <w:t xml:space="preserve">. 502, 511.)  On review, </w:t>
      </w:r>
      <w:r w:rsidR="00595C93">
        <w:t>Thibault</w:t>
      </w:r>
      <w:r w:rsidR="00C8369A">
        <w:t xml:space="preserve"> expressed some remorse </w:t>
      </w:r>
      <w:r w:rsidR="00595C93">
        <w:t xml:space="preserve">by </w:t>
      </w:r>
      <w:r w:rsidR="00C8369A">
        <w:t>conced</w:t>
      </w:r>
      <w:r w:rsidR="00595C93">
        <w:t>ing</w:t>
      </w:r>
      <w:r w:rsidR="00C8369A">
        <w:t xml:space="preserve"> that </w:t>
      </w:r>
      <w:r w:rsidR="00595C93">
        <w:t>s</w:t>
      </w:r>
      <w:r w:rsidR="00C8369A">
        <w:t xml:space="preserve">he </w:t>
      </w:r>
      <w:r w:rsidR="00595C93">
        <w:t>should have reported the judicial sanctions sooner than she did</w:t>
      </w:r>
      <w:r w:rsidR="004876BB">
        <w:t>,</w:t>
      </w:r>
      <w:r w:rsidR="008C644B">
        <w:t xml:space="preserve"> but</w:t>
      </w:r>
      <w:r w:rsidR="001A4CE6">
        <w:t xml:space="preserve"> then maintained that her </w:t>
      </w:r>
      <w:r w:rsidR="00B37C61">
        <w:t xml:space="preserve">purported good </w:t>
      </w:r>
      <w:r w:rsidR="008C644B">
        <w:t xml:space="preserve">faith </w:t>
      </w:r>
      <w:r w:rsidR="001A4CE6">
        <w:t>belief that the order was invalid justified her failure to timely</w:t>
      </w:r>
      <w:r w:rsidR="00C8369A">
        <w:t xml:space="preserve"> </w:t>
      </w:r>
      <w:r w:rsidR="009E2AD3">
        <w:t xml:space="preserve">pay </w:t>
      </w:r>
      <w:proofErr w:type="spellStart"/>
      <w:r w:rsidR="00B37C61">
        <w:t>Elter</w:t>
      </w:r>
      <w:proofErr w:type="spellEnd"/>
      <w:r w:rsidR="00B37C61">
        <w:t xml:space="preserve"> </w:t>
      </w:r>
      <w:r w:rsidR="00595C93">
        <w:t xml:space="preserve">even after the </w:t>
      </w:r>
      <w:r w:rsidR="009E2AD3">
        <w:t xml:space="preserve">sanctions </w:t>
      </w:r>
      <w:r w:rsidR="00595C93">
        <w:t xml:space="preserve">order became final and binding.  Particularly </w:t>
      </w:r>
      <w:r w:rsidR="00C8369A">
        <w:t>troubling is h</w:t>
      </w:r>
      <w:r w:rsidR="00595C93">
        <w:t>er</w:t>
      </w:r>
      <w:r w:rsidR="00C8369A">
        <w:t xml:space="preserve"> continued insistence that h</w:t>
      </w:r>
      <w:r w:rsidR="00595C93">
        <w:t>er</w:t>
      </w:r>
      <w:r w:rsidR="00C8369A">
        <w:t xml:space="preserve"> </w:t>
      </w:r>
      <w:r w:rsidR="00595C93">
        <w:t xml:space="preserve">representation of Prasad </w:t>
      </w:r>
      <w:r w:rsidR="00C8369A">
        <w:t xml:space="preserve">in the </w:t>
      </w:r>
      <w:r w:rsidR="00595C93" w:rsidRPr="00595C93">
        <w:rPr>
          <w:i/>
          <w:iCs/>
        </w:rPr>
        <w:t>Rattan v. Prasad</w:t>
      </w:r>
      <w:r w:rsidR="00C8369A">
        <w:t xml:space="preserve"> matter </w:t>
      </w:r>
      <w:r w:rsidR="00B37C61">
        <w:t>was justified, even amidst substantial contrary evidence.</w:t>
      </w:r>
      <w:r w:rsidR="00C86F5A">
        <w:t xml:space="preserve">  </w:t>
      </w:r>
      <w:r w:rsidR="00C86F5A" w:rsidRPr="00B37C61">
        <w:rPr>
          <w:szCs w:val="24"/>
        </w:rPr>
        <w:t>(</w:t>
      </w:r>
      <w:r w:rsidR="00C86F5A" w:rsidRPr="00B37C61">
        <w:rPr>
          <w:i/>
          <w:iCs/>
          <w:szCs w:val="24"/>
        </w:rPr>
        <w:t>In the Matter of Bach</w:t>
      </w:r>
      <w:r w:rsidR="008C644B">
        <w:rPr>
          <w:i/>
          <w:iCs/>
          <w:szCs w:val="24"/>
        </w:rPr>
        <w:t>,</w:t>
      </w:r>
      <w:r w:rsidR="00C86F5A">
        <w:rPr>
          <w:i/>
          <w:iCs/>
          <w:szCs w:val="24"/>
        </w:rPr>
        <w:t xml:space="preserve"> </w:t>
      </w:r>
      <w:r w:rsidR="00C86F5A" w:rsidRPr="00B37C61">
        <w:rPr>
          <w:i/>
          <w:iCs/>
          <w:szCs w:val="24"/>
        </w:rPr>
        <w:t>supra</w:t>
      </w:r>
      <w:r w:rsidR="00C86F5A" w:rsidRPr="00B37C61">
        <w:rPr>
          <w:szCs w:val="24"/>
        </w:rPr>
        <w:t xml:space="preserve">, 1 Cal. State Bar Ct. </w:t>
      </w:r>
      <w:proofErr w:type="spellStart"/>
      <w:r w:rsidR="00C86F5A" w:rsidRPr="00B37C61">
        <w:rPr>
          <w:szCs w:val="24"/>
        </w:rPr>
        <w:t>Rptr</w:t>
      </w:r>
      <w:proofErr w:type="spellEnd"/>
      <w:r w:rsidR="00C86F5A" w:rsidRPr="00B37C61">
        <w:rPr>
          <w:szCs w:val="24"/>
        </w:rPr>
        <w:t>. at p. 647 [use of unsupported arguments to evade culpability revealed lack of appreciation for misconduct and obligations as attorney].)</w:t>
      </w:r>
      <w:r w:rsidR="00B37C61">
        <w:rPr>
          <w:rStyle w:val="FootnoteReference"/>
        </w:rPr>
        <w:footnoteReference w:id="20"/>
      </w:r>
      <w:r w:rsidR="0095067E">
        <w:t xml:space="preserve">  </w:t>
      </w:r>
    </w:p>
    <w:p w14:paraId="415284CD" w14:textId="68C47E3F" w:rsidR="00C8369A" w:rsidRPr="00C8369A" w:rsidRDefault="00F15F6F" w:rsidP="0095067E">
      <w:pPr>
        <w:tabs>
          <w:tab w:val="left" w:pos="720"/>
        </w:tabs>
        <w:ind w:right="-144"/>
      </w:pPr>
      <w:r>
        <w:tab/>
      </w:r>
      <w:r w:rsidR="0095067E" w:rsidRPr="0095067E">
        <w:t>An attorney has</w:t>
      </w:r>
      <w:r w:rsidR="009E2AD3">
        <w:t xml:space="preserve"> a</w:t>
      </w:r>
      <w:r w:rsidR="0095067E" w:rsidRPr="0095067E">
        <w:t xml:space="preserve"> right to defend herself vigorously.  (See </w:t>
      </w:r>
      <w:r w:rsidR="0095067E" w:rsidRPr="0095067E">
        <w:rPr>
          <w:i/>
        </w:rPr>
        <w:t>In re Morse</w:t>
      </w:r>
      <w:r w:rsidR="0095067E" w:rsidRPr="0095067E">
        <w:t xml:space="preserve"> (1995) 11 Cal.4th 184, 209.)  However, we find </w:t>
      </w:r>
      <w:r w:rsidR="008C644B">
        <w:t>Thibault’s</w:t>
      </w:r>
      <w:r w:rsidR="0095067E" w:rsidRPr="0095067E">
        <w:t xml:space="preserve"> conduct more akin to </w:t>
      </w:r>
      <w:r w:rsidR="002F0886">
        <w:t xml:space="preserve">a </w:t>
      </w:r>
      <w:r w:rsidR="0095067E" w:rsidRPr="0095067E">
        <w:t xml:space="preserve">continuing </w:t>
      </w:r>
      <w:r w:rsidR="008D5F3E">
        <w:t xml:space="preserve">failure to recognize </w:t>
      </w:r>
      <w:r w:rsidR="00F32EAC">
        <w:t>her misdeeds</w:t>
      </w:r>
      <w:r w:rsidR="0095067E" w:rsidRPr="0095067E">
        <w:t xml:space="preserve">.  </w:t>
      </w:r>
      <w:r w:rsidR="002A0ACE">
        <w:t>Accordingly, w</w:t>
      </w:r>
      <w:r w:rsidR="0095067E" w:rsidRPr="0095067E">
        <w:t xml:space="preserve">e affirm </w:t>
      </w:r>
      <w:r w:rsidR="00B24A27">
        <w:t xml:space="preserve">the </w:t>
      </w:r>
      <w:r w:rsidR="002179D0">
        <w:t xml:space="preserve">indifference finding and </w:t>
      </w:r>
      <w:r w:rsidR="00C81C68">
        <w:t xml:space="preserve">the </w:t>
      </w:r>
      <w:r w:rsidR="0095067E" w:rsidRPr="0095067E">
        <w:t xml:space="preserve">moderate weight </w:t>
      </w:r>
      <w:r w:rsidR="00CF1BEC">
        <w:t>assigned by the hearing judge</w:t>
      </w:r>
      <w:r w:rsidR="0095067E" w:rsidRPr="0095067E">
        <w:t>.  (</w:t>
      </w:r>
      <w:r w:rsidR="0095067E" w:rsidRPr="0095067E">
        <w:rPr>
          <w:i/>
        </w:rPr>
        <w:t>In the Matter of Layton</w:t>
      </w:r>
      <w:r w:rsidR="0095067E" w:rsidRPr="0095067E">
        <w:t xml:space="preserve"> (Review Dept. 1993) 2 Cal. State Bar Ct. </w:t>
      </w:r>
      <w:proofErr w:type="spellStart"/>
      <w:r w:rsidR="0095067E" w:rsidRPr="0095067E">
        <w:t>Rptr</w:t>
      </w:r>
      <w:proofErr w:type="spellEnd"/>
      <w:r w:rsidR="0095067E" w:rsidRPr="0095067E">
        <w:t>. 366, 380 [ongoing failure to acknowledge</w:t>
      </w:r>
      <w:r w:rsidR="0095067E">
        <w:t xml:space="preserve"> wrongdoing instills concern that attorney may commit future misconduct].)  </w:t>
      </w:r>
      <w:bookmarkEnd w:id="9"/>
    </w:p>
    <w:p w14:paraId="1B8C4512" w14:textId="29EAFA5A" w:rsidR="00F66457" w:rsidRDefault="00B41AA7" w:rsidP="00F66457">
      <w:pPr>
        <w:pStyle w:val="Heading2"/>
      </w:pPr>
      <w:r>
        <w:t>Mitigation</w:t>
      </w:r>
    </w:p>
    <w:p w14:paraId="572FB00E" w14:textId="4B2A5BEB" w:rsidR="00F66457" w:rsidRDefault="00F66457" w:rsidP="00F66457">
      <w:pPr>
        <w:pStyle w:val="Heading3"/>
      </w:pPr>
      <w:r>
        <w:t xml:space="preserve"> Extraordinary Good Character (Std. 1.6(f))</w:t>
      </w:r>
    </w:p>
    <w:p w14:paraId="33152CA6" w14:textId="6CBCC8EB" w:rsidR="00C8369A" w:rsidRDefault="00BB13A9" w:rsidP="00B41AA7">
      <w:pPr>
        <w:ind w:firstLine="720"/>
      </w:pPr>
      <w:r>
        <w:t>Thibault</w:t>
      </w:r>
      <w:r w:rsidR="00C8369A">
        <w:t xml:space="preserve"> may obtain mitigation for “extraordinary good character attested to by a wide range of references in the legal and general communities, who are aware of the full extent of the misconduct.”  (Std. 1.6(f).)  The hearing </w:t>
      </w:r>
      <w:r>
        <w:t>judge declined to assign</w:t>
      </w:r>
      <w:r w:rsidR="00C8369A">
        <w:t xml:space="preserve"> mitigation</w:t>
      </w:r>
      <w:r w:rsidR="009A6A39">
        <w:t xml:space="preserve"> for good character</w:t>
      </w:r>
      <w:r w:rsidR="00C8369A">
        <w:t xml:space="preserve">, </w:t>
      </w:r>
      <w:r w:rsidR="00C8369A">
        <w:lastRenderedPageBreak/>
        <w:t xml:space="preserve">finding that </w:t>
      </w:r>
      <w:r w:rsidR="00742B16">
        <w:t>Thibault’s four declarants did not demonstrate awareness of the disciplinary charges and</w:t>
      </w:r>
      <w:r w:rsidR="00C8369A">
        <w:t xml:space="preserve"> did not constitute a wide range of references.  </w:t>
      </w:r>
      <w:r w:rsidR="00742B16">
        <w:t>Thibault</w:t>
      </w:r>
      <w:r w:rsidR="00C8369A">
        <w:t xml:space="preserve"> argues on review that the hearing judge improperly disregarded </w:t>
      </w:r>
      <w:r w:rsidR="00742B16">
        <w:t>her</w:t>
      </w:r>
      <w:r w:rsidR="00C8369A">
        <w:t xml:space="preserve"> </w:t>
      </w:r>
      <w:r w:rsidR="00742B16">
        <w:t xml:space="preserve">good </w:t>
      </w:r>
      <w:r w:rsidR="00C8369A">
        <w:t xml:space="preserve">character </w:t>
      </w:r>
      <w:r w:rsidR="00742B16">
        <w:t xml:space="preserve">evidence.  OCTC supports the judge’s findings and asserts if any mitigation is afforded, it should be </w:t>
      </w:r>
      <w:r w:rsidR="009A6A39">
        <w:t xml:space="preserve">no </w:t>
      </w:r>
      <w:r w:rsidR="00742B16">
        <w:t xml:space="preserve">more than limited </w:t>
      </w:r>
      <w:r w:rsidR="009A6A39">
        <w:t xml:space="preserve">in </w:t>
      </w:r>
      <w:r w:rsidR="00742B16">
        <w:t xml:space="preserve">weight.  </w:t>
      </w:r>
    </w:p>
    <w:p w14:paraId="7F5F5CFE" w14:textId="5D65D7AF" w:rsidR="0072344C" w:rsidRDefault="00742B16" w:rsidP="00B41AA7">
      <w:pPr>
        <w:ind w:firstLine="720"/>
        <w:rPr>
          <w:rFonts w:ascii="Arial" w:hAnsi="Arial" w:cs="Arial"/>
          <w:color w:val="212121"/>
          <w:sz w:val="21"/>
          <w:szCs w:val="21"/>
        </w:rPr>
      </w:pPr>
      <w:r>
        <w:t xml:space="preserve">We find that Thibault’s good character evidence, </w:t>
      </w:r>
      <w:r w:rsidR="00ED7BD6">
        <w:t>f</w:t>
      </w:r>
      <w:r>
        <w:t xml:space="preserve">our </w:t>
      </w:r>
      <w:r w:rsidR="00ED7BD6">
        <w:t xml:space="preserve">declarations from </w:t>
      </w:r>
      <w:r>
        <w:t xml:space="preserve">former clients, </w:t>
      </w:r>
      <w:r w:rsidR="00753C49">
        <w:t xml:space="preserve">merits </w:t>
      </w:r>
      <w:r>
        <w:t>mitigating credit</w:t>
      </w:r>
      <w:r w:rsidR="00753C49">
        <w:t>, but only nominal weight</w:t>
      </w:r>
      <w:r>
        <w:t xml:space="preserve">.  </w:t>
      </w:r>
      <w:r w:rsidR="001D4C5B">
        <w:rPr>
          <w:szCs w:val="24"/>
        </w:rPr>
        <w:t xml:space="preserve">Because </w:t>
      </w:r>
      <w:r>
        <w:t xml:space="preserve">Thibault’s </w:t>
      </w:r>
      <w:r w:rsidR="006D3818">
        <w:t xml:space="preserve">four </w:t>
      </w:r>
      <w:r>
        <w:t xml:space="preserve">witnesses do not </w:t>
      </w:r>
      <w:r w:rsidR="0072344C" w:rsidRPr="00F43989">
        <w:rPr>
          <w:color w:val="212121"/>
          <w:szCs w:val="24"/>
        </w:rPr>
        <w:t xml:space="preserve">constitute a “wide range of references in the legal and general communities” </w:t>
      </w:r>
      <w:r w:rsidR="00C56BE8">
        <w:rPr>
          <w:color w:val="212121"/>
          <w:szCs w:val="24"/>
        </w:rPr>
        <w:t xml:space="preserve">and were not </w:t>
      </w:r>
      <w:r w:rsidR="00D932BC">
        <w:rPr>
          <w:color w:val="212121"/>
          <w:szCs w:val="24"/>
        </w:rPr>
        <w:t>aware of the charges alleged in this disciplinary matter</w:t>
      </w:r>
      <w:r w:rsidR="006D3818">
        <w:rPr>
          <w:color w:val="212121"/>
          <w:szCs w:val="24"/>
        </w:rPr>
        <w:t xml:space="preserve">, </w:t>
      </w:r>
      <w:r w:rsidR="000E7D77">
        <w:rPr>
          <w:color w:val="212121"/>
          <w:szCs w:val="24"/>
        </w:rPr>
        <w:t xml:space="preserve">more than </w:t>
      </w:r>
      <w:r w:rsidR="000E7D77" w:rsidRPr="009C6DD7">
        <w:rPr>
          <w:color w:val="212121"/>
          <w:szCs w:val="24"/>
        </w:rPr>
        <w:t>nominal</w:t>
      </w:r>
      <w:r w:rsidR="000E7D77">
        <w:rPr>
          <w:color w:val="212121"/>
          <w:szCs w:val="24"/>
        </w:rPr>
        <w:t xml:space="preserve"> </w:t>
      </w:r>
      <w:r w:rsidR="006E008D">
        <w:rPr>
          <w:color w:val="212121"/>
          <w:szCs w:val="24"/>
        </w:rPr>
        <w:t xml:space="preserve">weight </w:t>
      </w:r>
      <w:r w:rsidR="000E7D77">
        <w:rPr>
          <w:color w:val="212121"/>
          <w:szCs w:val="24"/>
        </w:rPr>
        <w:t xml:space="preserve">is not supported.  </w:t>
      </w:r>
      <w:r w:rsidR="0031317C" w:rsidRPr="00F43989">
        <w:rPr>
          <w:color w:val="212121"/>
          <w:szCs w:val="24"/>
        </w:rPr>
        <w:t>(</w:t>
      </w:r>
      <w:r w:rsidR="0031317C">
        <w:rPr>
          <w:szCs w:val="24"/>
        </w:rPr>
        <w:t>See</w:t>
      </w:r>
      <w:r w:rsidR="0031317C" w:rsidRPr="00F43989">
        <w:rPr>
          <w:rStyle w:val="Emphasis"/>
          <w:szCs w:val="24"/>
        </w:rPr>
        <w:t> In the Matter of Riordan, supra, </w:t>
      </w:r>
      <w:r w:rsidR="0031317C" w:rsidRPr="00F43989">
        <w:rPr>
          <w:szCs w:val="24"/>
        </w:rPr>
        <w:t xml:space="preserve">5 Cal. State Bar Ct. </w:t>
      </w:r>
      <w:proofErr w:type="spellStart"/>
      <w:r w:rsidR="0031317C" w:rsidRPr="00F43989">
        <w:rPr>
          <w:szCs w:val="24"/>
        </w:rPr>
        <w:t>Rptr</w:t>
      </w:r>
      <w:proofErr w:type="spellEnd"/>
      <w:r w:rsidR="0031317C" w:rsidRPr="00F43989">
        <w:rPr>
          <w:szCs w:val="24"/>
        </w:rPr>
        <w:t xml:space="preserve">. at p. 50 [testimony of </w:t>
      </w:r>
      <w:proofErr w:type="gramStart"/>
      <w:r w:rsidR="0031317C" w:rsidRPr="00F43989">
        <w:rPr>
          <w:szCs w:val="24"/>
        </w:rPr>
        <w:t>four character</w:t>
      </w:r>
      <w:proofErr w:type="gramEnd"/>
      <w:r w:rsidR="0031317C" w:rsidRPr="00F43989">
        <w:rPr>
          <w:szCs w:val="24"/>
        </w:rPr>
        <w:t xml:space="preserve"> witnesses afforded diminished weight in mitigation</w:t>
      </w:r>
      <w:r w:rsidR="0031317C">
        <w:rPr>
          <w:szCs w:val="24"/>
        </w:rPr>
        <w:t xml:space="preserve"> due to absence of wide range of references</w:t>
      </w:r>
      <w:r w:rsidR="0031317C" w:rsidRPr="00F43989">
        <w:rPr>
          <w:szCs w:val="24"/>
        </w:rPr>
        <w:t>]</w:t>
      </w:r>
      <w:r w:rsidR="0031317C">
        <w:rPr>
          <w:szCs w:val="24"/>
        </w:rPr>
        <w:t xml:space="preserve">.)  </w:t>
      </w:r>
    </w:p>
    <w:p w14:paraId="22FA41DE" w14:textId="75E9FF76" w:rsidR="00F66457" w:rsidRDefault="00F66457" w:rsidP="00F66457">
      <w:pPr>
        <w:pStyle w:val="Heading3"/>
      </w:pPr>
      <w:r>
        <w:t xml:space="preserve">Pro Bono and Community Service </w:t>
      </w:r>
    </w:p>
    <w:p w14:paraId="2E8C90C9" w14:textId="53B9FEA2" w:rsidR="003E253B" w:rsidRDefault="007F01BC" w:rsidP="00B41AA7">
      <w:pPr>
        <w:ind w:firstLine="720"/>
        <w:rPr>
          <w:szCs w:val="24"/>
        </w:rPr>
      </w:pPr>
      <w:r>
        <w:rPr>
          <w:rFonts w:eastAsiaTheme="minorHAnsi" w:cstheme="minorBidi"/>
          <w:szCs w:val="24"/>
        </w:rPr>
        <w:t>Pro bono work and c</w:t>
      </w:r>
      <w:r w:rsidRPr="005D0432">
        <w:rPr>
          <w:rFonts w:eastAsiaTheme="minorHAnsi" w:cstheme="minorBidi"/>
          <w:szCs w:val="24"/>
        </w:rPr>
        <w:t xml:space="preserve">ommunity service </w:t>
      </w:r>
      <w:r>
        <w:rPr>
          <w:rFonts w:eastAsiaTheme="minorHAnsi" w:cstheme="minorBidi"/>
          <w:szCs w:val="24"/>
        </w:rPr>
        <w:t>are</w:t>
      </w:r>
      <w:r w:rsidRPr="005D0432">
        <w:rPr>
          <w:rFonts w:eastAsiaTheme="minorHAnsi" w:cstheme="minorBidi"/>
          <w:szCs w:val="24"/>
        </w:rPr>
        <w:t xml:space="preserve"> mitigating </w:t>
      </w:r>
      <w:r>
        <w:rPr>
          <w:rFonts w:eastAsiaTheme="minorHAnsi" w:cstheme="minorBidi"/>
          <w:szCs w:val="24"/>
        </w:rPr>
        <w:t>circumstances</w:t>
      </w:r>
      <w:r w:rsidRPr="005D0432">
        <w:rPr>
          <w:rFonts w:eastAsiaTheme="minorHAnsi" w:cstheme="minorBidi"/>
          <w:szCs w:val="24"/>
        </w:rPr>
        <w:t>.  (</w:t>
      </w:r>
      <w:r w:rsidRPr="005D0432">
        <w:rPr>
          <w:rFonts w:eastAsiaTheme="minorHAnsi" w:cstheme="minorBidi"/>
          <w:i/>
          <w:szCs w:val="24"/>
        </w:rPr>
        <w:t xml:space="preserve">Calvert v. State Bar </w:t>
      </w:r>
      <w:r w:rsidRPr="005D0432">
        <w:rPr>
          <w:rFonts w:eastAsiaTheme="minorHAnsi" w:cstheme="minorBidi"/>
          <w:szCs w:val="24"/>
        </w:rPr>
        <w:t>(1991) 54 Cal.3d 765, 785</w:t>
      </w:r>
      <w:r>
        <w:rPr>
          <w:rFonts w:eastAsiaTheme="minorHAnsi" w:cstheme="minorBidi"/>
          <w:szCs w:val="24"/>
        </w:rPr>
        <w:t xml:space="preserve">.)  The hearing judge assigned nominal weight under this </w:t>
      </w:r>
      <w:r w:rsidR="00446563">
        <w:rPr>
          <w:rFonts w:eastAsiaTheme="minorHAnsi" w:cstheme="minorBidi"/>
          <w:szCs w:val="24"/>
        </w:rPr>
        <w:t xml:space="preserve">circumstance </w:t>
      </w:r>
      <w:r>
        <w:rPr>
          <w:rFonts w:eastAsiaTheme="minorHAnsi" w:cstheme="minorBidi"/>
          <w:szCs w:val="24"/>
        </w:rPr>
        <w:t xml:space="preserve">since Thibault’s evidence of pro bono work was limited to her own testimony and lacked corroboration and specificity.  On review, Thibault asserts that she </w:t>
      </w:r>
      <w:r w:rsidR="002F4F98">
        <w:rPr>
          <w:rFonts w:eastAsiaTheme="minorHAnsi" w:cstheme="minorBidi"/>
          <w:szCs w:val="24"/>
        </w:rPr>
        <w:t>re</w:t>
      </w:r>
      <w:r>
        <w:rPr>
          <w:rFonts w:eastAsiaTheme="minorHAnsi" w:cstheme="minorBidi"/>
          <w:szCs w:val="24"/>
        </w:rPr>
        <w:t xml:space="preserve">presented a pro bono </w:t>
      </w:r>
      <w:r w:rsidR="002F4F98">
        <w:rPr>
          <w:rFonts w:eastAsiaTheme="minorHAnsi" w:cstheme="minorBidi"/>
          <w:szCs w:val="24"/>
        </w:rPr>
        <w:t xml:space="preserve">client </w:t>
      </w:r>
      <w:r>
        <w:rPr>
          <w:rFonts w:eastAsiaTheme="minorHAnsi" w:cstheme="minorBidi"/>
          <w:szCs w:val="24"/>
        </w:rPr>
        <w:t xml:space="preserve">in an immigration removal proceeding that </w:t>
      </w:r>
      <w:r w:rsidR="008C644B">
        <w:rPr>
          <w:rFonts w:eastAsiaTheme="minorHAnsi" w:cstheme="minorBidi"/>
          <w:szCs w:val="24"/>
        </w:rPr>
        <w:t xml:space="preserve">lasted </w:t>
      </w:r>
      <w:r>
        <w:rPr>
          <w:rFonts w:eastAsiaTheme="minorHAnsi" w:cstheme="minorBidi"/>
          <w:szCs w:val="24"/>
        </w:rPr>
        <w:t xml:space="preserve">from 2010 through 2021. </w:t>
      </w:r>
      <w:r w:rsidR="002F4F98">
        <w:rPr>
          <w:rFonts w:eastAsiaTheme="minorHAnsi" w:cstheme="minorBidi"/>
          <w:szCs w:val="24"/>
        </w:rPr>
        <w:t xml:space="preserve"> </w:t>
      </w:r>
      <w:r w:rsidR="00EC3840">
        <w:rPr>
          <w:rFonts w:eastAsiaTheme="minorHAnsi" w:cstheme="minorBidi"/>
          <w:szCs w:val="24"/>
        </w:rPr>
        <w:t xml:space="preserve">She testified that this </w:t>
      </w:r>
      <w:r w:rsidR="00C700C0">
        <w:rPr>
          <w:rFonts w:eastAsiaTheme="minorHAnsi" w:cstheme="minorBidi"/>
          <w:szCs w:val="24"/>
        </w:rPr>
        <w:t>immigration</w:t>
      </w:r>
      <w:r w:rsidR="00B52A66">
        <w:rPr>
          <w:rFonts w:eastAsiaTheme="minorHAnsi" w:cstheme="minorBidi"/>
          <w:szCs w:val="24"/>
        </w:rPr>
        <w:t xml:space="preserve"> </w:t>
      </w:r>
      <w:r w:rsidR="00EC3840">
        <w:rPr>
          <w:rFonts w:eastAsiaTheme="minorHAnsi" w:cstheme="minorBidi"/>
          <w:szCs w:val="24"/>
        </w:rPr>
        <w:t>case was her first case while working as a licensed attorney in California</w:t>
      </w:r>
      <w:r w:rsidR="00B44408">
        <w:rPr>
          <w:rFonts w:eastAsiaTheme="minorHAnsi" w:cstheme="minorBidi"/>
          <w:szCs w:val="24"/>
        </w:rPr>
        <w:t xml:space="preserve">, and she </w:t>
      </w:r>
      <w:r w:rsidR="00391489">
        <w:rPr>
          <w:rFonts w:eastAsiaTheme="minorHAnsi" w:cstheme="minorBidi"/>
          <w:szCs w:val="24"/>
        </w:rPr>
        <w:t xml:space="preserve">was </w:t>
      </w:r>
      <w:r w:rsidR="00B44408">
        <w:rPr>
          <w:rFonts w:eastAsiaTheme="minorHAnsi" w:cstheme="minorBidi"/>
          <w:szCs w:val="24"/>
        </w:rPr>
        <w:t xml:space="preserve">able to assist </w:t>
      </w:r>
      <w:r w:rsidR="006A6BE9">
        <w:rPr>
          <w:rFonts w:eastAsiaTheme="minorHAnsi" w:cstheme="minorBidi"/>
          <w:szCs w:val="24"/>
        </w:rPr>
        <w:t xml:space="preserve">her </w:t>
      </w:r>
      <w:r w:rsidR="00FB6932">
        <w:rPr>
          <w:rFonts w:eastAsiaTheme="minorHAnsi" w:cstheme="minorBidi"/>
          <w:szCs w:val="24"/>
        </w:rPr>
        <w:t>client in getting</w:t>
      </w:r>
      <w:r w:rsidR="00B44408">
        <w:rPr>
          <w:rFonts w:eastAsiaTheme="minorHAnsi" w:cstheme="minorBidi"/>
          <w:szCs w:val="24"/>
        </w:rPr>
        <w:t xml:space="preserve"> a visa and </w:t>
      </w:r>
      <w:r w:rsidR="006D3AA8">
        <w:rPr>
          <w:rFonts w:eastAsiaTheme="minorHAnsi" w:cstheme="minorBidi"/>
          <w:szCs w:val="24"/>
        </w:rPr>
        <w:t xml:space="preserve">a </w:t>
      </w:r>
      <w:r w:rsidR="00B44408">
        <w:rPr>
          <w:rFonts w:eastAsiaTheme="minorHAnsi" w:cstheme="minorBidi"/>
          <w:szCs w:val="24"/>
        </w:rPr>
        <w:t>green card</w:t>
      </w:r>
      <w:r w:rsidR="00EC3840">
        <w:rPr>
          <w:rFonts w:eastAsiaTheme="minorHAnsi" w:cstheme="minorBidi"/>
          <w:szCs w:val="24"/>
        </w:rPr>
        <w:t>.</w:t>
      </w:r>
      <w:r w:rsidR="00EC3840">
        <w:rPr>
          <w:rStyle w:val="FootnoteReference"/>
          <w:rFonts w:eastAsiaTheme="minorHAnsi" w:cstheme="minorBidi"/>
          <w:szCs w:val="24"/>
        </w:rPr>
        <w:footnoteReference w:id="21"/>
      </w:r>
      <w:r w:rsidR="00EC3840">
        <w:rPr>
          <w:rFonts w:eastAsiaTheme="minorHAnsi" w:cstheme="minorBidi"/>
          <w:szCs w:val="24"/>
        </w:rPr>
        <w:t xml:space="preserve">  </w:t>
      </w:r>
      <w:r w:rsidR="006E5E73">
        <w:rPr>
          <w:rFonts w:eastAsiaTheme="minorHAnsi" w:cstheme="minorBidi"/>
          <w:szCs w:val="24"/>
        </w:rPr>
        <w:t xml:space="preserve">While we acknowledge that 11 </w:t>
      </w:r>
      <w:r w:rsidR="006D1ADB">
        <w:rPr>
          <w:rFonts w:eastAsiaTheme="minorHAnsi" w:cstheme="minorBidi"/>
          <w:szCs w:val="24"/>
        </w:rPr>
        <w:t>years is a substantial amount of time,</w:t>
      </w:r>
      <w:r w:rsidR="006140D9">
        <w:rPr>
          <w:rFonts w:eastAsiaTheme="minorHAnsi" w:cstheme="minorBidi"/>
          <w:szCs w:val="24"/>
        </w:rPr>
        <w:t xml:space="preserve"> her pro bono work only extended to one client</w:t>
      </w:r>
      <w:r w:rsidR="00F94CA9">
        <w:rPr>
          <w:rFonts w:eastAsiaTheme="minorHAnsi" w:cstheme="minorBidi"/>
          <w:szCs w:val="24"/>
        </w:rPr>
        <w:t xml:space="preserve">. </w:t>
      </w:r>
      <w:r w:rsidR="0036735C">
        <w:rPr>
          <w:rFonts w:eastAsiaTheme="minorHAnsi" w:cstheme="minorBidi"/>
          <w:szCs w:val="24"/>
        </w:rPr>
        <w:t xml:space="preserve">(See </w:t>
      </w:r>
      <w:proofErr w:type="spellStart"/>
      <w:r w:rsidR="0036735C" w:rsidRPr="000D302F">
        <w:rPr>
          <w:i/>
          <w:iCs/>
          <w:szCs w:val="24"/>
        </w:rPr>
        <w:t>Amante</w:t>
      </w:r>
      <w:proofErr w:type="spellEnd"/>
      <w:r w:rsidR="0036735C" w:rsidRPr="000D302F">
        <w:rPr>
          <w:i/>
          <w:iCs/>
          <w:szCs w:val="24"/>
        </w:rPr>
        <w:t xml:space="preserve"> v. State Bar</w:t>
      </w:r>
      <w:r w:rsidR="0036735C">
        <w:rPr>
          <w:szCs w:val="24"/>
        </w:rPr>
        <w:t xml:space="preserve"> (1990) 50 Cal.3d 247, 256 [representing only one pro bono client not considered in mitigation].)  </w:t>
      </w:r>
      <w:r w:rsidR="00D529D6">
        <w:rPr>
          <w:szCs w:val="24"/>
        </w:rPr>
        <w:t xml:space="preserve">Further, </w:t>
      </w:r>
      <w:r w:rsidR="002F4F98">
        <w:rPr>
          <w:szCs w:val="24"/>
        </w:rPr>
        <w:t xml:space="preserve">Thibault has </w:t>
      </w:r>
      <w:r w:rsidR="002F4F98" w:rsidRPr="0006219A">
        <w:rPr>
          <w:szCs w:val="24"/>
        </w:rPr>
        <w:t xml:space="preserve">offered no corroborating evidence of </w:t>
      </w:r>
      <w:r w:rsidR="002F4F98">
        <w:rPr>
          <w:szCs w:val="24"/>
        </w:rPr>
        <w:t xml:space="preserve">her pro </w:t>
      </w:r>
      <w:r w:rsidR="002F4F98">
        <w:rPr>
          <w:szCs w:val="24"/>
        </w:rPr>
        <w:lastRenderedPageBreak/>
        <w:t>bono work</w:t>
      </w:r>
      <w:r w:rsidR="00D529D6">
        <w:rPr>
          <w:szCs w:val="24"/>
        </w:rPr>
        <w:t xml:space="preserve">.  </w:t>
      </w:r>
      <w:r w:rsidR="00957676" w:rsidRPr="0006219A">
        <w:rPr>
          <w:szCs w:val="24"/>
        </w:rPr>
        <w:t>(</w:t>
      </w:r>
      <w:r w:rsidR="000D6A13">
        <w:rPr>
          <w:szCs w:val="24"/>
        </w:rPr>
        <w:t xml:space="preserve">See </w:t>
      </w:r>
      <w:r w:rsidR="00957676" w:rsidRPr="0006219A">
        <w:rPr>
          <w:i/>
          <w:szCs w:val="24"/>
        </w:rPr>
        <w:t xml:space="preserve">In the Matter of </w:t>
      </w:r>
      <w:proofErr w:type="spellStart"/>
      <w:r w:rsidR="00957676" w:rsidRPr="0006219A">
        <w:rPr>
          <w:i/>
          <w:szCs w:val="24"/>
        </w:rPr>
        <w:t>Shalant</w:t>
      </w:r>
      <w:proofErr w:type="spellEnd"/>
      <w:r w:rsidR="00957676" w:rsidRPr="0006219A">
        <w:rPr>
          <w:szCs w:val="24"/>
        </w:rPr>
        <w:t xml:space="preserve"> (Review Dept. 2005) 4 Cal. State Bar Ct. </w:t>
      </w:r>
      <w:proofErr w:type="spellStart"/>
      <w:r w:rsidR="00957676" w:rsidRPr="0006219A">
        <w:rPr>
          <w:szCs w:val="24"/>
        </w:rPr>
        <w:t>Rptr</w:t>
      </w:r>
      <w:proofErr w:type="spellEnd"/>
      <w:r w:rsidR="00957676" w:rsidRPr="0006219A">
        <w:rPr>
          <w:szCs w:val="24"/>
        </w:rPr>
        <w:t>. 8</w:t>
      </w:r>
      <w:r w:rsidR="00957676">
        <w:rPr>
          <w:szCs w:val="24"/>
        </w:rPr>
        <w:t>29</w:t>
      </w:r>
      <w:r w:rsidR="00957676" w:rsidRPr="0006219A">
        <w:rPr>
          <w:szCs w:val="24"/>
        </w:rPr>
        <w:t>, 840 [limited weight in mitigation where community service evidence based solely on respondent’s testimony]</w:t>
      </w:r>
      <w:r w:rsidR="00B44408">
        <w:rPr>
          <w:szCs w:val="24"/>
        </w:rPr>
        <w:t>; see also</w:t>
      </w:r>
      <w:r w:rsidR="00EC3840">
        <w:t xml:space="preserve"> </w:t>
      </w:r>
      <w:r w:rsidR="00EC3840" w:rsidRPr="00F4025E">
        <w:rPr>
          <w:i/>
        </w:rPr>
        <w:t>In the Matter of Dyson</w:t>
      </w:r>
      <w:r w:rsidR="00EC3840" w:rsidRPr="00912119">
        <w:t xml:space="preserve"> (Review Dept.</w:t>
      </w:r>
      <w:r w:rsidR="00EC3840">
        <w:t xml:space="preserve"> </w:t>
      </w:r>
      <w:r w:rsidR="00EC3840" w:rsidRPr="00912119">
        <w:t xml:space="preserve">1990) 1 Cal. State Bar Ct. </w:t>
      </w:r>
      <w:proofErr w:type="spellStart"/>
      <w:r w:rsidR="00EC3840" w:rsidRPr="00912119">
        <w:t>Rptr</w:t>
      </w:r>
      <w:proofErr w:type="spellEnd"/>
      <w:r w:rsidR="00EC3840" w:rsidRPr="00912119">
        <w:t>. 280, 287 [little mitigation for minimal testimony regarding pro bono activities]</w:t>
      </w:r>
      <w:r w:rsidR="00EC3840">
        <w:t xml:space="preserve">.)  </w:t>
      </w:r>
      <w:r w:rsidR="00957676">
        <w:rPr>
          <w:szCs w:val="24"/>
        </w:rPr>
        <w:t>W</w:t>
      </w:r>
      <w:r w:rsidR="002F4F98" w:rsidRPr="0006219A">
        <w:rPr>
          <w:szCs w:val="24"/>
        </w:rPr>
        <w:t xml:space="preserve">e </w:t>
      </w:r>
      <w:r w:rsidR="002F4F98">
        <w:rPr>
          <w:szCs w:val="24"/>
        </w:rPr>
        <w:t>affirm nominal</w:t>
      </w:r>
      <w:r w:rsidR="002F4F98" w:rsidRPr="0006219A">
        <w:rPr>
          <w:szCs w:val="24"/>
        </w:rPr>
        <w:t xml:space="preserve"> weight in mitigation.  </w:t>
      </w:r>
    </w:p>
    <w:p w14:paraId="2C234FBF" w14:textId="49E98EB6" w:rsidR="00F66457" w:rsidRDefault="002F4F98" w:rsidP="00F66457">
      <w:pPr>
        <w:pStyle w:val="Heading3"/>
      </w:pPr>
      <w:r>
        <w:t xml:space="preserve">No Mitigation for </w:t>
      </w:r>
      <w:r w:rsidR="007B7036">
        <w:t xml:space="preserve">Good Faith (Std. 1.6(b)) </w:t>
      </w:r>
    </w:p>
    <w:p w14:paraId="2D975425" w14:textId="4EFC63A7" w:rsidR="003E253B" w:rsidRDefault="00AA2EC8" w:rsidP="00B41AA7">
      <w:pPr>
        <w:ind w:firstLine="720"/>
        <w:rPr>
          <w:szCs w:val="24"/>
        </w:rPr>
      </w:pPr>
      <w:r>
        <w:rPr>
          <w:szCs w:val="24"/>
        </w:rPr>
        <w:t xml:space="preserve">Thibault seeks mitigation credit based on her good faith belief that </w:t>
      </w:r>
      <w:r w:rsidR="003E253B">
        <w:rPr>
          <w:szCs w:val="24"/>
        </w:rPr>
        <w:t>a conflict of interest</w:t>
      </w:r>
      <w:r w:rsidR="00383D41">
        <w:rPr>
          <w:szCs w:val="24"/>
        </w:rPr>
        <w:t xml:space="preserve"> did not exist</w:t>
      </w:r>
      <w:r w:rsidR="003E253B">
        <w:rPr>
          <w:szCs w:val="24"/>
        </w:rPr>
        <w:t xml:space="preserve">. </w:t>
      </w:r>
      <w:r w:rsidRPr="0006219A">
        <w:rPr>
          <w:szCs w:val="24"/>
        </w:rPr>
        <w:t xml:space="preserve"> </w:t>
      </w:r>
      <w:r w:rsidR="003E253B">
        <w:rPr>
          <w:szCs w:val="24"/>
        </w:rPr>
        <w:t>The hearing judge declined to afford mitigation for good faith</w:t>
      </w:r>
      <w:r w:rsidR="0027483B">
        <w:rPr>
          <w:szCs w:val="24"/>
        </w:rPr>
        <w:t>,</w:t>
      </w:r>
      <w:r w:rsidR="003E253B">
        <w:rPr>
          <w:szCs w:val="24"/>
        </w:rPr>
        <w:t xml:space="preserve"> </w:t>
      </w:r>
      <w:r w:rsidR="00AF0527">
        <w:rPr>
          <w:szCs w:val="24"/>
        </w:rPr>
        <w:t xml:space="preserve">and OCTC asks us to affirm this finding. </w:t>
      </w:r>
    </w:p>
    <w:p w14:paraId="412838D9" w14:textId="520E3202" w:rsidR="00AA2EC8" w:rsidRPr="00115B41" w:rsidRDefault="003E253B" w:rsidP="00B41AA7">
      <w:pPr>
        <w:ind w:firstLine="720"/>
        <w:rPr>
          <w:szCs w:val="24"/>
        </w:rPr>
      </w:pPr>
      <w:r>
        <w:rPr>
          <w:szCs w:val="24"/>
        </w:rPr>
        <w:t xml:space="preserve">To establish </w:t>
      </w:r>
      <w:r w:rsidR="00AF0527">
        <w:rPr>
          <w:szCs w:val="24"/>
        </w:rPr>
        <w:t xml:space="preserve">good faith in mitigation, “an </w:t>
      </w:r>
      <w:r w:rsidR="00AF0527" w:rsidRPr="00801B35">
        <w:t>attorney mu</w:t>
      </w:r>
      <w:r w:rsidR="00AF0527">
        <w:t>st</w:t>
      </w:r>
      <w:r w:rsidR="00AF0527" w:rsidRPr="00801B35">
        <w:t xml:space="preserve"> prove that his or her beliefs were both honestly held and reasonable</w:t>
      </w:r>
      <w:r w:rsidR="00AF0527">
        <w:t>.”  (</w:t>
      </w:r>
      <w:r w:rsidR="00AF0527" w:rsidRPr="00801B35">
        <w:rPr>
          <w:i/>
        </w:rPr>
        <w:t>In the Matter of Rose</w:t>
      </w:r>
      <w:r w:rsidR="00AF0527">
        <w:t xml:space="preserve"> (Review Dept. 1997</w:t>
      </w:r>
      <w:r w:rsidR="00AF0527" w:rsidRPr="00801B35">
        <w:t>) 3</w:t>
      </w:r>
      <w:r w:rsidR="00AF0527">
        <w:t> </w:t>
      </w:r>
      <w:r w:rsidR="00AF0527" w:rsidRPr="00801B35">
        <w:t xml:space="preserve">Cal. State Bar Ct. </w:t>
      </w:r>
      <w:proofErr w:type="spellStart"/>
      <w:r w:rsidR="00AF0527" w:rsidRPr="00801B35">
        <w:t>Rptr</w:t>
      </w:r>
      <w:proofErr w:type="spellEnd"/>
      <w:r w:rsidR="00AF0527" w:rsidRPr="00801B35">
        <w:t xml:space="preserve">. </w:t>
      </w:r>
      <w:r w:rsidR="00AF0527">
        <w:t>6</w:t>
      </w:r>
      <w:r w:rsidR="00AF0527" w:rsidRPr="00801B35">
        <w:t>4</w:t>
      </w:r>
      <w:r w:rsidR="00AF0527">
        <w:t>6</w:t>
      </w:r>
      <w:r w:rsidR="00AF0527" w:rsidRPr="00801B35">
        <w:t xml:space="preserve">, </w:t>
      </w:r>
      <w:r w:rsidR="00AF0527">
        <w:t>653</w:t>
      </w:r>
      <w:r w:rsidR="00457C55">
        <w:t xml:space="preserve">; </w:t>
      </w:r>
      <w:r w:rsidR="00F139E3">
        <w:t xml:space="preserve">std. </w:t>
      </w:r>
      <w:r w:rsidR="00F139E3" w:rsidRPr="0006219A">
        <w:rPr>
          <w:szCs w:val="24"/>
        </w:rPr>
        <w:t>1.6(b</w:t>
      </w:r>
      <w:r w:rsidR="00AF0527" w:rsidRPr="00801B35">
        <w:t>)</w:t>
      </w:r>
      <w:r w:rsidR="00C407B1">
        <w:t>.)</w:t>
      </w:r>
      <w:r w:rsidR="00AF0527" w:rsidRPr="00801B35">
        <w:t xml:space="preserve"> </w:t>
      </w:r>
      <w:r w:rsidR="00AF0527">
        <w:t xml:space="preserve"> </w:t>
      </w:r>
      <w:r w:rsidR="00AA2EC8" w:rsidRPr="0006219A">
        <w:rPr>
          <w:szCs w:val="24"/>
        </w:rPr>
        <w:t xml:space="preserve">We find that </w:t>
      </w:r>
      <w:r w:rsidR="00AF0527">
        <w:rPr>
          <w:szCs w:val="24"/>
        </w:rPr>
        <w:t>Thibault</w:t>
      </w:r>
      <w:r w:rsidR="00AA2EC8" w:rsidRPr="0006219A">
        <w:rPr>
          <w:szCs w:val="24"/>
        </w:rPr>
        <w:t xml:space="preserve"> does not deserve mitigating credit for </w:t>
      </w:r>
      <w:r w:rsidR="00115B41">
        <w:rPr>
          <w:szCs w:val="24"/>
        </w:rPr>
        <w:t>good faith</w:t>
      </w:r>
      <w:r w:rsidR="00AA2EC8" w:rsidRPr="0006219A">
        <w:rPr>
          <w:szCs w:val="24"/>
        </w:rPr>
        <w:t xml:space="preserve">.  Even if </w:t>
      </w:r>
      <w:r>
        <w:rPr>
          <w:szCs w:val="24"/>
        </w:rPr>
        <w:t>Thibault</w:t>
      </w:r>
      <w:r w:rsidR="00EE609C">
        <w:rPr>
          <w:szCs w:val="24"/>
        </w:rPr>
        <w:t xml:space="preserve"> honestly</w:t>
      </w:r>
      <w:r>
        <w:rPr>
          <w:szCs w:val="24"/>
        </w:rPr>
        <w:t xml:space="preserve"> </w:t>
      </w:r>
      <w:r w:rsidR="00AA2EC8" w:rsidRPr="0006219A">
        <w:rPr>
          <w:szCs w:val="24"/>
        </w:rPr>
        <w:t xml:space="preserve">believed </w:t>
      </w:r>
      <w:r>
        <w:rPr>
          <w:szCs w:val="24"/>
        </w:rPr>
        <w:t>s</w:t>
      </w:r>
      <w:r w:rsidR="00AA2EC8" w:rsidRPr="0006219A">
        <w:rPr>
          <w:szCs w:val="24"/>
        </w:rPr>
        <w:t xml:space="preserve">he acted in good faith </w:t>
      </w:r>
      <w:r w:rsidR="00AF0527">
        <w:rPr>
          <w:szCs w:val="24"/>
        </w:rPr>
        <w:t xml:space="preserve">in accepting Prasad’s case </w:t>
      </w:r>
      <w:r w:rsidR="00CE7F06">
        <w:rPr>
          <w:szCs w:val="24"/>
        </w:rPr>
        <w:t xml:space="preserve">where </w:t>
      </w:r>
      <w:proofErr w:type="spellStart"/>
      <w:r>
        <w:rPr>
          <w:szCs w:val="24"/>
        </w:rPr>
        <w:t>Peshawaria</w:t>
      </w:r>
      <w:proofErr w:type="spellEnd"/>
      <w:r>
        <w:rPr>
          <w:szCs w:val="24"/>
        </w:rPr>
        <w:t xml:space="preserve"> was not a California licensed attorney</w:t>
      </w:r>
      <w:r w:rsidR="00AF0527">
        <w:rPr>
          <w:szCs w:val="24"/>
        </w:rPr>
        <w:t xml:space="preserve"> when she represented Rattan</w:t>
      </w:r>
      <w:r w:rsidR="00AA2EC8" w:rsidRPr="0006219A">
        <w:rPr>
          <w:szCs w:val="24"/>
        </w:rPr>
        <w:t xml:space="preserve">, it was not objectively reasonable for </w:t>
      </w:r>
      <w:r>
        <w:rPr>
          <w:szCs w:val="24"/>
        </w:rPr>
        <w:t xml:space="preserve">Thibault to withdraw from representing Prasad in 2016 given the </w:t>
      </w:r>
      <w:r w:rsidR="00AF0527">
        <w:rPr>
          <w:szCs w:val="24"/>
        </w:rPr>
        <w:t xml:space="preserve">known </w:t>
      </w:r>
      <w:r>
        <w:rPr>
          <w:szCs w:val="24"/>
        </w:rPr>
        <w:t xml:space="preserve">conflict and then agree </w:t>
      </w:r>
      <w:r w:rsidR="00AA2EC8" w:rsidRPr="0006219A">
        <w:rPr>
          <w:szCs w:val="24"/>
        </w:rPr>
        <w:t xml:space="preserve">to </w:t>
      </w:r>
      <w:r>
        <w:rPr>
          <w:szCs w:val="24"/>
        </w:rPr>
        <w:t xml:space="preserve">represent him in 2018 without Rattan’s written consent.  </w:t>
      </w:r>
      <w:r w:rsidR="00AF0527">
        <w:rPr>
          <w:szCs w:val="24"/>
        </w:rPr>
        <w:t>Also, Thibault</w:t>
      </w:r>
      <w:r w:rsidR="0027483B">
        <w:rPr>
          <w:szCs w:val="24"/>
        </w:rPr>
        <w:t>’s</w:t>
      </w:r>
      <w:r w:rsidR="00AF0527">
        <w:rPr>
          <w:szCs w:val="24"/>
        </w:rPr>
        <w:t xml:space="preserve"> decision to not obey the court’s sanctions order for over eight months after it became final does not evidence good faith.  Lastly, Thibault’s good faith argument is belied by her indifference, as discussed above.</w:t>
      </w:r>
      <w:r w:rsidR="00AA2EC8" w:rsidRPr="0006219A">
        <w:rPr>
          <w:szCs w:val="24"/>
        </w:rPr>
        <w:t xml:space="preserve">  These circumstances preclude any finding of good faith.</w:t>
      </w:r>
    </w:p>
    <w:p w14:paraId="16EE5165" w14:textId="13F32F28" w:rsidR="00E425CC" w:rsidRDefault="00E425CC" w:rsidP="00E425CC">
      <w:pPr>
        <w:pStyle w:val="Heading1"/>
      </w:pPr>
      <w:r>
        <w:t>A 30-DAY ACTUAL SUSPENSION IS APPROPRIATE DISCIPLINE</w:t>
      </w:r>
    </w:p>
    <w:p w14:paraId="42D4951E" w14:textId="77777777" w:rsidR="004719E0" w:rsidRDefault="004719E0" w:rsidP="00B41AA7">
      <w:pPr>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 xml:space="preserve">Our disciplinary analysis begins with the standards.  While they are guidelines for discipline and are not mandatory, we give them </w:t>
      </w:r>
      <w:r w:rsidRPr="001223A2">
        <w:rPr>
          <w:rFonts w:eastAsia="Times New Roman"/>
          <w:szCs w:val="24"/>
        </w:rPr>
        <w:lastRenderedPageBreak/>
        <w:t>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p>
    <w:p w14:paraId="44069B1C" w14:textId="02AF1B08" w:rsidR="00AA68D1" w:rsidRDefault="004719E0" w:rsidP="00B41AA7">
      <w:pPr>
        <w:ind w:firstLine="720"/>
        <w:rPr>
          <w:color w:val="212121"/>
          <w:szCs w:val="24"/>
        </w:rPr>
      </w:pPr>
      <w:r w:rsidRPr="00D55103">
        <w:rPr>
          <w:rFonts w:eastAsia="Times New Roman"/>
          <w:szCs w:val="24"/>
        </w:rPr>
        <w:t xml:space="preserve">In </w:t>
      </w:r>
      <w:r w:rsidRPr="0026447A">
        <w:rPr>
          <w:rFonts w:eastAsia="Times New Roman"/>
          <w:szCs w:val="24"/>
        </w:rPr>
        <w:t>analyzing the applicable standards, we first determine which standard specifies the most severe sanction for the misconduct</w:t>
      </w:r>
      <w:r>
        <w:rPr>
          <w:rFonts w:eastAsia="Times New Roman"/>
          <w:szCs w:val="24"/>
        </w:rPr>
        <w:t xml:space="preserve"> </w:t>
      </w:r>
      <w:r w:rsidRPr="0026447A">
        <w:rPr>
          <w:rFonts w:eastAsia="Times New Roman"/>
          <w:szCs w:val="24"/>
        </w:rPr>
        <w:t>at-issue.  (Std. 1.7(a) [most severe sanction must be imposed where multiple sanctions apply]</w:t>
      </w:r>
      <w:r w:rsidRPr="00CB3AEB">
        <w:rPr>
          <w:rFonts w:eastAsia="Times New Roman"/>
          <w:szCs w:val="24"/>
        </w:rPr>
        <w:t>.)  Here,</w:t>
      </w:r>
      <w:r>
        <w:rPr>
          <w:rFonts w:eastAsia="Times New Roman"/>
          <w:szCs w:val="24"/>
        </w:rPr>
        <w:t xml:space="preserve"> standard 2.12(a) </w:t>
      </w:r>
      <w:r w:rsidRPr="00B71127">
        <w:rPr>
          <w:szCs w:val="24"/>
        </w:rPr>
        <w:t>is most applicable because it directly addresses disobedience of a court order and contains the most severe discipline—disbarment or </w:t>
      </w:r>
      <w:r w:rsidRPr="00B71127">
        <w:rPr>
          <w:rStyle w:val="Emphasis"/>
          <w:i w:val="0"/>
          <w:iCs w:val="0"/>
          <w:szCs w:val="24"/>
        </w:rPr>
        <w:t>actual</w:t>
      </w:r>
      <w:r w:rsidRPr="00B71127">
        <w:rPr>
          <w:i/>
          <w:iCs/>
          <w:szCs w:val="24"/>
        </w:rPr>
        <w:t> </w:t>
      </w:r>
      <w:r w:rsidRPr="00B71127">
        <w:rPr>
          <w:szCs w:val="24"/>
        </w:rPr>
        <w:t>suspension.</w:t>
      </w:r>
      <w:r w:rsidRPr="00B71127">
        <w:rPr>
          <w:rStyle w:val="FootnoteReference"/>
          <w:szCs w:val="24"/>
        </w:rPr>
        <w:footnoteReference w:id="22"/>
      </w:r>
      <w:r w:rsidR="00AA68D1" w:rsidRPr="00B71127">
        <w:rPr>
          <w:szCs w:val="24"/>
        </w:rPr>
        <w:t xml:space="preserve">  The hearing judge applied standard 2.12(a) and relied on </w:t>
      </w:r>
      <w:r w:rsidR="00AA68D1" w:rsidRPr="00B71127">
        <w:rPr>
          <w:i/>
          <w:iCs/>
          <w:szCs w:val="24"/>
        </w:rPr>
        <w:t>In the Matter of Collins</w:t>
      </w:r>
      <w:r w:rsidR="00F20FD3">
        <w:rPr>
          <w:szCs w:val="24"/>
        </w:rPr>
        <w:t xml:space="preserve"> </w:t>
      </w:r>
      <w:r w:rsidR="00AA68D1" w:rsidRPr="00B71127">
        <w:rPr>
          <w:szCs w:val="24"/>
        </w:rPr>
        <w:t xml:space="preserve">to support her 30-day actual suspension recommendation.  In </w:t>
      </w:r>
      <w:r w:rsidR="00AA68D1" w:rsidRPr="00B71127">
        <w:rPr>
          <w:i/>
          <w:iCs/>
          <w:szCs w:val="24"/>
        </w:rPr>
        <w:t>Collins</w:t>
      </w:r>
      <w:r w:rsidR="00AA68D1" w:rsidRPr="00B71127">
        <w:rPr>
          <w:szCs w:val="24"/>
        </w:rPr>
        <w:t xml:space="preserve">, the attorney violated five orders </w:t>
      </w:r>
      <w:r w:rsidR="001A282A">
        <w:rPr>
          <w:szCs w:val="24"/>
        </w:rPr>
        <w:t xml:space="preserve">that sanctioned him, </w:t>
      </w:r>
      <w:r w:rsidR="00AA68D1" w:rsidRPr="00B71127">
        <w:rPr>
          <w:szCs w:val="24"/>
        </w:rPr>
        <w:t xml:space="preserve">and </w:t>
      </w:r>
      <w:r w:rsidR="001A282A">
        <w:rPr>
          <w:szCs w:val="24"/>
        </w:rPr>
        <w:t xml:space="preserve">he </w:t>
      </w:r>
      <w:r w:rsidR="00AA68D1" w:rsidRPr="00B71127">
        <w:rPr>
          <w:szCs w:val="24"/>
        </w:rPr>
        <w:t xml:space="preserve">had not paid </w:t>
      </w:r>
      <w:r w:rsidR="00CD04FB">
        <w:rPr>
          <w:szCs w:val="24"/>
        </w:rPr>
        <w:t xml:space="preserve">any </w:t>
      </w:r>
      <w:r w:rsidR="00AA68D1" w:rsidRPr="00B71127">
        <w:rPr>
          <w:szCs w:val="24"/>
        </w:rPr>
        <w:t xml:space="preserve">sanctions </w:t>
      </w:r>
      <w:r w:rsidR="00CD04FB">
        <w:rPr>
          <w:szCs w:val="24"/>
        </w:rPr>
        <w:t>by</w:t>
      </w:r>
      <w:r w:rsidR="00AA68D1" w:rsidRPr="00B71127">
        <w:rPr>
          <w:szCs w:val="24"/>
        </w:rPr>
        <w:t xml:space="preserve"> the time of his disciplinary trial.  This court </w:t>
      </w:r>
      <w:r w:rsidR="00C57AFC" w:rsidRPr="00B71127">
        <w:rPr>
          <w:szCs w:val="24"/>
        </w:rPr>
        <w:t>assigned</w:t>
      </w:r>
      <w:r w:rsidR="00AA68D1" w:rsidRPr="00B71127">
        <w:rPr>
          <w:szCs w:val="24"/>
        </w:rPr>
        <w:t xml:space="preserve"> moderate aggravation for multiple a</w:t>
      </w:r>
      <w:r w:rsidR="00C57AFC" w:rsidRPr="00B71127">
        <w:rPr>
          <w:szCs w:val="24"/>
        </w:rPr>
        <w:t>cts and</w:t>
      </w:r>
      <w:r w:rsidR="00AA68D1" w:rsidRPr="00B71127">
        <w:rPr>
          <w:szCs w:val="24"/>
        </w:rPr>
        <w:t xml:space="preserve"> determined that Collins established </w:t>
      </w:r>
      <w:r w:rsidR="00C57AFC" w:rsidRPr="00B71127">
        <w:rPr>
          <w:szCs w:val="24"/>
        </w:rPr>
        <w:t>significant</w:t>
      </w:r>
      <w:r w:rsidR="00AA68D1" w:rsidRPr="00B71127">
        <w:rPr>
          <w:szCs w:val="24"/>
        </w:rPr>
        <w:t xml:space="preserve"> mitigation for </w:t>
      </w:r>
      <w:r w:rsidR="00C57AFC" w:rsidRPr="00B71127">
        <w:rPr>
          <w:szCs w:val="24"/>
        </w:rPr>
        <w:t xml:space="preserve">22 years of discipline-free practice and cooperation with OCTC by stipulating to facts and culpability.  Despite the mitigation Collins established, we determined it did not justify a downward departure from the actual suspension required under standard 2.12(a). </w:t>
      </w:r>
    </w:p>
    <w:p w14:paraId="76AC5E83" w14:textId="07DB1236" w:rsidR="00C57AFC" w:rsidRPr="009522F0" w:rsidRDefault="00C57AFC" w:rsidP="00B41AA7">
      <w:pPr>
        <w:ind w:firstLine="720"/>
        <w:rPr>
          <w:szCs w:val="24"/>
        </w:rPr>
      </w:pPr>
      <w:r>
        <w:t xml:space="preserve">OCTC requests that we affirm the hearing judge’s 30-day actual suspension recommendation.  Thibault, without articulating any justifiable reason, argues that the discipline imposed in </w:t>
      </w:r>
      <w:r w:rsidRPr="00C57AFC">
        <w:rPr>
          <w:i/>
          <w:iCs/>
        </w:rPr>
        <w:t>Collins</w:t>
      </w:r>
      <w:r>
        <w:t xml:space="preserve"> </w:t>
      </w:r>
      <w:r w:rsidR="0027483B">
        <w:t>is</w:t>
      </w:r>
      <w:r>
        <w:t xml:space="preserve"> not appliable</w:t>
      </w:r>
      <w:r w:rsidR="00B905AB">
        <w:t xml:space="preserve"> to her case</w:t>
      </w:r>
      <w:r>
        <w:t xml:space="preserve">.  </w:t>
      </w:r>
      <w:r w:rsidR="00AA68D1" w:rsidRPr="009522F0">
        <w:rPr>
          <w:szCs w:val="24"/>
        </w:rPr>
        <w:t>We note that the judge</w:t>
      </w:r>
      <w:r w:rsidRPr="009522F0">
        <w:rPr>
          <w:szCs w:val="24"/>
        </w:rPr>
        <w:t>’s discipline</w:t>
      </w:r>
      <w:r w:rsidR="00AA68D1" w:rsidRPr="009522F0">
        <w:rPr>
          <w:szCs w:val="24"/>
        </w:rPr>
        <w:t xml:space="preserve"> recommendation is at the low end of the range of discipline under standard</w:t>
      </w:r>
      <w:r w:rsidRPr="009522F0">
        <w:rPr>
          <w:szCs w:val="24"/>
        </w:rPr>
        <w:t xml:space="preserve"> 2.12(a)</w:t>
      </w:r>
      <w:r w:rsidR="00AA68D1" w:rsidRPr="009522F0">
        <w:rPr>
          <w:szCs w:val="24"/>
        </w:rPr>
        <w:t>.</w:t>
      </w:r>
      <w:r w:rsidR="000A0CBE">
        <w:rPr>
          <w:szCs w:val="24"/>
        </w:rPr>
        <w:t xml:space="preserve"> </w:t>
      </w:r>
      <w:r w:rsidR="00AA68D1" w:rsidRPr="009522F0">
        <w:rPr>
          <w:szCs w:val="24"/>
        </w:rPr>
        <w:t xml:space="preserve"> (Std. 1.2(c)(1) [“Actual suspension is generally for a period of thirty days, sixty days, ninety days, six months, one year, eighteen months, two years, or three years”].)</w:t>
      </w:r>
      <w:r w:rsidRPr="009522F0">
        <w:rPr>
          <w:szCs w:val="24"/>
        </w:rPr>
        <w:t xml:space="preserve">  Moreover, section 6103 itself </w:t>
      </w:r>
      <w:r w:rsidRPr="009522F0">
        <w:rPr>
          <w:szCs w:val="24"/>
        </w:rPr>
        <w:lastRenderedPageBreak/>
        <w:t xml:space="preserve">calls for the minimum level of discipline to be a suspension, </w:t>
      </w:r>
      <w:r w:rsidR="0027483B" w:rsidRPr="009522F0">
        <w:rPr>
          <w:szCs w:val="24"/>
        </w:rPr>
        <w:t xml:space="preserve">as the statute provides that </w:t>
      </w:r>
      <w:r w:rsidRPr="009522F0">
        <w:rPr>
          <w:szCs w:val="24"/>
        </w:rPr>
        <w:t xml:space="preserve">violations of court orders “constitute causes for disbarment or suspension.”  We also </w:t>
      </w:r>
      <w:r w:rsidR="00EF56C7" w:rsidRPr="009522F0">
        <w:rPr>
          <w:szCs w:val="24"/>
        </w:rPr>
        <w:t>consider</w:t>
      </w:r>
      <w:r w:rsidRPr="009522F0">
        <w:rPr>
          <w:szCs w:val="24"/>
        </w:rPr>
        <w:t xml:space="preserve"> the Supreme Court’s admonition that violations of court orders are serious misconduct. </w:t>
      </w:r>
      <w:r w:rsidR="00B905AB" w:rsidRPr="009522F0">
        <w:rPr>
          <w:szCs w:val="24"/>
        </w:rPr>
        <w:t xml:space="preserve"> </w:t>
      </w:r>
      <w:r w:rsidRPr="009522F0">
        <w:rPr>
          <w:szCs w:val="24"/>
        </w:rPr>
        <w:t>(</w:t>
      </w:r>
      <w:r w:rsidRPr="009522F0">
        <w:rPr>
          <w:i/>
          <w:iCs/>
          <w:szCs w:val="24"/>
        </w:rPr>
        <w:t>Barnum v. State Bar</w:t>
      </w:r>
      <w:r w:rsidRPr="009522F0">
        <w:rPr>
          <w:szCs w:val="24"/>
        </w:rPr>
        <w:t> (1990) 52 Cal.3d 104, 112 [“Other than outright deceit, it is difficult to imagine conduct in the course of legal representation more unbefitting an attorney”</w:t>
      </w:r>
      <w:r w:rsidR="00CA654F" w:rsidRPr="009522F0">
        <w:rPr>
          <w:szCs w:val="24"/>
        </w:rPr>
        <w:t xml:space="preserve"> than </w:t>
      </w:r>
      <w:r w:rsidR="00656044" w:rsidRPr="009522F0">
        <w:rPr>
          <w:szCs w:val="24"/>
        </w:rPr>
        <w:t>violation of court order</w:t>
      </w:r>
      <w:r w:rsidRPr="009522F0">
        <w:rPr>
          <w:szCs w:val="24"/>
        </w:rPr>
        <w:t xml:space="preserve">].)  </w:t>
      </w:r>
    </w:p>
    <w:p w14:paraId="341767D8" w14:textId="7B8C4450" w:rsidR="00D23BD3" w:rsidRPr="009522F0" w:rsidRDefault="00C57AFC" w:rsidP="00B41AA7">
      <w:pPr>
        <w:ind w:firstLine="720"/>
        <w:rPr>
          <w:szCs w:val="24"/>
        </w:rPr>
      </w:pPr>
      <w:r w:rsidRPr="009522F0">
        <w:rPr>
          <w:szCs w:val="24"/>
        </w:rPr>
        <w:t xml:space="preserve">Here, </w:t>
      </w:r>
      <w:r w:rsidR="00426B7A" w:rsidRPr="009522F0">
        <w:rPr>
          <w:szCs w:val="24"/>
        </w:rPr>
        <w:t>Thibault’s misconduct include</w:t>
      </w:r>
      <w:r w:rsidR="00780172" w:rsidRPr="009522F0">
        <w:rPr>
          <w:szCs w:val="24"/>
        </w:rPr>
        <w:t>s</w:t>
      </w:r>
      <w:r w:rsidR="00426B7A" w:rsidRPr="009522F0">
        <w:rPr>
          <w:szCs w:val="24"/>
        </w:rPr>
        <w:t xml:space="preserve"> her violation of the superior court’s sanctions order</w:t>
      </w:r>
      <w:r w:rsidR="0027483B" w:rsidRPr="009522F0">
        <w:rPr>
          <w:szCs w:val="24"/>
        </w:rPr>
        <w:t xml:space="preserve">, her failure to </w:t>
      </w:r>
      <w:r w:rsidR="00D703BC" w:rsidRPr="009522F0">
        <w:rPr>
          <w:szCs w:val="24"/>
        </w:rPr>
        <w:t xml:space="preserve">timely </w:t>
      </w:r>
      <w:r w:rsidR="0027483B" w:rsidRPr="009522F0">
        <w:rPr>
          <w:szCs w:val="24"/>
        </w:rPr>
        <w:t xml:space="preserve">report the sanctions to the State Bar, </w:t>
      </w:r>
      <w:r w:rsidR="00D703BC" w:rsidRPr="009522F0">
        <w:rPr>
          <w:szCs w:val="24"/>
        </w:rPr>
        <w:t>and</w:t>
      </w:r>
      <w:r w:rsidR="00426B7A" w:rsidRPr="009522F0">
        <w:rPr>
          <w:szCs w:val="24"/>
        </w:rPr>
        <w:t xml:space="preserve"> her </w:t>
      </w:r>
      <w:r w:rsidR="00780172" w:rsidRPr="009522F0">
        <w:rPr>
          <w:szCs w:val="24"/>
        </w:rPr>
        <w:t xml:space="preserve">decision to </w:t>
      </w:r>
      <w:r w:rsidR="00426B7A" w:rsidRPr="009522F0">
        <w:rPr>
          <w:szCs w:val="24"/>
        </w:rPr>
        <w:t>maintain an adverse representation</w:t>
      </w:r>
      <w:r w:rsidR="0027483B" w:rsidRPr="009522F0">
        <w:rPr>
          <w:szCs w:val="24"/>
        </w:rPr>
        <w:t>.  S</w:t>
      </w:r>
      <w:r w:rsidR="00780172" w:rsidRPr="009522F0">
        <w:rPr>
          <w:szCs w:val="24"/>
        </w:rPr>
        <w:t xml:space="preserve">he </w:t>
      </w:r>
      <w:r w:rsidR="0027483B" w:rsidRPr="009522F0">
        <w:rPr>
          <w:szCs w:val="24"/>
        </w:rPr>
        <w:t xml:space="preserve">also </w:t>
      </w:r>
      <w:r w:rsidR="00780172" w:rsidRPr="009522F0">
        <w:rPr>
          <w:szCs w:val="24"/>
        </w:rPr>
        <w:t xml:space="preserve">still fails to fully understand the wrongfulness of actions and her ethical obligations as an attorney in avoiding conflicts of interest.  </w:t>
      </w:r>
      <w:r w:rsidR="00D23BD3" w:rsidRPr="009522F0">
        <w:rPr>
          <w:szCs w:val="24"/>
        </w:rPr>
        <w:t>We are mindful that Thibault conferred with the State Bar’s Ethics Hotline for guidance before deciding to accept Prasad’s representation</w:t>
      </w:r>
      <w:r w:rsidR="00550362" w:rsidRPr="009522F0">
        <w:rPr>
          <w:szCs w:val="24"/>
        </w:rPr>
        <w:t xml:space="preserve">, which we commend.  Nevertheless, while it is one thing to explore the parameters of </w:t>
      </w:r>
      <w:r w:rsidR="0014543A">
        <w:rPr>
          <w:szCs w:val="24"/>
        </w:rPr>
        <w:t xml:space="preserve">an </w:t>
      </w:r>
      <w:r w:rsidR="00550362" w:rsidRPr="009522F0">
        <w:rPr>
          <w:szCs w:val="24"/>
        </w:rPr>
        <w:t>ethical obligation</w:t>
      </w:r>
      <w:r w:rsidR="00D7206A" w:rsidRPr="009522F0">
        <w:rPr>
          <w:szCs w:val="24"/>
        </w:rPr>
        <w:t xml:space="preserve"> before dec</w:t>
      </w:r>
      <w:r w:rsidR="009A1385">
        <w:rPr>
          <w:szCs w:val="24"/>
        </w:rPr>
        <w:t xml:space="preserve">iding </w:t>
      </w:r>
      <w:r w:rsidR="0014543A">
        <w:rPr>
          <w:szCs w:val="24"/>
        </w:rPr>
        <w:t xml:space="preserve">to </w:t>
      </w:r>
      <w:r w:rsidR="00D7206A" w:rsidRPr="009522F0">
        <w:rPr>
          <w:szCs w:val="24"/>
        </w:rPr>
        <w:t>represent</w:t>
      </w:r>
      <w:r w:rsidR="0014543A">
        <w:rPr>
          <w:szCs w:val="24"/>
        </w:rPr>
        <w:t xml:space="preserve"> a potential client</w:t>
      </w:r>
      <w:r w:rsidR="00550362" w:rsidRPr="009522F0">
        <w:rPr>
          <w:szCs w:val="24"/>
        </w:rPr>
        <w:t xml:space="preserve">, we view Thibault’s misconduct as unreasonable and without </w:t>
      </w:r>
      <w:r w:rsidR="00D7206A" w:rsidRPr="009522F0">
        <w:rPr>
          <w:szCs w:val="24"/>
        </w:rPr>
        <w:t xml:space="preserve">careful consideration or </w:t>
      </w:r>
      <w:r w:rsidR="00550362" w:rsidRPr="009522F0">
        <w:rPr>
          <w:szCs w:val="24"/>
        </w:rPr>
        <w:t>regard to</w:t>
      </w:r>
      <w:r w:rsidR="00D7206A" w:rsidRPr="009522F0">
        <w:rPr>
          <w:szCs w:val="24"/>
        </w:rPr>
        <w:t xml:space="preserve"> what should have been an obvious </w:t>
      </w:r>
      <w:r w:rsidR="00550362" w:rsidRPr="009522F0">
        <w:rPr>
          <w:szCs w:val="24"/>
        </w:rPr>
        <w:t>conflict of interest</w:t>
      </w:r>
      <w:r w:rsidR="00D7206A" w:rsidRPr="009522F0">
        <w:rPr>
          <w:szCs w:val="24"/>
        </w:rPr>
        <w:t xml:space="preserve">.  </w:t>
      </w:r>
      <w:r w:rsidR="00780172" w:rsidRPr="009522F0">
        <w:rPr>
          <w:szCs w:val="24"/>
        </w:rPr>
        <w:t>When considering her serious misconduct</w:t>
      </w:r>
      <w:r w:rsidR="0027483B" w:rsidRPr="009522F0">
        <w:rPr>
          <w:szCs w:val="24"/>
        </w:rPr>
        <w:t>,</w:t>
      </w:r>
      <w:r w:rsidR="00780172" w:rsidRPr="009522F0">
        <w:rPr>
          <w:szCs w:val="24"/>
        </w:rPr>
        <w:t xml:space="preserve"> </w:t>
      </w:r>
      <w:r w:rsidR="00947C56" w:rsidRPr="009522F0">
        <w:rPr>
          <w:szCs w:val="24"/>
        </w:rPr>
        <w:t xml:space="preserve">along </w:t>
      </w:r>
      <w:r w:rsidR="00780172" w:rsidRPr="009522F0">
        <w:rPr>
          <w:szCs w:val="24"/>
        </w:rPr>
        <w:t>with her aggravati</w:t>
      </w:r>
      <w:r w:rsidR="00947C56" w:rsidRPr="009522F0">
        <w:rPr>
          <w:szCs w:val="24"/>
        </w:rPr>
        <w:t xml:space="preserve">ng circumstances that </w:t>
      </w:r>
      <w:r w:rsidR="002426EE" w:rsidRPr="009522F0">
        <w:rPr>
          <w:szCs w:val="24"/>
        </w:rPr>
        <w:t>outweigh her mit</w:t>
      </w:r>
      <w:r w:rsidR="00947C56" w:rsidRPr="009522F0">
        <w:rPr>
          <w:szCs w:val="24"/>
        </w:rPr>
        <w:t>igating ones</w:t>
      </w:r>
      <w:r w:rsidR="00780172" w:rsidRPr="009522F0">
        <w:rPr>
          <w:szCs w:val="24"/>
        </w:rPr>
        <w:t xml:space="preserve">, we find that the net effect does not justify a departure from standard 2.12(a).  </w:t>
      </w:r>
      <w:proofErr w:type="gramStart"/>
      <w:r w:rsidR="008F1A9F" w:rsidRPr="009522F0">
        <w:rPr>
          <w:szCs w:val="24"/>
        </w:rPr>
        <w:t>In light of</w:t>
      </w:r>
      <w:proofErr w:type="gramEnd"/>
      <w:r w:rsidR="008F1A9F" w:rsidRPr="009522F0">
        <w:rPr>
          <w:szCs w:val="24"/>
        </w:rPr>
        <w:t xml:space="preserve"> </w:t>
      </w:r>
      <w:r w:rsidR="00780172" w:rsidRPr="009522F0">
        <w:rPr>
          <w:szCs w:val="24"/>
        </w:rPr>
        <w:t xml:space="preserve">the guidance from the case law and the standards, we cannot articulate a legitimate reason to deviate from the 30-day actual suspension based upon the record before us.  </w:t>
      </w:r>
      <w:r w:rsidR="00820BA8" w:rsidRPr="009522F0">
        <w:rPr>
          <w:szCs w:val="24"/>
        </w:rPr>
        <w:t>(See standard 1.1</w:t>
      </w:r>
      <w:r w:rsidR="000867EF" w:rsidRPr="009522F0">
        <w:rPr>
          <w:szCs w:val="24"/>
        </w:rPr>
        <w:t xml:space="preserve"> [“Any disciplinary recommendation that deviates from the Standards</w:t>
      </w:r>
      <w:r w:rsidR="001A2CAB" w:rsidRPr="009522F0">
        <w:rPr>
          <w:szCs w:val="24"/>
        </w:rPr>
        <w:t xml:space="preserve"> must include clear reasons for the departure</w:t>
      </w:r>
      <w:r w:rsidR="001646AD" w:rsidRPr="009522F0">
        <w:rPr>
          <w:szCs w:val="24"/>
        </w:rPr>
        <w:t>”].)</w:t>
      </w:r>
    </w:p>
    <w:p w14:paraId="582664D9" w14:textId="77013129" w:rsidR="001646AD" w:rsidRPr="00FF6B61" w:rsidRDefault="00780172" w:rsidP="00B41AA7">
      <w:pPr>
        <w:ind w:firstLine="720"/>
        <w:rPr>
          <w:rFonts w:eastAsiaTheme="majorEastAsia" w:cstheme="majorBidi"/>
          <w:b/>
          <w:caps/>
          <w:szCs w:val="32"/>
        </w:rPr>
      </w:pPr>
      <w:r w:rsidRPr="009522F0">
        <w:rPr>
          <w:szCs w:val="24"/>
        </w:rPr>
        <w:t>The hearing judge’s recommendation is within the range provided in standard 2.12(a) and section 6103, and OCTC does not seek increased discipline.  For these reasons, and because a 30-day actual suspension serves to protect the public, the courts, and the legal profession, we affirm the judge’s recommended discipline.</w:t>
      </w:r>
    </w:p>
    <w:p w14:paraId="1ED00986" w14:textId="4D733789" w:rsidR="00C66903" w:rsidRPr="00C66903" w:rsidRDefault="00C66903" w:rsidP="00F9668B">
      <w:pPr>
        <w:pStyle w:val="Heading1"/>
        <w:spacing w:after="0" w:line="480" w:lineRule="auto"/>
      </w:pPr>
      <w:r w:rsidRPr="00C66903">
        <w:lastRenderedPageBreak/>
        <w:t>RECOMMENDATIONS</w:t>
      </w:r>
    </w:p>
    <w:p w14:paraId="24678650" w14:textId="5E5C507D" w:rsidR="0090723F" w:rsidRPr="00EF11E6" w:rsidRDefault="0090723F" w:rsidP="00B41AA7">
      <w:pPr>
        <w:ind w:firstLine="720"/>
        <w:rPr>
          <w:b/>
        </w:rPr>
      </w:pPr>
      <w:r w:rsidRPr="00FF502A">
        <w:rPr>
          <w:spacing w:val="-2"/>
        </w:rPr>
        <w:t xml:space="preserve">We recommend that </w:t>
      </w:r>
      <w:r w:rsidR="00FF502A" w:rsidRPr="00FF502A">
        <w:rPr>
          <w:spacing w:val="-2"/>
        </w:rPr>
        <w:t>Elana Thibault</w:t>
      </w:r>
      <w:r w:rsidRPr="00EF11E6">
        <w:rPr>
          <w:spacing w:val="-2"/>
        </w:rPr>
        <w:t xml:space="preserve">, State Bar Number </w:t>
      </w:r>
      <w:r w:rsidR="00FF502A">
        <w:rPr>
          <w:spacing w:val="-2"/>
        </w:rPr>
        <w:t>302572</w:t>
      </w:r>
      <w:r w:rsidRPr="00EF11E6">
        <w:rPr>
          <w:spacing w:val="-2"/>
        </w:rPr>
        <w:t xml:space="preserve">, </w:t>
      </w:r>
      <w:r w:rsidRPr="00EF11E6">
        <w:t>be</w:t>
      </w:r>
      <w:r w:rsidRPr="00EF11E6">
        <w:rPr>
          <w:spacing w:val="-2"/>
        </w:rPr>
        <w:t xml:space="preserve"> </w:t>
      </w:r>
      <w:r w:rsidRPr="00EF11E6">
        <w:t>susp</w:t>
      </w:r>
      <w:r w:rsidRPr="00EF11E6">
        <w:rPr>
          <w:spacing w:val="1"/>
        </w:rPr>
        <w:t>e</w:t>
      </w:r>
      <w:r w:rsidRPr="00EF11E6">
        <w:t>nd</w:t>
      </w:r>
      <w:r w:rsidRPr="00EF11E6">
        <w:rPr>
          <w:spacing w:val="-1"/>
        </w:rPr>
        <w:t>e</w:t>
      </w:r>
      <w:r w:rsidRPr="00EF11E6">
        <w:t>d f</w:t>
      </w:r>
      <w:r w:rsidRPr="00EF11E6">
        <w:rPr>
          <w:spacing w:val="-2"/>
        </w:rPr>
        <w:t>r</w:t>
      </w:r>
      <w:r w:rsidRPr="00EF11E6">
        <w:t>om the p</w:t>
      </w:r>
      <w:r w:rsidRPr="00EF11E6">
        <w:rPr>
          <w:spacing w:val="-1"/>
        </w:rPr>
        <w:t>rac</w:t>
      </w:r>
      <w:r w:rsidRPr="00EF11E6">
        <w:t>ti</w:t>
      </w:r>
      <w:r w:rsidRPr="00EF11E6">
        <w:rPr>
          <w:spacing w:val="-1"/>
        </w:rPr>
        <w:t>c</w:t>
      </w:r>
      <w:r w:rsidRPr="00EF11E6">
        <w:t>e</w:t>
      </w:r>
      <w:r w:rsidRPr="00EF11E6">
        <w:rPr>
          <w:spacing w:val="-1"/>
        </w:rPr>
        <w:t xml:space="preserve"> </w:t>
      </w:r>
      <w:r w:rsidRPr="00EF11E6">
        <w:rPr>
          <w:spacing w:val="2"/>
        </w:rPr>
        <w:t>o</w:t>
      </w:r>
      <w:r w:rsidRPr="00EF11E6">
        <w:t>f l</w:t>
      </w:r>
      <w:r w:rsidRPr="00EF11E6">
        <w:rPr>
          <w:spacing w:val="-2"/>
        </w:rPr>
        <w:t>a</w:t>
      </w:r>
      <w:r w:rsidRPr="00EF11E6">
        <w:t xml:space="preserve">w </w:t>
      </w:r>
      <w:r w:rsidRPr="00EF11E6">
        <w:rPr>
          <w:spacing w:val="-2"/>
        </w:rPr>
        <w:t>f</w:t>
      </w:r>
      <w:r w:rsidRPr="00EF11E6">
        <w:rPr>
          <w:spacing w:val="2"/>
        </w:rPr>
        <w:t>o</w:t>
      </w:r>
      <w:r w:rsidRPr="00EF11E6">
        <w:t xml:space="preserve">r </w:t>
      </w:r>
      <w:r w:rsidR="00FF502A">
        <w:t>one year</w:t>
      </w:r>
      <w:r w:rsidRPr="00EF11E6">
        <w:t>, th</w:t>
      </w:r>
      <w:r w:rsidRPr="00EF11E6">
        <w:rPr>
          <w:spacing w:val="-1"/>
        </w:rPr>
        <w:t>a</w:t>
      </w:r>
      <w:r w:rsidRPr="00EF11E6">
        <w:t>t e</w:t>
      </w:r>
      <w:r w:rsidRPr="00EF11E6">
        <w:rPr>
          <w:spacing w:val="1"/>
        </w:rPr>
        <w:t>x</w:t>
      </w:r>
      <w:r w:rsidRPr="00EF11E6">
        <w:rPr>
          <w:spacing w:val="-1"/>
        </w:rPr>
        <w:t>ec</w:t>
      </w:r>
      <w:r w:rsidRPr="00EF11E6">
        <w:t>ution of</w:t>
      </w:r>
      <w:r w:rsidRPr="00EF11E6">
        <w:rPr>
          <w:spacing w:val="-1"/>
        </w:rPr>
        <w:t xml:space="preserve"> </w:t>
      </w:r>
      <w:r w:rsidRPr="00EF11E6">
        <w:t>t</w:t>
      </w:r>
      <w:r w:rsidRPr="00EF11E6">
        <w:rPr>
          <w:spacing w:val="2"/>
        </w:rPr>
        <w:t>h</w:t>
      </w:r>
      <w:r w:rsidRPr="00EF11E6">
        <w:rPr>
          <w:spacing w:val="-1"/>
        </w:rPr>
        <w:t>a</w:t>
      </w:r>
      <w:r w:rsidRPr="00EF11E6">
        <w:t>t susp</w:t>
      </w:r>
      <w:r w:rsidRPr="00EF11E6">
        <w:rPr>
          <w:spacing w:val="-1"/>
        </w:rPr>
        <w:t>e</w:t>
      </w:r>
      <w:r w:rsidRPr="00EF11E6">
        <w:t>nsion be</w:t>
      </w:r>
      <w:r w:rsidRPr="00EF11E6">
        <w:rPr>
          <w:spacing w:val="-1"/>
        </w:rPr>
        <w:t xml:space="preserve"> </w:t>
      </w:r>
      <w:r w:rsidRPr="00EF11E6">
        <w:t>st</w:t>
      </w:r>
      <w:r w:rsidRPr="00EF11E6">
        <w:rPr>
          <w:spacing w:val="4"/>
        </w:rPr>
        <w:t>a</w:t>
      </w:r>
      <w:r w:rsidRPr="00EF11E6">
        <w:rPr>
          <w:spacing w:val="-5"/>
        </w:rPr>
        <w:t>y</w:t>
      </w:r>
      <w:r w:rsidRPr="00EF11E6">
        <w:rPr>
          <w:spacing w:val="-1"/>
        </w:rPr>
        <w:t>e</w:t>
      </w:r>
      <w:r w:rsidRPr="00EF11E6">
        <w:t>d,</w:t>
      </w:r>
      <w:r w:rsidRPr="00EF11E6">
        <w:rPr>
          <w:spacing w:val="2"/>
        </w:rPr>
        <w:t xml:space="preserve"> a</w:t>
      </w:r>
      <w:r w:rsidRPr="00EF11E6">
        <w:t xml:space="preserve">nd that </w:t>
      </w:r>
      <w:r w:rsidR="00FF502A">
        <w:t>she</w:t>
      </w:r>
      <w:r w:rsidRPr="00EF11E6">
        <w:t xml:space="preserve"> be</w:t>
      </w:r>
      <w:r w:rsidRPr="00EF11E6">
        <w:rPr>
          <w:spacing w:val="-1"/>
        </w:rPr>
        <w:t xml:space="preserve"> </w:t>
      </w:r>
      <w:r w:rsidRPr="00EF11E6">
        <w:t>pl</w:t>
      </w:r>
      <w:r w:rsidRPr="00EF11E6">
        <w:rPr>
          <w:spacing w:val="1"/>
        </w:rPr>
        <w:t>a</w:t>
      </w:r>
      <w:r w:rsidRPr="00EF11E6">
        <w:rPr>
          <w:spacing w:val="-1"/>
        </w:rPr>
        <w:t>ce</w:t>
      </w:r>
      <w:r w:rsidRPr="00EF11E6">
        <w:t>d on p</w:t>
      </w:r>
      <w:r w:rsidRPr="00EF11E6">
        <w:rPr>
          <w:spacing w:val="-1"/>
        </w:rPr>
        <w:t>r</w:t>
      </w:r>
      <w:r w:rsidRPr="00EF11E6">
        <w:t>ob</w:t>
      </w:r>
      <w:r w:rsidRPr="00EF11E6">
        <w:rPr>
          <w:spacing w:val="-1"/>
        </w:rPr>
        <w:t>a</w:t>
      </w:r>
      <w:r w:rsidRPr="00EF11E6">
        <w:t>tion f</w:t>
      </w:r>
      <w:r w:rsidRPr="00EF11E6">
        <w:rPr>
          <w:spacing w:val="-1"/>
        </w:rPr>
        <w:t>o</w:t>
      </w:r>
      <w:r w:rsidRPr="00EF11E6">
        <w:t>r</w:t>
      </w:r>
      <w:r w:rsidR="00FF502A">
        <w:t xml:space="preserve"> one year</w:t>
      </w:r>
      <w:r w:rsidRPr="00EF11E6">
        <w:rPr>
          <w:spacing w:val="1"/>
        </w:rPr>
        <w:t xml:space="preserve"> </w:t>
      </w:r>
      <w:r w:rsidRPr="00EF11E6">
        <w:t xml:space="preserve">with the </w:t>
      </w:r>
      <w:r w:rsidRPr="00EF11E6">
        <w:rPr>
          <w:spacing w:val="-2"/>
        </w:rPr>
        <w:t>f</w:t>
      </w:r>
      <w:r w:rsidRPr="00EF11E6">
        <w:t>ollowing</w:t>
      </w:r>
      <w:r w:rsidRPr="00EF11E6">
        <w:rPr>
          <w:spacing w:val="-3"/>
        </w:rPr>
        <w:t xml:space="preserve"> </w:t>
      </w:r>
      <w:r w:rsidRPr="00EF11E6">
        <w:rPr>
          <w:spacing w:val="-1"/>
        </w:rPr>
        <w:t>c</w:t>
      </w:r>
      <w:r w:rsidRPr="00EF11E6">
        <w:t>on</w:t>
      </w:r>
      <w:r w:rsidRPr="00EF11E6">
        <w:rPr>
          <w:spacing w:val="2"/>
        </w:rPr>
        <w:t>d</w:t>
      </w:r>
      <w:r w:rsidRPr="00EF11E6">
        <w:t>itions:</w:t>
      </w:r>
    </w:p>
    <w:p w14:paraId="32987132" w14:textId="0E5FDEDE" w:rsidR="0090723F" w:rsidRPr="00EF11E6" w:rsidRDefault="0090723F" w:rsidP="0090723F">
      <w:pPr>
        <w:pStyle w:val="ListParagraph"/>
        <w:numPr>
          <w:ilvl w:val="0"/>
          <w:numId w:val="34"/>
        </w:numPr>
        <w:spacing w:after="240" w:line="240" w:lineRule="auto"/>
        <w:contextualSpacing w:val="0"/>
      </w:pPr>
      <w:r w:rsidRPr="00EF11E6">
        <w:rPr>
          <w:b/>
        </w:rPr>
        <w:t>Actual Suspension.</w:t>
      </w:r>
      <w:r w:rsidRPr="00EF11E6">
        <w:t xml:space="preserve">  </w:t>
      </w:r>
      <w:r w:rsidR="00FF502A">
        <w:t>Thibault</w:t>
      </w:r>
      <w:r w:rsidRPr="00EF11E6">
        <w:t xml:space="preserve"> must be suspended from the practice of law for the first </w:t>
      </w:r>
      <w:r w:rsidR="00FF502A">
        <w:t xml:space="preserve">30 days </w:t>
      </w:r>
      <w:r w:rsidRPr="00EF11E6">
        <w:t xml:space="preserve">of the period of </w:t>
      </w:r>
      <w:r w:rsidR="00FF502A">
        <w:t xml:space="preserve">her </w:t>
      </w:r>
      <w:r w:rsidRPr="00EF11E6">
        <w:t>probation.</w:t>
      </w:r>
    </w:p>
    <w:p w14:paraId="1D3B659B" w14:textId="41B7786E" w:rsidR="0090723F" w:rsidRPr="00EF11E6" w:rsidRDefault="0090723F" w:rsidP="0090723F">
      <w:pPr>
        <w:pStyle w:val="ListParagraph"/>
        <w:numPr>
          <w:ilvl w:val="0"/>
          <w:numId w:val="34"/>
        </w:numPr>
        <w:spacing w:after="240" w:line="240" w:lineRule="auto"/>
        <w:contextualSpacing w:val="0"/>
      </w:pPr>
      <w:r w:rsidRPr="00EF11E6">
        <w:rPr>
          <w:b/>
        </w:rPr>
        <w:t>Comply with State Bar Act, Rules of Professional Conduct, and Probation Conditions.</w:t>
      </w:r>
      <w:r w:rsidRPr="00EF11E6">
        <w:t xml:space="preserve"> </w:t>
      </w:r>
      <w:r w:rsidR="00A56EAF">
        <w:t>Thibault</w:t>
      </w:r>
      <w:r w:rsidRPr="00EF11E6">
        <w:t xml:space="preserve"> must comply with the provisions of the State Bar Act, the Rules of Professional Conduct, and all conditions of probation.</w:t>
      </w:r>
    </w:p>
    <w:p w14:paraId="0AB5A801" w14:textId="7741F712" w:rsidR="0090723F" w:rsidRPr="00EF11E6" w:rsidRDefault="0090723F" w:rsidP="0090723F">
      <w:pPr>
        <w:pStyle w:val="ListParagraph"/>
        <w:numPr>
          <w:ilvl w:val="0"/>
          <w:numId w:val="34"/>
        </w:numPr>
        <w:spacing w:after="240" w:line="240" w:lineRule="auto"/>
        <w:contextualSpacing w:val="0"/>
      </w:pPr>
      <w:r w:rsidRPr="002C09EF">
        <w:rPr>
          <w:b/>
        </w:rPr>
        <w:t>Review Rules of Professional Conduct.</w:t>
      </w:r>
      <w:r w:rsidRPr="00EF11E6">
        <w:t xml:space="preserve">  Within 30 days after the effective date of the Supreme Court order imposing discipline in this matter, </w:t>
      </w:r>
      <w:r w:rsidR="00A56EAF">
        <w:t>Thibault</w:t>
      </w:r>
      <w:r w:rsidRPr="00EF11E6">
        <w:t xml:space="preserve"> must (1) read the California Rules of Professional Conduct (Rules of Professional Conduct) and Business and Professions Code sections 6067, 6068, and 6103 through 6126, and (2) provide a declaration, under penalty of perjury, attesting to </w:t>
      </w:r>
      <w:r w:rsidR="00A56EAF">
        <w:t>her</w:t>
      </w:r>
      <w:r w:rsidRPr="00EF11E6">
        <w:t xml:space="preserve"> compliance with this requirement, to the State Bar’s Office of Probation in Los Angeles (Office of Probation) with </w:t>
      </w:r>
      <w:r w:rsidR="0027483B">
        <w:t xml:space="preserve">Thibault’s </w:t>
      </w:r>
      <w:r w:rsidRPr="00EF11E6">
        <w:t>first quarterly report.</w:t>
      </w:r>
    </w:p>
    <w:p w14:paraId="75FAE6C8" w14:textId="6A435FAC" w:rsidR="0090723F" w:rsidRPr="00EF11E6" w:rsidRDefault="0090723F" w:rsidP="0090723F">
      <w:pPr>
        <w:pStyle w:val="ListParagraph"/>
        <w:numPr>
          <w:ilvl w:val="0"/>
          <w:numId w:val="34"/>
        </w:numPr>
        <w:spacing w:after="240" w:line="240" w:lineRule="auto"/>
        <w:contextualSpacing w:val="0"/>
      </w:pPr>
      <w:r w:rsidRPr="00EF11E6">
        <w:rPr>
          <w:b/>
        </w:rPr>
        <w:t>Complete E-Learning Course Reviewing Rules and Statutes on Professional Conduct.</w:t>
      </w:r>
      <w:r w:rsidRPr="00EF11E6">
        <w:t xml:space="preserve">  Within 90 days after the effective date of the Supreme Court order imposing discipline in this matter,</w:t>
      </w:r>
      <w:r w:rsidR="00A56EAF" w:rsidRPr="00A56EAF">
        <w:t xml:space="preserve"> </w:t>
      </w:r>
      <w:r w:rsidR="00A56EAF">
        <w:t>Thibault</w:t>
      </w:r>
      <w:r w:rsidRPr="00EF11E6">
        <w:t xml:space="preserve"> must complete the e-learning course entitled “California Rules of Professional Conduct and State Bar Act Overview.” </w:t>
      </w:r>
      <w:r w:rsidR="00A56EAF">
        <w:t>Thibault</w:t>
      </w:r>
      <w:r w:rsidRPr="00EF11E6">
        <w:t xml:space="preserve"> must provide a declaration, under penalty of perjury, attesting </w:t>
      </w:r>
      <w:r w:rsidRPr="00812DED">
        <w:t xml:space="preserve">to </w:t>
      </w:r>
      <w:r w:rsidR="00A56EAF">
        <w:t>Thibault’s</w:t>
      </w:r>
      <w:r w:rsidRPr="00EF11E6">
        <w:t xml:space="preserve"> compliance with this requirement, to the Office of Probation no later than the deadline for </w:t>
      </w:r>
      <w:r w:rsidR="00A56EAF">
        <w:t>Thibault’s</w:t>
      </w:r>
      <w:r w:rsidRPr="00EF11E6">
        <w:t xml:space="preserve"> next quarterly report due immediately after course completion.</w:t>
      </w:r>
    </w:p>
    <w:p w14:paraId="35747E3E" w14:textId="10C70B79" w:rsidR="0090723F" w:rsidRPr="00EF11E6" w:rsidRDefault="0090723F" w:rsidP="0090723F">
      <w:pPr>
        <w:pStyle w:val="ListParagraph"/>
        <w:numPr>
          <w:ilvl w:val="0"/>
          <w:numId w:val="34"/>
        </w:numPr>
        <w:spacing w:after="240" w:line="240" w:lineRule="auto"/>
        <w:contextualSpacing w:val="0"/>
      </w:pPr>
      <w:r w:rsidRPr="00EF11E6">
        <w:rPr>
          <w:b/>
        </w:rPr>
        <w:t>Maintain Valid Official State Bar Record Address and Other Required Contact Information.</w:t>
      </w:r>
      <w:r w:rsidRPr="00EF11E6">
        <w:t xml:space="preserve">  Within 30 days after the effective date of the Supreme Court order imposing discipline in this matter, </w:t>
      </w:r>
      <w:r w:rsidR="001F4AAC">
        <w:t>Thibault</w:t>
      </w:r>
      <w:r w:rsidRPr="00EF11E6">
        <w:t xml:space="preserve"> must make certain that the State Bar Attorney Regulation and Consumer Resources Office (ARCR) has </w:t>
      </w:r>
      <w:r w:rsidR="001F4AAC">
        <w:t>her</w:t>
      </w:r>
      <w:r w:rsidRPr="00EF11E6">
        <w:t xml:space="preserve"> current office address, email address, and telephone number.  If </w:t>
      </w:r>
      <w:r w:rsidR="001F4AAC">
        <w:t>she</w:t>
      </w:r>
      <w:r w:rsidRPr="00EF11E6">
        <w:t xml:space="preserve"> does not maintain an office, </w:t>
      </w:r>
      <w:r w:rsidR="001F4AAC">
        <w:t>she</w:t>
      </w:r>
      <w:r w:rsidRPr="00EF11E6">
        <w:t xml:space="preserve"> must provide the mailing address, email address, and telephone number to be used for State Bar purposes.  </w:t>
      </w:r>
      <w:r w:rsidR="001F4AAC">
        <w:t>Thibault</w:t>
      </w:r>
      <w:r w:rsidRPr="00EF11E6">
        <w:t xml:space="preserve"> must report, in writing, any change in the above information to ARCR, within 10 days after such change, in the manner required by that office.</w:t>
      </w:r>
    </w:p>
    <w:p w14:paraId="511BE677" w14:textId="75BAD615" w:rsidR="0090723F" w:rsidRPr="00EF11E6" w:rsidRDefault="0090723F" w:rsidP="0090723F">
      <w:pPr>
        <w:pStyle w:val="ListParagraph"/>
        <w:numPr>
          <w:ilvl w:val="0"/>
          <w:numId w:val="34"/>
        </w:numPr>
        <w:spacing w:after="240" w:line="240" w:lineRule="auto"/>
        <w:contextualSpacing w:val="0"/>
      </w:pPr>
      <w:r w:rsidRPr="00EF11E6">
        <w:rPr>
          <w:b/>
        </w:rPr>
        <w:t>Meet and Cooperate with Office of Probation</w:t>
      </w:r>
      <w:r w:rsidRPr="00EF11E6">
        <w:t xml:space="preserve">.  Within 15 days after the effective date of the Supreme Court order imposing discipline in this matter, </w:t>
      </w:r>
      <w:r w:rsidR="00F40BC3">
        <w:t>Thibault</w:t>
      </w:r>
      <w:r w:rsidRPr="00EF11E6">
        <w:t xml:space="preserve"> must schedule a meeting with </w:t>
      </w:r>
      <w:r w:rsidR="00F40BC3">
        <w:t>her</w:t>
      </w:r>
      <w:r w:rsidRPr="00EF11E6">
        <w:t xml:space="preserve"> assigned Probation Case Coordinator to discuss the terms and conditions of </w:t>
      </w:r>
      <w:r w:rsidR="00F40BC3">
        <w:t xml:space="preserve">her </w:t>
      </w:r>
      <w:r w:rsidRPr="00EF11E6">
        <w:t xml:space="preserve">discipline and, within 30 days after the effective date of the court’s order, must participate in such meeting.  Unless otherwise instructed by the Office of Probation, </w:t>
      </w:r>
      <w:r w:rsidR="00F40BC3">
        <w:t>Thibault</w:t>
      </w:r>
      <w:r w:rsidR="00F40BC3" w:rsidRPr="00EF11E6">
        <w:t xml:space="preserve"> </w:t>
      </w:r>
      <w:r w:rsidRPr="00EF11E6">
        <w:t xml:space="preserve">may meet with the Probation Case Coordinator in person or by telephone.  During the probation period, </w:t>
      </w:r>
      <w:r w:rsidR="00F40BC3">
        <w:t>Thibault</w:t>
      </w:r>
      <w:r w:rsidR="00F40BC3" w:rsidRPr="00EF11E6">
        <w:t xml:space="preserve"> </w:t>
      </w:r>
      <w:r w:rsidRPr="00EF11E6">
        <w:t xml:space="preserve">must promptly meet with representatives of the Office of Probation as requested by it and, subject to the assertion of applicable privileges, must fully, </w:t>
      </w:r>
      <w:r w:rsidRPr="00EF11E6">
        <w:lastRenderedPageBreak/>
        <w:t>promptly, and truthfully answer any inquiries by it and provide to it any other information requested by it.</w:t>
      </w:r>
    </w:p>
    <w:p w14:paraId="36654A2F" w14:textId="1A6F6F15" w:rsidR="0090723F" w:rsidRPr="00EF11E6" w:rsidRDefault="0090723F" w:rsidP="0090723F">
      <w:pPr>
        <w:pStyle w:val="ListParagraph"/>
        <w:numPr>
          <w:ilvl w:val="0"/>
          <w:numId w:val="34"/>
        </w:numPr>
        <w:spacing w:after="240" w:line="240" w:lineRule="auto"/>
        <w:contextualSpacing w:val="0"/>
      </w:pPr>
      <w:r w:rsidRPr="00EF11E6">
        <w:rPr>
          <w:b/>
        </w:rPr>
        <w:t>State Bar Court Retains Jurisdiction/Appear Before and Cooperate with State Bar Court.</w:t>
      </w:r>
      <w:r w:rsidRPr="00EF11E6">
        <w:t xml:space="preserve">  During </w:t>
      </w:r>
      <w:r w:rsidR="00F40BC3">
        <w:t>Thibault’s</w:t>
      </w:r>
      <w:r w:rsidRPr="00EF11E6">
        <w:t xml:space="preserve"> probation period, the State Bar Court retains jurisdiction over </w:t>
      </w:r>
      <w:r w:rsidR="00F40BC3">
        <w:t>her</w:t>
      </w:r>
      <w:r w:rsidRPr="00EF11E6">
        <w:t xml:space="preserve"> to address issues concerning compliance with probation conditions.  During this period, </w:t>
      </w:r>
      <w:r w:rsidR="00F40BC3">
        <w:t>Thibault</w:t>
      </w:r>
      <w:r w:rsidRPr="00EF11E6">
        <w:t xml:space="preserve"> must appear before the State Bar Court as required by the court or by the Office of Probation after written notice mailed to </w:t>
      </w:r>
      <w:r w:rsidR="00F40BC3">
        <w:t>her</w:t>
      </w:r>
      <w:r w:rsidRPr="00EF11E6">
        <w:t xml:space="preserve"> official State Bar record address, as provided above.  Subject to the assertion of applicable privileges, </w:t>
      </w:r>
      <w:r w:rsidR="00F40BC3">
        <w:t>Thibault</w:t>
      </w:r>
      <w:r w:rsidR="00F40BC3" w:rsidRPr="00EF11E6">
        <w:t xml:space="preserve"> </w:t>
      </w:r>
      <w:r w:rsidRPr="00EF11E6">
        <w:t xml:space="preserve">must fully, promptly, and truthfully answer any inquiries by the court and must provide any other information the court requests. </w:t>
      </w:r>
    </w:p>
    <w:p w14:paraId="66DBB694" w14:textId="77777777" w:rsidR="0090723F" w:rsidRPr="00EF11E6" w:rsidRDefault="0090723F" w:rsidP="0090723F">
      <w:pPr>
        <w:numPr>
          <w:ilvl w:val="0"/>
          <w:numId w:val="34"/>
        </w:numPr>
        <w:spacing w:after="240" w:line="240" w:lineRule="auto"/>
        <w:rPr>
          <w:b/>
        </w:rPr>
      </w:pPr>
      <w:r w:rsidRPr="00EF11E6">
        <w:rPr>
          <w:b/>
          <w:bCs/>
        </w:rPr>
        <w:t>Quarterly and Final Reports</w:t>
      </w:r>
      <w:r w:rsidRPr="00EF11E6">
        <w:t>.</w:t>
      </w:r>
    </w:p>
    <w:p w14:paraId="15F82CE0" w14:textId="1553B70B" w:rsidR="0090723F" w:rsidRPr="00EF11E6" w:rsidRDefault="0090723F" w:rsidP="0090723F">
      <w:pPr>
        <w:numPr>
          <w:ilvl w:val="7"/>
          <w:numId w:val="35"/>
        </w:numPr>
        <w:spacing w:after="240" w:line="240" w:lineRule="auto"/>
        <w:contextualSpacing/>
      </w:pPr>
      <w:r w:rsidRPr="00EF11E6">
        <w:rPr>
          <w:b/>
        </w:rPr>
        <w:t>Deadlines for Reports.</w:t>
      </w:r>
      <w:r w:rsidRPr="00EF11E6">
        <w:t xml:space="preserve">  </w:t>
      </w:r>
      <w:r w:rsidR="00F40BC3">
        <w:t>Thibault</w:t>
      </w:r>
      <w:r w:rsidRPr="00EF11E6">
        <w:rPr>
          <w:b/>
        </w:rPr>
        <w:t xml:space="preserve"> </w:t>
      </w:r>
      <w:r w:rsidRPr="00EF11E6">
        <w:t>must</w:t>
      </w:r>
      <w:r w:rsidRPr="00EF11E6">
        <w:rPr>
          <w:b/>
        </w:rPr>
        <w:t xml:space="preserve"> </w:t>
      </w:r>
      <w:r w:rsidRPr="00EF11E6">
        <w:t>submit</w:t>
      </w:r>
      <w:r w:rsidRPr="00EF11E6">
        <w:rPr>
          <w:b/>
        </w:rPr>
        <w:t xml:space="preserve"> </w:t>
      </w:r>
      <w:r w:rsidRPr="00EF11E6">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F40BC3">
        <w:t>Thibault</w:t>
      </w:r>
      <w:r w:rsidRPr="00EF11E6">
        <w:t xml:space="preserve"> must submit a final report no earlier than 10 days before the last day of the probation period and no later than the last day of the probation period.  </w:t>
      </w:r>
    </w:p>
    <w:p w14:paraId="6CDE506F" w14:textId="77777777" w:rsidR="0090723F" w:rsidRPr="00EF11E6" w:rsidRDefault="0090723F" w:rsidP="0090723F">
      <w:pPr>
        <w:spacing w:after="240" w:line="240" w:lineRule="auto"/>
        <w:ind w:left="1080"/>
        <w:contextualSpacing/>
      </w:pPr>
    </w:p>
    <w:p w14:paraId="27C0A1F8" w14:textId="3A61B338" w:rsidR="0090723F" w:rsidRPr="00EF11E6" w:rsidRDefault="0090723F" w:rsidP="0090723F">
      <w:pPr>
        <w:numPr>
          <w:ilvl w:val="7"/>
          <w:numId w:val="35"/>
        </w:numPr>
        <w:spacing w:after="240" w:line="240" w:lineRule="auto"/>
        <w:contextualSpacing/>
      </w:pPr>
      <w:r w:rsidRPr="00EF11E6">
        <w:rPr>
          <w:b/>
        </w:rPr>
        <w:t>Contents of Reports.</w:t>
      </w:r>
      <w:r w:rsidRPr="00EF11E6">
        <w:t xml:space="preserve">  </w:t>
      </w:r>
      <w:r w:rsidR="00F40BC3">
        <w:t>Thibault</w:t>
      </w:r>
      <w:r w:rsidRPr="00EF11E6">
        <w:t xml:space="preserve"> must answer, under penalty of perjury, all inquiries contained in the quarterly report form provided by the Office of Probation, including stating whether </w:t>
      </w:r>
      <w:r w:rsidR="00F40BC3">
        <w:t>she</w:t>
      </w:r>
      <w:r w:rsidRPr="00EF11E6">
        <w:t xml:space="preserv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24127373" w14:textId="77777777" w:rsidR="0090723F" w:rsidRPr="00EF11E6" w:rsidRDefault="0090723F" w:rsidP="0090723F">
      <w:pPr>
        <w:spacing w:after="240" w:line="240" w:lineRule="auto"/>
        <w:ind w:left="1080"/>
        <w:contextualSpacing/>
      </w:pPr>
    </w:p>
    <w:p w14:paraId="72E3B9C6" w14:textId="77777777" w:rsidR="0090723F" w:rsidRPr="00EF11E6" w:rsidRDefault="0090723F" w:rsidP="0090723F">
      <w:pPr>
        <w:numPr>
          <w:ilvl w:val="7"/>
          <w:numId w:val="35"/>
        </w:numPr>
        <w:spacing w:after="240" w:line="240" w:lineRule="auto"/>
        <w:contextualSpacing/>
      </w:pPr>
      <w:r w:rsidRPr="00EF11E6">
        <w:rPr>
          <w:b/>
        </w:rPr>
        <w:t xml:space="preserve">Submission of Reports.  </w:t>
      </w:r>
      <w:r w:rsidRPr="00EF11E6">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255AC735" w14:textId="77777777" w:rsidR="0090723F" w:rsidRPr="00EF11E6" w:rsidRDefault="0090723F" w:rsidP="0090723F">
      <w:pPr>
        <w:spacing w:after="240" w:line="240" w:lineRule="auto"/>
        <w:ind w:left="1080"/>
        <w:contextualSpacing/>
      </w:pPr>
    </w:p>
    <w:p w14:paraId="269913D9" w14:textId="0E7A7B9B" w:rsidR="0090723F" w:rsidRPr="00EF11E6" w:rsidRDefault="0090723F" w:rsidP="0090723F">
      <w:pPr>
        <w:numPr>
          <w:ilvl w:val="7"/>
          <w:numId w:val="35"/>
        </w:numPr>
        <w:spacing w:after="240" w:line="240" w:lineRule="auto"/>
        <w:contextualSpacing/>
      </w:pPr>
      <w:r w:rsidRPr="00EF11E6">
        <w:rPr>
          <w:b/>
        </w:rPr>
        <w:t xml:space="preserve">Proof of Compliance.  </w:t>
      </w:r>
      <w:r w:rsidR="00F40BC3">
        <w:t>Thibault</w:t>
      </w:r>
      <w:r w:rsidRPr="00EF11E6">
        <w:t xml:space="preserve"> is directed to maintain proof of compliance with the above requirements for each such report for a minimum of one year after either the period of probation or the period of actual suspension has ended, whichever is longer.  </w:t>
      </w:r>
      <w:r w:rsidR="00F40BC3">
        <w:t>Thibault</w:t>
      </w:r>
      <w:r w:rsidR="00F40BC3" w:rsidRPr="00EF11E6">
        <w:t xml:space="preserve"> </w:t>
      </w:r>
      <w:r w:rsidRPr="00EF11E6">
        <w:t xml:space="preserve">is required to present such proof upon request by the State Bar, the Office of Probation, or the State Bar Court.  </w:t>
      </w:r>
    </w:p>
    <w:p w14:paraId="599B2C45" w14:textId="6D779CB2" w:rsidR="0090723F" w:rsidRPr="00EF11E6" w:rsidRDefault="0090723F" w:rsidP="0090723F">
      <w:pPr>
        <w:pStyle w:val="ListParagraph"/>
        <w:numPr>
          <w:ilvl w:val="0"/>
          <w:numId w:val="34"/>
        </w:numPr>
        <w:spacing w:after="240" w:line="240" w:lineRule="auto"/>
        <w:contextualSpacing w:val="0"/>
      </w:pPr>
      <w:r w:rsidRPr="00EF11E6">
        <w:rPr>
          <w:b/>
        </w:rPr>
        <w:t xml:space="preserve">State Bar Ethics School. </w:t>
      </w:r>
      <w:r w:rsidRPr="00EF11E6">
        <w:t xml:space="preserve"> Within one year after the effective date of the Supreme Court order imposing discipline in this matter, </w:t>
      </w:r>
      <w:r w:rsidR="00F40BC3">
        <w:t>Thibault</w:t>
      </w:r>
      <w:r w:rsidRPr="00EF11E6">
        <w:t xml:space="preserve"> must submit to the Office of Probation satisfactory evidence of completion of the State Bar Ethics School and passage of the test given at the end of that session.  This requirement is separate from any Minimum Continuing </w:t>
      </w:r>
      <w:r w:rsidRPr="00EF11E6">
        <w:lastRenderedPageBreak/>
        <w:t xml:space="preserve">Legal Education (MCLE) requirement, and </w:t>
      </w:r>
      <w:r w:rsidR="00F40BC3">
        <w:t>she</w:t>
      </w:r>
      <w:r w:rsidRPr="00EF11E6">
        <w:t xml:space="preserve"> will not receive MCLE credit for attending this session.  If </w:t>
      </w:r>
      <w:r w:rsidR="00F40BC3">
        <w:t>she</w:t>
      </w:r>
      <w:r w:rsidRPr="00EF11E6">
        <w:t xml:space="preserve"> provides satisfactory evidence of completion of the Ethics School after the date of this</w:t>
      </w:r>
      <w:r w:rsidR="00F40BC3">
        <w:t xml:space="preserve"> opinion</w:t>
      </w:r>
      <w:r w:rsidRPr="00EF11E6">
        <w:t xml:space="preserve"> but before the effective date of the Supreme Court’s order in this matter, </w:t>
      </w:r>
      <w:r w:rsidR="00F40BC3">
        <w:t>Thibault</w:t>
      </w:r>
      <w:r w:rsidRPr="00EF11E6">
        <w:t xml:space="preserve"> will nonetheless receive credit for such evidence toward </w:t>
      </w:r>
      <w:r w:rsidR="00F40BC3">
        <w:t>her</w:t>
      </w:r>
      <w:r w:rsidRPr="00EF11E6">
        <w:t xml:space="preserve"> duty to comply with this condition.</w:t>
      </w:r>
    </w:p>
    <w:p w14:paraId="30FE3500" w14:textId="298DCCA7" w:rsidR="0090723F" w:rsidRPr="00EF11E6" w:rsidRDefault="0090723F" w:rsidP="0090723F">
      <w:pPr>
        <w:pStyle w:val="ListParagraph"/>
        <w:numPr>
          <w:ilvl w:val="0"/>
          <w:numId w:val="34"/>
        </w:numPr>
        <w:spacing w:after="240" w:line="240" w:lineRule="auto"/>
        <w:contextualSpacing w:val="0"/>
      </w:pPr>
      <w:r w:rsidRPr="00EF11E6">
        <w:rPr>
          <w:b/>
        </w:rPr>
        <w:t xml:space="preserve">Commencement of Probation/Compliance with Probation Conditions. </w:t>
      </w:r>
      <w:r w:rsidRPr="00EF11E6">
        <w:t xml:space="preserve"> The period of       probation will commence on the effective date of the Supreme Court order imposing discipline in this matter.  At the expiration of the probation period, if </w:t>
      </w:r>
      <w:r w:rsidR="00F40BC3">
        <w:t>Thibault</w:t>
      </w:r>
      <w:r w:rsidR="00F40BC3" w:rsidRPr="00EF11E6">
        <w:t xml:space="preserve"> </w:t>
      </w:r>
      <w:r w:rsidRPr="00EF11E6">
        <w:t>has complied with all conditions of probation, the period of stayed suspension will be satisfied and that suspension will be terminated.</w:t>
      </w:r>
    </w:p>
    <w:p w14:paraId="234403FD" w14:textId="7E604C38" w:rsidR="0090723F" w:rsidRPr="00EF11E6" w:rsidRDefault="0090723F" w:rsidP="0090723F">
      <w:pPr>
        <w:pStyle w:val="ListParagraph"/>
        <w:numPr>
          <w:ilvl w:val="0"/>
          <w:numId w:val="34"/>
        </w:numPr>
        <w:spacing w:after="240" w:line="240" w:lineRule="auto"/>
        <w:contextualSpacing w:val="0"/>
      </w:pPr>
      <w:r w:rsidRPr="00EF11E6">
        <w:rPr>
          <w:b/>
        </w:rPr>
        <w:t>Proof of Compliance with Rule 9.20 Obligation.</w:t>
      </w:r>
      <w:r w:rsidRPr="00EF11E6">
        <w:t xml:space="preserve">  </w:t>
      </w:r>
      <w:r w:rsidR="00F40BC3">
        <w:t>Thibault</w:t>
      </w:r>
      <w:r w:rsidRPr="00EF11E6">
        <w:t xml:space="preserve"> is directed to maintain, for a minimum of one year after commencement of probation, proof of compliance with the Supreme Court’s order that </w:t>
      </w:r>
      <w:r w:rsidR="00F40BC3">
        <w:t>she</w:t>
      </w:r>
      <w:r w:rsidRPr="00EF11E6">
        <w:t xml:space="preserve"> comply with the requirements of California Rules of Court, rule 9.20, subdivisions (a) and (c), as recommended below.  Such proof must include:  the names and addresses of all individuals and entities to whom </w:t>
      </w:r>
      <w:r w:rsidR="00F40BC3">
        <w:t>Thibault</w:t>
      </w:r>
      <w:r w:rsidRPr="00EF11E6">
        <w:t xml:space="preserve">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F40BC3">
        <w:t>her</w:t>
      </w:r>
      <w:r w:rsidRPr="00EF11E6">
        <w:t xml:space="preserve"> with the State Bar Court.  </w:t>
      </w:r>
      <w:r w:rsidR="00F40BC3">
        <w:t xml:space="preserve">She </w:t>
      </w:r>
      <w:r w:rsidRPr="00EF11E6">
        <w:t>is required to present such proof upon request by the State Bar, the Office of Probation, or the State Bar Court.</w:t>
      </w:r>
    </w:p>
    <w:p w14:paraId="0359C33A" w14:textId="77777777" w:rsidR="0090723F" w:rsidRPr="00EF11E6" w:rsidRDefault="0090723F" w:rsidP="0090723F">
      <w:pPr>
        <w:spacing w:line="240" w:lineRule="auto"/>
        <w:rPr>
          <w:b/>
        </w:rPr>
      </w:pPr>
    </w:p>
    <w:p w14:paraId="25A33208" w14:textId="4D063C79" w:rsidR="0090723F" w:rsidRPr="002C09EF" w:rsidRDefault="00085514" w:rsidP="00B41AA7">
      <w:pPr>
        <w:pStyle w:val="Heading1"/>
      </w:pPr>
      <w:r>
        <w:t xml:space="preserve"> </w:t>
      </w:r>
      <w:r w:rsidR="0090723F" w:rsidRPr="002C09EF">
        <w:t>MULTISTATE PROFESSIONAL RESPONSIBILITY EXAMINATION</w:t>
      </w:r>
    </w:p>
    <w:p w14:paraId="4F48122E" w14:textId="3ECB3009" w:rsidR="004D2593" w:rsidRDefault="0090723F" w:rsidP="00B41AA7">
      <w:pPr>
        <w:ind w:firstLine="720"/>
        <w:rPr>
          <w:b/>
          <w:bCs/>
        </w:rPr>
      </w:pPr>
      <w:r w:rsidRPr="00FF502A">
        <w:rPr>
          <w:spacing w:val="-2"/>
        </w:rPr>
        <w:t>We further recommend</w:t>
      </w:r>
      <w:r w:rsidR="00985A9C">
        <w:rPr>
          <w:spacing w:val="-2"/>
        </w:rPr>
        <w:t xml:space="preserve"> </w:t>
      </w:r>
      <w:r w:rsidRPr="00EF11E6">
        <w:t xml:space="preserve">that </w:t>
      </w:r>
      <w:r w:rsidR="00985A9C" w:rsidRPr="00B4417F">
        <w:t>Elana Thibault</w:t>
      </w:r>
      <w:r w:rsidRPr="00EF11E6">
        <w:t xml:space="preserve"> be ordered to take and pass the </w:t>
      </w:r>
      <w:proofErr w:type="gramStart"/>
      <w:r w:rsidRPr="00EF11E6">
        <w:t>Multistate</w:t>
      </w:r>
      <w:r w:rsidR="00ED27DE">
        <w:t xml:space="preserve"> </w:t>
      </w:r>
      <w:r w:rsidRPr="00EF11E6">
        <w:t xml:space="preserve"> Professional</w:t>
      </w:r>
      <w:proofErr w:type="gramEnd"/>
      <w:r w:rsidRPr="00EF11E6">
        <w:t xml:space="preserve"> Responsibility Examination administered by the National Conference of Bar Examiners within one year after the effective date of the Supreme Court order imposing discipline in this matter and to provide satisfactory proof of such passage to the State Bar’s Office of Probation within the same period.  Failure to do so may result in suspension.  (Cal. Rules of Court, rule 9.10(b).)  If </w:t>
      </w:r>
      <w:r w:rsidR="00985A9C">
        <w:t>Thibault</w:t>
      </w:r>
      <w:r w:rsidRPr="00EF11E6">
        <w:t xml:space="preserve"> provides satisfactory evidence of the taking and passage of the above examination after the date of this </w:t>
      </w:r>
      <w:r w:rsidR="00985A9C">
        <w:t>opinion</w:t>
      </w:r>
      <w:r w:rsidRPr="00EF11E6">
        <w:t xml:space="preserve"> but before the effective date of the Supreme Court’s order in this matter, </w:t>
      </w:r>
      <w:r w:rsidR="00985A9C">
        <w:t>she</w:t>
      </w:r>
      <w:r w:rsidRPr="00EF11E6">
        <w:t xml:space="preserve"> will nonetheless receive credit for such evidence toward </w:t>
      </w:r>
      <w:r w:rsidR="00985A9C">
        <w:t>her</w:t>
      </w:r>
      <w:r w:rsidRPr="00EF11E6">
        <w:t xml:space="preserve"> duty to comply with this requirement. </w:t>
      </w:r>
      <w:r w:rsidR="004D2593">
        <w:rPr>
          <w:b/>
          <w:bCs/>
        </w:rPr>
        <w:br w:type="page"/>
      </w:r>
    </w:p>
    <w:p w14:paraId="5A7A21AE" w14:textId="26939B3E" w:rsidR="0090723F" w:rsidRPr="00B4417F" w:rsidRDefault="0090723F" w:rsidP="00B41AA7">
      <w:pPr>
        <w:pStyle w:val="Heading1"/>
      </w:pPr>
      <w:r w:rsidRPr="00B4417F">
        <w:lastRenderedPageBreak/>
        <w:t>CALIFORNIA RULES OF COURT, RULE 9.20</w:t>
      </w:r>
    </w:p>
    <w:p w14:paraId="1A6AFB96" w14:textId="71B20FDA" w:rsidR="0090723F" w:rsidRPr="00EF11E6" w:rsidRDefault="0090723F" w:rsidP="00B41AA7">
      <w:pPr>
        <w:ind w:firstLine="720"/>
      </w:pPr>
      <w:r w:rsidRPr="00B4417F">
        <w:t xml:space="preserve">We further recommend that </w:t>
      </w:r>
      <w:r w:rsidR="00B4417F" w:rsidRPr="00B4417F">
        <w:t xml:space="preserve">Elana Thibault </w:t>
      </w:r>
      <w:r w:rsidRPr="00B4417F">
        <w:t>be ordered to comply with California Rules of Court, rule 9.20, and to perform the acts specified in subdivisions (a) and (c) of that rule within 30 and 40 calendar days, respectively, after the date the Supreme Court order imposing discipline in this matter is filed.</w:t>
      </w:r>
      <w:r w:rsidRPr="00B4417F">
        <w:rPr>
          <w:vertAlign w:val="superscript"/>
        </w:rPr>
        <w:footnoteReference w:id="23"/>
      </w:r>
      <w:r w:rsidRPr="00B4417F">
        <w:t xml:space="preserve">  (</w:t>
      </w:r>
      <w:proofErr w:type="spellStart"/>
      <w:r w:rsidRPr="00B4417F">
        <w:rPr>
          <w:i/>
          <w:iCs/>
        </w:rPr>
        <w:t>Athearn</w:t>
      </w:r>
      <w:proofErr w:type="spellEnd"/>
      <w:r w:rsidRPr="00B4417F">
        <w:rPr>
          <w:i/>
          <w:iCs/>
        </w:rPr>
        <w:t xml:space="preserve"> v. State Bar</w:t>
      </w:r>
      <w:r w:rsidRPr="00B4417F">
        <w:t xml:space="preserve"> (1982) 32 Cal.3d 38, 45 [the operative date for identification of clients being represented in pending matters and</w:t>
      </w:r>
      <w:r w:rsidRPr="00EF11E6">
        <w:t xml:space="preserve"> others to be notified is the filing date of the Supreme Court order imposing discipline].)  Failure to do so may result in disbarment or suspension. </w:t>
      </w:r>
    </w:p>
    <w:p w14:paraId="15427399" w14:textId="6154FEA7" w:rsidR="0090723F" w:rsidRPr="002C09EF" w:rsidRDefault="0090723F" w:rsidP="00B41AA7">
      <w:pPr>
        <w:pStyle w:val="Heading1"/>
      </w:pPr>
      <w:r w:rsidRPr="002C09EF">
        <w:t>MONETARY SANCTIONS</w:t>
      </w:r>
    </w:p>
    <w:p w14:paraId="0A118039" w14:textId="7A68B6E0" w:rsidR="0074544D" w:rsidRDefault="0074544D" w:rsidP="00B41AA7">
      <w:pPr>
        <w:ind w:firstLine="720"/>
      </w:pPr>
      <w:r>
        <w:rPr>
          <w:szCs w:val="24"/>
        </w:rPr>
        <w:t xml:space="preserve">The hearing judge recommended that Thibault pay $2,500 in monetary sanctions.  OCTC asks that we affirm the judge’s recommendation. </w:t>
      </w:r>
      <w:r w:rsidRPr="007900CB">
        <w:rPr>
          <w:szCs w:val="24"/>
        </w:rPr>
        <w:t xml:space="preserve"> </w:t>
      </w:r>
      <w:r>
        <w:rPr>
          <w:szCs w:val="24"/>
        </w:rPr>
        <w:t xml:space="preserve">On review, Thibault argues that monetary sanctions should not be imposed.  </w:t>
      </w:r>
      <w:r>
        <w:t xml:space="preserve">Rule 5.137(E)(1) provides, in part, that this </w:t>
      </w:r>
      <w:r w:rsidR="00254368">
        <w:t>c</w:t>
      </w:r>
      <w:r>
        <w:t xml:space="preserve">ourt shall make recommendations to the Supreme Court regarding monetary sanctions in any disciplinary proceeding resulting in an actual suspension.  The guidelines recommend a sanction of up to $2,500 for discipline including an actual suspension, depending upon the facts and circumstances of the </w:t>
      </w:r>
      <w:proofErr w:type="gramStart"/>
      <w:r>
        <w:t>particular case</w:t>
      </w:r>
      <w:proofErr w:type="gramEnd"/>
      <w:r>
        <w:t>.  (Rules Proc. of State Bar, rule 5.</w:t>
      </w:r>
      <w:r w:rsidR="0027483B">
        <w:t>1</w:t>
      </w:r>
      <w:r>
        <w:t>37(E)(2).)</w:t>
      </w:r>
    </w:p>
    <w:p w14:paraId="68BF06D9" w14:textId="49626810" w:rsidR="0074544D" w:rsidRDefault="0074544D" w:rsidP="00B41AA7">
      <w:pPr>
        <w:ind w:firstLine="720"/>
      </w:pPr>
      <w:r>
        <w:t xml:space="preserve">The nature of Thibault’s misconduct—which involves violating a court order </w:t>
      </w:r>
      <w:r w:rsidR="0027483B">
        <w:t xml:space="preserve">by </w:t>
      </w:r>
      <w:r>
        <w:t xml:space="preserve">failing to timely pay </w:t>
      </w:r>
      <w:r w:rsidR="0027483B">
        <w:t xml:space="preserve">sanctions, failing to </w:t>
      </w:r>
      <w:r>
        <w:t>report sanctions</w:t>
      </w:r>
      <w:r w:rsidR="00BD0A81">
        <w:t xml:space="preserve"> to the State Bar</w:t>
      </w:r>
      <w:r>
        <w:t xml:space="preserve">, </w:t>
      </w:r>
      <w:r w:rsidR="00BD0A81">
        <w:t xml:space="preserve">and </w:t>
      </w:r>
      <w:r>
        <w:t>engaging in a representation adverse to a former client—</w:t>
      </w:r>
      <w:r w:rsidR="008543D8">
        <w:t>along with her indifference</w:t>
      </w:r>
      <w:r w:rsidR="00EF1B06">
        <w:t>―</w:t>
      </w:r>
      <w:r>
        <w:t xml:space="preserve">does not </w:t>
      </w:r>
      <w:r w:rsidR="008543D8">
        <w:t xml:space="preserve">demonstrate that a </w:t>
      </w:r>
      <w:r>
        <w:t xml:space="preserve">downward </w:t>
      </w:r>
      <w:r>
        <w:lastRenderedPageBreak/>
        <w:t>departure from the guidelines is appropriate in this case.</w:t>
      </w:r>
      <w:r w:rsidR="008543D8">
        <w:t xml:space="preserve">  We also note that Thibault has not proffered any evidence to suggest financial hardship or an inability to pay sanctions.  </w:t>
      </w:r>
    </w:p>
    <w:p w14:paraId="315980B6" w14:textId="7CFC0768" w:rsidR="0090723F" w:rsidRPr="00EF11E6" w:rsidRDefault="008543D8" w:rsidP="00B41AA7">
      <w:pPr>
        <w:ind w:firstLine="720"/>
      </w:pPr>
      <w:r>
        <w:t xml:space="preserve">Accordingly, we </w:t>
      </w:r>
      <w:r w:rsidR="0090723F" w:rsidRPr="000F5876">
        <w:t>recommend</w:t>
      </w:r>
      <w:r w:rsidR="0090723F" w:rsidRPr="00151E91">
        <w:t xml:space="preserve"> </w:t>
      </w:r>
      <w:r w:rsidR="0090723F" w:rsidRPr="00EF11E6">
        <w:t xml:space="preserve">that </w:t>
      </w:r>
      <w:r w:rsidR="000F5876">
        <w:t>Elana Thibault</w:t>
      </w:r>
      <w:r w:rsidR="0090723F" w:rsidRPr="00EF11E6">
        <w:t xml:space="preserve"> be ordered to pay monetary sanctions to the State Bar of California Client Security Fund in the amount of $</w:t>
      </w:r>
      <w:r w:rsidR="000F5876">
        <w:t>2,500</w:t>
      </w:r>
      <w:r w:rsidR="0090723F" w:rsidRPr="00EF11E6">
        <w:t xml:space="preserve"> in accordance with Business and Professions Code section 6086.13 and rule 5.137 of the Rules of Procedure of the State Bar.</w:t>
      </w:r>
      <w:r w:rsidR="000F5876">
        <w:t xml:space="preserve">  </w:t>
      </w:r>
      <w:r w:rsidR="0090723F" w:rsidRPr="00EF11E6">
        <w:t xml:space="preserve">Monetary sanctions are enforceable as a money judgment and may be collected by the State Bar through any means permitted by law.  Monetary sanctions must be paid in full as a condition of reinstatement or return to active </w:t>
      </w:r>
      <w:proofErr w:type="gramStart"/>
      <w:r w:rsidR="0090723F" w:rsidRPr="00EF11E6">
        <w:t>status, unless</w:t>
      </w:r>
      <w:proofErr w:type="gramEnd"/>
      <w:r w:rsidR="0090723F" w:rsidRPr="00EF11E6">
        <w:t xml:space="preserve"> time for payment is extended pursuant to rule 5.137 of the Rules of Procedure of the State Bar.</w:t>
      </w:r>
    </w:p>
    <w:p w14:paraId="51AB8E92" w14:textId="7AA39915" w:rsidR="0090723F" w:rsidRPr="002C09EF" w:rsidRDefault="0090723F" w:rsidP="00B41AA7">
      <w:pPr>
        <w:pStyle w:val="Heading1"/>
      </w:pPr>
      <w:r w:rsidRPr="002C09EF">
        <w:t>COSTS</w:t>
      </w:r>
    </w:p>
    <w:p w14:paraId="3D8969AE" w14:textId="78914CD7" w:rsidR="0090723F" w:rsidRPr="00EF11E6" w:rsidRDefault="0090723F" w:rsidP="00B41AA7">
      <w:pPr>
        <w:ind w:firstLine="720"/>
        <w:rPr>
          <w:b/>
        </w:rPr>
      </w:pPr>
      <w:r w:rsidRPr="000F5876">
        <w:rPr>
          <w:spacing w:val="-2"/>
        </w:rPr>
        <w:t xml:space="preserve">We further recommend </w:t>
      </w:r>
      <w:r w:rsidRPr="000F5876">
        <w:t>that</w:t>
      </w:r>
      <w:r w:rsidRPr="00151E91">
        <w:t xml:space="preserve"> costs be awarded to the State Bar in accordance with Business and Professions Code section </w:t>
      </w:r>
      <w:proofErr w:type="gramStart"/>
      <w:r w:rsidRPr="00151E91">
        <w:t>6086.10, and</w:t>
      </w:r>
      <w:proofErr w:type="gramEnd"/>
      <w:r w:rsidRPr="00151E91">
        <w:t xml:space="preserve"> are enforceable both as provided in Business and Professions Code section 6140.7 and as a money judgment, and may be collected by the State Bar through any means permitted by law.  Unless the time for payment of discipline costs is extended pursuant to subdivision (c) of section 6086.10, costs assessed against an attorney who is </w:t>
      </w:r>
      <w:proofErr w:type="gramStart"/>
      <w:r w:rsidRPr="00151E91">
        <w:t>actually suspended</w:t>
      </w:r>
      <w:proofErr w:type="gramEnd"/>
      <w:r w:rsidRPr="00151E91">
        <w:t xml:space="preserve"> or disbarred must be paid as </w:t>
      </w:r>
      <w:r w:rsidRPr="001E6758">
        <w:t>a condition of applying for reinstatement or return to active status.</w:t>
      </w:r>
      <w:r w:rsidRPr="00151E91">
        <w:t xml:space="preserve">  </w:t>
      </w:r>
    </w:p>
    <w:p w14:paraId="446D11E8" w14:textId="77777777" w:rsidR="00645A4E" w:rsidRPr="00645A4E" w:rsidRDefault="00645A4E" w:rsidP="00F9668B"/>
    <w:p w14:paraId="5549F935" w14:textId="01D3C84A" w:rsidR="00645A4E" w:rsidRPr="00645A4E" w:rsidRDefault="00645A4E" w:rsidP="00BF4F95">
      <w:r w:rsidRPr="00645A4E">
        <w:tab/>
      </w:r>
      <w:r w:rsidRPr="00645A4E">
        <w:tab/>
      </w:r>
      <w:r w:rsidRPr="00645A4E">
        <w:tab/>
      </w:r>
      <w:r w:rsidRPr="00645A4E">
        <w:tab/>
      </w:r>
      <w:r w:rsidRPr="00645A4E">
        <w:tab/>
      </w:r>
      <w:r w:rsidRPr="00645A4E">
        <w:tab/>
      </w:r>
      <w:r w:rsidRPr="00645A4E">
        <w:tab/>
      </w:r>
      <w:r w:rsidRPr="00645A4E">
        <w:tab/>
      </w:r>
      <w:bookmarkStart w:id="10" w:name="judge"/>
      <w:bookmarkEnd w:id="10"/>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3D6A93">
            <w:t>McGILL, J.</w:t>
          </w:r>
        </w:sdtContent>
      </w:sdt>
    </w:p>
    <w:p w14:paraId="11EA5154" w14:textId="77777777" w:rsidR="00645A4E" w:rsidRPr="00645A4E" w:rsidRDefault="00645A4E" w:rsidP="00CE3946">
      <w:r w:rsidRPr="00645A4E">
        <w:t>WE CONCUR:</w:t>
      </w:r>
    </w:p>
    <w:bookmarkStart w:id="11" w:name="multinames"/>
    <w:bookmarkEnd w:id="11"/>
    <w:p w14:paraId="653ECCA5" w14:textId="0BF84E69" w:rsidR="00645A4E" w:rsidRPr="00645A4E" w:rsidRDefault="00DD1468" w:rsidP="00CE3946">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3D6A93">
            <w:t>HONN, P. J.</w:t>
          </w:r>
        </w:sdtContent>
      </w:sdt>
    </w:p>
    <w:p w14:paraId="756C7E43" w14:textId="75E6676D" w:rsidR="007034D0" w:rsidRDefault="00DD1468" w:rsidP="00926A80">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3D6A93">
            <w:t>RIBAS, J.</w:t>
          </w:r>
        </w:sdtContent>
      </w:sdt>
      <w:r w:rsidR="007034D0">
        <w:br w:type="page"/>
      </w:r>
    </w:p>
    <w:p w14:paraId="4FD85E88" w14:textId="49F25DB6" w:rsidR="007034D0" w:rsidRPr="007034D0" w:rsidRDefault="007034D0" w:rsidP="007034D0">
      <w:pPr>
        <w:tabs>
          <w:tab w:val="left" w:pos="4994"/>
        </w:tabs>
        <w:spacing w:line="240" w:lineRule="auto"/>
        <w:rPr>
          <w:rFonts w:eastAsia="Times New Roman"/>
          <w:b/>
          <w:bCs/>
          <w:sz w:val="28"/>
          <w:szCs w:val="28"/>
        </w:rPr>
      </w:pPr>
      <w:r w:rsidRPr="007034D0">
        <w:rPr>
          <w:rFonts w:eastAsia="Times New Roman"/>
          <w:szCs w:val="24"/>
          <w:lang w:val="en-CA"/>
        </w:rPr>
        <w:lastRenderedPageBreak/>
        <w:fldChar w:fldCharType="begin"/>
      </w:r>
      <w:r w:rsidRPr="007034D0">
        <w:rPr>
          <w:rFonts w:eastAsia="Times New Roman"/>
          <w:szCs w:val="24"/>
          <w:lang w:val="en-CA"/>
        </w:rPr>
        <w:instrText xml:space="preserve"> SEQ CHAPTER \h \r 1</w:instrText>
      </w:r>
      <w:r w:rsidRPr="007034D0">
        <w:rPr>
          <w:rFonts w:eastAsia="Times New Roman"/>
          <w:szCs w:val="24"/>
          <w:lang w:val="en-CA"/>
        </w:rPr>
        <w:fldChar w:fldCharType="end"/>
      </w:r>
    </w:p>
    <w:p w14:paraId="3AAF74A7" w14:textId="77777777" w:rsidR="007034D0" w:rsidRPr="007034D0" w:rsidRDefault="007034D0" w:rsidP="007034D0">
      <w:pPr>
        <w:spacing w:line="240" w:lineRule="auto"/>
        <w:jc w:val="center"/>
        <w:rPr>
          <w:rFonts w:eastAsia="Times New Roman"/>
          <w:b/>
          <w:bCs/>
          <w:sz w:val="34"/>
          <w:szCs w:val="34"/>
        </w:rPr>
      </w:pPr>
    </w:p>
    <w:p w14:paraId="781AFE0F" w14:textId="77777777" w:rsidR="007034D0" w:rsidRPr="007034D0" w:rsidRDefault="007034D0" w:rsidP="007034D0">
      <w:pPr>
        <w:spacing w:line="240" w:lineRule="auto"/>
        <w:jc w:val="center"/>
        <w:outlineLvl w:val="0"/>
        <w:rPr>
          <w:rFonts w:eastAsia="Times New Roman"/>
          <w:b/>
          <w:bCs/>
          <w:sz w:val="34"/>
          <w:szCs w:val="34"/>
        </w:rPr>
      </w:pPr>
    </w:p>
    <w:p w14:paraId="3E918C05" w14:textId="563D9172" w:rsidR="007034D0" w:rsidRPr="007034D0" w:rsidRDefault="007034D0" w:rsidP="007034D0">
      <w:pPr>
        <w:spacing w:line="240" w:lineRule="auto"/>
        <w:jc w:val="center"/>
        <w:outlineLvl w:val="0"/>
        <w:rPr>
          <w:rFonts w:eastAsia="Times New Roman"/>
          <w:b/>
          <w:bCs/>
          <w:szCs w:val="34"/>
        </w:rPr>
      </w:pPr>
      <w:r w:rsidRPr="007034D0">
        <w:rPr>
          <w:rFonts w:eastAsia="Times New Roman"/>
          <w:b/>
          <w:bCs/>
          <w:szCs w:val="34"/>
        </w:rPr>
        <w:t xml:space="preserve">No. </w:t>
      </w:r>
      <w:sdt>
        <w:sdtPr>
          <w:rPr>
            <w:rFonts w:eastAsia="Times New Roman"/>
            <w:b/>
            <w:bCs/>
            <w:szCs w:val="34"/>
          </w:rPr>
          <w:id w:val="1857532092"/>
          <w:placeholder>
            <w:docPart w:val="CC691B1F002D4442BFCA547C2422318F"/>
          </w:placeholder>
          <w:text/>
        </w:sdtPr>
        <w:sdtEndPr/>
        <w:sdtContent>
          <w:r>
            <w:rPr>
              <w:rFonts w:eastAsia="Times New Roman"/>
              <w:b/>
              <w:bCs/>
              <w:szCs w:val="34"/>
            </w:rPr>
            <w:t>SBC-22-O-30033</w:t>
          </w:r>
        </w:sdtContent>
      </w:sdt>
    </w:p>
    <w:p w14:paraId="70B57E58" w14:textId="77777777" w:rsidR="007034D0" w:rsidRPr="007034D0" w:rsidRDefault="007034D0" w:rsidP="007034D0">
      <w:pPr>
        <w:spacing w:line="240" w:lineRule="auto"/>
        <w:jc w:val="center"/>
        <w:outlineLvl w:val="0"/>
        <w:rPr>
          <w:rFonts w:eastAsia="Times New Roman"/>
          <w:szCs w:val="34"/>
        </w:rPr>
      </w:pPr>
    </w:p>
    <w:p w14:paraId="7DBCF0B3" w14:textId="77777777" w:rsidR="007034D0" w:rsidRPr="007034D0" w:rsidRDefault="007034D0" w:rsidP="007034D0">
      <w:pPr>
        <w:spacing w:line="240" w:lineRule="auto"/>
        <w:jc w:val="center"/>
        <w:rPr>
          <w:rFonts w:eastAsia="Times New Roman"/>
          <w:b/>
          <w:bCs/>
          <w:i/>
          <w:iCs/>
          <w:szCs w:val="34"/>
        </w:rPr>
      </w:pPr>
    </w:p>
    <w:p w14:paraId="546AF13F" w14:textId="77777777" w:rsidR="007034D0" w:rsidRPr="007034D0" w:rsidRDefault="007034D0" w:rsidP="007034D0">
      <w:pPr>
        <w:spacing w:line="240" w:lineRule="auto"/>
        <w:jc w:val="center"/>
        <w:rPr>
          <w:rFonts w:eastAsia="Times New Roman"/>
          <w:b/>
          <w:bCs/>
          <w:i/>
          <w:iCs/>
          <w:szCs w:val="34"/>
        </w:rPr>
      </w:pPr>
      <w:r w:rsidRPr="007034D0">
        <w:rPr>
          <w:rFonts w:eastAsia="Times New Roman"/>
          <w:b/>
          <w:bCs/>
          <w:i/>
          <w:iCs/>
          <w:szCs w:val="34"/>
        </w:rPr>
        <w:br/>
      </w:r>
    </w:p>
    <w:p w14:paraId="25B5DF38" w14:textId="77777777" w:rsidR="007034D0" w:rsidRPr="007034D0" w:rsidRDefault="007034D0" w:rsidP="007034D0">
      <w:pPr>
        <w:spacing w:line="360" w:lineRule="auto"/>
        <w:jc w:val="center"/>
        <w:outlineLvl w:val="0"/>
        <w:rPr>
          <w:rFonts w:eastAsia="Times New Roman"/>
          <w:b/>
          <w:bCs/>
          <w:i/>
          <w:iCs/>
          <w:szCs w:val="34"/>
        </w:rPr>
      </w:pPr>
      <w:r w:rsidRPr="007034D0">
        <w:rPr>
          <w:rFonts w:eastAsia="Times New Roman"/>
          <w:b/>
          <w:bCs/>
          <w:i/>
          <w:iCs/>
          <w:szCs w:val="34"/>
        </w:rPr>
        <w:t xml:space="preserve">In the Matter of </w:t>
      </w:r>
    </w:p>
    <w:sdt>
      <w:sdtPr>
        <w:rPr>
          <w:rFonts w:eastAsia="Times New Roman"/>
          <w:szCs w:val="28"/>
        </w:rPr>
        <w:id w:val="-1673560664"/>
        <w:placeholder>
          <w:docPart w:val="CC691B1F002D4442BFCA547C2422318F"/>
        </w:placeholder>
        <w:text/>
      </w:sdtPr>
      <w:sdtEndPr/>
      <w:sdtContent>
        <w:p w14:paraId="4D413F4F" w14:textId="3117B7A0" w:rsidR="007034D0" w:rsidRPr="007034D0" w:rsidRDefault="007034D0" w:rsidP="007034D0">
          <w:pPr>
            <w:spacing w:line="360" w:lineRule="auto"/>
            <w:jc w:val="center"/>
            <w:outlineLvl w:val="0"/>
            <w:rPr>
              <w:rFonts w:eastAsia="Times New Roman"/>
              <w:szCs w:val="28"/>
            </w:rPr>
          </w:pPr>
          <w:r>
            <w:rPr>
              <w:rFonts w:eastAsia="Times New Roman"/>
              <w:szCs w:val="28"/>
            </w:rPr>
            <w:t>ELANA THIBAULT</w:t>
          </w:r>
        </w:p>
      </w:sdtContent>
    </w:sdt>
    <w:p w14:paraId="5B269CFA" w14:textId="77777777" w:rsidR="007034D0" w:rsidRPr="007034D0" w:rsidRDefault="007034D0" w:rsidP="007034D0">
      <w:pPr>
        <w:spacing w:line="360" w:lineRule="auto"/>
        <w:jc w:val="center"/>
        <w:rPr>
          <w:rFonts w:eastAsia="Times New Roman"/>
          <w:szCs w:val="28"/>
        </w:rPr>
      </w:pPr>
    </w:p>
    <w:p w14:paraId="73611682" w14:textId="77777777" w:rsidR="007034D0" w:rsidRPr="007034D0" w:rsidRDefault="007034D0" w:rsidP="007034D0">
      <w:pPr>
        <w:spacing w:line="360" w:lineRule="auto"/>
        <w:jc w:val="center"/>
        <w:rPr>
          <w:rFonts w:eastAsia="Times New Roman"/>
          <w:szCs w:val="28"/>
        </w:rPr>
      </w:pPr>
    </w:p>
    <w:p w14:paraId="6EA96472" w14:textId="77777777" w:rsidR="007034D0" w:rsidRPr="007034D0" w:rsidRDefault="007034D0" w:rsidP="007034D0">
      <w:pPr>
        <w:spacing w:line="360" w:lineRule="auto"/>
        <w:jc w:val="center"/>
        <w:rPr>
          <w:rFonts w:eastAsia="Times New Roman"/>
          <w:szCs w:val="28"/>
        </w:rPr>
      </w:pPr>
    </w:p>
    <w:p w14:paraId="737F66EB" w14:textId="77777777" w:rsidR="007034D0" w:rsidRPr="007034D0" w:rsidRDefault="007034D0" w:rsidP="007034D0">
      <w:pPr>
        <w:spacing w:line="360" w:lineRule="auto"/>
        <w:jc w:val="center"/>
        <w:rPr>
          <w:rFonts w:eastAsia="Times New Roman"/>
          <w:szCs w:val="28"/>
        </w:rPr>
      </w:pPr>
    </w:p>
    <w:p w14:paraId="799C28CC" w14:textId="77777777" w:rsidR="007034D0" w:rsidRPr="007034D0" w:rsidRDefault="007034D0" w:rsidP="007034D0">
      <w:pPr>
        <w:spacing w:line="360" w:lineRule="auto"/>
        <w:jc w:val="center"/>
        <w:rPr>
          <w:rFonts w:eastAsia="Times New Roman"/>
          <w:szCs w:val="28"/>
        </w:rPr>
      </w:pPr>
    </w:p>
    <w:p w14:paraId="76D61BCF" w14:textId="77777777" w:rsidR="007034D0" w:rsidRPr="007034D0" w:rsidRDefault="007034D0" w:rsidP="007034D0">
      <w:pPr>
        <w:spacing w:line="240" w:lineRule="auto"/>
        <w:jc w:val="center"/>
        <w:outlineLvl w:val="0"/>
        <w:rPr>
          <w:rFonts w:eastAsia="Times New Roman"/>
          <w:i/>
          <w:iCs/>
          <w:szCs w:val="28"/>
        </w:rPr>
      </w:pPr>
      <w:r w:rsidRPr="007034D0">
        <w:rPr>
          <w:rFonts w:eastAsia="Times New Roman"/>
          <w:i/>
          <w:iCs/>
          <w:szCs w:val="28"/>
        </w:rPr>
        <w:t>Hearing Judge</w:t>
      </w:r>
    </w:p>
    <w:p w14:paraId="0EF5BE3A" w14:textId="7DE20974" w:rsidR="007034D0" w:rsidRPr="007034D0" w:rsidRDefault="007034D0" w:rsidP="007034D0">
      <w:pPr>
        <w:spacing w:line="240" w:lineRule="auto"/>
        <w:jc w:val="center"/>
        <w:outlineLvl w:val="0"/>
        <w:rPr>
          <w:rFonts w:eastAsia="Times New Roman"/>
          <w:szCs w:val="28"/>
        </w:rPr>
      </w:pPr>
      <w:r w:rsidRPr="007034D0">
        <w:rPr>
          <w:rFonts w:eastAsia="Times New Roman"/>
          <w:b/>
          <w:bCs/>
          <w:szCs w:val="32"/>
        </w:rPr>
        <w:t xml:space="preserve">Hon. </w:t>
      </w:r>
      <w:sdt>
        <w:sdtPr>
          <w:rPr>
            <w:rFonts w:eastAsia="Times New Roman"/>
            <w:b/>
            <w:bCs/>
            <w:szCs w:val="32"/>
          </w:rPr>
          <w:id w:val="-2064322851"/>
          <w:placeholder>
            <w:docPart w:val="CC691B1F002D4442BFCA547C2422318F"/>
          </w:placeholder>
          <w:text/>
        </w:sdtPr>
        <w:sdtEndPr/>
        <w:sdtContent>
          <w:r>
            <w:rPr>
              <w:rFonts w:eastAsia="Times New Roman"/>
              <w:b/>
              <w:bCs/>
              <w:szCs w:val="32"/>
            </w:rPr>
            <w:t>Phong Wang</w:t>
          </w:r>
        </w:sdtContent>
      </w:sdt>
    </w:p>
    <w:p w14:paraId="048F6B73" w14:textId="77777777" w:rsidR="007034D0" w:rsidRPr="007034D0" w:rsidRDefault="007034D0" w:rsidP="007034D0">
      <w:pPr>
        <w:spacing w:line="240" w:lineRule="auto"/>
        <w:jc w:val="center"/>
        <w:rPr>
          <w:rFonts w:eastAsia="Times New Roman"/>
          <w:szCs w:val="28"/>
        </w:rPr>
      </w:pPr>
    </w:p>
    <w:p w14:paraId="0D19CCFC" w14:textId="77777777" w:rsidR="007034D0" w:rsidRPr="007034D0" w:rsidRDefault="007034D0" w:rsidP="007034D0">
      <w:pPr>
        <w:spacing w:line="240" w:lineRule="auto"/>
        <w:jc w:val="center"/>
        <w:rPr>
          <w:rFonts w:eastAsia="Times New Roman"/>
          <w:szCs w:val="28"/>
        </w:rPr>
      </w:pPr>
    </w:p>
    <w:p w14:paraId="31D9877C" w14:textId="77777777" w:rsidR="007034D0" w:rsidRPr="007034D0" w:rsidRDefault="007034D0" w:rsidP="007034D0">
      <w:pPr>
        <w:spacing w:line="240" w:lineRule="auto"/>
        <w:jc w:val="center"/>
        <w:rPr>
          <w:rFonts w:eastAsia="Times New Roman"/>
          <w:szCs w:val="28"/>
        </w:rPr>
      </w:pPr>
    </w:p>
    <w:p w14:paraId="012F72C6" w14:textId="77777777" w:rsidR="007034D0" w:rsidRPr="007034D0" w:rsidRDefault="007034D0" w:rsidP="007034D0">
      <w:pPr>
        <w:spacing w:line="240" w:lineRule="auto"/>
        <w:jc w:val="center"/>
        <w:rPr>
          <w:rFonts w:eastAsia="Times New Roman"/>
          <w:szCs w:val="28"/>
        </w:rPr>
      </w:pPr>
    </w:p>
    <w:p w14:paraId="1452B76D" w14:textId="77777777" w:rsidR="007034D0" w:rsidRPr="007034D0" w:rsidRDefault="007034D0" w:rsidP="007034D0">
      <w:pPr>
        <w:spacing w:line="240" w:lineRule="auto"/>
        <w:jc w:val="center"/>
        <w:rPr>
          <w:rFonts w:eastAsia="Times New Roman"/>
          <w:szCs w:val="28"/>
        </w:rPr>
      </w:pPr>
    </w:p>
    <w:p w14:paraId="44538B7E" w14:textId="77777777" w:rsidR="007034D0" w:rsidRPr="007034D0" w:rsidRDefault="007034D0" w:rsidP="007034D0">
      <w:pPr>
        <w:spacing w:line="240" w:lineRule="auto"/>
        <w:jc w:val="center"/>
        <w:rPr>
          <w:rFonts w:eastAsia="Times New Roman"/>
          <w:szCs w:val="28"/>
        </w:rPr>
      </w:pPr>
    </w:p>
    <w:p w14:paraId="541B3D46" w14:textId="77777777" w:rsidR="007034D0" w:rsidRPr="007034D0" w:rsidRDefault="007034D0" w:rsidP="007034D0">
      <w:pPr>
        <w:spacing w:line="240" w:lineRule="auto"/>
        <w:rPr>
          <w:rFonts w:eastAsia="Times New Roman"/>
          <w:szCs w:val="28"/>
        </w:rPr>
      </w:pPr>
    </w:p>
    <w:p w14:paraId="340A7628" w14:textId="77777777" w:rsidR="007034D0" w:rsidRPr="007034D0" w:rsidRDefault="007034D0" w:rsidP="007034D0">
      <w:pPr>
        <w:spacing w:line="240" w:lineRule="auto"/>
        <w:jc w:val="center"/>
        <w:outlineLvl w:val="0"/>
        <w:rPr>
          <w:rFonts w:eastAsia="Times New Roman"/>
          <w:b/>
          <w:bCs/>
          <w:i/>
          <w:iCs/>
          <w:szCs w:val="28"/>
        </w:rPr>
      </w:pPr>
      <w:r w:rsidRPr="007034D0">
        <w:rPr>
          <w:rFonts w:eastAsia="Times New Roman"/>
          <w:i/>
          <w:iCs/>
          <w:szCs w:val="28"/>
        </w:rPr>
        <w:t>Counsel for the Parties</w:t>
      </w:r>
    </w:p>
    <w:p w14:paraId="10639A33" w14:textId="77777777" w:rsidR="007034D0" w:rsidRPr="007034D0" w:rsidRDefault="007034D0" w:rsidP="007034D0">
      <w:pPr>
        <w:spacing w:line="240" w:lineRule="auto"/>
        <w:rPr>
          <w:rFonts w:eastAsia="Times New Roman"/>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7034D0" w:rsidRPr="007034D0" w14:paraId="01827602" w14:textId="77777777">
        <w:trPr>
          <w:cantSplit/>
        </w:trPr>
        <w:tc>
          <w:tcPr>
            <w:tcW w:w="5310" w:type="dxa"/>
          </w:tcPr>
          <w:p w14:paraId="581F5CCF" w14:textId="77777777" w:rsidR="007034D0" w:rsidRPr="007034D0" w:rsidRDefault="007034D0" w:rsidP="007034D0">
            <w:pPr>
              <w:spacing w:before="100" w:after="48" w:line="240" w:lineRule="auto"/>
              <w:rPr>
                <w:rFonts w:eastAsia="Times New Roman"/>
                <w:szCs w:val="28"/>
              </w:rPr>
            </w:pPr>
            <w:r w:rsidRPr="007034D0">
              <w:rPr>
                <w:rFonts w:eastAsia="Times New Roman"/>
                <w:b/>
                <w:bCs/>
                <w:szCs w:val="28"/>
              </w:rPr>
              <w:tab/>
            </w:r>
            <w:r w:rsidRPr="007034D0">
              <w:rPr>
                <w:rFonts w:eastAsia="Times New Roman"/>
                <w:szCs w:val="28"/>
              </w:rPr>
              <w:t>For Office of Chief Trial Counsel:</w:t>
            </w:r>
          </w:p>
        </w:tc>
        <w:tc>
          <w:tcPr>
            <w:tcW w:w="4140" w:type="dxa"/>
          </w:tcPr>
          <w:sdt>
            <w:sdtPr>
              <w:rPr>
                <w:rFonts w:eastAsia="Times New Roman"/>
                <w:szCs w:val="28"/>
              </w:rPr>
              <w:alias w:val="DTC Name"/>
              <w:tag w:val="DTC Name"/>
              <w:id w:val="2129961319"/>
              <w:placeholder>
                <w:docPart w:val="CC691B1F002D4442BFCA547C2422318F"/>
              </w:placeholder>
              <w:text/>
            </w:sdtPr>
            <w:sdtEndPr/>
            <w:sdtContent>
              <w:p w14:paraId="46385993" w14:textId="0722FD9B" w:rsidR="007034D0" w:rsidRPr="007034D0" w:rsidRDefault="007034D0" w:rsidP="007034D0">
                <w:pPr>
                  <w:spacing w:before="100" w:line="240" w:lineRule="auto"/>
                  <w:rPr>
                    <w:rFonts w:eastAsia="Times New Roman"/>
                    <w:szCs w:val="28"/>
                  </w:rPr>
                </w:pPr>
                <w:r>
                  <w:rPr>
                    <w:rFonts w:eastAsia="Times New Roman"/>
                    <w:szCs w:val="28"/>
                  </w:rPr>
                  <w:t>Peter Allen Klivans</w:t>
                </w:r>
              </w:p>
            </w:sdtContent>
          </w:sdt>
          <w:p w14:paraId="7AD13736" w14:textId="77777777" w:rsidR="007034D0" w:rsidRPr="007034D0" w:rsidRDefault="007034D0" w:rsidP="007034D0">
            <w:pPr>
              <w:spacing w:line="240" w:lineRule="auto"/>
              <w:rPr>
                <w:rFonts w:eastAsia="Times New Roman"/>
                <w:szCs w:val="28"/>
              </w:rPr>
            </w:pPr>
            <w:r w:rsidRPr="007034D0">
              <w:rPr>
                <w:rFonts w:eastAsia="Times New Roman"/>
                <w:szCs w:val="28"/>
              </w:rPr>
              <w:t>Office of Chief Trial Counsel</w:t>
            </w:r>
          </w:p>
          <w:p w14:paraId="47401884" w14:textId="77777777" w:rsidR="007034D0" w:rsidRPr="007034D0" w:rsidRDefault="007034D0" w:rsidP="007034D0">
            <w:pPr>
              <w:spacing w:line="240" w:lineRule="auto"/>
              <w:rPr>
                <w:rFonts w:eastAsia="Times New Roman"/>
                <w:szCs w:val="28"/>
              </w:rPr>
            </w:pPr>
            <w:r w:rsidRPr="007034D0">
              <w:rPr>
                <w:rFonts w:eastAsia="Times New Roman"/>
                <w:szCs w:val="28"/>
              </w:rPr>
              <w:t>The State Bar of California</w:t>
            </w:r>
          </w:p>
          <w:sdt>
            <w:sdtPr>
              <w:rPr>
                <w:rFonts w:eastAsia="Times New Roman"/>
                <w:szCs w:val="28"/>
              </w:rPr>
              <w:alias w:val="Street"/>
              <w:tag w:val="Address"/>
              <w:id w:val="1418752663"/>
              <w:placeholder>
                <w:docPart w:val="E409A3B3031A4E90A7913BAEB60CAE1C"/>
              </w:placeholder>
              <w:dropDownList>
                <w:listItem w:value="Choose an item."/>
                <w:listItem w:displayText="180 Howard St." w:value="180 Howard St."/>
                <w:listItem w:displayText="### Figueroa St." w:value="### Figueroa St."/>
              </w:dropDownList>
            </w:sdtPr>
            <w:sdtEndPr/>
            <w:sdtContent>
              <w:p w14:paraId="00F94A36" w14:textId="631A8447" w:rsidR="007034D0" w:rsidRPr="007034D0" w:rsidRDefault="007034D0" w:rsidP="007034D0">
                <w:pPr>
                  <w:spacing w:line="240" w:lineRule="auto"/>
                  <w:rPr>
                    <w:rFonts w:eastAsia="Times New Roman"/>
                    <w:szCs w:val="28"/>
                  </w:rPr>
                </w:pPr>
                <w:r>
                  <w:rPr>
                    <w:rFonts w:eastAsia="Times New Roman"/>
                    <w:szCs w:val="28"/>
                  </w:rPr>
                  <w:t>180 Howard St.</w:t>
                </w:r>
              </w:p>
            </w:sdtContent>
          </w:sdt>
          <w:sdt>
            <w:sdtPr>
              <w:rPr>
                <w:rFonts w:eastAsia="Times New Roman"/>
                <w:szCs w:val="28"/>
              </w:rPr>
              <w:alias w:val="City"/>
              <w:tag w:val="Address"/>
              <w:id w:val="1183703080"/>
              <w:placeholder>
                <w:docPart w:val="E409A3B3031A4E90A7913BAEB60CAE1C"/>
              </w:placeholder>
              <w:dropDownList>
                <w:listItem w:value="Choose an item."/>
                <w:listItem w:displayText="San Francisco, CA 94105" w:value="San Francisco, CA 94105"/>
                <w:listItem w:displayText="Los Angeles, CA #####" w:value="Los Angeles, CA #####"/>
              </w:dropDownList>
            </w:sdtPr>
            <w:sdtEndPr/>
            <w:sdtContent>
              <w:p w14:paraId="76A0AD51" w14:textId="1170A2D8" w:rsidR="007034D0" w:rsidRPr="007034D0" w:rsidRDefault="007034D0" w:rsidP="007034D0">
                <w:pPr>
                  <w:spacing w:after="48" w:line="240" w:lineRule="auto"/>
                  <w:rPr>
                    <w:rFonts w:eastAsia="Times New Roman"/>
                    <w:szCs w:val="28"/>
                  </w:rPr>
                </w:pPr>
                <w:r>
                  <w:rPr>
                    <w:rFonts w:eastAsia="Times New Roman"/>
                    <w:szCs w:val="28"/>
                  </w:rPr>
                  <w:t>San Francisco, CA 94105</w:t>
                </w:r>
              </w:p>
            </w:sdtContent>
          </w:sdt>
          <w:p w14:paraId="0D25E302" w14:textId="77777777" w:rsidR="007034D0" w:rsidRPr="007034D0" w:rsidRDefault="007034D0" w:rsidP="007034D0">
            <w:pPr>
              <w:spacing w:after="48" w:line="240" w:lineRule="auto"/>
              <w:rPr>
                <w:rFonts w:eastAsia="Times New Roman"/>
                <w:szCs w:val="28"/>
              </w:rPr>
            </w:pPr>
          </w:p>
        </w:tc>
      </w:tr>
      <w:tr w:rsidR="007034D0" w:rsidRPr="007034D0" w14:paraId="4B8120A5" w14:textId="77777777">
        <w:trPr>
          <w:cantSplit/>
          <w:trHeight w:val="1458"/>
        </w:trPr>
        <w:tc>
          <w:tcPr>
            <w:tcW w:w="5310" w:type="dxa"/>
          </w:tcPr>
          <w:p w14:paraId="04F5D9A3" w14:textId="6C192006" w:rsidR="007034D0" w:rsidRPr="007034D0" w:rsidRDefault="007034D0" w:rsidP="007034D0">
            <w:pPr>
              <w:spacing w:before="100" w:after="48" w:line="240" w:lineRule="auto"/>
              <w:rPr>
                <w:rFonts w:eastAsia="Times New Roman"/>
                <w:szCs w:val="28"/>
              </w:rPr>
            </w:pPr>
            <w:r w:rsidRPr="007034D0">
              <w:rPr>
                <w:rFonts w:eastAsia="Times New Roman"/>
                <w:b/>
                <w:bCs/>
                <w:szCs w:val="28"/>
              </w:rPr>
              <w:tab/>
            </w:r>
            <w:r w:rsidRPr="007034D0">
              <w:rPr>
                <w:rFonts w:eastAsia="Times New Roman"/>
                <w:szCs w:val="28"/>
              </w:rPr>
              <w:t xml:space="preserve">For </w:t>
            </w:r>
            <w:sdt>
              <w:sdtPr>
                <w:rPr>
                  <w:rFonts w:eastAsia="Times New Roman"/>
                  <w:szCs w:val="28"/>
                </w:rPr>
                <w:id w:val="1280833705"/>
                <w:placeholder>
                  <w:docPart w:val="CC691B1F002D4442BFCA547C2422318F"/>
                </w:placeholder>
                <w:text/>
              </w:sdtPr>
              <w:sdtEndPr/>
              <w:sdtContent>
                <w:r>
                  <w:rPr>
                    <w:rFonts w:eastAsia="Times New Roman"/>
                    <w:szCs w:val="28"/>
                  </w:rPr>
                  <w:t xml:space="preserve">Respondent, </w:t>
                </w:r>
                <w:r w:rsidR="00755579">
                  <w:rPr>
                    <w:rFonts w:eastAsia="Times New Roman"/>
                    <w:szCs w:val="28"/>
                  </w:rPr>
                  <w:t>i</w:t>
                </w:r>
                <w:r>
                  <w:rPr>
                    <w:rFonts w:eastAsia="Times New Roman"/>
                    <w:szCs w:val="28"/>
                  </w:rPr>
                  <w:t>n pro. per</w:t>
                </w:r>
                <w:r w:rsidR="00755579">
                  <w:rPr>
                    <w:rFonts w:eastAsia="Times New Roman"/>
                    <w:szCs w:val="28"/>
                  </w:rPr>
                  <w:t>.</w:t>
                </w:r>
                <w:r>
                  <w:rPr>
                    <w:rFonts w:eastAsia="Times New Roman"/>
                    <w:szCs w:val="28"/>
                  </w:rPr>
                  <w:t>:</w:t>
                </w:r>
              </w:sdtContent>
            </w:sdt>
          </w:p>
        </w:tc>
        <w:tc>
          <w:tcPr>
            <w:tcW w:w="4140" w:type="dxa"/>
          </w:tcPr>
          <w:sdt>
            <w:sdtPr>
              <w:rPr>
                <w:rFonts w:eastAsia="Times New Roman"/>
                <w:szCs w:val="28"/>
              </w:rPr>
              <w:id w:val="1627428901"/>
              <w:placeholder>
                <w:docPart w:val="CC691B1F002D4442BFCA547C2422318F"/>
              </w:placeholder>
              <w:text/>
            </w:sdtPr>
            <w:sdtEndPr/>
            <w:sdtContent>
              <w:p w14:paraId="66AAEA73" w14:textId="490A2B71" w:rsidR="007034D0" w:rsidRPr="007034D0" w:rsidRDefault="007034D0" w:rsidP="007034D0">
                <w:pPr>
                  <w:spacing w:line="240" w:lineRule="auto"/>
                  <w:rPr>
                    <w:rFonts w:eastAsia="Times New Roman"/>
                    <w:szCs w:val="28"/>
                  </w:rPr>
                </w:pPr>
                <w:r>
                  <w:rPr>
                    <w:rFonts w:eastAsia="Times New Roman"/>
                    <w:szCs w:val="28"/>
                  </w:rPr>
                  <w:t>Elana Thibault</w:t>
                </w:r>
              </w:p>
            </w:sdtContent>
          </w:sdt>
          <w:sdt>
            <w:sdtPr>
              <w:rPr>
                <w:rFonts w:eastAsia="Times New Roman"/>
                <w:szCs w:val="28"/>
              </w:rPr>
              <w:id w:val="784239175"/>
              <w:placeholder>
                <w:docPart w:val="CC691B1F002D4442BFCA547C2422318F"/>
              </w:placeholder>
              <w:text/>
            </w:sdtPr>
            <w:sdtEndPr/>
            <w:sdtContent>
              <w:p w14:paraId="45F137DE" w14:textId="18321C34" w:rsidR="007034D0" w:rsidRPr="007034D0" w:rsidRDefault="007034D0" w:rsidP="007034D0">
                <w:pPr>
                  <w:spacing w:line="240" w:lineRule="auto"/>
                  <w:rPr>
                    <w:rFonts w:eastAsia="Times New Roman"/>
                    <w:szCs w:val="28"/>
                  </w:rPr>
                </w:pPr>
                <w:r>
                  <w:rPr>
                    <w:rFonts w:eastAsia="Times New Roman"/>
                    <w:szCs w:val="28"/>
                  </w:rPr>
                  <w:t>P.O. Box 10956</w:t>
                </w:r>
              </w:p>
            </w:sdtContent>
          </w:sdt>
          <w:sdt>
            <w:sdtPr>
              <w:rPr>
                <w:rFonts w:eastAsia="Times New Roman"/>
                <w:szCs w:val="28"/>
              </w:rPr>
              <w:id w:val="718857921"/>
              <w:placeholder>
                <w:docPart w:val="CC691B1F002D4442BFCA547C2422318F"/>
              </w:placeholder>
              <w:text/>
            </w:sdtPr>
            <w:sdtEndPr/>
            <w:sdtContent>
              <w:p w14:paraId="73A63D0D" w14:textId="2268FD42" w:rsidR="007034D0" w:rsidRPr="007034D0" w:rsidRDefault="007034D0" w:rsidP="007034D0">
                <w:pPr>
                  <w:spacing w:line="240" w:lineRule="auto"/>
                  <w:rPr>
                    <w:rFonts w:eastAsia="Times New Roman"/>
                    <w:szCs w:val="28"/>
                  </w:rPr>
                </w:pPr>
                <w:r>
                  <w:rPr>
                    <w:rFonts w:eastAsia="Times New Roman"/>
                    <w:szCs w:val="28"/>
                  </w:rPr>
                  <w:t>Oakland, CA  94610-0956</w:t>
                </w:r>
              </w:p>
            </w:sdtContent>
          </w:sdt>
        </w:tc>
      </w:tr>
    </w:tbl>
    <w:p w14:paraId="33CE3CC6" w14:textId="77777777" w:rsidR="007034D0" w:rsidRPr="007034D0" w:rsidRDefault="007034D0" w:rsidP="007034D0">
      <w:pPr>
        <w:spacing w:line="240" w:lineRule="auto"/>
        <w:rPr>
          <w:rFonts w:eastAsia="Times New Roman"/>
          <w:szCs w:val="24"/>
        </w:rPr>
      </w:pPr>
    </w:p>
    <w:p w14:paraId="4048880C" w14:textId="77777777" w:rsidR="007034D0" w:rsidRPr="00E26B8A" w:rsidRDefault="007034D0" w:rsidP="00CE3946"/>
    <w:sectPr w:rsidR="007034D0"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5E8A" w14:textId="77777777" w:rsidR="0033431E" w:rsidRDefault="0033431E" w:rsidP="00055C8A">
      <w:r>
        <w:separator/>
      </w:r>
    </w:p>
  </w:endnote>
  <w:endnote w:type="continuationSeparator" w:id="0">
    <w:p w14:paraId="070980D3" w14:textId="77777777" w:rsidR="0033431E" w:rsidRDefault="0033431E" w:rsidP="00055C8A">
      <w:r>
        <w:continuationSeparator/>
      </w:r>
    </w:p>
  </w:endnote>
  <w:endnote w:type="continuationNotice" w:id="1">
    <w:p w14:paraId="16A9608B" w14:textId="77777777" w:rsidR="0033431E" w:rsidRDefault="003343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1A137885"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B755" w14:textId="77777777" w:rsidR="00784251" w:rsidRDefault="00784251">
    <w:pPr>
      <w:pStyle w:val="Footer"/>
      <w:jc w:val="center"/>
    </w:pPr>
  </w:p>
  <w:p w14:paraId="2909146B"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F121" w14:textId="77777777" w:rsidR="0033431E" w:rsidRPr="004F7297" w:rsidRDefault="0033431E" w:rsidP="004F7297">
      <w:pPr>
        <w:pStyle w:val="Footer"/>
        <w:spacing w:line="240" w:lineRule="auto"/>
      </w:pPr>
      <w:r w:rsidRPr="004F7297">
        <w:separator/>
      </w:r>
      <w:r>
        <w:t xml:space="preserve"> </w:t>
      </w:r>
    </w:p>
  </w:footnote>
  <w:footnote w:type="continuationSeparator" w:id="0">
    <w:p w14:paraId="5E5BF75A" w14:textId="77777777" w:rsidR="0033431E" w:rsidRPr="000308F7" w:rsidRDefault="0033431E" w:rsidP="000308F7">
      <w:pPr>
        <w:pStyle w:val="Footer"/>
      </w:pPr>
    </w:p>
  </w:footnote>
  <w:footnote w:type="continuationNotice" w:id="1">
    <w:p w14:paraId="22179A28" w14:textId="77777777" w:rsidR="0033431E" w:rsidRDefault="0033431E">
      <w:pPr>
        <w:spacing w:line="240" w:lineRule="auto"/>
      </w:pPr>
    </w:p>
  </w:footnote>
  <w:footnote w:id="2">
    <w:p w14:paraId="2FEF5082" w14:textId="77777777" w:rsidR="00C13A73" w:rsidRDefault="00C13A73" w:rsidP="00C13A73">
      <w:pPr>
        <w:pStyle w:val="TemplateFootnote"/>
      </w:pPr>
      <w:r>
        <w:rPr>
          <w:rStyle w:val="FootnoteReference"/>
        </w:rPr>
        <w:footnoteRef/>
      </w:r>
      <w:r>
        <w:t xml:space="preserve"> All further references to sections are to the Business and Professions Code unless otherwise noted.  </w:t>
      </w:r>
    </w:p>
  </w:footnote>
  <w:footnote w:id="3">
    <w:p w14:paraId="0AF04560" w14:textId="77777777" w:rsidR="00C13A73" w:rsidRDefault="00C13A73" w:rsidP="00C13A73">
      <w:pPr>
        <w:pStyle w:val="TemplateFootnote"/>
      </w:pPr>
      <w:r>
        <w:rPr>
          <w:rStyle w:val="FootnoteReference"/>
        </w:rPr>
        <w:footnoteRef/>
      </w:r>
      <w:r>
        <w:t xml:space="preserve"> All further references to rules are to the former Rules of Professional Conduct that were in effect until November 1, 2018, unless otherwise noted.</w:t>
      </w:r>
    </w:p>
  </w:footnote>
  <w:footnote w:id="4">
    <w:p w14:paraId="0EA927E3" w14:textId="6A24EC68" w:rsidR="00A729F0" w:rsidRDefault="00A729F0" w:rsidP="00A729F0">
      <w:pPr>
        <w:pStyle w:val="FootnoteText"/>
      </w:pPr>
      <w:r>
        <w:rPr>
          <w:rStyle w:val="FootnoteReference"/>
        </w:rPr>
        <w:footnoteRef/>
      </w:r>
      <w:r>
        <w:t xml:space="preserve"> The hearing judge’s decision mistakenly states that </w:t>
      </w:r>
      <w:proofErr w:type="spellStart"/>
      <w:r>
        <w:t>Peshawaria</w:t>
      </w:r>
      <w:proofErr w:type="spellEnd"/>
      <w:r>
        <w:t xml:space="preserve"> became licensed to practice law in California in February 2015; however, she has never been licensed to practice law in California.  As indicated </w:t>
      </w:r>
      <w:r w:rsidRPr="0030225A">
        <w:rPr>
          <w:i/>
          <w:iCs/>
        </w:rPr>
        <w:t>ante</w:t>
      </w:r>
      <w:r>
        <w:t xml:space="preserve">, Thibault became licensed in California in February 2015.  </w:t>
      </w:r>
      <w:r w:rsidRPr="00A729F0">
        <w:t xml:space="preserve">At some point, </w:t>
      </w:r>
      <w:proofErr w:type="spellStart"/>
      <w:r w:rsidRPr="00A729F0">
        <w:t>Peshawaria</w:t>
      </w:r>
      <w:proofErr w:type="spellEnd"/>
      <w:r w:rsidRPr="00A729F0">
        <w:t xml:space="preserve"> became licensed to practice law in India, and she obtained her law license in the state of Washington in November 2011.</w:t>
      </w:r>
    </w:p>
  </w:footnote>
  <w:footnote w:id="5">
    <w:p w14:paraId="1C236123" w14:textId="700D542C" w:rsidR="00E5025B" w:rsidRDefault="00E5025B">
      <w:pPr>
        <w:pStyle w:val="FootnoteText"/>
      </w:pPr>
      <w:r>
        <w:rPr>
          <w:rStyle w:val="FootnoteReference"/>
        </w:rPr>
        <w:footnoteRef/>
      </w:r>
      <w:r>
        <w:t xml:space="preserve"> </w:t>
      </w:r>
      <w:r w:rsidR="00CB7315">
        <w:t xml:space="preserve">During the disciplinary trial, </w:t>
      </w:r>
      <w:r>
        <w:t xml:space="preserve">Thibault </w:t>
      </w:r>
      <w:r w:rsidR="00CB7315">
        <w:t>testified</w:t>
      </w:r>
      <w:r>
        <w:t xml:space="preserve"> </w:t>
      </w:r>
      <w:proofErr w:type="spellStart"/>
      <w:r w:rsidR="00CB7315">
        <w:t>P</w:t>
      </w:r>
      <w:r w:rsidR="000B395A">
        <w:t>e</w:t>
      </w:r>
      <w:r w:rsidR="00CB7315">
        <w:t>shawaria</w:t>
      </w:r>
      <w:proofErr w:type="spellEnd"/>
      <w:r w:rsidR="00CB7315">
        <w:t xml:space="preserve"> was working as an immigration consultant under the business name “Immigration Business Services (IBS)” and </w:t>
      </w:r>
      <w:proofErr w:type="spellStart"/>
      <w:r w:rsidR="00CB7315">
        <w:t>Peshawaria</w:t>
      </w:r>
      <w:proofErr w:type="spellEnd"/>
      <w:r w:rsidR="00CB7315">
        <w:t xml:space="preserve"> informed her</w:t>
      </w:r>
      <w:r w:rsidR="00EE2716">
        <w:t xml:space="preserve"> that</w:t>
      </w:r>
      <w:r w:rsidR="00CB7315">
        <w:t xml:space="preserve"> Rattan</w:t>
      </w:r>
      <w:r w:rsidR="00471125">
        <w:t>’s consultat</w:t>
      </w:r>
      <w:r w:rsidR="00ED44C5">
        <w:t xml:space="preserve">ion </w:t>
      </w:r>
      <w:r w:rsidR="00CB7315">
        <w:t xml:space="preserve">in 2008 </w:t>
      </w:r>
      <w:r w:rsidR="00F939F8">
        <w:t>related</w:t>
      </w:r>
      <w:r w:rsidR="00ED44C5">
        <w:t xml:space="preserve"> only to </w:t>
      </w:r>
      <w:r w:rsidR="00CB7315">
        <w:t xml:space="preserve">a domestic violence case in India. </w:t>
      </w:r>
      <w:r w:rsidR="006068DD">
        <w:t xml:space="preserve"> </w:t>
      </w:r>
      <w:r w:rsidR="00CB7315">
        <w:t>The hearing judge rejected Thibault’s assertions</w:t>
      </w:r>
      <w:r w:rsidR="00970682">
        <w:t>,</w:t>
      </w:r>
      <w:r w:rsidR="00CB7315">
        <w:t xml:space="preserve"> finding that </w:t>
      </w:r>
      <w:r w:rsidR="00393EF0">
        <w:t xml:space="preserve">Thibault had no direct knowledge of the meeting between </w:t>
      </w:r>
      <w:r w:rsidR="00CB7315">
        <w:t>Rattan</w:t>
      </w:r>
      <w:r w:rsidR="00393EF0">
        <w:t xml:space="preserve"> and </w:t>
      </w:r>
      <w:proofErr w:type="spellStart"/>
      <w:r w:rsidR="00393EF0">
        <w:t>Peshawaria</w:t>
      </w:r>
      <w:proofErr w:type="spellEnd"/>
      <w:r w:rsidR="00970682">
        <w:t xml:space="preserve">.  The judge </w:t>
      </w:r>
      <w:r w:rsidR="00393EF0">
        <w:t>concluded Rattan</w:t>
      </w:r>
      <w:r w:rsidR="00CB7315">
        <w:t xml:space="preserve">’s </w:t>
      </w:r>
      <w:r w:rsidR="00393EF0">
        <w:t>testimony</w:t>
      </w:r>
      <w:r w:rsidR="00970682">
        <w:t>,</w:t>
      </w:r>
      <w:r w:rsidR="00393EF0">
        <w:t xml:space="preserve"> that she was a natur</w:t>
      </w:r>
      <w:r w:rsidR="008D4647">
        <w:t>al</w:t>
      </w:r>
      <w:r w:rsidR="00393EF0">
        <w:t xml:space="preserve">ized U.S. citizen and had no property interest in India </w:t>
      </w:r>
      <w:r w:rsidR="00D12DD6">
        <w:t xml:space="preserve">when she consulted with </w:t>
      </w:r>
      <w:proofErr w:type="spellStart"/>
      <w:r w:rsidR="00D12DD6">
        <w:t>Peshawaria</w:t>
      </w:r>
      <w:proofErr w:type="spellEnd"/>
      <w:r w:rsidR="00D12DD6">
        <w:t xml:space="preserve"> </w:t>
      </w:r>
      <w:r w:rsidR="00393EF0">
        <w:t>in 2008</w:t>
      </w:r>
      <w:r w:rsidR="00970682">
        <w:t>,</w:t>
      </w:r>
      <w:r w:rsidR="00393EF0">
        <w:t xml:space="preserve"> was unrefuted and support</w:t>
      </w:r>
      <w:r w:rsidR="00D868B9">
        <w:t>ed</w:t>
      </w:r>
      <w:r w:rsidR="00393EF0">
        <w:t xml:space="preserve"> Rattan’s claim that she contracted with </w:t>
      </w:r>
      <w:proofErr w:type="spellStart"/>
      <w:r w:rsidR="00393EF0">
        <w:t>Peshawaria</w:t>
      </w:r>
      <w:proofErr w:type="spellEnd"/>
      <w:r w:rsidR="00393EF0">
        <w:t xml:space="preserve"> concerning her marriage dissolution</w:t>
      </w:r>
      <w:r w:rsidR="000A5AD1">
        <w:t xml:space="preserve"> matter</w:t>
      </w:r>
      <w:r w:rsidR="006D4736">
        <w:t xml:space="preserve"> in California</w:t>
      </w:r>
      <w:r w:rsidR="00393EF0">
        <w:t xml:space="preserve">. </w:t>
      </w:r>
    </w:p>
  </w:footnote>
  <w:footnote w:id="6">
    <w:p w14:paraId="37723430" w14:textId="042F2535" w:rsidR="00144628" w:rsidRDefault="00144628">
      <w:pPr>
        <w:pStyle w:val="FootnoteText"/>
      </w:pPr>
      <w:r>
        <w:rPr>
          <w:rStyle w:val="FootnoteReference"/>
        </w:rPr>
        <w:footnoteRef/>
      </w:r>
      <w:r>
        <w:t xml:space="preserve"> Thibault testified that</w:t>
      </w:r>
      <w:r w:rsidR="007F09B1">
        <w:t>,</w:t>
      </w:r>
      <w:r>
        <w:t xml:space="preserve"> although she and </w:t>
      </w:r>
      <w:proofErr w:type="spellStart"/>
      <w:r>
        <w:t>P</w:t>
      </w:r>
      <w:r w:rsidR="0099445F">
        <w:t>e</w:t>
      </w:r>
      <w:r>
        <w:t>shawaria</w:t>
      </w:r>
      <w:proofErr w:type="spellEnd"/>
      <w:r>
        <w:t xml:space="preserve"> ended their employer-employee relationship, a few matters </w:t>
      </w:r>
      <w:r w:rsidR="00B41CF2">
        <w:t xml:space="preserve">remained </w:t>
      </w:r>
      <w:r>
        <w:t xml:space="preserve">assigned to Thibault </w:t>
      </w:r>
      <w:r w:rsidR="00B41CF2">
        <w:t xml:space="preserve">and </w:t>
      </w:r>
      <w:r>
        <w:t xml:space="preserve">she continued to work on </w:t>
      </w:r>
      <w:r w:rsidR="00141DC3">
        <w:t xml:space="preserve">them </w:t>
      </w:r>
      <w:r>
        <w:t xml:space="preserve">until they concluded.    </w:t>
      </w:r>
    </w:p>
    <w:p w14:paraId="09EBF710" w14:textId="77777777" w:rsidR="007A408E" w:rsidRDefault="007A408E">
      <w:pPr>
        <w:pStyle w:val="FootnoteText"/>
      </w:pPr>
    </w:p>
  </w:footnote>
  <w:footnote w:id="7">
    <w:p w14:paraId="112089C5" w14:textId="725258B7" w:rsidR="008E0D24" w:rsidRDefault="008E0D24">
      <w:pPr>
        <w:pStyle w:val="FootnoteText"/>
      </w:pPr>
      <w:r>
        <w:rPr>
          <w:rStyle w:val="FootnoteReference"/>
        </w:rPr>
        <w:footnoteRef/>
      </w:r>
      <w:r>
        <w:t xml:space="preserve"> The superior court’s minute order mistakenly listed the sanctions amount as $6,000</w:t>
      </w:r>
      <w:r w:rsidR="00C05755">
        <w:t>;</w:t>
      </w:r>
      <w:r>
        <w:t xml:space="preserve"> </w:t>
      </w:r>
      <w:r w:rsidR="00C05755">
        <w:t>however,</w:t>
      </w:r>
      <w:r>
        <w:t xml:space="preserve"> the correct amount was $5,000, as </w:t>
      </w:r>
      <w:r w:rsidR="00443FAD">
        <w:t>verbally</w:t>
      </w:r>
      <w:r>
        <w:t xml:space="preserve"> ordered during the July 19, </w:t>
      </w:r>
      <w:proofErr w:type="gramStart"/>
      <w:r>
        <w:t>2018</w:t>
      </w:r>
      <w:proofErr w:type="gramEnd"/>
      <w:r>
        <w:t xml:space="preserve"> hearing.   </w:t>
      </w:r>
    </w:p>
  </w:footnote>
  <w:footnote w:id="8">
    <w:p w14:paraId="2EDCA28E" w14:textId="5EFFE997" w:rsidR="00E5025B" w:rsidRDefault="00E5025B">
      <w:pPr>
        <w:pStyle w:val="FootnoteText"/>
      </w:pPr>
      <w:r>
        <w:rPr>
          <w:rStyle w:val="FootnoteReference"/>
        </w:rPr>
        <w:footnoteRef/>
      </w:r>
      <w:r>
        <w:t xml:space="preserve"> </w:t>
      </w:r>
      <w:r w:rsidR="00D64CEB">
        <w:t xml:space="preserve">Count one </w:t>
      </w:r>
      <w:r w:rsidR="008770E1">
        <w:t xml:space="preserve">is discussed after count two as </w:t>
      </w:r>
      <w:r w:rsidR="00013EFF">
        <w:t xml:space="preserve">it is </w:t>
      </w:r>
      <w:proofErr w:type="gramStart"/>
      <w:r w:rsidR="00013EFF">
        <w:t xml:space="preserve">similar </w:t>
      </w:r>
      <w:r w:rsidR="00AE0FD1">
        <w:t>to</w:t>
      </w:r>
      <w:proofErr w:type="gramEnd"/>
      <w:r w:rsidR="00AE0FD1">
        <w:t xml:space="preserve"> count</w:t>
      </w:r>
      <w:r w:rsidR="008770E1">
        <w:t xml:space="preserve"> four </w:t>
      </w:r>
      <w:r w:rsidR="00122A86">
        <w:t xml:space="preserve">because </w:t>
      </w:r>
      <w:r w:rsidR="0083320D">
        <w:t>the allegations</w:t>
      </w:r>
      <w:r w:rsidR="00D70C1D">
        <w:t xml:space="preserve"> </w:t>
      </w:r>
      <w:r w:rsidR="00C9267F">
        <w:t xml:space="preserve">in each </w:t>
      </w:r>
      <w:r w:rsidR="00AE0FD1">
        <w:t>relate to the superior court’s sanctions order</w:t>
      </w:r>
      <w:r w:rsidR="008770E1">
        <w:t xml:space="preserve">.  </w:t>
      </w:r>
      <w:r w:rsidR="00D328C2">
        <w:t>OCTC does not challenge the hearing judge’s dismissal of count three, a violation of section 6068</w:t>
      </w:r>
      <w:r w:rsidR="00DC378C">
        <w:t xml:space="preserve">, subdivision </w:t>
      </w:r>
      <w:r w:rsidR="00D328C2">
        <w:t>(e)(1) (failure to maintain client confidences)</w:t>
      </w:r>
      <w:r w:rsidR="00BF4F95">
        <w:t>.  W</w:t>
      </w:r>
      <w:r w:rsidR="00D328C2">
        <w:t>e find the record support</w:t>
      </w:r>
      <w:r w:rsidR="00C05755">
        <w:t>s</w:t>
      </w:r>
      <w:r w:rsidR="00D328C2">
        <w:t xml:space="preserve"> dismissal and thus we adopt and affirm the hearing judge’s dismissal with prejudice</w:t>
      </w:r>
      <w:r w:rsidR="009E7E2B">
        <w:t xml:space="preserve"> of count three</w:t>
      </w:r>
      <w:r w:rsidR="00CB735F">
        <w:t>.</w:t>
      </w:r>
      <w:r w:rsidR="00F22B66">
        <w:t xml:space="preserve">  </w:t>
      </w:r>
      <w:r w:rsidR="00F22B66" w:rsidRPr="00A731AB">
        <w:rPr>
          <w:rFonts w:eastAsia="Times New Roman"/>
        </w:rPr>
        <w:t>(</w:t>
      </w:r>
      <w:r w:rsidR="00F22B66" w:rsidRPr="00A731AB">
        <w:rPr>
          <w:rFonts w:eastAsia="Times New Roman"/>
          <w:i/>
        </w:rPr>
        <w:t xml:space="preserve">In the Matter of </w:t>
      </w:r>
      <w:proofErr w:type="spellStart"/>
      <w:r w:rsidR="00F22B66" w:rsidRPr="00A731AB">
        <w:rPr>
          <w:rFonts w:eastAsia="Times New Roman"/>
          <w:i/>
        </w:rPr>
        <w:t>Kroff</w:t>
      </w:r>
      <w:proofErr w:type="spellEnd"/>
      <w:r w:rsidR="00F22B66" w:rsidRPr="00A731AB">
        <w:rPr>
          <w:rFonts w:eastAsia="Times New Roman"/>
        </w:rPr>
        <w:t xml:space="preserve"> (Review Dept. </w:t>
      </w:r>
      <w:r w:rsidR="00F22B66">
        <w:rPr>
          <w:rFonts w:eastAsia="Times New Roman"/>
        </w:rPr>
        <w:t>1</w:t>
      </w:r>
      <w:r w:rsidR="00F22B66" w:rsidRPr="00A731AB">
        <w:rPr>
          <w:rFonts w:eastAsia="Times New Roman"/>
        </w:rPr>
        <w:t xml:space="preserve">998) 3 Cal. State Bar Ct. </w:t>
      </w:r>
      <w:proofErr w:type="spellStart"/>
      <w:r w:rsidR="00F22B66" w:rsidRPr="00A731AB">
        <w:rPr>
          <w:rFonts w:eastAsia="Times New Roman"/>
        </w:rPr>
        <w:t>Rptr</w:t>
      </w:r>
      <w:proofErr w:type="spellEnd"/>
      <w:r w:rsidR="00F22B66" w:rsidRPr="00A731AB">
        <w:rPr>
          <w:rFonts w:eastAsia="Times New Roman"/>
        </w:rPr>
        <w:t>. 838, 8</w:t>
      </w:r>
      <w:r w:rsidR="00F22B66">
        <w:rPr>
          <w:rFonts w:eastAsia="Times New Roman"/>
        </w:rPr>
        <w:t>4</w:t>
      </w:r>
      <w:r w:rsidR="00F22B66" w:rsidRPr="00A731AB">
        <w:rPr>
          <w:rFonts w:eastAsia="Times New Roman"/>
        </w:rPr>
        <w:t>3 [dismissal of charges for want of proof after trial on merits is with prejudice].)</w:t>
      </w:r>
    </w:p>
    <w:p w14:paraId="7862501A" w14:textId="77777777" w:rsidR="007A408E" w:rsidRDefault="007A408E">
      <w:pPr>
        <w:pStyle w:val="FootnoteText"/>
      </w:pPr>
    </w:p>
  </w:footnote>
  <w:footnote w:id="9">
    <w:p w14:paraId="6A770CCD" w14:textId="63523A9E" w:rsidR="008443EA" w:rsidRPr="00EE5CF9" w:rsidRDefault="008443EA" w:rsidP="00FD127B">
      <w:pPr>
        <w:pStyle w:val="FootnoteText"/>
        <w:spacing w:after="120"/>
      </w:pPr>
      <w:r>
        <w:rPr>
          <w:rStyle w:val="FootnoteReference"/>
        </w:rPr>
        <w:footnoteRef/>
      </w:r>
      <w:r>
        <w:t xml:space="preserve"> Thibault </w:t>
      </w:r>
      <w:r w:rsidR="00EE5CF9">
        <w:t xml:space="preserve">also </w:t>
      </w:r>
      <w:r w:rsidR="00946FC5">
        <w:t xml:space="preserve">states it is “undisputed” </w:t>
      </w:r>
      <w:r w:rsidR="00771780">
        <w:t xml:space="preserve">that </w:t>
      </w:r>
      <w:r w:rsidR="00F01F08">
        <w:t xml:space="preserve">she never represented Rattan </w:t>
      </w:r>
      <w:r w:rsidR="00515433">
        <w:t>and that Rattan met her for the first time in May 2018.</w:t>
      </w:r>
      <w:r w:rsidR="00F04FEB">
        <w:t xml:space="preserve">  </w:t>
      </w:r>
      <w:r w:rsidR="006E3F8F">
        <w:t xml:space="preserve">Her statement </w:t>
      </w:r>
      <w:r w:rsidR="00EF2BBA">
        <w:t>misses the mo</w:t>
      </w:r>
      <w:r w:rsidR="00DC56CD">
        <w:t>re relevant</w:t>
      </w:r>
      <w:r w:rsidR="00EF2BBA">
        <w:t xml:space="preserve"> point</w:t>
      </w:r>
      <w:r w:rsidR="00771780">
        <w:t>, which is</w:t>
      </w:r>
      <w:r w:rsidR="00EF2BBA">
        <w:t xml:space="preserve"> </w:t>
      </w:r>
      <w:r w:rsidR="00DC56CD">
        <w:t xml:space="preserve">she learned </w:t>
      </w:r>
      <w:r w:rsidR="006E3F8F">
        <w:t xml:space="preserve">Rattan’s </w:t>
      </w:r>
      <w:r w:rsidR="00DC56CD">
        <w:t>confidential information</w:t>
      </w:r>
      <w:r w:rsidR="00AB6C2F">
        <w:t xml:space="preserve"> </w:t>
      </w:r>
      <w:r w:rsidR="00C2485F">
        <w:t>from her employment with</w:t>
      </w:r>
      <w:r w:rsidR="00AB6C2F">
        <w:t xml:space="preserve"> </w:t>
      </w:r>
      <w:proofErr w:type="spellStart"/>
      <w:r w:rsidR="00AB6C2F">
        <w:t>Peshawaria</w:t>
      </w:r>
      <w:proofErr w:type="spellEnd"/>
      <w:r w:rsidR="00555212">
        <w:t>,</w:t>
      </w:r>
      <w:r w:rsidR="00EC0646">
        <w:t xml:space="preserve"> who had a</w:t>
      </w:r>
      <w:r w:rsidR="00BC784E">
        <w:t>n</w:t>
      </w:r>
      <w:r w:rsidR="00EC0646">
        <w:t xml:space="preserve"> attorney</w:t>
      </w:r>
      <w:r w:rsidR="00BC784E">
        <w:t>-</w:t>
      </w:r>
      <w:r w:rsidR="00EC0646">
        <w:t xml:space="preserve">client relationship with </w:t>
      </w:r>
      <w:r w:rsidR="00EE5CF9">
        <w:t xml:space="preserve">Rattan, discussed </w:t>
      </w:r>
      <w:r w:rsidR="00EE5CF9">
        <w:rPr>
          <w:i/>
          <w:iCs/>
        </w:rPr>
        <w:t>post</w:t>
      </w:r>
      <w:r w:rsidR="00EE5CF9">
        <w:t>.</w:t>
      </w:r>
    </w:p>
  </w:footnote>
  <w:footnote w:id="10">
    <w:p w14:paraId="572EA887" w14:textId="15FD5940" w:rsidR="005157DE" w:rsidRDefault="001D6287" w:rsidP="00FD127B">
      <w:pPr>
        <w:pStyle w:val="FootnoteText"/>
        <w:spacing w:after="120"/>
      </w:pPr>
      <w:r>
        <w:rPr>
          <w:rStyle w:val="FootnoteReference"/>
        </w:rPr>
        <w:footnoteRef/>
      </w:r>
      <w:r>
        <w:t xml:space="preserve"> </w:t>
      </w:r>
      <w:r w:rsidRPr="001D6287">
        <w:t>Clear and convincing evidence leaves no substantial doubt and is sufficiently strong to command the unhesitating assent of every reasonable mind.  (</w:t>
      </w:r>
      <w:r w:rsidRPr="001D6287">
        <w:rPr>
          <w:i/>
        </w:rPr>
        <w:t>Conservatorship of Wendland</w:t>
      </w:r>
      <w:r w:rsidRPr="001D6287">
        <w:t xml:space="preserve"> (2001) 26 Cal.4th 519, 552.)</w:t>
      </w:r>
    </w:p>
  </w:footnote>
  <w:footnote w:id="11">
    <w:p w14:paraId="11A49718" w14:textId="55D78E59" w:rsidR="00D46AD3" w:rsidRDefault="00D46AD3" w:rsidP="00FD127B">
      <w:pPr>
        <w:pStyle w:val="FootnoteText"/>
        <w:spacing w:after="120"/>
      </w:pPr>
      <w:r>
        <w:rPr>
          <w:rStyle w:val="FootnoteReference"/>
        </w:rPr>
        <w:footnoteRef/>
      </w:r>
      <w:r>
        <w:t xml:space="preserve"> We </w:t>
      </w:r>
      <w:r w:rsidRPr="004B7770">
        <w:t>generally give a strong presumption of validity to the superior court’s findings if supported by substantial evidence</w:t>
      </w:r>
      <w:r>
        <w:t>.</w:t>
      </w:r>
      <w:r w:rsidRPr="004B7770">
        <w:t xml:space="preserve"> </w:t>
      </w:r>
      <w:r>
        <w:t xml:space="preserve"> </w:t>
      </w:r>
      <w:r w:rsidRPr="004B7770">
        <w:t>(</w:t>
      </w:r>
      <w:proofErr w:type="spellStart"/>
      <w:r w:rsidRPr="004B7770">
        <w:rPr>
          <w:i/>
        </w:rPr>
        <w:t>Maltaman</w:t>
      </w:r>
      <w:proofErr w:type="spellEnd"/>
      <w:r w:rsidRPr="004B7770">
        <w:rPr>
          <w:i/>
        </w:rPr>
        <w:t xml:space="preserve"> v. State Bar</w:t>
      </w:r>
      <w:r w:rsidRPr="004B7770">
        <w:t xml:space="preserve"> (1987) 43 Cal.3d 924</w:t>
      </w:r>
      <w:r w:rsidRPr="004B7770">
        <w:rPr>
          <w:szCs w:val="24"/>
        </w:rPr>
        <w:t>, 947</w:t>
      </w:r>
      <w:r>
        <w:rPr>
          <w:szCs w:val="24"/>
        </w:rPr>
        <w:t>.</w:t>
      </w:r>
      <w:r w:rsidRPr="004B7770">
        <w:rPr>
          <w:szCs w:val="24"/>
        </w:rPr>
        <w:t>)</w:t>
      </w:r>
      <w:r>
        <w:rPr>
          <w:szCs w:val="24"/>
        </w:rPr>
        <w:t xml:space="preserve">  </w:t>
      </w:r>
      <w:r w:rsidRPr="00D46AD3">
        <w:rPr>
          <w:szCs w:val="24"/>
        </w:rPr>
        <w:t>Similarly, the Court of Appeal’s findings are also entitled to a strong presumption of validity.  (</w:t>
      </w:r>
      <w:r w:rsidRPr="00D97679">
        <w:rPr>
          <w:i/>
          <w:iCs/>
          <w:szCs w:val="24"/>
        </w:rPr>
        <w:t>In the Matter of Burke</w:t>
      </w:r>
      <w:r w:rsidRPr="00D46AD3">
        <w:rPr>
          <w:szCs w:val="24"/>
        </w:rPr>
        <w:t xml:space="preserve">, </w:t>
      </w:r>
      <w:r w:rsidRPr="00D97679">
        <w:rPr>
          <w:i/>
          <w:iCs/>
          <w:szCs w:val="24"/>
        </w:rPr>
        <w:t>supra</w:t>
      </w:r>
      <w:r w:rsidRPr="00D46AD3">
        <w:rPr>
          <w:szCs w:val="24"/>
        </w:rPr>
        <w:t xml:space="preserve">, 5 Cal. State Bar Ct. </w:t>
      </w:r>
      <w:proofErr w:type="spellStart"/>
      <w:r w:rsidRPr="00D46AD3">
        <w:rPr>
          <w:szCs w:val="24"/>
        </w:rPr>
        <w:t>Rptr</w:t>
      </w:r>
      <w:proofErr w:type="spellEnd"/>
      <w:r w:rsidRPr="00D46AD3">
        <w:rPr>
          <w:szCs w:val="24"/>
        </w:rPr>
        <w:t xml:space="preserve">. at p. 459.)  </w:t>
      </w:r>
    </w:p>
  </w:footnote>
  <w:footnote w:id="12">
    <w:p w14:paraId="7DDBB240" w14:textId="0A3AA36A" w:rsidR="00911870" w:rsidRDefault="00911870" w:rsidP="00FD127B">
      <w:pPr>
        <w:pStyle w:val="FootnoteText"/>
        <w:spacing w:after="120"/>
      </w:pPr>
      <w:r>
        <w:rPr>
          <w:rStyle w:val="FootnoteReference"/>
        </w:rPr>
        <w:footnoteRef/>
      </w:r>
      <w:r>
        <w:t xml:space="preserve"> The Court of Appeal’s opinion is in accord with </w:t>
      </w:r>
      <w:r w:rsidR="00E564CE" w:rsidRPr="00E33DDA">
        <w:t>E</w:t>
      </w:r>
      <w:r w:rsidR="00E564CE" w:rsidRPr="00E33DDA">
        <w:rPr>
          <w:szCs w:val="24"/>
        </w:rPr>
        <w:t>vidence Code section 950</w:t>
      </w:r>
      <w:r w:rsidR="00E564CE">
        <w:rPr>
          <w:szCs w:val="24"/>
        </w:rPr>
        <w:t xml:space="preserve">, which </w:t>
      </w:r>
      <w:r w:rsidR="00E564CE" w:rsidRPr="00174B59">
        <w:rPr>
          <w:szCs w:val="24"/>
        </w:rPr>
        <w:t xml:space="preserve">defines a “lawyer” as “a person authorized, or </w:t>
      </w:r>
      <w:r w:rsidR="00E564CE" w:rsidRPr="00174B59">
        <w:rPr>
          <w:i/>
          <w:iCs/>
          <w:szCs w:val="24"/>
        </w:rPr>
        <w:t>reasonably</w:t>
      </w:r>
      <w:r w:rsidR="00E564CE" w:rsidRPr="00174B59">
        <w:rPr>
          <w:szCs w:val="24"/>
        </w:rPr>
        <w:t xml:space="preserve"> </w:t>
      </w:r>
      <w:r w:rsidR="00E564CE" w:rsidRPr="00174B59">
        <w:rPr>
          <w:i/>
          <w:iCs/>
          <w:szCs w:val="24"/>
        </w:rPr>
        <w:t>believed</w:t>
      </w:r>
      <w:r w:rsidR="00E564CE" w:rsidRPr="00174B59">
        <w:rPr>
          <w:szCs w:val="24"/>
        </w:rPr>
        <w:t xml:space="preserve"> by the client to be authorized, to practice law in any state or nation.”  </w:t>
      </w:r>
      <w:r w:rsidR="004E7E73" w:rsidRPr="00174B59">
        <w:rPr>
          <w:szCs w:val="24"/>
        </w:rPr>
        <w:t>(I</w:t>
      </w:r>
      <w:r w:rsidR="00E564CE" w:rsidRPr="00174B59">
        <w:rPr>
          <w:szCs w:val="24"/>
        </w:rPr>
        <w:t>talics added.)</w:t>
      </w:r>
    </w:p>
  </w:footnote>
  <w:footnote w:id="13">
    <w:p w14:paraId="2A800F27" w14:textId="2DFDF435" w:rsidR="00753FA6" w:rsidRDefault="00753FA6" w:rsidP="00FD127B">
      <w:pPr>
        <w:pStyle w:val="FootnoteText"/>
        <w:spacing w:after="120"/>
      </w:pPr>
      <w:r>
        <w:rPr>
          <w:rStyle w:val="FootnoteReference"/>
        </w:rPr>
        <w:footnoteRef/>
      </w:r>
      <w:r>
        <w:t xml:space="preserve"> In her brief of review, Thibault argues payment of an attorney fee does not necessarily establish an attorney-client relationship, in reliance on </w:t>
      </w:r>
      <w:r w:rsidRPr="00F77F73">
        <w:rPr>
          <w:i/>
          <w:iCs/>
        </w:rPr>
        <w:t>Zenith Ins. Co.</w:t>
      </w:r>
      <w:r>
        <w:t xml:space="preserve"> v. </w:t>
      </w:r>
      <w:r w:rsidRPr="00F77F73">
        <w:rPr>
          <w:i/>
          <w:iCs/>
        </w:rPr>
        <w:t>O’Connor</w:t>
      </w:r>
      <w:r>
        <w:t xml:space="preserve"> (2007) 148</w:t>
      </w:r>
      <w:r w:rsidR="0060640E">
        <w:t> </w:t>
      </w:r>
      <w:r>
        <w:t>Cal.App</w:t>
      </w:r>
      <w:r w:rsidR="0019368B">
        <w:t>.4th</w:t>
      </w:r>
      <w:r>
        <w:t xml:space="preserve"> 998, 1010.  We agree</w:t>
      </w:r>
      <w:r w:rsidR="00EC2452">
        <w:t>,</w:t>
      </w:r>
      <w:r>
        <w:t xml:space="preserve"> and our analysis is not limited to the fee payment but</w:t>
      </w:r>
      <w:r w:rsidR="00E82C1F">
        <w:t>, instead,</w:t>
      </w:r>
      <w:r>
        <w:t xml:space="preserve"> </w:t>
      </w:r>
      <w:r w:rsidR="00B73DE8">
        <w:t xml:space="preserve">based on </w:t>
      </w:r>
      <w:r>
        <w:t xml:space="preserve">the totality of the circumstances surrounding Rattan’s belief that she was hiring </w:t>
      </w:r>
      <w:proofErr w:type="spellStart"/>
      <w:r>
        <w:t>Peshawaria</w:t>
      </w:r>
      <w:proofErr w:type="spellEnd"/>
      <w:r>
        <w:t xml:space="preserve"> as her attorney when she retained her services.  </w:t>
      </w:r>
    </w:p>
  </w:footnote>
  <w:footnote w:id="14">
    <w:p w14:paraId="62262704" w14:textId="0422BE8F" w:rsidR="00DD10A8" w:rsidRDefault="00DD10A8" w:rsidP="00FD127B">
      <w:pPr>
        <w:pStyle w:val="FootnoteText"/>
        <w:spacing w:after="120"/>
      </w:pPr>
      <w:r>
        <w:rPr>
          <w:rStyle w:val="FootnoteReference"/>
        </w:rPr>
        <w:footnoteRef/>
      </w:r>
      <w:r>
        <w:t xml:space="preserve"> Furthermore, courts in </w:t>
      </w:r>
      <w:r w:rsidR="000860C6">
        <w:t>other</w:t>
      </w:r>
      <w:r>
        <w:t xml:space="preserve"> jurisdictions have recognized that when </w:t>
      </w:r>
      <w:r w:rsidR="003C080B">
        <w:t>a</w:t>
      </w:r>
      <w:r>
        <w:t xml:space="preserve"> client reasonably believes his or her confidential communication and information is being shared with a licensed attorney, this meets the “lawyer” definition and attorney-client privilege applies.  (See, e.g., </w:t>
      </w:r>
      <w:r w:rsidRPr="00DE7952">
        <w:rPr>
          <w:rFonts w:eastAsia="Times New Roman"/>
          <w:i/>
          <w:iCs/>
          <w:szCs w:val="24"/>
          <w:bdr w:val="none" w:sz="0" w:space="0" w:color="auto" w:frame="1"/>
        </w:rPr>
        <w:t>U</w:t>
      </w:r>
      <w:r w:rsidRPr="00F533DD">
        <w:rPr>
          <w:rFonts w:eastAsia="Times New Roman"/>
          <w:i/>
          <w:iCs/>
          <w:szCs w:val="24"/>
          <w:bdr w:val="none" w:sz="0" w:space="0" w:color="auto" w:frame="1"/>
        </w:rPr>
        <w:t>nited States</w:t>
      </w:r>
      <w:r w:rsidRPr="00DE7952">
        <w:rPr>
          <w:rFonts w:eastAsia="Times New Roman"/>
          <w:i/>
          <w:iCs/>
          <w:szCs w:val="24"/>
          <w:bdr w:val="none" w:sz="0" w:space="0" w:color="auto" w:frame="1"/>
        </w:rPr>
        <w:t xml:space="preserve"> v</w:t>
      </w:r>
      <w:r w:rsidRPr="00DE7952">
        <w:rPr>
          <w:rFonts w:eastAsia="Times New Roman"/>
          <w:szCs w:val="24"/>
          <w:bdr w:val="none" w:sz="0" w:space="0" w:color="auto" w:frame="1"/>
        </w:rPr>
        <w:t xml:space="preserve">. </w:t>
      </w:r>
      <w:proofErr w:type="spellStart"/>
      <w:r w:rsidRPr="00DE7952">
        <w:rPr>
          <w:rFonts w:eastAsia="Times New Roman"/>
          <w:i/>
          <w:iCs/>
          <w:szCs w:val="24"/>
          <w:bdr w:val="none" w:sz="0" w:space="0" w:color="auto" w:frame="1"/>
        </w:rPr>
        <w:t>Boffa</w:t>
      </w:r>
      <w:proofErr w:type="spellEnd"/>
      <w:r w:rsidRPr="00DE7952">
        <w:rPr>
          <w:rFonts w:eastAsia="Times New Roman"/>
          <w:i/>
          <w:iCs/>
          <w:szCs w:val="24"/>
        </w:rPr>
        <w:t xml:space="preserve"> </w:t>
      </w:r>
      <w:r w:rsidRPr="00DE7952">
        <w:rPr>
          <w:rFonts w:eastAsia="Times New Roman"/>
          <w:szCs w:val="24"/>
        </w:rPr>
        <w:t xml:space="preserve">(D. Del. 1981) 513 </w:t>
      </w:r>
      <w:proofErr w:type="spellStart"/>
      <w:r w:rsidRPr="00DE7952">
        <w:rPr>
          <w:rFonts w:eastAsia="Times New Roman"/>
          <w:szCs w:val="24"/>
        </w:rPr>
        <w:t>F.Supp</w:t>
      </w:r>
      <w:proofErr w:type="spellEnd"/>
      <w:r w:rsidRPr="00DE7952">
        <w:rPr>
          <w:rFonts w:eastAsia="Times New Roman"/>
          <w:szCs w:val="24"/>
        </w:rPr>
        <w:t xml:space="preserve">. </w:t>
      </w:r>
      <w:r w:rsidR="00840643">
        <w:rPr>
          <w:rFonts w:eastAsia="Times New Roman"/>
          <w:szCs w:val="24"/>
        </w:rPr>
        <w:t xml:space="preserve">517, </w:t>
      </w:r>
      <w:r w:rsidRPr="00DE7952">
        <w:rPr>
          <w:rFonts w:eastAsia="Times New Roman"/>
          <w:szCs w:val="24"/>
        </w:rPr>
        <w:t>5</w:t>
      </w:r>
      <w:r w:rsidRPr="00F533DD">
        <w:rPr>
          <w:rFonts w:eastAsia="Times New Roman"/>
          <w:szCs w:val="24"/>
        </w:rPr>
        <w:t>23</w:t>
      </w:r>
      <w:r>
        <w:rPr>
          <w:rFonts w:eastAsia="Times New Roman"/>
          <w:szCs w:val="24"/>
        </w:rPr>
        <w:t>;</w:t>
      </w:r>
      <w:r w:rsidRPr="00F533DD">
        <w:rPr>
          <w:rFonts w:eastAsia="Times New Roman"/>
          <w:szCs w:val="24"/>
        </w:rPr>
        <w:t xml:space="preserve"> </w:t>
      </w:r>
      <w:r w:rsidRPr="008A1A22">
        <w:rPr>
          <w:rFonts w:eastAsia="Times New Roman"/>
          <w:i/>
          <w:iCs/>
          <w:szCs w:val="24"/>
          <w:bdr w:val="none" w:sz="0" w:space="0" w:color="auto" w:frame="1"/>
        </w:rPr>
        <w:t>U</w:t>
      </w:r>
      <w:r w:rsidRPr="00F533DD">
        <w:rPr>
          <w:rFonts w:eastAsia="Times New Roman"/>
          <w:i/>
          <w:iCs/>
          <w:szCs w:val="24"/>
          <w:bdr w:val="none" w:sz="0" w:space="0" w:color="auto" w:frame="1"/>
        </w:rPr>
        <w:t>nited States</w:t>
      </w:r>
      <w:r w:rsidRPr="008A1A22">
        <w:rPr>
          <w:rFonts w:eastAsia="Times New Roman"/>
          <w:i/>
          <w:iCs/>
          <w:szCs w:val="24"/>
          <w:bdr w:val="none" w:sz="0" w:space="0" w:color="auto" w:frame="1"/>
        </w:rPr>
        <w:t xml:space="preserve"> v</w:t>
      </w:r>
      <w:r w:rsidRPr="008A1A22">
        <w:rPr>
          <w:rFonts w:eastAsia="Times New Roman"/>
          <w:szCs w:val="24"/>
          <w:bdr w:val="none" w:sz="0" w:space="0" w:color="auto" w:frame="1"/>
        </w:rPr>
        <w:t>.</w:t>
      </w:r>
      <w:r w:rsidRPr="008A1A22">
        <w:rPr>
          <w:rFonts w:eastAsia="Times New Roman"/>
          <w:i/>
          <w:iCs/>
          <w:szCs w:val="24"/>
          <w:bdr w:val="none" w:sz="0" w:space="0" w:color="auto" w:frame="1"/>
        </w:rPr>
        <w:t xml:space="preserve"> Mullen &amp; Co.</w:t>
      </w:r>
      <w:r w:rsidRPr="008A1A22">
        <w:rPr>
          <w:rFonts w:eastAsia="Times New Roman"/>
          <w:szCs w:val="24"/>
        </w:rPr>
        <w:t xml:space="preserve"> (D. Mass. 1991) 776 </w:t>
      </w:r>
      <w:proofErr w:type="spellStart"/>
      <w:r w:rsidRPr="008A1A22">
        <w:rPr>
          <w:rFonts w:eastAsia="Times New Roman"/>
          <w:szCs w:val="24"/>
        </w:rPr>
        <w:t>F.Supp</w:t>
      </w:r>
      <w:proofErr w:type="spellEnd"/>
      <w:r w:rsidRPr="008A1A22">
        <w:rPr>
          <w:rFonts w:eastAsia="Times New Roman"/>
          <w:szCs w:val="24"/>
        </w:rPr>
        <w:t>. 620, 621</w:t>
      </w:r>
      <w:r w:rsidRPr="00F533DD">
        <w:rPr>
          <w:rFonts w:eastAsia="Times New Roman"/>
          <w:szCs w:val="24"/>
        </w:rPr>
        <w:t>.)</w:t>
      </w:r>
      <w:r w:rsidR="00247A15">
        <w:rPr>
          <w:rFonts w:eastAsia="Times New Roman"/>
          <w:szCs w:val="24"/>
        </w:rPr>
        <w:t xml:space="preserve"> </w:t>
      </w:r>
    </w:p>
  </w:footnote>
  <w:footnote w:id="15">
    <w:p w14:paraId="75E14C8E" w14:textId="144BBB86" w:rsidR="005458C9" w:rsidRDefault="005458C9" w:rsidP="00FD127B">
      <w:pPr>
        <w:pStyle w:val="FootnoteText"/>
        <w:spacing w:after="120"/>
      </w:pPr>
      <w:r>
        <w:rPr>
          <w:rStyle w:val="FootnoteReference"/>
        </w:rPr>
        <w:footnoteRef/>
      </w:r>
      <w:r>
        <w:t xml:space="preserve"> </w:t>
      </w:r>
      <w:r w:rsidRPr="005458C9">
        <w:t xml:space="preserve">Also, through implication, our case law involving misconduct for the unauthorized practice of law (UPL) supports the conclusion that </w:t>
      </w:r>
      <w:proofErr w:type="spellStart"/>
      <w:r w:rsidRPr="005458C9">
        <w:t>Peshawaria’s</w:t>
      </w:r>
      <w:proofErr w:type="spellEnd"/>
      <w:r w:rsidRPr="005458C9">
        <w:t xml:space="preserve"> </w:t>
      </w:r>
      <w:r w:rsidR="00B43EAB">
        <w:t>false impression</w:t>
      </w:r>
      <w:r w:rsidRPr="005458C9">
        <w:t xml:space="preserve"> regarding her professional status led to Rattan’s reasonable belief that </w:t>
      </w:r>
      <w:proofErr w:type="spellStart"/>
      <w:r w:rsidRPr="005458C9">
        <w:t>Peshawaria</w:t>
      </w:r>
      <w:proofErr w:type="spellEnd"/>
      <w:r w:rsidRPr="005458C9">
        <w:t xml:space="preserve"> was her attorney.  UPL case law suggests that an individual improperly creates the false impression that he or she is entitled to practice law by acting with the general intent to present himself or herself as a currently licensed attorney in the State Bar of California.  (See </w:t>
      </w:r>
      <w:r w:rsidRPr="000000D6">
        <w:rPr>
          <w:i/>
          <w:iCs/>
        </w:rPr>
        <w:t>Crawford v. State Bar</w:t>
      </w:r>
      <w:r w:rsidRPr="005458C9">
        <w:t xml:space="preserve"> (1960) 54 Cal.2d 659, 666 [UPL includes merely holding out as entitled to practice].)  </w:t>
      </w:r>
      <w:r w:rsidRPr="00304EA8">
        <w:t xml:space="preserve">Further, our UPL cases have found culpability when an attorney, not entitled to practice law in California, represents clients.  (See </w:t>
      </w:r>
      <w:r w:rsidRPr="00304EA8">
        <w:rPr>
          <w:i/>
          <w:iCs/>
        </w:rPr>
        <w:t>In the Matter of Thomson</w:t>
      </w:r>
      <w:r w:rsidRPr="00304EA8">
        <w:t xml:space="preserve"> (Review Dept. 2006) 4 Cal. State Bar Ct. </w:t>
      </w:r>
      <w:proofErr w:type="spellStart"/>
      <w:r w:rsidRPr="00304EA8">
        <w:t>R</w:t>
      </w:r>
      <w:r w:rsidR="00F02D64">
        <w:t>p</w:t>
      </w:r>
      <w:r w:rsidRPr="00304EA8">
        <w:t>tr</w:t>
      </w:r>
      <w:proofErr w:type="spellEnd"/>
      <w:r w:rsidRPr="00304EA8">
        <w:t>. 966, 975 [communications by attorney while suspended from practice of law attempting to settle two client matters constituted UPL].)</w:t>
      </w:r>
    </w:p>
  </w:footnote>
  <w:footnote w:id="16">
    <w:p w14:paraId="5EE4C4CC" w14:textId="7E75C249" w:rsidR="005F1210" w:rsidRDefault="005F1210">
      <w:pPr>
        <w:pStyle w:val="FootnoteText"/>
      </w:pPr>
      <w:r>
        <w:rPr>
          <w:rStyle w:val="FootnoteReference"/>
        </w:rPr>
        <w:footnoteRef/>
      </w:r>
      <w:r>
        <w:t xml:space="preserve"> </w:t>
      </w:r>
      <w:r w:rsidRPr="005F1210">
        <w:t>Also, it is well established that, even when information is not proprietary, an attorney may not “use against [her] former client knowledge or information acquired by virtue of the previous relationship.” (</w:t>
      </w:r>
      <w:proofErr w:type="spellStart"/>
      <w:r w:rsidRPr="000E77BC">
        <w:rPr>
          <w:i/>
          <w:iCs/>
        </w:rPr>
        <w:t>Wutchumna</w:t>
      </w:r>
      <w:proofErr w:type="spellEnd"/>
      <w:r w:rsidRPr="000E77BC">
        <w:rPr>
          <w:i/>
          <w:iCs/>
        </w:rPr>
        <w:t xml:space="preserve"> Water Co. v. Bailey</w:t>
      </w:r>
      <w:r w:rsidRPr="005F1210">
        <w:t xml:space="preserve"> (1932) 216 Cal. 564, 573–574.)  This rule is broadly applied to bar</w:t>
      </w:r>
      <w:r w:rsidR="00C37088">
        <w:t xml:space="preserve"> the</w:t>
      </w:r>
      <w:r w:rsidRPr="005F1210">
        <w:t xml:space="preserve"> use of a former client’s information for an attorney’s personal benefit as Thibault attempted to do when preparing for the hearing on the disqualification motion.  (</w:t>
      </w:r>
      <w:r w:rsidRPr="000E77BC">
        <w:rPr>
          <w:i/>
          <w:iCs/>
        </w:rPr>
        <w:t>Oasis West Realty, LLC v. Goldman</w:t>
      </w:r>
      <w:r w:rsidRPr="005F1210">
        <w:t xml:space="preserve"> (2011) 51 Cal.4th 811, 822</w:t>
      </w:r>
      <w:r w:rsidR="00F15F6F">
        <w:t>–</w:t>
      </w:r>
      <w:r w:rsidRPr="005F1210">
        <w:t xml:space="preserve">823 [“[T]he duties of loyalty and confidentiality bar an attorney not only from using a former client’s confidential information </w:t>
      </w:r>
      <w:proofErr w:type="gramStart"/>
      <w:r w:rsidRPr="005F1210">
        <w:t>in the course of</w:t>
      </w:r>
      <w:proofErr w:type="gramEnd"/>
      <w:r w:rsidRPr="005F1210">
        <w:t xml:space="preserve"> ‘making decisions when representing another client,’ but also from ‘taking the information significantly into account in framing a course of action’”].)     </w:t>
      </w:r>
    </w:p>
  </w:footnote>
  <w:footnote w:id="17">
    <w:p w14:paraId="1261B649" w14:textId="77777777" w:rsidR="00366F64" w:rsidRPr="004F2F42" w:rsidRDefault="00366F64" w:rsidP="00CC3CBF">
      <w:pPr>
        <w:pStyle w:val="FootnoteText"/>
        <w:spacing w:after="120"/>
        <w:rPr>
          <w:szCs w:val="24"/>
          <w:shd w:val="clear" w:color="auto" w:fill="FFFFFF"/>
        </w:rPr>
      </w:pPr>
      <w:r>
        <w:rPr>
          <w:rStyle w:val="FootnoteReference"/>
        </w:rPr>
        <w:footnoteRef/>
      </w:r>
      <w:r>
        <w:t xml:space="preserve"> Code of Civil Procedure </w:t>
      </w:r>
      <w:r>
        <w:rPr>
          <w:szCs w:val="24"/>
        </w:rPr>
        <w:t>s</w:t>
      </w:r>
      <w:r w:rsidRPr="00B54215">
        <w:rPr>
          <w:szCs w:val="24"/>
        </w:rPr>
        <w:t>ection 904.1, subdivision (a)(12)</w:t>
      </w:r>
      <w:r>
        <w:rPr>
          <w:szCs w:val="24"/>
        </w:rPr>
        <w:t>,</w:t>
      </w:r>
      <w:r w:rsidRPr="00B54215">
        <w:rPr>
          <w:szCs w:val="24"/>
        </w:rPr>
        <w:t xml:space="preserve"> provides that </w:t>
      </w:r>
      <w:r w:rsidRPr="0083320D">
        <w:rPr>
          <w:szCs w:val="24"/>
        </w:rPr>
        <w:t>a</w:t>
      </w:r>
      <w:r w:rsidRPr="004F2F42">
        <w:rPr>
          <w:szCs w:val="24"/>
          <w:shd w:val="clear" w:color="auto" w:fill="FFFFFF"/>
        </w:rPr>
        <w:t>n order directing payment of monetary sanctions that exceeds $5,000 is appealable; however, as the Court of Appeal explained, the superior court sanctioned Thibault to pay $5,000, which was therefore not appealable.</w:t>
      </w:r>
    </w:p>
  </w:footnote>
  <w:footnote w:id="18">
    <w:p w14:paraId="499ACA16" w14:textId="77777777" w:rsidR="00366F64" w:rsidRDefault="00366F64" w:rsidP="00366F64">
      <w:pPr>
        <w:pStyle w:val="FootnoteText"/>
      </w:pPr>
      <w:r>
        <w:rPr>
          <w:rStyle w:val="FootnoteReference"/>
        </w:rPr>
        <w:footnoteRef/>
      </w:r>
      <w:r>
        <w:t xml:space="preserve"> As </w:t>
      </w:r>
      <w:proofErr w:type="gramStart"/>
      <w:r>
        <w:t>noted</w:t>
      </w:r>
      <w:proofErr w:type="gramEnd"/>
      <w:r>
        <w:t xml:space="preserve"> </w:t>
      </w:r>
      <w:r w:rsidRPr="00E23415">
        <w:rPr>
          <w:i/>
          <w:iCs/>
        </w:rPr>
        <w:t>ante</w:t>
      </w:r>
      <w:r>
        <w:t xml:space="preserve">, Thibault has again attempted to challenge the sanctions order by filing a motion to set aside the sanctions order as void under Code of Civil Procedure section 473, subdivision (d), which she states is still pending in the superior court.  Her argument, that the filing of her June 2022 motion means that the sanctions order is not final based on </w:t>
      </w:r>
      <w:r>
        <w:rPr>
          <w:i/>
          <w:iCs/>
        </w:rPr>
        <w:t>Collins</w:t>
      </w:r>
      <w:r>
        <w:t xml:space="preserve">, ignores the basic fact that she completed her appeals of the sanctions order when the Supreme Court denied her request for review.  The June 2022 motion does not alter our view that </w:t>
      </w:r>
      <w:r>
        <w:rPr>
          <w:i/>
          <w:iCs/>
        </w:rPr>
        <w:t xml:space="preserve">Collins </w:t>
      </w:r>
      <w:r>
        <w:t>applies here.</w:t>
      </w:r>
    </w:p>
  </w:footnote>
  <w:footnote w:id="19">
    <w:p w14:paraId="1819AEE1" w14:textId="77777777" w:rsidR="00F66457" w:rsidRDefault="00F66457" w:rsidP="00F66457">
      <w:pPr>
        <w:pStyle w:val="FootnoteText"/>
      </w:pPr>
      <w:r>
        <w:rPr>
          <w:rStyle w:val="FootnoteReference"/>
        </w:rPr>
        <w:footnoteRef/>
      </w:r>
      <w:r>
        <w:t xml:space="preserve"> Rules of Procedure of the State Bar, title IV, Standards for Attorney Sanctions for Professional Misconduct.  All further references to standards are to this source.</w:t>
      </w:r>
    </w:p>
  </w:footnote>
  <w:footnote w:id="20">
    <w:p w14:paraId="402A3EE7" w14:textId="10D24FD2" w:rsidR="00B37C61" w:rsidRDefault="00B37C61">
      <w:pPr>
        <w:pStyle w:val="FootnoteText"/>
      </w:pPr>
      <w:r>
        <w:rPr>
          <w:rStyle w:val="FootnoteReference"/>
        </w:rPr>
        <w:footnoteRef/>
      </w:r>
      <w:r>
        <w:t xml:space="preserve"> </w:t>
      </w:r>
      <w:r w:rsidR="0095067E" w:rsidRPr="0095067E">
        <w:t>In finding indifference, the hearing judge emphasized Thibault’s misconduct in the superior court when opposing the disqualification motion.  However, since we are considering those facts to support culpability under count two, we do not consider the same facts again as an aggravating circumstance.  (</w:t>
      </w:r>
      <w:r w:rsidR="0095067E" w:rsidRPr="0095067E">
        <w:rPr>
          <w:i/>
        </w:rPr>
        <w:t>In the Matter of Sampson</w:t>
      </w:r>
      <w:r w:rsidR="0095067E" w:rsidRPr="0095067E">
        <w:t xml:space="preserve"> (Review Dept. 1994) 3 Cal. State Bar Ct. </w:t>
      </w:r>
      <w:proofErr w:type="spellStart"/>
      <w:r w:rsidR="0095067E" w:rsidRPr="0095067E">
        <w:t>Rptr</w:t>
      </w:r>
      <w:proofErr w:type="spellEnd"/>
      <w:r w:rsidR="0095067E" w:rsidRPr="0095067E">
        <w:t>. 119</w:t>
      </w:r>
      <w:r w:rsidR="00864C4E">
        <w:t>, 133</w:t>
      </w:r>
      <w:r w:rsidR="0095067E" w:rsidRPr="0095067E">
        <w:t xml:space="preserve"> [inappropriate to use same misconduct used to support culpability as additional aggravation].)</w:t>
      </w:r>
    </w:p>
  </w:footnote>
  <w:footnote w:id="21">
    <w:p w14:paraId="2EC47BCA" w14:textId="2EE19332" w:rsidR="00EC3840" w:rsidRDefault="00EC3840">
      <w:pPr>
        <w:pStyle w:val="FootnoteText"/>
      </w:pPr>
      <w:r>
        <w:rPr>
          <w:rStyle w:val="FootnoteReference"/>
        </w:rPr>
        <w:footnoteRef/>
      </w:r>
      <w:r>
        <w:t xml:space="preserve"> As </w:t>
      </w:r>
      <w:proofErr w:type="gramStart"/>
      <w:r>
        <w:t>noted</w:t>
      </w:r>
      <w:proofErr w:type="gramEnd"/>
      <w:r>
        <w:t xml:space="preserve"> </w:t>
      </w:r>
      <w:r w:rsidRPr="00F227F9">
        <w:rPr>
          <w:i/>
          <w:iCs/>
        </w:rPr>
        <w:t>ante</w:t>
      </w:r>
      <w:r>
        <w:t xml:space="preserve">, Thibault </w:t>
      </w:r>
      <w:r w:rsidR="00B44408">
        <w:t xml:space="preserve">obtained her license to practice law </w:t>
      </w:r>
      <w:r>
        <w:t>in California in 2015; however, she testified that she has been</w:t>
      </w:r>
      <w:r w:rsidR="00884EFB">
        <w:t xml:space="preserve"> a</w:t>
      </w:r>
      <w:r>
        <w:t xml:space="preserve"> licensed </w:t>
      </w:r>
      <w:r w:rsidR="00B44408">
        <w:t>attorney</w:t>
      </w:r>
      <w:r>
        <w:t xml:space="preserve"> in Florida since 2010.</w:t>
      </w:r>
    </w:p>
  </w:footnote>
  <w:footnote w:id="22">
    <w:p w14:paraId="0DBFDB2A" w14:textId="0EFE11E6" w:rsidR="004719E0" w:rsidRDefault="004719E0">
      <w:pPr>
        <w:pStyle w:val="FootnoteText"/>
      </w:pPr>
      <w:r>
        <w:rPr>
          <w:rStyle w:val="FootnoteReference"/>
        </w:rPr>
        <w:footnoteRef/>
      </w:r>
      <w:r>
        <w:t xml:space="preserve"> </w:t>
      </w:r>
      <w:r w:rsidRPr="009522F0">
        <w:rPr>
          <w:szCs w:val="24"/>
        </w:rPr>
        <w:t xml:space="preserve">Standard 2.12(b), which is applicable to a violation of section 6068, subdivision (o)(3) (failure to report judicial sanctions), calls for only a reproval.  </w:t>
      </w:r>
      <w:r w:rsidR="00172652" w:rsidRPr="009522F0">
        <w:rPr>
          <w:szCs w:val="24"/>
        </w:rPr>
        <w:t>S</w:t>
      </w:r>
      <w:r w:rsidRPr="009522F0">
        <w:rPr>
          <w:szCs w:val="24"/>
        </w:rPr>
        <w:t>tandard 2.5(b), which applies to conflicts of interests not covered in other provisions of the standard</w:t>
      </w:r>
      <w:r w:rsidR="0027483B" w:rsidRPr="009522F0">
        <w:rPr>
          <w:szCs w:val="24"/>
        </w:rPr>
        <w:t>s</w:t>
      </w:r>
      <w:r w:rsidR="001B32FB" w:rsidRPr="009522F0">
        <w:rPr>
          <w:szCs w:val="24"/>
        </w:rPr>
        <w:t>,</w:t>
      </w:r>
      <w:r w:rsidRPr="009522F0">
        <w:rPr>
          <w:szCs w:val="24"/>
        </w:rPr>
        <w:t xml:space="preserve"> states that suspension or reproval is the presumed sanction.  </w:t>
      </w:r>
    </w:p>
  </w:footnote>
  <w:footnote w:id="23">
    <w:p w14:paraId="5BA80E9A" w14:textId="4BD42DC7" w:rsidR="0090723F" w:rsidRPr="00E02158" w:rsidRDefault="0090723F" w:rsidP="0090723F">
      <w:pPr>
        <w:pStyle w:val="FootnoteText"/>
        <w:spacing w:after="120"/>
        <w:rPr>
          <w:szCs w:val="24"/>
        </w:rPr>
      </w:pPr>
      <w:r w:rsidRPr="00E02158">
        <w:rPr>
          <w:rStyle w:val="FootnoteReference"/>
          <w:szCs w:val="24"/>
        </w:rPr>
        <w:footnoteRef/>
      </w:r>
      <w:r w:rsidRPr="00E02158">
        <w:rPr>
          <w:szCs w:val="24"/>
        </w:rPr>
        <w:t xml:space="preserve"> </w:t>
      </w:r>
      <w:r w:rsidR="000F5876">
        <w:rPr>
          <w:szCs w:val="24"/>
        </w:rPr>
        <w:t>Thibault</w:t>
      </w:r>
      <w:r w:rsidRPr="00E02158">
        <w:rPr>
          <w:i/>
          <w:szCs w:val="24"/>
        </w:rPr>
        <w:t xml:space="preserve"> </w:t>
      </w:r>
      <w:r w:rsidRPr="00E02158">
        <w:rPr>
          <w:szCs w:val="24"/>
        </w:rPr>
        <w:t xml:space="preserve">is required to file a rule 9.20(c) affidavit even if </w:t>
      </w:r>
      <w:r w:rsidR="000F5876">
        <w:rPr>
          <w:szCs w:val="24"/>
        </w:rPr>
        <w:t>she</w:t>
      </w:r>
      <w:r w:rsidRPr="00E02158">
        <w:rPr>
          <w:szCs w:val="24"/>
        </w:rPr>
        <w:t xml:space="preserve"> has no clients to notify on the date the Supreme Court file</w:t>
      </w:r>
      <w:r>
        <w:rPr>
          <w:szCs w:val="24"/>
        </w:rPr>
        <w:t>s</w:t>
      </w:r>
      <w:r w:rsidRPr="00E02158">
        <w:rPr>
          <w:szCs w:val="24"/>
        </w:rPr>
        <w:t xml:space="preserve">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4D6C8812"/>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4D6C8812"/>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4D6C8812"/>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4D6C8812"/>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8152D1D"/>
    <w:multiLevelType w:val="hybridMultilevel"/>
    <w:tmpl w:val="D954F700"/>
    <w:lvl w:ilvl="0" w:tplc="A7A848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D0381"/>
    <w:multiLevelType w:val="multilevel"/>
    <w:tmpl w:val="4D6C8812"/>
    <w:numStyleLink w:val="Headings"/>
  </w:abstractNum>
  <w:abstractNum w:abstractNumId="18"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D4190"/>
    <w:multiLevelType w:val="hybridMultilevel"/>
    <w:tmpl w:val="42C86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1CA572E">
      <w:start w:val="1"/>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21" w15:restartNumberingAfterBreak="0">
    <w:nsid w:val="4F9007E6"/>
    <w:multiLevelType w:val="hybridMultilevel"/>
    <w:tmpl w:val="D8445E1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940D72"/>
    <w:multiLevelType w:val="multilevel"/>
    <w:tmpl w:val="4D6C8812"/>
    <w:numStyleLink w:val="Headings"/>
  </w:abstractNum>
  <w:abstractNum w:abstractNumId="23"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4"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74183"/>
    <w:multiLevelType w:val="multilevel"/>
    <w:tmpl w:val="FC8C11D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8"/>
  </w:num>
  <w:num w:numId="2" w16cid:durableId="420680347">
    <w:abstractNumId w:val="16"/>
  </w:num>
  <w:num w:numId="3" w16cid:durableId="966157666">
    <w:abstractNumId w:val="8"/>
  </w:num>
  <w:num w:numId="4" w16cid:durableId="484661747">
    <w:abstractNumId w:val="26"/>
  </w:num>
  <w:num w:numId="5" w16cid:durableId="1734502494">
    <w:abstractNumId w:val="7"/>
  </w:num>
  <w:num w:numId="6" w16cid:durableId="834035563">
    <w:abstractNumId w:val="19"/>
  </w:num>
  <w:num w:numId="7" w16cid:durableId="1507743089">
    <w:abstractNumId w:val="12"/>
  </w:num>
  <w:num w:numId="8" w16cid:durableId="1863933771">
    <w:abstractNumId w:val="11"/>
  </w:num>
  <w:num w:numId="9" w16cid:durableId="1630552243">
    <w:abstractNumId w:val="24"/>
  </w:num>
  <w:num w:numId="10" w16cid:durableId="116488163">
    <w:abstractNumId w:val="23"/>
  </w:num>
  <w:num w:numId="11" w16cid:durableId="1136068887">
    <w:abstractNumId w:val="15"/>
  </w:num>
  <w:num w:numId="12" w16cid:durableId="706490734">
    <w:abstractNumId w:val="9"/>
  </w:num>
  <w:num w:numId="13" w16cid:durableId="239557790">
    <w:abstractNumId w:val="30"/>
  </w:num>
  <w:num w:numId="14" w16cid:durableId="139661034">
    <w:abstractNumId w:val="25"/>
  </w:num>
  <w:num w:numId="15" w16cid:durableId="682822722">
    <w:abstractNumId w:val="13"/>
  </w:num>
  <w:num w:numId="16" w16cid:durableId="593125076">
    <w:abstractNumId w:val="5"/>
  </w:num>
  <w:num w:numId="17" w16cid:durableId="2006278029">
    <w:abstractNumId w:val="0"/>
  </w:num>
  <w:num w:numId="18" w16cid:durableId="1823958345">
    <w:abstractNumId w:val="29"/>
  </w:num>
  <w:num w:numId="19" w16cid:durableId="18089073">
    <w:abstractNumId w:val="1"/>
  </w:num>
  <w:num w:numId="20" w16cid:durableId="1925644500">
    <w:abstractNumId w:val="4"/>
  </w:num>
  <w:num w:numId="21" w16cid:durableId="309598706">
    <w:abstractNumId w:val="27"/>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21"/>
  </w:num>
  <w:num w:numId="28" w16cid:durableId="981033225">
    <w:abstractNumId w:val="21"/>
    <w:lvlOverride w:ilvl="0">
      <w:startOverride w:val="1"/>
    </w:lvlOverride>
  </w:num>
  <w:num w:numId="29" w16cid:durableId="119301498">
    <w:abstractNumId w:val="17"/>
  </w:num>
  <w:num w:numId="30" w16cid:durableId="2015762135">
    <w:abstractNumId w:val="22"/>
  </w:num>
  <w:num w:numId="31" w16cid:durableId="1466041677">
    <w:abstractNumId w:val="3"/>
  </w:num>
  <w:num w:numId="32" w16cid:durableId="1124419826">
    <w:abstractNumId w:val="10"/>
  </w:num>
  <w:num w:numId="33" w16cid:durableId="1325233522">
    <w:abstractNumId w:val="14"/>
  </w:num>
  <w:num w:numId="34" w16cid:durableId="1325622103">
    <w:abstractNumId w:val="28"/>
  </w:num>
  <w:num w:numId="35" w16cid:durableId="1204947688">
    <w:abstractNumId w:val="20"/>
  </w:num>
  <w:num w:numId="36" w16cid:durableId="1257859508">
    <w:abstractNumId w:val="10"/>
  </w:num>
  <w:num w:numId="37" w16cid:durableId="268587918">
    <w:abstractNumId w:val="10"/>
  </w:num>
  <w:num w:numId="38" w16cid:durableId="1156606069">
    <w:abstractNumId w:val="10"/>
  </w:num>
  <w:num w:numId="39" w16cid:durableId="212620957">
    <w:abstractNumId w:val="10"/>
  </w:num>
  <w:num w:numId="40" w16cid:durableId="347022924">
    <w:abstractNumId w:val="2"/>
  </w:num>
  <w:num w:numId="41" w16cid:durableId="1408841732">
    <w:abstractNumId w:val="10"/>
  </w:num>
  <w:num w:numId="42" w16cid:durableId="112944415">
    <w:abstractNumId w:val="10"/>
  </w:num>
  <w:num w:numId="43" w16cid:durableId="732436451">
    <w:abstractNumId w:val="10"/>
  </w:num>
  <w:num w:numId="44" w16cid:durableId="600450959">
    <w:abstractNumId w:val="10"/>
  </w:num>
  <w:num w:numId="45" w16cid:durableId="1448890086">
    <w:abstractNumId w:val="2"/>
  </w:num>
  <w:num w:numId="46" w16cid:durableId="498279995">
    <w:abstractNumId w:val="21"/>
  </w:num>
  <w:num w:numId="47" w16cid:durableId="77144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0D6"/>
    <w:rsid w:val="00000E33"/>
    <w:rsid w:val="00000FFA"/>
    <w:rsid w:val="00001C58"/>
    <w:rsid w:val="0000407D"/>
    <w:rsid w:val="000055AB"/>
    <w:rsid w:val="00005B79"/>
    <w:rsid w:val="00007BEB"/>
    <w:rsid w:val="00010D84"/>
    <w:rsid w:val="00011D93"/>
    <w:rsid w:val="00013EFF"/>
    <w:rsid w:val="000145F8"/>
    <w:rsid w:val="000161FD"/>
    <w:rsid w:val="00025CE6"/>
    <w:rsid w:val="00025CFB"/>
    <w:rsid w:val="00027125"/>
    <w:rsid w:val="00030748"/>
    <w:rsid w:val="000308F7"/>
    <w:rsid w:val="00031909"/>
    <w:rsid w:val="00032BC6"/>
    <w:rsid w:val="0003339E"/>
    <w:rsid w:val="00035A65"/>
    <w:rsid w:val="00035D8D"/>
    <w:rsid w:val="000362B5"/>
    <w:rsid w:val="00036BD9"/>
    <w:rsid w:val="0003772C"/>
    <w:rsid w:val="00037B50"/>
    <w:rsid w:val="00040686"/>
    <w:rsid w:val="00040EB2"/>
    <w:rsid w:val="000432A2"/>
    <w:rsid w:val="000432B5"/>
    <w:rsid w:val="0004495A"/>
    <w:rsid w:val="00044FD1"/>
    <w:rsid w:val="000453BE"/>
    <w:rsid w:val="000469FB"/>
    <w:rsid w:val="0005249B"/>
    <w:rsid w:val="000526FE"/>
    <w:rsid w:val="00053630"/>
    <w:rsid w:val="000538D9"/>
    <w:rsid w:val="0005550E"/>
    <w:rsid w:val="00055C8A"/>
    <w:rsid w:val="00056811"/>
    <w:rsid w:val="000620F6"/>
    <w:rsid w:val="00062139"/>
    <w:rsid w:val="00062DB6"/>
    <w:rsid w:val="00064059"/>
    <w:rsid w:val="00065A44"/>
    <w:rsid w:val="00066099"/>
    <w:rsid w:val="00067252"/>
    <w:rsid w:val="00070A43"/>
    <w:rsid w:val="00071315"/>
    <w:rsid w:val="00071FE2"/>
    <w:rsid w:val="00073E72"/>
    <w:rsid w:val="00075B6B"/>
    <w:rsid w:val="00076FB9"/>
    <w:rsid w:val="00077022"/>
    <w:rsid w:val="00080A7E"/>
    <w:rsid w:val="00081055"/>
    <w:rsid w:val="00082330"/>
    <w:rsid w:val="00082BA0"/>
    <w:rsid w:val="00083D29"/>
    <w:rsid w:val="0008439E"/>
    <w:rsid w:val="0008479D"/>
    <w:rsid w:val="00085514"/>
    <w:rsid w:val="00085D2A"/>
    <w:rsid w:val="000860C6"/>
    <w:rsid w:val="000867EF"/>
    <w:rsid w:val="0008776E"/>
    <w:rsid w:val="00090ACC"/>
    <w:rsid w:val="000910D3"/>
    <w:rsid w:val="00092189"/>
    <w:rsid w:val="00092622"/>
    <w:rsid w:val="00094285"/>
    <w:rsid w:val="000953C9"/>
    <w:rsid w:val="000A0CBE"/>
    <w:rsid w:val="000A1233"/>
    <w:rsid w:val="000A152F"/>
    <w:rsid w:val="000A185B"/>
    <w:rsid w:val="000A19A5"/>
    <w:rsid w:val="000A4776"/>
    <w:rsid w:val="000A4B20"/>
    <w:rsid w:val="000A5822"/>
    <w:rsid w:val="000A5AD1"/>
    <w:rsid w:val="000B000D"/>
    <w:rsid w:val="000B0715"/>
    <w:rsid w:val="000B395A"/>
    <w:rsid w:val="000B3BA7"/>
    <w:rsid w:val="000B4358"/>
    <w:rsid w:val="000B58B9"/>
    <w:rsid w:val="000B5D93"/>
    <w:rsid w:val="000B5FE6"/>
    <w:rsid w:val="000B7589"/>
    <w:rsid w:val="000C096D"/>
    <w:rsid w:val="000C13D6"/>
    <w:rsid w:val="000C13F1"/>
    <w:rsid w:val="000C2771"/>
    <w:rsid w:val="000C460F"/>
    <w:rsid w:val="000C4D16"/>
    <w:rsid w:val="000C660E"/>
    <w:rsid w:val="000C67F1"/>
    <w:rsid w:val="000C7A0F"/>
    <w:rsid w:val="000D0852"/>
    <w:rsid w:val="000D0E73"/>
    <w:rsid w:val="000D1431"/>
    <w:rsid w:val="000D2496"/>
    <w:rsid w:val="000D2E87"/>
    <w:rsid w:val="000D302F"/>
    <w:rsid w:val="000D386E"/>
    <w:rsid w:val="000D613E"/>
    <w:rsid w:val="000D68E9"/>
    <w:rsid w:val="000D6A13"/>
    <w:rsid w:val="000E0A7C"/>
    <w:rsid w:val="000E23F8"/>
    <w:rsid w:val="000E242B"/>
    <w:rsid w:val="000E55E8"/>
    <w:rsid w:val="000E5868"/>
    <w:rsid w:val="000E6CB0"/>
    <w:rsid w:val="000E77BC"/>
    <w:rsid w:val="000E7A03"/>
    <w:rsid w:val="000E7CB0"/>
    <w:rsid w:val="000E7D77"/>
    <w:rsid w:val="000F0D3D"/>
    <w:rsid w:val="000F35B8"/>
    <w:rsid w:val="000F5876"/>
    <w:rsid w:val="001019D9"/>
    <w:rsid w:val="001050DF"/>
    <w:rsid w:val="00105370"/>
    <w:rsid w:val="001057ED"/>
    <w:rsid w:val="00112A9A"/>
    <w:rsid w:val="00112BFD"/>
    <w:rsid w:val="001136C2"/>
    <w:rsid w:val="00113C1E"/>
    <w:rsid w:val="00115B41"/>
    <w:rsid w:val="00115B74"/>
    <w:rsid w:val="00116390"/>
    <w:rsid w:val="00120F68"/>
    <w:rsid w:val="001210FE"/>
    <w:rsid w:val="0012175B"/>
    <w:rsid w:val="0012178D"/>
    <w:rsid w:val="00121B89"/>
    <w:rsid w:val="001229C3"/>
    <w:rsid w:val="00122A86"/>
    <w:rsid w:val="00123507"/>
    <w:rsid w:val="00126A4D"/>
    <w:rsid w:val="00127D91"/>
    <w:rsid w:val="00131408"/>
    <w:rsid w:val="00132616"/>
    <w:rsid w:val="00137E03"/>
    <w:rsid w:val="001402F9"/>
    <w:rsid w:val="00141BE7"/>
    <w:rsid w:val="00141C1A"/>
    <w:rsid w:val="00141DC3"/>
    <w:rsid w:val="00142B92"/>
    <w:rsid w:val="00142F98"/>
    <w:rsid w:val="00143304"/>
    <w:rsid w:val="00144628"/>
    <w:rsid w:val="00144D5A"/>
    <w:rsid w:val="0014543A"/>
    <w:rsid w:val="001479FC"/>
    <w:rsid w:val="0015244B"/>
    <w:rsid w:val="001537CC"/>
    <w:rsid w:val="0015497C"/>
    <w:rsid w:val="00160516"/>
    <w:rsid w:val="00160894"/>
    <w:rsid w:val="001627A4"/>
    <w:rsid w:val="001633B2"/>
    <w:rsid w:val="0016378E"/>
    <w:rsid w:val="0016381A"/>
    <w:rsid w:val="001646AD"/>
    <w:rsid w:val="001655E8"/>
    <w:rsid w:val="00166FFF"/>
    <w:rsid w:val="00171591"/>
    <w:rsid w:val="00171B7E"/>
    <w:rsid w:val="00172652"/>
    <w:rsid w:val="00174B59"/>
    <w:rsid w:val="00175C1C"/>
    <w:rsid w:val="00176D2F"/>
    <w:rsid w:val="00191999"/>
    <w:rsid w:val="0019368B"/>
    <w:rsid w:val="00194349"/>
    <w:rsid w:val="001956B0"/>
    <w:rsid w:val="00197C0F"/>
    <w:rsid w:val="001A282A"/>
    <w:rsid w:val="001A2CAB"/>
    <w:rsid w:val="001A3082"/>
    <w:rsid w:val="001A3A51"/>
    <w:rsid w:val="001A4805"/>
    <w:rsid w:val="001A4818"/>
    <w:rsid w:val="001A4CE6"/>
    <w:rsid w:val="001A5B6E"/>
    <w:rsid w:val="001A6CD9"/>
    <w:rsid w:val="001B0733"/>
    <w:rsid w:val="001B0808"/>
    <w:rsid w:val="001B12A4"/>
    <w:rsid w:val="001B208B"/>
    <w:rsid w:val="001B21E7"/>
    <w:rsid w:val="001B2F99"/>
    <w:rsid w:val="001B32FB"/>
    <w:rsid w:val="001B3B9E"/>
    <w:rsid w:val="001B3C80"/>
    <w:rsid w:val="001B577C"/>
    <w:rsid w:val="001B6749"/>
    <w:rsid w:val="001B6BE8"/>
    <w:rsid w:val="001C0171"/>
    <w:rsid w:val="001C0964"/>
    <w:rsid w:val="001C0CBD"/>
    <w:rsid w:val="001C2F5D"/>
    <w:rsid w:val="001D3631"/>
    <w:rsid w:val="001D3A28"/>
    <w:rsid w:val="001D3DC3"/>
    <w:rsid w:val="001D4BCD"/>
    <w:rsid w:val="001D4C5B"/>
    <w:rsid w:val="001D4D84"/>
    <w:rsid w:val="001D519C"/>
    <w:rsid w:val="001D60AC"/>
    <w:rsid w:val="001D6287"/>
    <w:rsid w:val="001D69C0"/>
    <w:rsid w:val="001D7AF8"/>
    <w:rsid w:val="001E1953"/>
    <w:rsid w:val="001E1D79"/>
    <w:rsid w:val="001E595A"/>
    <w:rsid w:val="001E5A0E"/>
    <w:rsid w:val="001E5A9B"/>
    <w:rsid w:val="001E5B63"/>
    <w:rsid w:val="001E5E85"/>
    <w:rsid w:val="001E60C8"/>
    <w:rsid w:val="001E64A0"/>
    <w:rsid w:val="001F1FE9"/>
    <w:rsid w:val="001F2385"/>
    <w:rsid w:val="001F250F"/>
    <w:rsid w:val="001F4AAC"/>
    <w:rsid w:val="001F575B"/>
    <w:rsid w:val="001F5CD7"/>
    <w:rsid w:val="001F6479"/>
    <w:rsid w:val="0020270E"/>
    <w:rsid w:val="00203644"/>
    <w:rsid w:val="00204587"/>
    <w:rsid w:val="002052B6"/>
    <w:rsid w:val="0021015A"/>
    <w:rsid w:val="00212D16"/>
    <w:rsid w:val="00214FC6"/>
    <w:rsid w:val="00215C87"/>
    <w:rsid w:val="00216325"/>
    <w:rsid w:val="002179D0"/>
    <w:rsid w:val="00217CD5"/>
    <w:rsid w:val="00217F6F"/>
    <w:rsid w:val="0022050B"/>
    <w:rsid w:val="00220A1F"/>
    <w:rsid w:val="00221F5A"/>
    <w:rsid w:val="00223415"/>
    <w:rsid w:val="00223504"/>
    <w:rsid w:val="00223BF0"/>
    <w:rsid w:val="00224D6E"/>
    <w:rsid w:val="00226485"/>
    <w:rsid w:val="0022750C"/>
    <w:rsid w:val="002326DE"/>
    <w:rsid w:val="002329F9"/>
    <w:rsid w:val="0023386E"/>
    <w:rsid w:val="0023393F"/>
    <w:rsid w:val="00234D03"/>
    <w:rsid w:val="00234DD8"/>
    <w:rsid w:val="00235711"/>
    <w:rsid w:val="002364D2"/>
    <w:rsid w:val="0023766E"/>
    <w:rsid w:val="0024145D"/>
    <w:rsid w:val="002426EE"/>
    <w:rsid w:val="0024299E"/>
    <w:rsid w:val="002429FB"/>
    <w:rsid w:val="00242A2B"/>
    <w:rsid w:val="00242C2B"/>
    <w:rsid w:val="00243A9D"/>
    <w:rsid w:val="00244A80"/>
    <w:rsid w:val="00244C83"/>
    <w:rsid w:val="002464C0"/>
    <w:rsid w:val="002478F5"/>
    <w:rsid w:val="00247A15"/>
    <w:rsid w:val="002508B4"/>
    <w:rsid w:val="002518C1"/>
    <w:rsid w:val="00252C67"/>
    <w:rsid w:val="0025310C"/>
    <w:rsid w:val="00253D93"/>
    <w:rsid w:val="00254368"/>
    <w:rsid w:val="0025475E"/>
    <w:rsid w:val="00254D75"/>
    <w:rsid w:val="002561ED"/>
    <w:rsid w:val="00257587"/>
    <w:rsid w:val="00260133"/>
    <w:rsid w:val="00260175"/>
    <w:rsid w:val="002603DC"/>
    <w:rsid w:val="002622E2"/>
    <w:rsid w:val="002633DD"/>
    <w:rsid w:val="00263F94"/>
    <w:rsid w:val="00271D23"/>
    <w:rsid w:val="0027483B"/>
    <w:rsid w:val="00274BE0"/>
    <w:rsid w:val="002752CD"/>
    <w:rsid w:val="00275FFA"/>
    <w:rsid w:val="002770B8"/>
    <w:rsid w:val="0027787C"/>
    <w:rsid w:val="0028020A"/>
    <w:rsid w:val="00280816"/>
    <w:rsid w:val="00280CCE"/>
    <w:rsid w:val="002817AB"/>
    <w:rsid w:val="00282F6C"/>
    <w:rsid w:val="00283C9B"/>
    <w:rsid w:val="00284730"/>
    <w:rsid w:val="00284BB1"/>
    <w:rsid w:val="0028625D"/>
    <w:rsid w:val="002871B4"/>
    <w:rsid w:val="00287F2C"/>
    <w:rsid w:val="0029009A"/>
    <w:rsid w:val="002911D3"/>
    <w:rsid w:val="00291932"/>
    <w:rsid w:val="00292E88"/>
    <w:rsid w:val="002933A5"/>
    <w:rsid w:val="00293579"/>
    <w:rsid w:val="002969F8"/>
    <w:rsid w:val="002A010C"/>
    <w:rsid w:val="002A0508"/>
    <w:rsid w:val="002A0ACE"/>
    <w:rsid w:val="002A2F20"/>
    <w:rsid w:val="002A2FA8"/>
    <w:rsid w:val="002A3B91"/>
    <w:rsid w:val="002A535A"/>
    <w:rsid w:val="002A64F2"/>
    <w:rsid w:val="002B005C"/>
    <w:rsid w:val="002B0330"/>
    <w:rsid w:val="002B19A9"/>
    <w:rsid w:val="002B2757"/>
    <w:rsid w:val="002B2957"/>
    <w:rsid w:val="002B2B45"/>
    <w:rsid w:val="002B33A6"/>
    <w:rsid w:val="002B3D94"/>
    <w:rsid w:val="002B453B"/>
    <w:rsid w:val="002B4C01"/>
    <w:rsid w:val="002C1DF8"/>
    <w:rsid w:val="002C2A2A"/>
    <w:rsid w:val="002C3729"/>
    <w:rsid w:val="002C4776"/>
    <w:rsid w:val="002C6FFC"/>
    <w:rsid w:val="002D17C8"/>
    <w:rsid w:val="002D20DB"/>
    <w:rsid w:val="002D330C"/>
    <w:rsid w:val="002D3AAB"/>
    <w:rsid w:val="002D3AEF"/>
    <w:rsid w:val="002D42B0"/>
    <w:rsid w:val="002D6AC9"/>
    <w:rsid w:val="002E1209"/>
    <w:rsid w:val="002E124D"/>
    <w:rsid w:val="002E1B01"/>
    <w:rsid w:val="002E7195"/>
    <w:rsid w:val="002E7D12"/>
    <w:rsid w:val="002F02D8"/>
    <w:rsid w:val="002F0886"/>
    <w:rsid w:val="002F376D"/>
    <w:rsid w:val="002F3BFA"/>
    <w:rsid w:val="002F45AA"/>
    <w:rsid w:val="002F4F98"/>
    <w:rsid w:val="002F79D8"/>
    <w:rsid w:val="003009D2"/>
    <w:rsid w:val="003012F7"/>
    <w:rsid w:val="0030225A"/>
    <w:rsid w:val="00304EA8"/>
    <w:rsid w:val="00305890"/>
    <w:rsid w:val="0030655A"/>
    <w:rsid w:val="00306931"/>
    <w:rsid w:val="00307AE6"/>
    <w:rsid w:val="00310A43"/>
    <w:rsid w:val="00311270"/>
    <w:rsid w:val="0031317C"/>
    <w:rsid w:val="003140C1"/>
    <w:rsid w:val="003179C1"/>
    <w:rsid w:val="0032027D"/>
    <w:rsid w:val="003209BE"/>
    <w:rsid w:val="00320D8B"/>
    <w:rsid w:val="003214E9"/>
    <w:rsid w:val="003233A3"/>
    <w:rsid w:val="00323A01"/>
    <w:rsid w:val="00324EF8"/>
    <w:rsid w:val="0032539C"/>
    <w:rsid w:val="003266F5"/>
    <w:rsid w:val="003313E4"/>
    <w:rsid w:val="00331ADF"/>
    <w:rsid w:val="003337FF"/>
    <w:rsid w:val="0033431E"/>
    <w:rsid w:val="003427DA"/>
    <w:rsid w:val="003434FD"/>
    <w:rsid w:val="00344841"/>
    <w:rsid w:val="00345541"/>
    <w:rsid w:val="0034582C"/>
    <w:rsid w:val="0034773B"/>
    <w:rsid w:val="003518C4"/>
    <w:rsid w:val="00352540"/>
    <w:rsid w:val="00352AF6"/>
    <w:rsid w:val="0035387E"/>
    <w:rsid w:val="0035432F"/>
    <w:rsid w:val="0035577F"/>
    <w:rsid w:val="00357051"/>
    <w:rsid w:val="0035741D"/>
    <w:rsid w:val="00357CF0"/>
    <w:rsid w:val="00357D6D"/>
    <w:rsid w:val="003619C1"/>
    <w:rsid w:val="0036274E"/>
    <w:rsid w:val="00364597"/>
    <w:rsid w:val="00366ECC"/>
    <w:rsid w:val="00366F64"/>
    <w:rsid w:val="0036735C"/>
    <w:rsid w:val="00367461"/>
    <w:rsid w:val="00370FDF"/>
    <w:rsid w:val="003733E9"/>
    <w:rsid w:val="00374340"/>
    <w:rsid w:val="00374831"/>
    <w:rsid w:val="00374A5C"/>
    <w:rsid w:val="00375F5B"/>
    <w:rsid w:val="00376A30"/>
    <w:rsid w:val="00381332"/>
    <w:rsid w:val="00382790"/>
    <w:rsid w:val="00383727"/>
    <w:rsid w:val="00383D41"/>
    <w:rsid w:val="00385C23"/>
    <w:rsid w:val="003900AB"/>
    <w:rsid w:val="00390739"/>
    <w:rsid w:val="00391489"/>
    <w:rsid w:val="00392674"/>
    <w:rsid w:val="003928A3"/>
    <w:rsid w:val="00392A8B"/>
    <w:rsid w:val="00393EF0"/>
    <w:rsid w:val="00394CA4"/>
    <w:rsid w:val="00394FF6"/>
    <w:rsid w:val="00397B05"/>
    <w:rsid w:val="003A023F"/>
    <w:rsid w:val="003A0D79"/>
    <w:rsid w:val="003A2173"/>
    <w:rsid w:val="003A31A2"/>
    <w:rsid w:val="003A56C2"/>
    <w:rsid w:val="003A5A37"/>
    <w:rsid w:val="003A5F40"/>
    <w:rsid w:val="003A6A9C"/>
    <w:rsid w:val="003A7B6D"/>
    <w:rsid w:val="003B51B4"/>
    <w:rsid w:val="003B53BD"/>
    <w:rsid w:val="003B5B2E"/>
    <w:rsid w:val="003C080B"/>
    <w:rsid w:val="003C4BA3"/>
    <w:rsid w:val="003C4C5C"/>
    <w:rsid w:val="003C6C26"/>
    <w:rsid w:val="003D0606"/>
    <w:rsid w:val="003D09FD"/>
    <w:rsid w:val="003D0DC2"/>
    <w:rsid w:val="003D2CF2"/>
    <w:rsid w:val="003D3965"/>
    <w:rsid w:val="003D41D0"/>
    <w:rsid w:val="003D5AA9"/>
    <w:rsid w:val="003D6A93"/>
    <w:rsid w:val="003D7D88"/>
    <w:rsid w:val="003E02F1"/>
    <w:rsid w:val="003E1CA5"/>
    <w:rsid w:val="003E24B8"/>
    <w:rsid w:val="003E253B"/>
    <w:rsid w:val="003E27D4"/>
    <w:rsid w:val="003E2BE1"/>
    <w:rsid w:val="003E3600"/>
    <w:rsid w:val="003E4FB8"/>
    <w:rsid w:val="003E5D01"/>
    <w:rsid w:val="003E73ED"/>
    <w:rsid w:val="003F06DF"/>
    <w:rsid w:val="003F4E90"/>
    <w:rsid w:val="003F5A0E"/>
    <w:rsid w:val="003F5CA5"/>
    <w:rsid w:val="003F7699"/>
    <w:rsid w:val="003F76A5"/>
    <w:rsid w:val="003F7F9B"/>
    <w:rsid w:val="003F7FEE"/>
    <w:rsid w:val="00405293"/>
    <w:rsid w:val="00407386"/>
    <w:rsid w:val="00411672"/>
    <w:rsid w:val="00412AF4"/>
    <w:rsid w:val="00415A9C"/>
    <w:rsid w:val="00417CD6"/>
    <w:rsid w:val="00420834"/>
    <w:rsid w:val="00421B25"/>
    <w:rsid w:val="004231AC"/>
    <w:rsid w:val="004242F8"/>
    <w:rsid w:val="00426015"/>
    <w:rsid w:val="00426B7A"/>
    <w:rsid w:val="004304DA"/>
    <w:rsid w:val="0043169A"/>
    <w:rsid w:val="00432761"/>
    <w:rsid w:val="00432D81"/>
    <w:rsid w:val="004330DE"/>
    <w:rsid w:val="00433237"/>
    <w:rsid w:val="0043420C"/>
    <w:rsid w:val="00434FA7"/>
    <w:rsid w:val="004379FD"/>
    <w:rsid w:val="004413CE"/>
    <w:rsid w:val="00442CE1"/>
    <w:rsid w:val="00443971"/>
    <w:rsid w:val="00443FAD"/>
    <w:rsid w:val="00444E2C"/>
    <w:rsid w:val="00445DFA"/>
    <w:rsid w:val="00446563"/>
    <w:rsid w:val="00446B10"/>
    <w:rsid w:val="00451B68"/>
    <w:rsid w:val="00452F85"/>
    <w:rsid w:val="004535F8"/>
    <w:rsid w:val="00453603"/>
    <w:rsid w:val="00453FF7"/>
    <w:rsid w:val="00454179"/>
    <w:rsid w:val="00454A60"/>
    <w:rsid w:val="00455157"/>
    <w:rsid w:val="00455777"/>
    <w:rsid w:val="00455F6A"/>
    <w:rsid w:val="004565B8"/>
    <w:rsid w:val="00457C55"/>
    <w:rsid w:val="00461555"/>
    <w:rsid w:val="00462386"/>
    <w:rsid w:val="00465FCE"/>
    <w:rsid w:val="00470286"/>
    <w:rsid w:val="004704C4"/>
    <w:rsid w:val="00470DF6"/>
    <w:rsid w:val="00471125"/>
    <w:rsid w:val="004719E0"/>
    <w:rsid w:val="0047292E"/>
    <w:rsid w:val="004738F0"/>
    <w:rsid w:val="00474987"/>
    <w:rsid w:val="00474D4F"/>
    <w:rsid w:val="00476FF8"/>
    <w:rsid w:val="00482FCB"/>
    <w:rsid w:val="004837E1"/>
    <w:rsid w:val="00483F98"/>
    <w:rsid w:val="00484C65"/>
    <w:rsid w:val="004851BA"/>
    <w:rsid w:val="0048527B"/>
    <w:rsid w:val="00486056"/>
    <w:rsid w:val="0048664E"/>
    <w:rsid w:val="0048715E"/>
    <w:rsid w:val="004876BB"/>
    <w:rsid w:val="00490AD9"/>
    <w:rsid w:val="00491814"/>
    <w:rsid w:val="00492BD7"/>
    <w:rsid w:val="004A0399"/>
    <w:rsid w:val="004A0CC6"/>
    <w:rsid w:val="004A1023"/>
    <w:rsid w:val="004A2233"/>
    <w:rsid w:val="004A4462"/>
    <w:rsid w:val="004A759E"/>
    <w:rsid w:val="004B12B6"/>
    <w:rsid w:val="004B2EE1"/>
    <w:rsid w:val="004B30E6"/>
    <w:rsid w:val="004B584F"/>
    <w:rsid w:val="004B64FA"/>
    <w:rsid w:val="004C0FF1"/>
    <w:rsid w:val="004C1A28"/>
    <w:rsid w:val="004C211A"/>
    <w:rsid w:val="004C4E1E"/>
    <w:rsid w:val="004C5DEF"/>
    <w:rsid w:val="004C61B1"/>
    <w:rsid w:val="004C6A45"/>
    <w:rsid w:val="004C74BF"/>
    <w:rsid w:val="004D0A6F"/>
    <w:rsid w:val="004D20BB"/>
    <w:rsid w:val="004D2593"/>
    <w:rsid w:val="004D2637"/>
    <w:rsid w:val="004D2A5B"/>
    <w:rsid w:val="004D32E9"/>
    <w:rsid w:val="004D3C69"/>
    <w:rsid w:val="004E0D84"/>
    <w:rsid w:val="004E3619"/>
    <w:rsid w:val="004E3CA1"/>
    <w:rsid w:val="004E5DA3"/>
    <w:rsid w:val="004E635E"/>
    <w:rsid w:val="004E6656"/>
    <w:rsid w:val="004E70C0"/>
    <w:rsid w:val="004E7E73"/>
    <w:rsid w:val="004F1E8C"/>
    <w:rsid w:val="004F209B"/>
    <w:rsid w:val="004F2F42"/>
    <w:rsid w:val="004F3B8A"/>
    <w:rsid w:val="004F400C"/>
    <w:rsid w:val="004F4322"/>
    <w:rsid w:val="004F539D"/>
    <w:rsid w:val="004F58E9"/>
    <w:rsid w:val="004F622B"/>
    <w:rsid w:val="004F6C8C"/>
    <w:rsid w:val="004F7297"/>
    <w:rsid w:val="00500909"/>
    <w:rsid w:val="00501344"/>
    <w:rsid w:val="0050286D"/>
    <w:rsid w:val="005062B1"/>
    <w:rsid w:val="00510424"/>
    <w:rsid w:val="005108ED"/>
    <w:rsid w:val="00512585"/>
    <w:rsid w:val="005126AA"/>
    <w:rsid w:val="00512DB4"/>
    <w:rsid w:val="00514D79"/>
    <w:rsid w:val="00515433"/>
    <w:rsid w:val="005157DE"/>
    <w:rsid w:val="005222F9"/>
    <w:rsid w:val="00522B24"/>
    <w:rsid w:val="00523F2A"/>
    <w:rsid w:val="00527C39"/>
    <w:rsid w:val="005306CB"/>
    <w:rsid w:val="005354D1"/>
    <w:rsid w:val="0053671C"/>
    <w:rsid w:val="00540D88"/>
    <w:rsid w:val="00541034"/>
    <w:rsid w:val="005437ED"/>
    <w:rsid w:val="005439A7"/>
    <w:rsid w:val="00544FAD"/>
    <w:rsid w:val="005458C9"/>
    <w:rsid w:val="00545DB7"/>
    <w:rsid w:val="0054643A"/>
    <w:rsid w:val="00546CD9"/>
    <w:rsid w:val="00550225"/>
    <w:rsid w:val="00550362"/>
    <w:rsid w:val="00552CCB"/>
    <w:rsid w:val="005532AA"/>
    <w:rsid w:val="005539CE"/>
    <w:rsid w:val="00554910"/>
    <w:rsid w:val="00555212"/>
    <w:rsid w:val="005566FC"/>
    <w:rsid w:val="0055688B"/>
    <w:rsid w:val="00556A59"/>
    <w:rsid w:val="0055707E"/>
    <w:rsid w:val="00557B17"/>
    <w:rsid w:val="00557C27"/>
    <w:rsid w:val="00560ED4"/>
    <w:rsid w:val="005614FA"/>
    <w:rsid w:val="005616A9"/>
    <w:rsid w:val="0056367F"/>
    <w:rsid w:val="0056460C"/>
    <w:rsid w:val="0056755C"/>
    <w:rsid w:val="00567D95"/>
    <w:rsid w:val="0057090B"/>
    <w:rsid w:val="00570C3E"/>
    <w:rsid w:val="005722F8"/>
    <w:rsid w:val="005725C7"/>
    <w:rsid w:val="005753E8"/>
    <w:rsid w:val="00575D2B"/>
    <w:rsid w:val="00581B64"/>
    <w:rsid w:val="00583161"/>
    <w:rsid w:val="00583487"/>
    <w:rsid w:val="00586009"/>
    <w:rsid w:val="005913DE"/>
    <w:rsid w:val="00594B7A"/>
    <w:rsid w:val="00595C93"/>
    <w:rsid w:val="005A019B"/>
    <w:rsid w:val="005A0E14"/>
    <w:rsid w:val="005A132A"/>
    <w:rsid w:val="005A3740"/>
    <w:rsid w:val="005B02BD"/>
    <w:rsid w:val="005B1897"/>
    <w:rsid w:val="005B294A"/>
    <w:rsid w:val="005B38A4"/>
    <w:rsid w:val="005B58A8"/>
    <w:rsid w:val="005B6764"/>
    <w:rsid w:val="005B7784"/>
    <w:rsid w:val="005C0928"/>
    <w:rsid w:val="005C17BF"/>
    <w:rsid w:val="005C18CA"/>
    <w:rsid w:val="005C25E2"/>
    <w:rsid w:val="005C44B8"/>
    <w:rsid w:val="005C4EFD"/>
    <w:rsid w:val="005C6955"/>
    <w:rsid w:val="005C7E0D"/>
    <w:rsid w:val="005D067F"/>
    <w:rsid w:val="005D0AD4"/>
    <w:rsid w:val="005D0FBD"/>
    <w:rsid w:val="005D62C6"/>
    <w:rsid w:val="005D63D1"/>
    <w:rsid w:val="005E0349"/>
    <w:rsid w:val="005E22A2"/>
    <w:rsid w:val="005E30B1"/>
    <w:rsid w:val="005E38B8"/>
    <w:rsid w:val="005E3A75"/>
    <w:rsid w:val="005F1210"/>
    <w:rsid w:val="005F17DC"/>
    <w:rsid w:val="005F55CC"/>
    <w:rsid w:val="005F6649"/>
    <w:rsid w:val="005F715C"/>
    <w:rsid w:val="006020F5"/>
    <w:rsid w:val="00604F2C"/>
    <w:rsid w:val="00605473"/>
    <w:rsid w:val="006062C7"/>
    <w:rsid w:val="0060640E"/>
    <w:rsid w:val="006067FA"/>
    <w:rsid w:val="006068DD"/>
    <w:rsid w:val="00606D7D"/>
    <w:rsid w:val="006102C0"/>
    <w:rsid w:val="006125DE"/>
    <w:rsid w:val="0061274E"/>
    <w:rsid w:val="006138F4"/>
    <w:rsid w:val="006139F9"/>
    <w:rsid w:val="006140D9"/>
    <w:rsid w:val="006164AB"/>
    <w:rsid w:val="00616CC1"/>
    <w:rsid w:val="0061785F"/>
    <w:rsid w:val="006205A2"/>
    <w:rsid w:val="006212E0"/>
    <w:rsid w:val="00621E14"/>
    <w:rsid w:val="0062346B"/>
    <w:rsid w:val="0062441B"/>
    <w:rsid w:val="006245EF"/>
    <w:rsid w:val="006247CC"/>
    <w:rsid w:val="00625BF1"/>
    <w:rsid w:val="00630B6F"/>
    <w:rsid w:val="00631DBD"/>
    <w:rsid w:val="00633599"/>
    <w:rsid w:val="00635553"/>
    <w:rsid w:val="00635FD4"/>
    <w:rsid w:val="006402C2"/>
    <w:rsid w:val="00640510"/>
    <w:rsid w:val="00642191"/>
    <w:rsid w:val="00642821"/>
    <w:rsid w:val="00643332"/>
    <w:rsid w:val="00644553"/>
    <w:rsid w:val="00645A4E"/>
    <w:rsid w:val="0064678F"/>
    <w:rsid w:val="00646B70"/>
    <w:rsid w:val="006476AD"/>
    <w:rsid w:val="00647806"/>
    <w:rsid w:val="00647BB5"/>
    <w:rsid w:val="00647FAA"/>
    <w:rsid w:val="0065009F"/>
    <w:rsid w:val="00650E13"/>
    <w:rsid w:val="00651EB4"/>
    <w:rsid w:val="00652457"/>
    <w:rsid w:val="00652CCE"/>
    <w:rsid w:val="00656044"/>
    <w:rsid w:val="0065633E"/>
    <w:rsid w:val="00657CB3"/>
    <w:rsid w:val="006611EE"/>
    <w:rsid w:val="006613A4"/>
    <w:rsid w:val="00661C97"/>
    <w:rsid w:val="00662902"/>
    <w:rsid w:val="00663613"/>
    <w:rsid w:val="00663B70"/>
    <w:rsid w:val="00664727"/>
    <w:rsid w:val="006656C0"/>
    <w:rsid w:val="00667E2F"/>
    <w:rsid w:val="00670BDB"/>
    <w:rsid w:val="00671146"/>
    <w:rsid w:val="00671B8C"/>
    <w:rsid w:val="00672705"/>
    <w:rsid w:val="00672A6A"/>
    <w:rsid w:val="00672C77"/>
    <w:rsid w:val="0067397F"/>
    <w:rsid w:val="00673F29"/>
    <w:rsid w:val="00674101"/>
    <w:rsid w:val="00675177"/>
    <w:rsid w:val="00677F63"/>
    <w:rsid w:val="0068151C"/>
    <w:rsid w:val="006818B8"/>
    <w:rsid w:val="00685492"/>
    <w:rsid w:val="00686163"/>
    <w:rsid w:val="00687428"/>
    <w:rsid w:val="00687719"/>
    <w:rsid w:val="006912B9"/>
    <w:rsid w:val="00693358"/>
    <w:rsid w:val="00693CFC"/>
    <w:rsid w:val="00694401"/>
    <w:rsid w:val="00695750"/>
    <w:rsid w:val="00697BDC"/>
    <w:rsid w:val="00697C35"/>
    <w:rsid w:val="006A294E"/>
    <w:rsid w:val="006A55BB"/>
    <w:rsid w:val="006A6BE9"/>
    <w:rsid w:val="006B0A93"/>
    <w:rsid w:val="006B1091"/>
    <w:rsid w:val="006B193B"/>
    <w:rsid w:val="006B1E21"/>
    <w:rsid w:val="006B1F5A"/>
    <w:rsid w:val="006B3460"/>
    <w:rsid w:val="006B3B9E"/>
    <w:rsid w:val="006B439E"/>
    <w:rsid w:val="006C0B26"/>
    <w:rsid w:val="006C163B"/>
    <w:rsid w:val="006C1E48"/>
    <w:rsid w:val="006C21FC"/>
    <w:rsid w:val="006C24F1"/>
    <w:rsid w:val="006C2914"/>
    <w:rsid w:val="006C3968"/>
    <w:rsid w:val="006C3CF7"/>
    <w:rsid w:val="006C4D3C"/>
    <w:rsid w:val="006C54B1"/>
    <w:rsid w:val="006C5DC1"/>
    <w:rsid w:val="006C6021"/>
    <w:rsid w:val="006D0439"/>
    <w:rsid w:val="006D16B9"/>
    <w:rsid w:val="006D1ADB"/>
    <w:rsid w:val="006D3818"/>
    <w:rsid w:val="006D3AA8"/>
    <w:rsid w:val="006D4736"/>
    <w:rsid w:val="006D4D6F"/>
    <w:rsid w:val="006E008D"/>
    <w:rsid w:val="006E0A41"/>
    <w:rsid w:val="006E1208"/>
    <w:rsid w:val="006E2732"/>
    <w:rsid w:val="006E3E09"/>
    <w:rsid w:val="006E3F8F"/>
    <w:rsid w:val="006E50BB"/>
    <w:rsid w:val="006E5E73"/>
    <w:rsid w:val="006E650C"/>
    <w:rsid w:val="006E743C"/>
    <w:rsid w:val="006F09AC"/>
    <w:rsid w:val="006F4667"/>
    <w:rsid w:val="006F4AD1"/>
    <w:rsid w:val="006F5349"/>
    <w:rsid w:val="006F5523"/>
    <w:rsid w:val="006F5760"/>
    <w:rsid w:val="006F5B99"/>
    <w:rsid w:val="006F5BB6"/>
    <w:rsid w:val="006F5F4F"/>
    <w:rsid w:val="006F6628"/>
    <w:rsid w:val="006F67AA"/>
    <w:rsid w:val="006F7D70"/>
    <w:rsid w:val="00702FE3"/>
    <w:rsid w:val="007034D0"/>
    <w:rsid w:val="007061FA"/>
    <w:rsid w:val="007068E0"/>
    <w:rsid w:val="007071C9"/>
    <w:rsid w:val="0071029C"/>
    <w:rsid w:val="00712EC8"/>
    <w:rsid w:val="007133AE"/>
    <w:rsid w:val="007152B1"/>
    <w:rsid w:val="00716E54"/>
    <w:rsid w:val="00717F75"/>
    <w:rsid w:val="0072344C"/>
    <w:rsid w:val="00724AA9"/>
    <w:rsid w:val="0072533B"/>
    <w:rsid w:val="00725DEB"/>
    <w:rsid w:val="00730B4C"/>
    <w:rsid w:val="007314DC"/>
    <w:rsid w:val="00731D1D"/>
    <w:rsid w:val="00733724"/>
    <w:rsid w:val="00735FF8"/>
    <w:rsid w:val="00736795"/>
    <w:rsid w:val="00741B93"/>
    <w:rsid w:val="00741E70"/>
    <w:rsid w:val="00742B16"/>
    <w:rsid w:val="0074426B"/>
    <w:rsid w:val="0074449F"/>
    <w:rsid w:val="00745002"/>
    <w:rsid w:val="0074544D"/>
    <w:rsid w:val="00746640"/>
    <w:rsid w:val="00747EAA"/>
    <w:rsid w:val="007500B0"/>
    <w:rsid w:val="0075017D"/>
    <w:rsid w:val="007524B5"/>
    <w:rsid w:val="007525B0"/>
    <w:rsid w:val="00752D1C"/>
    <w:rsid w:val="00753A70"/>
    <w:rsid w:val="00753C49"/>
    <w:rsid w:val="00753FA6"/>
    <w:rsid w:val="00754AE9"/>
    <w:rsid w:val="00755579"/>
    <w:rsid w:val="00756E2F"/>
    <w:rsid w:val="00757059"/>
    <w:rsid w:val="007573E8"/>
    <w:rsid w:val="00760D65"/>
    <w:rsid w:val="0076293E"/>
    <w:rsid w:val="00763312"/>
    <w:rsid w:val="007648B5"/>
    <w:rsid w:val="00764F16"/>
    <w:rsid w:val="00766F29"/>
    <w:rsid w:val="00767C07"/>
    <w:rsid w:val="0077029F"/>
    <w:rsid w:val="0077103C"/>
    <w:rsid w:val="00771780"/>
    <w:rsid w:val="007726D0"/>
    <w:rsid w:val="0077321D"/>
    <w:rsid w:val="00773733"/>
    <w:rsid w:val="0077680E"/>
    <w:rsid w:val="00776B44"/>
    <w:rsid w:val="00780172"/>
    <w:rsid w:val="0078152B"/>
    <w:rsid w:val="00781771"/>
    <w:rsid w:val="00781BED"/>
    <w:rsid w:val="0078319E"/>
    <w:rsid w:val="00784251"/>
    <w:rsid w:val="007852A4"/>
    <w:rsid w:val="0078707A"/>
    <w:rsid w:val="00792A37"/>
    <w:rsid w:val="0079450C"/>
    <w:rsid w:val="00794D8A"/>
    <w:rsid w:val="0079536A"/>
    <w:rsid w:val="00795963"/>
    <w:rsid w:val="00796284"/>
    <w:rsid w:val="007A34AD"/>
    <w:rsid w:val="007A386A"/>
    <w:rsid w:val="007A408E"/>
    <w:rsid w:val="007A46B7"/>
    <w:rsid w:val="007A7D22"/>
    <w:rsid w:val="007B0D9B"/>
    <w:rsid w:val="007B1134"/>
    <w:rsid w:val="007B1C98"/>
    <w:rsid w:val="007B1CFC"/>
    <w:rsid w:val="007B306C"/>
    <w:rsid w:val="007B3BC3"/>
    <w:rsid w:val="007B3DB7"/>
    <w:rsid w:val="007B4342"/>
    <w:rsid w:val="007B4B4D"/>
    <w:rsid w:val="007B7022"/>
    <w:rsid w:val="007B7036"/>
    <w:rsid w:val="007C0059"/>
    <w:rsid w:val="007C1000"/>
    <w:rsid w:val="007C1DE4"/>
    <w:rsid w:val="007C26E8"/>
    <w:rsid w:val="007C3280"/>
    <w:rsid w:val="007C3CA3"/>
    <w:rsid w:val="007C400B"/>
    <w:rsid w:val="007C6039"/>
    <w:rsid w:val="007C7EE7"/>
    <w:rsid w:val="007D0782"/>
    <w:rsid w:val="007D1968"/>
    <w:rsid w:val="007D2036"/>
    <w:rsid w:val="007D3E14"/>
    <w:rsid w:val="007D4454"/>
    <w:rsid w:val="007D49A5"/>
    <w:rsid w:val="007D58F2"/>
    <w:rsid w:val="007D7181"/>
    <w:rsid w:val="007E02DC"/>
    <w:rsid w:val="007E1200"/>
    <w:rsid w:val="007E1C4E"/>
    <w:rsid w:val="007E2415"/>
    <w:rsid w:val="007E5547"/>
    <w:rsid w:val="007E6D6F"/>
    <w:rsid w:val="007E761D"/>
    <w:rsid w:val="007E7D78"/>
    <w:rsid w:val="007F01BC"/>
    <w:rsid w:val="007F09B1"/>
    <w:rsid w:val="007F2C61"/>
    <w:rsid w:val="007F2DA0"/>
    <w:rsid w:val="007F32BF"/>
    <w:rsid w:val="007F51F6"/>
    <w:rsid w:val="007F5A17"/>
    <w:rsid w:val="00800373"/>
    <w:rsid w:val="00800401"/>
    <w:rsid w:val="00800994"/>
    <w:rsid w:val="0080264A"/>
    <w:rsid w:val="0080472F"/>
    <w:rsid w:val="00804ACF"/>
    <w:rsid w:val="008057A9"/>
    <w:rsid w:val="008059B7"/>
    <w:rsid w:val="00806E0A"/>
    <w:rsid w:val="00806ECD"/>
    <w:rsid w:val="00807800"/>
    <w:rsid w:val="00810C1D"/>
    <w:rsid w:val="00812D29"/>
    <w:rsid w:val="00812E41"/>
    <w:rsid w:val="00812F01"/>
    <w:rsid w:val="00813001"/>
    <w:rsid w:val="00813125"/>
    <w:rsid w:val="008131D0"/>
    <w:rsid w:val="00813966"/>
    <w:rsid w:val="00815347"/>
    <w:rsid w:val="008209FD"/>
    <w:rsid w:val="00820BA8"/>
    <w:rsid w:val="00820F72"/>
    <w:rsid w:val="00822278"/>
    <w:rsid w:val="00824E47"/>
    <w:rsid w:val="00825AD6"/>
    <w:rsid w:val="00825DA1"/>
    <w:rsid w:val="00827570"/>
    <w:rsid w:val="0082790C"/>
    <w:rsid w:val="00832223"/>
    <w:rsid w:val="008328E9"/>
    <w:rsid w:val="0083320D"/>
    <w:rsid w:val="008355CD"/>
    <w:rsid w:val="00836C2B"/>
    <w:rsid w:val="00836F11"/>
    <w:rsid w:val="00840643"/>
    <w:rsid w:val="00840A5A"/>
    <w:rsid w:val="00840BAE"/>
    <w:rsid w:val="00840BBA"/>
    <w:rsid w:val="00841950"/>
    <w:rsid w:val="00842C54"/>
    <w:rsid w:val="00842DE5"/>
    <w:rsid w:val="0084324A"/>
    <w:rsid w:val="008434D4"/>
    <w:rsid w:val="008443EA"/>
    <w:rsid w:val="00844DAB"/>
    <w:rsid w:val="00850DA5"/>
    <w:rsid w:val="00851B45"/>
    <w:rsid w:val="00852A4B"/>
    <w:rsid w:val="00853CF6"/>
    <w:rsid w:val="008543D8"/>
    <w:rsid w:val="00860116"/>
    <w:rsid w:val="008605F8"/>
    <w:rsid w:val="00860680"/>
    <w:rsid w:val="00862073"/>
    <w:rsid w:val="00862964"/>
    <w:rsid w:val="00864355"/>
    <w:rsid w:val="00864C4E"/>
    <w:rsid w:val="00866600"/>
    <w:rsid w:val="008678F5"/>
    <w:rsid w:val="008721C8"/>
    <w:rsid w:val="008726CB"/>
    <w:rsid w:val="00872C2C"/>
    <w:rsid w:val="00873E50"/>
    <w:rsid w:val="00874688"/>
    <w:rsid w:val="008755E4"/>
    <w:rsid w:val="008766DA"/>
    <w:rsid w:val="008770E1"/>
    <w:rsid w:val="008820E7"/>
    <w:rsid w:val="00882BC2"/>
    <w:rsid w:val="0088445F"/>
    <w:rsid w:val="00884EFB"/>
    <w:rsid w:val="008851BA"/>
    <w:rsid w:val="00885EA7"/>
    <w:rsid w:val="008871C3"/>
    <w:rsid w:val="00890671"/>
    <w:rsid w:val="0089178A"/>
    <w:rsid w:val="00893306"/>
    <w:rsid w:val="00895903"/>
    <w:rsid w:val="008A11C2"/>
    <w:rsid w:val="008A1630"/>
    <w:rsid w:val="008A2168"/>
    <w:rsid w:val="008A276A"/>
    <w:rsid w:val="008A2A46"/>
    <w:rsid w:val="008A6D1E"/>
    <w:rsid w:val="008A75E7"/>
    <w:rsid w:val="008B02F1"/>
    <w:rsid w:val="008B0BAA"/>
    <w:rsid w:val="008B522C"/>
    <w:rsid w:val="008C2C2D"/>
    <w:rsid w:val="008C3BD3"/>
    <w:rsid w:val="008C644B"/>
    <w:rsid w:val="008C658D"/>
    <w:rsid w:val="008C77D6"/>
    <w:rsid w:val="008C7C49"/>
    <w:rsid w:val="008D0704"/>
    <w:rsid w:val="008D4647"/>
    <w:rsid w:val="008D5685"/>
    <w:rsid w:val="008D5F3E"/>
    <w:rsid w:val="008D66BF"/>
    <w:rsid w:val="008D6952"/>
    <w:rsid w:val="008D7F8D"/>
    <w:rsid w:val="008E0D24"/>
    <w:rsid w:val="008E1B78"/>
    <w:rsid w:val="008E2734"/>
    <w:rsid w:val="008E39C2"/>
    <w:rsid w:val="008F03FB"/>
    <w:rsid w:val="008F1A9F"/>
    <w:rsid w:val="008F4939"/>
    <w:rsid w:val="0090178F"/>
    <w:rsid w:val="00902585"/>
    <w:rsid w:val="00902D23"/>
    <w:rsid w:val="009033E7"/>
    <w:rsid w:val="0090553D"/>
    <w:rsid w:val="00905E1B"/>
    <w:rsid w:val="0090669A"/>
    <w:rsid w:val="0090723F"/>
    <w:rsid w:val="00907518"/>
    <w:rsid w:val="00910128"/>
    <w:rsid w:val="00911870"/>
    <w:rsid w:val="009128B0"/>
    <w:rsid w:val="00913027"/>
    <w:rsid w:val="009165BD"/>
    <w:rsid w:val="00916F28"/>
    <w:rsid w:val="009174C8"/>
    <w:rsid w:val="0091750C"/>
    <w:rsid w:val="0092179C"/>
    <w:rsid w:val="00921D97"/>
    <w:rsid w:val="0092494C"/>
    <w:rsid w:val="009251D0"/>
    <w:rsid w:val="00926A80"/>
    <w:rsid w:val="00926FE5"/>
    <w:rsid w:val="00930F96"/>
    <w:rsid w:val="00931522"/>
    <w:rsid w:val="00931A8C"/>
    <w:rsid w:val="00932E7B"/>
    <w:rsid w:val="00941B21"/>
    <w:rsid w:val="009422FE"/>
    <w:rsid w:val="00942C4E"/>
    <w:rsid w:val="00944DAE"/>
    <w:rsid w:val="0094519A"/>
    <w:rsid w:val="00946FC5"/>
    <w:rsid w:val="00947C56"/>
    <w:rsid w:val="00947E89"/>
    <w:rsid w:val="0095067E"/>
    <w:rsid w:val="009522F0"/>
    <w:rsid w:val="00956B7C"/>
    <w:rsid w:val="009572BB"/>
    <w:rsid w:val="00957676"/>
    <w:rsid w:val="00960710"/>
    <w:rsid w:val="00960985"/>
    <w:rsid w:val="00963B58"/>
    <w:rsid w:val="00965A39"/>
    <w:rsid w:val="00965E2A"/>
    <w:rsid w:val="009665C3"/>
    <w:rsid w:val="00967FBE"/>
    <w:rsid w:val="00970682"/>
    <w:rsid w:val="0097069B"/>
    <w:rsid w:val="009742D2"/>
    <w:rsid w:val="00977418"/>
    <w:rsid w:val="00977F12"/>
    <w:rsid w:val="00981038"/>
    <w:rsid w:val="009818B3"/>
    <w:rsid w:val="00983FE7"/>
    <w:rsid w:val="00984C7A"/>
    <w:rsid w:val="00985028"/>
    <w:rsid w:val="00985A9C"/>
    <w:rsid w:val="0098669F"/>
    <w:rsid w:val="0098739D"/>
    <w:rsid w:val="0098799E"/>
    <w:rsid w:val="00987A22"/>
    <w:rsid w:val="009908AC"/>
    <w:rsid w:val="00990C49"/>
    <w:rsid w:val="0099101B"/>
    <w:rsid w:val="00992136"/>
    <w:rsid w:val="00992916"/>
    <w:rsid w:val="00992F06"/>
    <w:rsid w:val="0099445F"/>
    <w:rsid w:val="0099520D"/>
    <w:rsid w:val="0099711F"/>
    <w:rsid w:val="00997512"/>
    <w:rsid w:val="00997E7D"/>
    <w:rsid w:val="009A0412"/>
    <w:rsid w:val="009A10AA"/>
    <w:rsid w:val="009A1327"/>
    <w:rsid w:val="009A1385"/>
    <w:rsid w:val="009A21EC"/>
    <w:rsid w:val="009A3C1E"/>
    <w:rsid w:val="009A4782"/>
    <w:rsid w:val="009A4E4A"/>
    <w:rsid w:val="009A5CB7"/>
    <w:rsid w:val="009A6A39"/>
    <w:rsid w:val="009B0D7C"/>
    <w:rsid w:val="009B4736"/>
    <w:rsid w:val="009B50C1"/>
    <w:rsid w:val="009B5269"/>
    <w:rsid w:val="009C2DDE"/>
    <w:rsid w:val="009C3229"/>
    <w:rsid w:val="009C46B4"/>
    <w:rsid w:val="009C6992"/>
    <w:rsid w:val="009C6DD7"/>
    <w:rsid w:val="009C7346"/>
    <w:rsid w:val="009D01EF"/>
    <w:rsid w:val="009D0D0A"/>
    <w:rsid w:val="009D1BB3"/>
    <w:rsid w:val="009D4848"/>
    <w:rsid w:val="009D67CF"/>
    <w:rsid w:val="009E067F"/>
    <w:rsid w:val="009E0E78"/>
    <w:rsid w:val="009E194B"/>
    <w:rsid w:val="009E1D23"/>
    <w:rsid w:val="009E1D40"/>
    <w:rsid w:val="009E2AD3"/>
    <w:rsid w:val="009E5AAF"/>
    <w:rsid w:val="009E6C6B"/>
    <w:rsid w:val="009E7736"/>
    <w:rsid w:val="009E7E2B"/>
    <w:rsid w:val="009F07A7"/>
    <w:rsid w:val="009F4265"/>
    <w:rsid w:val="009F463E"/>
    <w:rsid w:val="009F65D3"/>
    <w:rsid w:val="009F6943"/>
    <w:rsid w:val="00A00C6E"/>
    <w:rsid w:val="00A02372"/>
    <w:rsid w:val="00A024DE"/>
    <w:rsid w:val="00A04D06"/>
    <w:rsid w:val="00A0519E"/>
    <w:rsid w:val="00A11169"/>
    <w:rsid w:val="00A11DE0"/>
    <w:rsid w:val="00A137C1"/>
    <w:rsid w:val="00A147E8"/>
    <w:rsid w:val="00A15EFA"/>
    <w:rsid w:val="00A161A3"/>
    <w:rsid w:val="00A16244"/>
    <w:rsid w:val="00A22AE0"/>
    <w:rsid w:val="00A23B27"/>
    <w:rsid w:val="00A27C55"/>
    <w:rsid w:val="00A3041E"/>
    <w:rsid w:val="00A320E7"/>
    <w:rsid w:val="00A321FF"/>
    <w:rsid w:val="00A33D96"/>
    <w:rsid w:val="00A35263"/>
    <w:rsid w:val="00A35F83"/>
    <w:rsid w:val="00A37129"/>
    <w:rsid w:val="00A424FF"/>
    <w:rsid w:val="00A43D65"/>
    <w:rsid w:val="00A45BE0"/>
    <w:rsid w:val="00A46F61"/>
    <w:rsid w:val="00A50ADA"/>
    <w:rsid w:val="00A51C51"/>
    <w:rsid w:val="00A55DE4"/>
    <w:rsid w:val="00A56E1F"/>
    <w:rsid w:val="00A56EAF"/>
    <w:rsid w:val="00A57696"/>
    <w:rsid w:val="00A6098C"/>
    <w:rsid w:val="00A613FF"/>
    <w:rsid w:val="00A61AA5"/>
    <w:rsid w:val="00A649AA"/>
    <w:rsid w:val="00A67A01"/>
    <w:rsid w:val="00A7023F"/>
    <w:rsid w:val="00A7027F"/>
    <w:rsid w:val="00A71CEA"/>
    <w:rsid w:val="00A72256"/>
    <w:rsid w:val="00A726A1"/>
    <w:rsid w:val="00A729F0"/>
    <w:rsid w:val="00A831A4"/>
    <w:rsid w:val="00A84389"/>
    <w:rsid w:val="00A84CCB"/>
    <w:rsid w:val="00A84EA3"/>
    <w:rsid w:val="00A905BB"/>
    <w:rsid w:val="00A91D7D"/>
    <w:rsid w:val="00A92B91"/>
    <w:rsid w:val="00A94B9A"/>
    <w:rsid w:val="00A95B6D"/>
    <w:rsid w:val="00A95DDD"/>
    <w:rsid w:val="00A95EEC"/>
    <w:rsid w:val="00A96B60"/>
    <w:rsid w:val="00A97280"/>
    <w:rsid w:val="00A9781C"/>
    <w:rsid w:val="00AA14DA"/>
    <w:rsid w:val="00AA28F9"/>
    <w:rsid w:val="00AA2EC8"/>
    <w:rsid w:val="00AA68D1"/>
    <w:rsid w:val="00AA68E9"/>
    <w:rsid w:val="00AB029B"/>
    <w:rsid w:val="00AB06D9"/>
    <w:rsid w:val="00AB0EB7"/>
    <w:rsid w:val="00AB105B"/>
    <w:rsid w:val="00AB13EB"/>
    <w:rsid w:val="00AB2296"/>
    <w:rsid w:val="00AB2753"/>
    <w:rsid w:val="00AB2E7E"/>
    <w:rsid w:val="00AB315E"/>
    <w:rsid w:val="00AB49D9"/>
    <w:rsid w:val="00AB5823"/>
    <w:rsid w:val="00AB6C2F"/>
    <w:rsid w:val="00AB778B"/>
    <w:rsid w:val="00AC5019"/>
    <w:rsid w:val="00AC59AF"/>
    <w:rsid w:val="00AC5AF4"/>
    <w:rsid w:val="00AC7DEC"/>
    <w:rsid w:val="00AD1BF8"/>
    <w:rsid w:val="00AD54D2"/>
    <w:rsid w:val="00AD767C"/>
    <w:rsid w:val="00AE0FD1"/>
    <w:rsid w:val="00AE26EF"/>
    <w:rsid w:val="00AE5981"/>
    <w:rsid w:val="00AE5BF4"/>
    <w:rsid w:val="00AE6923"/>
    <w:rsid w:val="00AF03A8"/>
    <w:rsid w:val="00AF0527"/>
    <w:rsid w:val="00AF0D46"/>
    <w:rsid w:val="00AF1831"/>
    <w:rsid w:val="00AF2C28"/>
    <w:rsid w:val="00AF3791"/>
    <w:rsid w:val="00AF3A25"/>
    <w:rsid w:val="00AF3FA0"/>
    <w:rsid w:val="00AF7121"/>
    <w:rsid w:val="00AF7335"/>
    <w:rsid w:val="00B02CBC"/>
    <w:rsid w:val="00B02FC5"/>
    <w:rsid w:val="00B02FE4"/>
    <w:rsid w:val="00B0387D"/>
    <w:rsid w:val="00B046B3"/>
    <w:rsid w:val="00B05290"/>
    <w:rsid w:val="00B05826"/>
    <w:rsid w:val="00B07E8C"/>
    <w:rsid w:val="00B13093"/>
    <w:rsid w:val="00B13A94"/>
    <w:rsid w:val="00B161FF"/>
    <w:rsid w:val="00B16B11"/>
    <w:rsid w:val="00B231E1"/>
    <w:rsid w:val="00B24A27"/>
    <w:rsid w:val="00B2507A"/>
    <w:rsid w:val="00B25479"/>
    <w:rsid w:val="00B25D54"/>
    <w:rsid w:val="00B2733D"/>
    <w:rsid w:val="00B302DC"/>
    <w:rsid w:val="00B30A1E"/>
    <w:rsid w:val="00B316FA"/>
    <w:rsid w:val="00B3192D"/>
    <w:rsid w:val="00B332AC"/>
    <w:rsid w:val="00B3666F"/>
    <w:rsid w:val="00B36EA7"/>
    <w:rsid w:val="00B37AE3"/>
    <w:rsid w:val="00B37C61"/>
    <w:rsid w:val="00B37F47"/>
    <w:rsid w:val="00B41AA7"/>
    <w:rsid w:val="00B41CF2"/>
    <w:rsid w:val="00B43EAB"/>
    <w:rsid w:val="00B4417F"/>
    <w:rsid w:val="00B44408"/>
    <w:rsid w:val="00B4581C"/>
    <w:rsid w:val="00B45909"/>
    <w:rsid w:val="00B468AC"/>
    <w:rsid w:val="00B479DF"/>
    <w:rsid w:val="00B504A8"/>
    <w:rsid w:val="00B5075E"/>
    <w:rsid w:val="00B50A13"/>
    <w:rsid w:val="00B50B49"/>
    <w:rsid w:val="00B5243A"/>
    <w:rsid w:val="00B52A66"/>
    <w:rsid w:val="00B53A36"/>
    <w:rsid w:val="00B54215"/>
    <w:rsid w:val="00B54FC9"/>
    <w:rsid w:val="00B56731"/>
    <w:rsid w:val="00B56EB9"/>
    <w:rsid w:val="00B604A6"/>
    <w:rsid w:val="00B616EE"/>
    <w:rsid w:val="00B61A61"/>
    <w:rsid w:val="00B64DC1"/>
    <w:rsid w:val="00B657F9"/>
    <w:rsid w:val="00B669BF"/>
    <w:rsid w:val="00B66BDC"/>
    <w:rsid w:val="00B6791B"/>
    <w:rsid w:val="00B705D6"/>
    <w:rsid w:val="00B71127"/>
    <w:rsid w:val="00B717F6"/>
    <w:rsid w:val="00B72AAC"/>
    <w:rsid w:val="00B73BA5"/>
    <w:rsid w:val="00B73DE8"/>
    <w:rsid w:val="00B74A34"/>
    <w:rsid w:val="00B76F6A"/>
    <w:rsid w:val="00B80BB8"/>
    <w:rsid w:val="00B80F3B"/>
    <w:rsid w:val="00B84DB6"/>
    <w:rsid w:val="00B85CEB"/>
    <w:rsid w:val="00B8643C"/>
    <w:rsid w:val="00B87B3C"/>
    <w:rsid w:val="00B90289"/>
    <w:rsid w:val="00B905AB"/>
    <w:rsid w:val="00B910FA"/>
    <w:rsid w:val="00B91C56"/>
    <w:rsid w:val="00B94659"/>
    <w:rsid w:val="00B977FE"/>
    <w:rsid w:val="00BA1B89"/>
    <w:rsid w:val="00BA1E36"/>
    <w:rsid w:val="00BA3E93"/>
    <w:rsid w:val="00BA4BAC"/>
    <w:rsid w:val="00BA564F"/>
    <w:rsid w:val="00BA7C50"/>
    <w:rsid w:val="00BB13A9"/>
    <w:rsid w:val="00BB3426"/>
    <w:rsid w:val="00BB62C6"/>
    <w:rsid w:val="00BC1A92"/>
    <w:rsid w:val="00BC20EC"/>
    <w:rsid w:val="00BC53C2"/>
    <w:rsid w:val="00BC5D1E"/>
    <w:rsid w:val="00BC75CB"/>
    <w:rsid w:val="00BC784E"/>
    <w:rsid w:val="00BD0653"/>
    <w:rsid w:val="00BD0A81"/>
    <w:rsid w:val="00BD3301"/>
    <w:rsid w:val="00BD3E04"/>
    <w:rsid w:val="00BD430D"/>
    <w:rsid w:val="00BE1552"/>
    <w:rsid w:val="00BE16B6"/>
    <w:rsid w:val="00BE20F6"/>
    <w:rsid w:val="00BE25B8"/>
    <w:rsid w:val="00BE687B"/>
    <w:rsid w:val="00BF098A"/>
    <w:rsid w:val="00BF2BDD"/>
    <w:rsid w:val="00BF3217"/>
    <w:rsid w:val="00BF38A7"/>
    <w:rsid w:val="00BF38AA"/>
    <w:rsid w:val="00BF3DB4"/>
    <w:rsid w:val="00BF4F95"/>
    <w:rsid w:val="00BF5133"/>
    <w:rsid w:val="00BF562D"/>
    <w:rsid w:val="00BF5B7B"/>
    <w:rsid w:val="00BF6F32"/>
    <w:rsid w:val="00BF74F8"/>
    <w:rsid w:val="00BF7A18"/>
    <w:rsid w:val="00BF7B55"/>
    <w:rsid w:val="00C001D1"/>
    <w:rsid w:val="00C0287F"/>
    <w:rsid w:val="00C030EF"/>
    <w:rsid w:val="00C03397"/>
    <w:rsid w:val="00C05755"/>
    <w:rsid w:val="00C07BCC"/>
    <w:rsid w:val="00C10EFD"/>
    <w:rsid w:val="00C11707"/>
    <w:rsid w:val="00C128F7"/>
    <w:rsid w:val="00C13A36"/>
    <w:rsid w:val="00C13A73"/>
    <w:rsid w:val="00C13F27"/>
    <w:rsid w:val="00C15695"/>
    <w:rsid w:val="00C15971"/>
    <w:rsid w:val="00C15C9F"/>
    <w:rsid w:val="00C1636E"/>
    <w:rsid w:val="00C16993"/>
    <w:rsid w:val="00C227B0"/>
    <w:rsid w:val="00C23B1E"/>
    <w:rsid w:val="00C23E33"/>
    <w:rsid w:val="00C23FB7"/>
    <w:rsid w:val="00C2480B"/>
    <w:rsid w:val="00C2485F"/>
    <w:rsid w:val="00C2496B"/>
    <w:rsid w:val="00C26823"/>
    <w:rsid w:val="00C2786E"/>
    <w:rsid w:val="00C30856"/>
    <w:rsid w:val="00C30B7C"/>
    <w:rsid w:val="00C329D0"/>
    <w:rsid w:val="00C34B46"/>
    <w:rsid w:val="00C36A61"/>
    <w:rsid w:val="00C36E99"/>
    <w:rsid w:val="00C37088"/>
    <w:rsid w:val="00C407B1"/>
    <w:rsid w:val="00C40D45"/>
    <w:rsid w:val="00C40EA6"/>
    <w:rsid w:val="00C40F9A"/>
    <w:rsid w:val="00C41375"/>
    <w:rsid w:val="00C4472F"/>
    <w:rsid w:val="00C44D74"/>
    <w:rsid w:val="00C45DA4"/>
    <w:rsid w:val="00C46E1C"/>
    <w:rsid w:val="00C5143C"/>
    <w:rsid w:val="00C51883"/>
    <w:rsid w:val="00C526F4"/>
    <w:rsid w:val="00C5423D"/>
    <w:rsid w:val="00C54C95"/>
    <w:rsid w:val="00C56BE8"/>
    <w:rsid w:val="00C57AFC"/>
    <w:rsid w:val="00C61EDC"/>
    <w:rsid w:val="00C627AE"/>
    <w:rsid w:val="00C62F5B"/>
    <w:rsid w:val="00C660EB"/>
    <w:rsid w:val="00C66903"/>
    <w:rsid w:val="00C700C0"/>
    <w:rsid w:val="00C70FF2"/>
    <w:rsid w:val="00C717C3"/>
    <w:rsid w:val="00C71CCF"/>
    <w:rsid w:val="00C7327B"/>
    <w:rsid w:val="00C7406C"/>
    <w:rsid w:val="00C740F9"/>
    <w:rsid w:val="00C74324"/>
    <w:rsid w:val="00C751EA"/>
    <w:rsid w:val="00C76D73"/>
    <w:rsid w:val="00C77164"/>
    <w:rsid w:val="00C77F74"/>
    <w:rsid w:val="00C81C68"/>
    <w:rsid w:val="00C8369A"/>
    <w:rsid w:val="00C83C13"/>
    <w:rsid w:val="00C85098"/>
    <w:rsid w:val="00C854D6"/>
    <w:rsid w:val="00C85F80"/>
    <w:rsid w:val="00C86F5A"/>
    <w:rsid w:val="00C8737F"/>
    <w:rsid w:val="00C903B5"/>
    <w:rsid w:val="00C9267F"/>
    <w:rsid w:val="00C9346D"/>
    <w:rsid w:val="00C9403F"/>
    <w:rsid w:val="00C9615B"/>
    <w:rsid w:val="00C967D2"/>
    <w:rsid w:val="00C9689A"/>
    <w:rsid w:val="00C9774C"/>
    <w:rsid w:val="00CA0073"/>
    <w:rsid w:val="00CA1595"/>
    <w:rsid w:val="00CA32D8"/>
    <w:rsid w:val="00CA46DC"/>
    <w:rsid w:val="00CA5552"/>
    <w:rsid w:val="00CA654F"/>
    <w:rsid w:val="00CB0D90"/>
    <w:rsid w:val="00CB160E"/>
    <w:rsid w:val="00CB2FCA"/>
    <w:rsid w:val="00CB30BA"/>
    <w:rsid w:val="00CB4820"/>
    <w:rsid w:val="00CB4FC1"/>
    <w:rsid w:val="00CB5F8F"/>
    <w:rsid w:val="00CB6A92"/>
    <w:rsid w:val="00CB7057"/>
    <w:rsid w:val="00CB7315"/>
    <w:rsid w:val="00CB735F"/>
    <w:rsid w:val="00CB7BFA"/>
    <w:rsid w:val="00CB7D2E"/>
    <w:rsid w:val="00CC0203"/>
    <w:rsid w:val="00CC0428"/>
    <w:rsid w:val="00CC0C50"/>
    <w:rsid w:val="00CC250C"/>
    <w:rsid w:val="00CC2731"/>
    <w:rsid w:val="00CC3CBF"/>
    <w:rsid w:val="00CC7CDE"/>
    <w:rsid w:val="00CD04FB"/>
    <w:rsid w:val="00CD116C"/>
    <w:rsid w:val="00CD1925"/>
    <w:rsid w:val="00CD3CDB"/>
    <w:rsid w:val="00CD4E89"/>
    <w:rsid w:val="00CD5192"/>
    <w:rsid w:val="00CD5476"/>
    <w:rsid w:val="00CD7A70"/>
    <w:rsid w:val="00CD7C0F"/>
    <w:rsid w:val="00CE0675"/>
    <w:rsid w:val="00CE0C9D"/>
    <w:rsid w:val="00CE1ACC"/>
    <w:rsid w:val="00CE2021"/>
    <w:rsid w:val="00CE2CFD"/>
    <w:rsid w:val="00CE2D4B"/>
    <w:rsid w:val="00CE3946"/>
    <w:rsid w:val="00CE4699"/>
    <w:rsid w:val="00CE5CA0"/>
    <w:rsid w:val="00CE5E5F"/>
    <w:rsid w:val="00CE609D"/>
    <w:rsid w:val="00CE6445"/>
    <w:rsid w:val="00CE7DF2"/>
    <w:rsid w:val="00CE7F06"/>
    <w:rsid w:val="00CF0EFA"/>
    <w:rsid w:val="00CF1BEC"/>
    <w:rsid w:val="00CF26C1"/>
    <w:rsid w:val="00CF32E2"/>
    <w:rsid w:val="00CF3379"/>
    <w:rsid w:val="00CF3C5E"/>
    <w:rsid w:val="00CF3CFA"/>
    <w:rsid w:val="00CF4E23"/>
    <w:rsid w:val="00CF72A2"/>
    <w:rsid w:val="00D00EAC"/>
    <w:rsid w:val="00D00FAF"/>
    <w:rsid w:val="00D024DE"/>
    <w:rsid w:val="00D02B08"/>
    <w:rsid w:val="00D048B7"/>
    <w:rsid w:val="00D063EA"/>
    <w:rsid w:val="00D12DD6"/>
    <w:rsid w:val="00D1509F"/>
    <w:rsid w:val="00D21612"/>
    <w:rsid w:val="00D23BD3"/>
    <w:rsid w:val="00D23C5A"/>
    <w:rsid w:val="00D24F3A"/>
    <w:rsid w:val="00D27321"/>
    <w:rsid w:val="00D27D0C"/>
    <w:rsid w:val="00D328C2"/>
    <w:rsid w:val="00D3348C"/>
    <w:rsid w:val="00D349DC"/>
    <w:rsid w:val="00D3665C"/>
    <w:rsid w:val="00D370D0"/>
    <w:rsid w:val="00D40A66"/>
    <w:rsid w:val="00D424A5"/>
    <w:rsid w:val="00D427C8"/>
    <w:rsid w:val="00D46AD3"/>
    <w:rsid w:val="00D47B62"/>
    <w:rsid w:val="00D47B64"/>
    <w:rsid w:val="00D50F0A"/>
    <w:rsid w:val="00D51788"/>
    <w:rsid w:val="00D529D6"/>
    <w:rsid w:val="00D5320D"/>
    <w:rsid w:val="00D55727"/>
    <w:rsid w:val="00D566A5"/>
    <w:rsid w:val="00D57132"/>
    <w:rsid w:val="00D60B09"/>
    <w:rsid w:val="00D61FFF"/>
    <w:rsid w:val="00D6363C"/>
    <w:rsid w:val="00D63737"/>
    <w:rsid w:val="00D64CEB"/>
    <w:rsid w:val="00D66666"/>
    <w:rsid w:val="00D67E9B"/>
    <w:rsid w:val="00D703BC"/>
    <w:rsid w:val="00D70C1D"/>
    <w:rsid w:val="00D714C7"/>
    <w:rsid w:val="00D71892"/>
    <w:rsid w:val="00D7206A"/>
    <w:rsid w:val="00D72F74"/>
    <w:rsid w:val="00D7369F"/>
    <w:rsid w:val="00D73801"/>
    <w:rsid w:val="00D74359"/>
    <w:rsid w:val="00D74438"/>
    <w:rsid w:val="00D75589"/>
    <w:rsid w:val="00D759E7"/>
    <w:rsid w:val="00D762BB"/>
    <w:rsid w:val="00D77B81"/>
    <w:rsid w:val="00D804F1"/>
    <w:rsid w:val="00D81782"/>
    <w:rsid w:val="00D818AC"/>
    <w:rsid w:val="00D8287E"/>
    <w:rsid w:val="00D834E7"/>
    <w:rsid w:val="00D8602F"/>
    <w:rsid w:val="00D868B9"/>
    <w:rsid w:val="00D90B70"/>
    <w:rsid w:val="00D90FEF"/>
    <w:rsid w:val="00D91030"/>
    <w:rsid w:val="00D910E0"/>
    <w:rsid w:val="00D91868"/>
    <w:rsid w:val="00D91886"/>
    <w:rsid w:val="00D932BC"/>
    <w:rsid w:val="00D93FEE"/>
    <w:rsid w:val="00D961D6"/>
    <w:rsid w:val="00D97643"/>
    <w:rsid w:val="00D97679"/>
    <w:rsid w:val="00DA3709"/>
    <w:rsid w:val="00DA4FF1"/>
    <w:rsid w:val="00DA5DD5"/>
    <w:rsid w:val="00DA5FB9"/>
    <w:rsid w:val="00DA684F"/>
    <w:rsid w:val="00DA7BB6"/>
    <w:rsid w:val="00DB0F6A"/>
    <w:rsid w:val="00DB14B5"/>
    <w:rsid w:val="00DB5231"/>
    <w:rsid w:val="00DC04F0"/>
    <w:rsid w:val="00DC09DB"/>
    <w:rsid w:val="00DC2388"/>
    <w:rsid w:val="00DC378C"/>
    <w:rsid w:val="00DC4D40"/>
    <w:rsid w:val="00DC5622"/>
    <w:rsid w:val="00DC56CD"/>
    <w:rsid w:val="00DC5A8D"/>
    <w:rsid w:val="00DC5A9C"/>
    <w:rsid w:val="00DC5C1D"/>
    <w:rsid w:val="00DC6E4E"/>
    <w:rsid w:val="00DC6F6D"/>
    <w:rsid w:val="00DD0344"/>
    <w:rsid w:val="00DD0E26"/>
    <w:rsid w:val="00DD10A8"/>
    <w:rsid w:val="00DD1468"/>
    <w:rsid w:val="00DD2E45"/>
    <w:rsid w:val="00DD68AA"/>
    <w:rsid w:val="00DE13DE"/>
    <w:rsid w:val="00DE20B1"/>
    <w:rsid w:val="00DE2495"/>
    <w:rsid w:val="00DE2E73"/>
    <w:rsid w:val="00DE6D4F"/>
    <w:rsid w:val="00DE7347"/>
    <w:rsid w:val="00DF0651"/>
    <w:rsid w:val="00DF0741"/>
    <w:rsid w:val="00DF0ECB"/>
    <w:rsid w:val="00DF3AF4"/>
    <w:rsid w:val="00DF470A"/>
    <w:rsid w:val="00DF53C3"/>
    <w:rsid w:val="00DF5587"/>
    <w:rsid w:val="00DF61D0"/>
    <w:rsid w:val="00DF7808"/>
    <w:rsid w:val="00E0129A"/>
    <w:rsid w:val="00E01D3B"/>
    <w:rsid w:val="00E028F6"/>
    <w:rsid w:val="00E0324E"/>
    <w:rsid w:val="00E0479D"/>
    <w:rsid w:val="00E0606C"/>
    <w:rsid w:val="00E06F43"/>
    <w:rsid w:val="00E07295"/>
    <w:rsid w:val="00E07DB8"/>
    <w:rsid w:val="00E07EE8"/>
    <w:rsid w:val="00E10511"/>
    <w:rsid w:val="00E128CE"/>
    <w:rsid w:val="00E12C92"/>
    <w:rsid w:val="00E15593"/>
    <w:rsid w:val="00E1757D"/>
    <w:rsid w:val="00E20B5A"/>
    <w:rsid w:val="00E217B5"/>
    <w:rsid w:val="00E22729"/>
    <w:rsid w:val="00E22FBD"/>
    <w:rsid w:val="00E23415"/>
    <w:rsid w:val="00E24106"/>
    <w:rsid w:val="00E241EC"/>
    <w:rsid w:val="00E2516F"/>
    <w:rsid w:val="00E26B8A"/>
    <w:rsid w:val="00E27174"/>
    <w:rsid w:val="00E30865"/>
    <w:rsid w:val="00E31A36"/>
    <w:rsid w:val="00E33DDA"/>
    <w:rsid w:val="00E34B02"/>
    <w:rsid w:val="00E357FD"/>
    <w:rsid w:val="00E377E3"/>
    <w:rsid w:val="00E425CC"/>
    <w:rsid w:val="00E435F3"/>
    <w:rsid w:val="00E43765"/>
    <w:rsid w:val="00E438F8"/>
    <w:rsid w:val="00E5025B"/>
    <w:rsid w:val="00E50272"/>
    <w:rsid w:val="00E50B7D"/>
    <w:rsid w:val="00E510A5"/>
    <w:rsid w:val="00E513E3"/>
    <w:rsid w:val="00E53496"/>
    <w:rsid w:val="00E545F1"/>
    <w:rsid w:val="00E5569A"/>
    <w:rsid w:val="00E564CE"/>
    <w:rsid w:val="00E62F56"/>
    <w:rsid w:val="00E63163"/>
    <w:rsid w:val="00E634A1"/>
    <w:rsid w:val="00E64705"/>
    <w:rsid w:val="00E64AC6"/>
    <w:rsid w:val="00E7075D"/>
    <w:rsid w:val="00E708E1"/>
    <w:rsid w:val="00E70FED"/>
    <w:rsid w:val="00E715D8"/>
    <w:rsid w:val="00E729A3"/>
    <w:rsid w:val="00E74068"/>
    <w:rsid w:val="00E74C62"/>
    <w:rsid w:val="00E74CDA"/>
    <w:rsid w:val="00E75249"/>
    <w:rsid w:val="00E76B88"/>
    <w:rsid w:val="00E7748F"/>
    <w:rsid w:val="00E779F8"/>
    <w:rsid w:val="00E77DDF"/>
    <w:rsid w:val="00E807BF"/>
    <w:rsid w:val="00E819DF"/>
    <w:rsid w:val="00E82230"/>
    <w:rsid w:val="00E82C1F"/>
    <w:rsid w:val="00E830B8"/>
    <w:rsid w:val="00E84DC3"/>
    <w:rsid w:val="00E86FD0"/>
    <w:rsid w:val="00E90305"/>
    <w:rsid w:val="00E91E44"/>
    <w:rsid w:val="00E9386A"/>
    <w:rsid w:val="00E954D0"/>
    <w:rsid w:val="00E9637A"/>
    <w:rsid w:val="00E96EBB"/>
    <w:rsid w:val="00E976C4"/>
    <w:rsid w:val="00EA3438"/>
    <w:rsid w:val="00EA4D1F"/>
    <w:rsid w:val="00EA5DB6"/>
    <w:rsid w:val="00EA6242"/>
    <w:rsid w:val="00EA6CA8"/>
    <w:rsid w:val="00EB3CA3"/>
    <w:rsid w:val="00EB5794"/>
    <w:rsid w:val="00EB6896"/>
    <w:rsid w:val="00EB6ACD"/>
    <w:rsid w:val="00EB714D"/>
    <w:rsid w:val="00EB72B6"/>
    <w:rsid w:val="00EC03C9"/>
    <w:rsid w:val="00EC0646"/>
    <w:rsid w:val="00EC12F7"/>
    <w:rsid w:val="00EC2380"/>
    <w:rsid w:val="00EC2452"/>
    <w:rsid w:val="00EC3840"/>
    <w:rsid w:val="00EC5E0E"/>
    <w:rsid w:val="00EC6A1E"/>
    <w:rsid w:val="00ED0049"/>
    <w:rsid w:val="00ED17B3"/>
    <w:rsid w:val="00ED1949"/>
    <w:rsid w:val="00ED27DE"/>
    <w:rsid w:val="00ED44C5"/>
    <w:rsid w:val="00ED4E96"/>
    <w:rsid w:val="00ED6572"/>
    <w:rsid w:val="00ED6988"/>
    <w:rsid w:val="00ED7838"/>
    <w:rsid w:val="00ED7BD6"/>
    <w:rsid w:val="00EE046A"/>
    <w:rsid w:val="00EE101E"/>
    <w:rsid w:val="00EE211B"/>
    <w:rsid w:val="00EE2716"/>
    <w:rsid w:val="00EE312B"/>
    <w:rsid w:val="00EE5CF9"/>
    <w:rsid w:val="00EE609C"/>
    <w:rsid w:val="00EE68BA"/>
    <w:rsid w:val="00EF0FD3"/>
    <w:rsid w:val="00EF145D"/>
    <w:rsid w:val="00EF1846"/>
    <w:rsid w:val="00EF1B06"/>
    <w:rsid w:val="00EF2BBA"/>
    <w:rsid w:val="00EF38B9"/>
    <w:rsid w:val="00EF46EB"/>
    <w:rsid w:val="00EF50B5"/>
    <w:rsid w:val="00EF56C7"/>
    <w:rsid w:val="00F01F08"/>
    <w:rsid w:val="00F02512"/>
    <w:rsid w:val="00F02575"/>
    <w:rsid w:val="00F02D64"/>
    <w:rsid w:val="00F03F7A"/>
    <w:rsid w:val="00F04DE4"/>
    <w:rsid w:val="00F04FEB"/>
    <w:rsid w:val="00F05DFA"/>
    <w:rsid w:val="00F06B12"/>
    <w:rsid w:val="00F07F9D"/>
    <w:rsid w:val="00F115B1"/>
    <w:rsid w:val="00F12923"/>
    <w:rsid w:val="00F12F7A"/>
    <w:rsid w:val="00F130F1"/>
    <w:rsid w:val="00F139E3"/>
    <w:rsid w:val="00F15F6F"/>
    <w:rsid w:val="00F1614E"/>
    <w:rsid w:val="00F20FD3"/>
    <w:rsid w:val="00F22592"/>
    <w:rsid w:val="00F227F9"/>
    <w:rsid w:val="00F22B66"/>
    <w:rsid w:val="00F2484D"/>
    <w:rsid w:val="00F24BD5"/>
    <w:rsid w:val="00F27A7C"/>
    <w:rsid w:val="00F30450"/>
    <w:rsid w:val="00F3089D"/>
    <w:rsid w:val="00F32EAC"/>
    <w:rsid w:val="00F33CF4"/>
    <w:rsid w:val="00F34248"/>
    <w:rsid w:val="00F40917"/>
    <w:rsid w:val="00F40BC3"/>
    <w:rsid w:val="00F41703"/>
    <w:rsid w:val="00F41C61"/>
    <w:rsid w:val="00F427B6"/>
    <w:rsid w:val="00F42A03"/>
    <w:rsid w:val="00F42E09"/>
    <w:rsid w:val="00F45C39"/>
    <w:rsid w:val="00F51B48"/>
    <w:rsid w:val="00F53059"/>
    <w:rsid w:val="00F5485A"/>
    <w:rsid w:val="00F57570"/>
    <w:rsid w:val="00F60951"/>
    <w:rsid w:val="00F60C04"/>
    <w:rsid w:val="00F62FE3"/>
    <w:rsid w:val="00F66457"/>
    <w:rsid w:val="00F66DEE"/>
    <w:rsid w:val="00F70E4A"/>
    <w:rsid w:val="00F71F5A"/>
    <w:rsid w:val="00F71FE1"/>
    <w:rsid w:val="00F75878"/>
    <w:rsid w:val="00F76714"/>
    <w:rsid w:val="00F77F73"/>
    <w:rsid w:val="00F80BD1"/>
    <w:rsid w:val="00F811B1"/>
    <w:rsid w:val="00F81796"/>
    <w:rsid w:val="00F81A5B"/>
    <w:rsid w:val="00F81AF5"/>
    <w:rsid w:val="00F82B8E"/>
    <w:rsid w:val="00F844BE"/>
    <w:rsid w:val="00F854E7"/>
    <w:rsid w:val="00F85F06"/>
    <w:rsid w:val="00F86EBB"/>
    <w:rsid w:val="00F87EFC"/>
    <w:rsid w:val="00F908C1"/>
    <w:rsid w:val="00F91750"/>
    <w:rsid w:val="00F9240D"/>
    <w:rsid w:val="00F92AF3"/>
    <w:rsid w:val="00F92F43"/>
    <w:rsid w:val="00F939F8"/>
    <w:rsid w:val="00F9462A"/>
    <w:rsid w:val="00F949EE"/>
    <w:rsid w:val="00F94CA9"/>
    <w:rsid w:val="00F94E98"/>
    <w:rsid w:val="00F96316"/>
    <w:rsid w:val="00F9668B"/>
    <w:rsid w:val="00F96C2D"/>
    <w:rsid w:val="00F97ED8"/>
    <w:rsid w:val="00FA08A9"/>
    <w:rsid w:val="00FA0AC6"/>
    <w:rsid w:val="00FA2121"/>
    <w:rsid w:val="00FA2FB9"/>
    <w:rsid w:val="00FA3AE4"/>
    <w:rsid w:val="00FA4801"/>
    <w:rsid w:val="00FA4E43"/>
    <w:rsid w:val="00FA699B"/>
    <w:rsid w:val="00FA7134"/>
    <w:rsid w:val="00FA7889"/>
    <w:rsid w:val="00FA7C0F"/>
    <w:rsid w:val="00FB088F"/>
    <w:rsid w:val="00FB12DA"/>
    <w:rsid w:val="00FB1C34"/>
    <w:rsid w:val="00FB3A50"/>
    <w:rsid w:val="00FB4A9B"/>
    <w:rsid w:val="00FB6932"/>
    <w:rsid w:val="00FB7565"/>
    <w:rsid w:val="00FC1CE3"/>
    <w:rsid w:val="00FC2BC7"/>
    <w:rsid w:val="00FC37E0"/>
    <w:rsid w:val="00FC5AA9"/>
    <w:rsid w:val="00FC62A9"/>
    <w:rsid w:val="00FC778F"/>
    <w:rsid w:val="00FD01B5"/>
    <w:rsid w:val="00FD0958"/>
    <w:rsid w:val="00FD1208"/>
    <w:rsid w:val="00FD127B"/>
    <w:rsid w:val="00FD2A42"/>
    <w:rsid w:val="00FD5DA6"/>
    <w:rsid w:val="00FE0DD0"/>
    <w:rsid w:val="00FE296D"/>
    <w:rsid w:val="00FE3734"/>
    <w:rsid w:val="00FE48CB"/>
    <w:rsid w:val="00FF0854"/>
    <w:rsid w:val="00FF1148"/>
    <w:rsid w:val="00FF13C8"/>
    <w:rsid w:val="00FF1910"/>
    <w:rsid w:val="00FF1988"/>
    <w:rsid w:val="00FF3548"/>
    <w:rsid w:val="00FF3C7D"/>
    <w:rsid w:val="00FF502A"/>
    <w:rsid w:val="00FF6634"/>
    <w:rsid w:val="00FF6B61"/>
    <w:rsid w:val="00FF6E71"/>
    <w:rsid w:val="5E3DE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E48C7"/>
  <w15:docId w15:val="{183F24F6-1435-465E-8657-98ABDC43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5E"/>
    <w:pPr>
      <w:ind w:firstLine="0"/>
    </w:pPr>
    <w:rPr>
      <w:rFonts w:ascii="Times New Roman" w:hAnsi="Times New Roman"/>
      <w:sz w:val="24"/>
      <w:szCs w:val="22"/>
    </w:rPr>
  </w:style>
  <w:style w:type="paragraph" w:styleId="Heading1">
    <w:name w:val="heading 1"/>
    <w:next w:val="Normal"/>
    <w:link w:val="Heading1Char"/>
    <w:uiPriority w:val="9"/>
    <w:qFormat/>
    <w:rsid w:val="004E635E"/>
    <w:pPr>
      <w:keepLines/>
      <w:numPr>
        <w:numId w:val="32"/>
      </w:numPr>
      <w:spacing w:after="240" w:line="259" w:lineRule="auto"/>
      <w:ind w:right="720"/>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4E635E"/>
    <w:pPr>
      <w:keepNext/>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4E635E"/>
    <w:pPr>
      <w:numPr>
        <w:ilvl w:val="2"/>
      </w:numPr>
      <w:outlineLvl w:val="2"/>
    </w:pPr>
    <w:rPr>
      <w:szCs w:val="24"/>
    </w:rPr>
  </w:style>
  <w:style w:type="paragraph" w:styleId="Heading4">
    <w:name w:val="heading 4"/>
    <w:basedOn w:val="Heading3"/>
    <w:next w:val="Normal"/>
    <w:link w:val="Heading4Char"/>
    <w:uiPriority w:val="9"/>
    <w:unhideWhenUsed/>
    <w:qFormat/>
    <w:rsid w:val="004E635E"/>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5E"/>
    <w:pPr>
      <w:numPr>
        <w:numId w:val="46"/>
      </w:numPr>
      <w:contextualSpacing/>
    </w:pPr>
  </w:style>
  <w:style w:type="paragraph" w:styleId="Header">
    <w:name w:val="header"/>
    <w:basedOn w:val="Normal"/>
    <w:link w:val="HeaderChar"/>
    <w:uiPriority w:val="99"/>
    <w:unhideWhenUsed/>
    <w:rsid w:val="004E635E"/>
    <w:pPr>
      <w:tabs>
        <w:tab w:val="center" w:pos="4680"/>
        <w:tab w:val="right" w:pos="9360"/>
      </w:tabs>
    </w:pPr>
  </w:style>
  <w:style w:type="character" w:customStyle="1" w:styleId="HeaderChar">
    <w:name w:val="Header Char"/>
    <w:basedOn w:val="DefaultParagraphFont"/>
    <w:link w:val="Header"/>
    <w:uiPriority w:val="99"/>
    <w:rsid w:val="004E635E"/>
    <w:rPr>
      <w:rFonts w:ascii="Times New Roman" w:hAnsi="Times New Roman"/>
      <w:sz w:val="24"/>
      <w:szCs w:val="22"/>
    </w:rPr>
  </w:style>
  <w:style w:type="paragraph" w:styleId="Footer">
    <w:name w:val="footer"/>
    <w:basedOn w:val="Normal"/>
    <w:link w:val="FooterChar"/>
    <w:uiPriority w:val="99"/>
    <w:unhideWhenUsed/>
    <w:rsid w:val="004E635E"/>
    <w:pPr>
      <w:tabs>
        <w:tab w:val="center" w:pos="4680"/>
        <w:tab w:val="right" w:pos="9360"/>
      </w:tabs>
    </w:pPr>
  </w:style>
  <w:style w:type="character" w:customStyle="1" w:styleId="FooterChar">
    <w:name w:val="Footer Char"/>
    <w:basedOn w:val="DefaultParagraphFont"/>
    <w:link w:val="Footer"/>
    <w:uiPriority w:val="99"/>
    <w:rsid w:val="004E635E"/>
    <w:rPr>
      <w:rFonts w:ascii="Times New Roman" w:hAnsi="Times New Roman"/>
      <w:sz w:val="24"/>
      <w:szCs w:val="22"/>
    </w:rPr>
  </w:style>
  <w:style w:type="paragraph" w:styleId="BalloonText">
    <w:name w:val="Balloon Text"/>
    <w:basedOn w:val="Normal"/>
    <w:link w:val="BalloonTextChar"/>
    <w:uiPriority w:val="99"/>
    <w:semiHidden/>
    <w:unhideWhenUsed/>
    <w:rsid w:val="004E635E"/>
    <w:rPr>
      <w:rFonts w:ascii="Tahoma" w:hAnsi="Tahoma" w:cs="Tahoma"/>
      <w:sz w:val="16"/>
      <w:szCs w:val="16"/>
    </w:rPr>
  </w:style>
  <w:style w:type="character" w:customStyle="1" w:styleId="BalloonTextChar">
    <w:name w:val="Balloon Text Char"/>
    <w:basedOn w:val="DefaultParagraphFont"/>
    <w:link w:val="BalloonText"/>
    <w:uiPriority w:val="99"/>
    <w:semiHidden/>
    <w:rsid w:val="004E635E"/>
    <w:rPr>
      <w:rFonts w:ascii="Tahoma" w:hAnsi="Tahoma" w:cs="Tahoma"/>
      <w:sz w:val="16"/>
      <w:szCs w:val="16"/>
    </w:rPr>
  </w:style>
  <w:style w:type="table" w:styleId="TableGrid">
    <w:name w:val="Table Grid"/>
    <w:basedOn w:val="TableNormal"/>
    <w:uiPriority w:val="59"/>
    <w:rsid w:val="004E635E"/>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4E635E"/>
    <w:pPr>
      <w:keepLines/>
      <w:spacing w:after="120"/>
    </w:pPr>
  </w:style>
  <w:style w:type="character" w:customStyle="1" w:styleId="FootnoteChar">
    <w:name w:val="Footnote Char"/>
    <w:basedOn w:val="DefaultParagraphFont"/>
    <w:link w:val="Footnote"/>
    <w:rsid w:val="004E635E"/>
    <w:rPr>
      <w:rFonts w:ascii="Times New Roman" w:hAnsi="Times New Roman"/>
      <w:sz w:val="24"/>
    </w:rPr>
  </w:style>
  <w:style w:type="paragraph" w:styleId="FootnoteText">
    <w:name w:val="footnote text"/>
    <w:basedOn w:val="Normal"/>
    <w:link w:val="FootnoteTextChar"/>
    <w:uiPriority w:val="99"/>
    <w:unhideWhenUsed/>
    <w:qFormat/>
    <w:rsid w:val="004E635E"/>
    <w:pPr>
      <w:spacing w:line="240" w:lineRule="auto"/>
      <w:ind w:firstLine="720"/>
    </w:pPr>
    <w:rPr>
      <w:szCs w:val="20"/>
    </w:rPr>
  </w:style>
  <w:style w:type="character" w:customStyle="1" w:styleId="FootnoteTextChar">
    <w:name w:val="Footnote Text Char"/>
    <w:basedOn w:val="DefaultParagraphFont"/>
    <w:link w:val="FootnoteText"/>
    <w:uiPriority w:val="99"/>
    <w:rsid w:val="004E635E"/>
    <w:rPr>
      <w:rFonts w:ascii="Times New Roman" w:hAnsi="Times New Roman"/>
      <w:sz w:val="24"/>
    </w:rPr>
  </w:style>
  <w:style w:type="character" w:styleId="FootnoteReference">
    <w:name w:val="footnote reference"/>
    <w:basedOn w:val="DefaultParagraphFont"/>
    <w:uiPriority w:val="99"/>
    <w:unhideWhenUsed/>
    <w:rsid w:val="004E635E"/>
    <w:rPr>
      <w:vertAlign w:val="superscript"/>
    </w:rPr>
  </w:style>
  <w:style w:type="paragraph" w:customStyle="1" w:styleId="TemplateFootnote">
    <w:name w:val="Template Footnote"/>
    <w:basedOn w:val="FootnoteText"/>
    <w:rsid w:val="004E635E"/>
    <w:pPr>
      <w:spacing w:after="120"/>
    </w:pPr>
  </w:style>
  <w:style w:type="character" w:customStyle="1" w:styleId="Heading1Char">
    <w:name w:val="Heading 1 Char"/>
    <w:basedOn w:val="DefaultParagraphFont"/>
    <w:link w:val="Heading1"/>
    <w:uiPriority w:val="9"/>
    <w:rsid w:val="004E635E"/>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4E635E"/>
  </w:style>
  <w:style w:type="character" w:styleId="PlaceholderText">
    <w:name w:val="Placeholder Text"/>
    <w:basedOn w:val="DefaultParagraphFont"/>
    <w:uiPriority w:val="99"/>
    <w:semiHidden/>
    <w:rsid w:val="004E635E"/>
    <w:rPr>
      <w:color w:val="808080"/>
    </w:rPr>
  </w:style>
  <w:style w:type="character" w:customStyle="1" w:styleId="Heading2Char">
    <w:name w:val="Heading 2 Char"/>
    <w:basedOn w:val="DefaultParagraphFont"/>
    <w:link w:val="Heading2"/>
    <w:uiPriority w:val="9"/>
    <w:rsid w:val="004E635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E635E"/>
    <w:rPr>
      <w:rFonts w:ascii="Times New Roman" w:eastAsiaTheme="majorEastAsia" w:hAnsi="Times New Roman" w:cstheme="majorBidi"/>
      <w:b/>
      <w:sz w:val="24"/>
      <w:szCs w:val="24"/>
    </w:rPr>
  </w:style>
  <w:style w:type="numbering" w:customStyle="1" w:styleId="Headings">
    <w:name w:val="Headings"/>
    <w:uiPriority w:val="99"/>
    <w:rsid w:val="004E635E"/>
    <w:pPr>
      <w:numPr>
        <w:numId w:val="25"/>
      </w:numPr>
    </w:pPr>
  </w:style>
  <w:style w:type="character" w:styleId="CommentReference">
    <w:name w:val="annotation reference"/>
    <w:basedOn w:val="DefaultParagraphFont"/>
    <w:uiPriority w:val="99"/>
    <w:semiHidden/>
    <w:unhideWhenUsed/>
    <w:rsid w:val="004E635E"/>
    <w:rPr>
      <w:sz w:val="16"/>
      <w:szCs w:val="16"/>
    </w:rPr>
  </w:style>
  <w:style w:type="paragraph" w:styleId="CommentText">
    <w:name w:val="annotation text"/>
    <w:basedOn w:val="Normal"/>
    <w:link w:val="CommentTextChar"/>
    <w:uiPriority w:val="99"/>
    <w:unhideWhenUsed/>
    <w:rsid w:val="004E635E"/>
    <w:pPr>
      <w:spacing w:line="240" w:lineRule="auto"/>
    </w:pPr>
    <w:rPr>
      <w:sz w:val="20"/>
      <w:szCs w:val="20"/>
    </w:rPr>
  </w:style>
  <w:style w:type="character" w:customStyle="1" w:styleId="CommentTextChar">
    <w:name w:val="Comment Text Char"/>
    <w:basedOn w:val="DefaultParagraphFont"/>
    <w:link w:val="CommentText"/>
    <w:uiPriority w:val="99"/>
    <w:rsid w:val="004E635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E635E"/>
    <w:rPr>
      <w:b/>
      <w:bCs/>
    </w:rPr>
  </w:style>
  <w:style w:type="character" w:customStyle="1" w:styleId="CommentSubjectChar">
    <w:name w:val="Comment Subject Char"/>
    <w:basedOn w:val="CommentTextChar"/>
    <w:link w:val="CommentSubject"/>
    <w:uiPriority w:val="99"/>
    <w:semiHidden/>
    <w:rsid w:val="004E635E"/>
    <w:rPr>
      <w:rFonts w:ascii="Times New Roman" w:hAnsi="Times New Roman"/>
      <w:b/>
      <w:bCs/>
    </w:rPr>
  </w:style>
  <w:style w:type="character" w:styleId="SubtleReference">
    <w:name w:val="Subtle Reference"/>
    <w:basedOn w:val="DefaultParagraphFont"/>
    <w:uiPriority w:val="31"/>
    <w:rsid w:val="004E635E"/>
    <w:rPr>
      <w:smallCaps/>
      <w:color w:val="5A5A5A" w:themeColor="text1" w:themeTint="A5"/>
    </w:rPr>
  </w:style>
  <w:style w:type="paragraph" w:styleId="Quote">
    <w:name w:val="Quote"/>
    <w:aliases w:val="Block Quote"/>
    <w:basedOn w:val="Normal"/>
    <w:next w:val="Normal"/>
    <w:link w:val="QuoteChar"/>
    <w:uiPriority w:val="29"/>
    <w:qFormat/>
    <w:rsid w:val="004E635E"/>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4E635E"/>
    <w:rPr>
      <w:rFonts w:ascii="Times New Roman" w:hAnsi="Times New Roman"/>
      <w:color w:val="000000"/>
      <w:sz w:val="24"/>
      <w:szCs w:val="24"/>
    </w:rPr>
  </w:style>
  <w:style w:type="character" w:styleId="UnresolvedMention">
    <w:name w:val="Unresolved Mention"/>
    <w:basedOn w:val="DefaultParagraphFont"/>
    <w:uiPriority w:val="99"/>
    <w:unhideWhenUsed/>
    <w:rsid w:val="004E635E"/>
    <w:rPr>
      <w:color w:val="605E5C"/>
      <w:shd w:val="clear" w:color="auto" w:fill="E1DFDD"/>
    </w:rPr>
  </w:style>
  <w:style w:type="character" w:styleId="Mention">
    <w:name w:val="Mention"/>
    <w:basedOn w:val="DefaultParagraphFont"/>
    <w:uiPriority w:val="99"/>
    <w:unhideWhenUsed/>
    <w:rsid w:val="004E635E"/>
    <w:rPr>
      <w:color w:val="2B579A"/>
      <w:shd w:val="clear" w:color="auto" w:fill="E1DFDD"/>
    </w:rPr>
  </w:style>
  <w:style w:type="character" w:styleId="Hyperlink">
    <w:name w:val="Hyperlink"/>
    <w:basedOn w:val="DefaultParagraphFont"/>
    <w:uiPriority w:val="99"/>
    <w:unhideWhenUsed/>
    <w:rsid w:val="004E635E"/>
    <w:rPr>
      <w:color w:val="0000FF" w:themeColor="hyperlink"/>
      <w:u w:val="single"/>
    </w:rPr>
  </w:style>
  <w:style w:type="character" w:styleId="FollowedHyperlink">
    <w:name w:val="FollowedHyperlink"/>
    <w:basedOn w:val="DefaultParagraphFont"/>
    <w:uiPriority w:val="99"/>
    <w:semiHidden/>
    <w:unhideWhenUsed/>
    <w:rsid w:val="004E635E"/>
    <w:rPr>
      <w:color w:val="800080" w:themeColor="followedHyperlink"/>
      <w:u w:val="single"/>
    </w:rPr>
  </w:style>
  <w:style w:type="character" w:customStyle="1" w:styleId="Heading4Char">
    <w:name w:val="Heading 4 Char"/>
    <w:basedOn w:val="DefaultParagraphFont"/>
    <w:link w:val="Heading4"/>
    <w:uiPriority w:val="9"/>
    <w:rsid w:val="004E635E"/>
    <w:rPr>
      <w:rFonts w:ascii="Times New Roman" w:eastAsiaTheme="majorEastAsia" w:hAnsi="Times New Roman" w:cstheme="majorBidi"/>
      <w:b/>
      <w:iCs/>
      <w:sz w:val="24"/>
      <w:szCs w:val="24"/>
    </w:rPr>
  </w:style>
  <w:style w:type="paragraph" w:customStyle="1" w:styleId="Default">
    <w:name w:val="Default"/>
    <w:rsid w:val="008E0D24"/>
    <w:pPr>
      <w:autoSpaceDE w:val="0"/>
      <w:autoSpaceDN w:val="0"/>
      <w:adjustRightInd w:val="0"/>
      <w:spacing w:line="240" w:lineRule="auto"/>
      <w:ind w:firstLine="0"/>
    </w:pPr>
    <w:rPr>
      <w:rFonts w:ascii="Times New Roman" w:eastAsiaTheme="minorHAnsi" w:hAnsi="Times New Roman"/>
      <w:color w:val="000000"/>
      <w:sz w:val="24"/>
      <w:szCs w:val="24"/>
    </w:rPr>
  </w:style>
  <w:style w:type="character" w:styleId="Emphasis">
    <w:name w:val="Emphasis"/>
    <w:basedOn w:val="DefaultParagraphFont"/>
    <w:uiPriority w:val="20"/>
    <w:qFormat/>
    <w:rsid w:val="0072344C"/>
    <w:rPr>
      <w:i/>
      <w:iCs/>
    </w:rPr>
  </w:style>
  <w:style w:type="paragraph" w:styleId="Revision">
    <w:name w:val="Revision"/>
    <w:hidden/>
    <w:uiPriority w:val="99"/>
    <w:semiHidden/>
    <w:rsid w:val="00D868B9"/>
    <w:pPr>
      <w:spacing w:line="240" w:lineRule="auto"/>
      <w:ind w:firstLine="0"/>
    </w:pPr>
    <w:rPr>
      <w:rFonts w:ascii="Times New Roman" w:hAnsi="Times New Roman"/>
      <w:sz w:val="24"/>
      <w:szCs w:val="22"/>
    </w:rPr>
  </w:style>
  <w:style w:type="character" w:customStyle="1" w:styleId="cosearchwithinterm">
    <w:name w:val="co_searchwithinterm"/>
    <w:basedOn w:val="DefaultParagraphFont"/>
    <w:rsid w:val="003C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13338">
      <w:bodyDiv w:val="1"/>
      <w:marLeft w:val="0"/>
      <w:marRight w:val="0"/>
      <w:marTop w:val="0"/>
      <w:marBottom w:val="0"/>
      <w:divBdr>
        <w:top w:val="none" w:sz="0" w:space="0" w:color="auto"/>
        <w:left w:val="none" w:sz="0" w:space="0" w:color="auto"/>
        <w:bottom w:val="none" w:sz="0" w:space="0" w:color="auto"/>
        <w:right w:val="none" w:sz="0" w:space="0" w:color="auto"/>
      </w:divBdr>
    </w:div>
    <w:div w:id="768894197">
      <w:bodyDiv w:val="1"/>
      <w:marLeft w:val="0"/>
      <w:marRight w:val="0"/>
      <w:marTop w:val="0"/>
      <w:marBottom w:val="0"/>
      <w:divBdr>
        <w:top w:val="none" w:sz="0" w:space="0" w:color="auto"/>
        <w:left w:val="none" w:sz="0" w:space="0" w:color="auto"/>
        <w:bottom w:val="none" w:sz="0" w:space="0" w:color="auto"/>
        <w:right w:val="none" w:sz="0" w:space="0" w:color="auto"/>
      </w:divBdr>
    </w:div>
    <w:div w:id="1665428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5A4A77C1A4A7FADAF0592D790FD5B"/>
        <w:category>
          <w:name w:val="General"/>
          <w:gallery w:val="placeholder"/>
        </w:category>
        <w:types>
          <w:type w:val="bbPlcHdr"/>
        </w:types>
        <w:behaviors>
          <w:behavior w:val="content"/>
        </w:behaviors>
        <w:guid w:val="{458A3182-C8D6-47FE-9B53-68F6FE4C82D7}"/>
      </w:docPartPr>
      <w:docPartBody>
        <w:p w:rsidR="00E64705" w:rsidRDefault="00E64705">
          <w:pPr>
            <w:pStyle w:val="6165A4A77C1A4A7FADAF0592D790FD5B"/>
          </w:pPr>
          <w:r w:rsidRPr="00A46F61">
            <w:rPr>
              <w:rStyle w:val="PlaceholderText"/>
              <w:color w:val="FF0000"/>
            </w:rPr>
            <w:t>Choose an item.</w:t>
          </w:r>
        </w:p>
      </w:docPartBody>
    </w:docPart>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386EE8EA72E84959866117AA38CE9860"/>
        <w:category>
          <w:name w:val="General"/>
          <w:gallery w:val="placeholder"/>
        </w:category>
        <w:types>
          <w:type w:val="bbPlcHdr"/>
        </w:types>
        <w:behaviors>
          <w:behavior w:val="content"/>
        </w:behaviors>
        <w:guid w:val="{0319E197-9073-43AE-A9D9-F66D006CA5E9}"/>
      </w:docPartPr>
      <w:docPartBody>
        <w:p w:rsidR="00E64705" w:rsidRDefault="00E64705">
          <w:pPr>
            <w:pStyle w:val="386EE8EA72E84959866117AA38CE9860"/>
          </w:pPr>
          <w:r w:rsidRPr="000469FB">
            <w:rPr>
              <w:rStyle w:val="PlaceholderText"/>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CC691B1F002D4442BFCA547C2422318F"/>
        <w:category>
          <w:name w:val="General"/>
          <w:gallery w:val="placeholder"/>
        </w:category>
        <w:types>
          <w:type w:val="bbPlcHdr"/>
        </w:types>
        <w:behaviors>
          <w:behavior w:val="content"/>
        </w:behaviors>
        <w:guid w:val="{5108CEAC-853E-4A5D-A517-EEC66DD10C40}"/>
      </w:docPartPr>
      <w:docPartBody>
        <w:p w:rsidR="00883D0A" w:rsidRDefault="00AA572D" w:rsidP="00AA572D">
          <w:pPr>
            <w:pStyle w:val="CC691B1F002D4442BFCA547C2422318F"/>
          </w:pPr>
          <w:r w:rsidRPr="00450326">
            <w:rPr>
              <w:rStyle w:val="PlaceholderText"/>
            </w:rPr>
            <w:t>Click here to enter text.</w:t>
          </w:r>
        </w:p>
      </w:docPartBody>
    </w:docPart>
    <w:docPart>
      <w:docPartPr>
        <w:name w:val="E409A3B3031A4E90A7913BAEB60CAE1C"/>
        <w:category>
          <w:name w:val="General"/>
          <w:gallery w:val="placeholder"/>
        </w:category>
        <w:types>
          <w:type w:val="bbPlcHdr"/>
        </w:types>
        <w:behaviors>
          <w:behavior w:val="content"/>
        </w:behaviors>
        <w:guid w:val="{52431BB1-E85F-4E05-8289-9988DE7C705F}"/>
      </w:docPartPr>
      <w:docPartBody>
        <w:p w:rsidR="00883D0A" w:rsidRDefault="00AA572D" w:rsidP="00AA572D">
          <w:pPr>
            <w:pStyle w:val="E409A3B3031A4E90A7913BAEB60CAE1C"/>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2F01BE"/>
    <w:rsid w:val="003425CE"/>
    <w:rsid w:val="00435596"/>
    <w:rsid w:val="00442947"/>
    <w:rsid w:val="00452E49"/>
    <w:rsid w:val="00460529"/>
    <w:rsid w:val="005D0376"/>
    <w:rsid w:val="0063703C"/>
    <w:rsid w:val="006E192C"/>
    <w:rsid w:val="00767FA1"/>
    <w:rsid w:val="00822699"/>
    <w:rsid w:val="00840FC2"/>
    <w:rsid w:val="00883D0A"/>
    <w:rsid w:val="00A20511"/>
    <w:rsid w:val="00A9423A"/>
    <w:rsid w:val="00AA572D"/>
    <w:rsid w:val="00AF4850"/>
    <w:rsid w:val="00C621E1"/>
    <w:rsid w:val="00DD2D17"/>
    <w:rsid w:val="00E64705"/>
    <w:rsid w:val="00FB1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72D"/>
    <w:rPr>
      <w:color w:val="808080"/>
    </w:rPr>
  </w:style>
  <w:style w:type="paragraph" w:customStyle="1" w:styleId="6165A4A77C1A4A7FADAF0592D790FD5B">
    <w:name w:val="6165A4A77C1A4A7FADAF0592D790FD5B"/>
  </w:style>
  <w:style w:type="paragraph" w:customStyle="1" w:styleId="3C6B7C5B5D7642F1A88F4392E848C3B6">
    <w:name w:val="3C6B7C5B5D7642F1A88F4392E848C3B6"/>
  </w:style>
  <w:style w:type="paragraph" w:customStyle="1" w:styleId="386EE8EA72E84959866117AA38CE9860">
    <w:name w:val="386EE8EA72E84959866117AA38CE9860"/>
  </w:style>
  <w:style w:type="paragraph" w:customStyle="1" w:styleId="AFE25C9392964D679F1440F8E79A8A9C">
    <w:name w:val="AFE25C9392964D679F1440F8E79A8A9C"/>
  </w:style>
  <w:style w:type="paragraph" w:customStyle="1" w:styleId="106CF76ED4074787BFB0A2F8B25454F4">
    <w:name w:val="106CF76ED4074787BFB0A2F8B25454F4"/>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CC691B1F002D4442BFCA547C2422318F">
    <w:name w:val="CC691B1F002D4442BFCA547C2422318F"/>
    <w:rsid w:val="00AA572D"/>
  </w:style>
  <w:style w:type="paragraph" w:customStyle="1" w:styleId="E409A3B3031A4E90A7913BAEB60CAE1C">
    <w:name w:val="E409A3B3031A4E90A7913BAEB60CAE1C"/>
    <w:rsid w:val="00AA5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4" ma:contentTypeDescription="Create a new document." ma:contentTypeScope="" ma:versionID="c02bc9a730e885abd08b56b4ea41e91e">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df08e9b3459d7de60e66cf896ed86ca"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UserInfo>
        <DisplayName>Judge Richard Honn</DisplayName>
        <AccountId>36</AccountId>
        <AccountType/>
      </UserInfo>
      <UserInfo>
        <DisplayName>Judge Tamara Ribas</DisplayName>
        <AccountId>1299</AccountId>
        <AccountType/>
      </UserInfo>
      <UserInfo>
        <DisplayName>Guladzhyan, Jasmine</DisplayName>
        <AccountId>21</AccountId>
        <AccountType/>
      </UserInfo>
      <UserInfo>
        <DisplayName>Judge W. Kearse McGill</DisplayName>
        <AccountId>33</AccountId>
        <AccountType/>
      </UserInfo>
      <UserInfo>
        <DisplayName>Tapley, Talya</DisplayName>
        <AccountId>37</AccountId>
        <AccountType/>
      </UserInfo>
      <UserInfo>
        <DisplayName>Milojevich-Moore, Cherie</DisplayName>
        <AccountId>24</AccountId>
        <AccountType/>
      </UserInfo>
      <UserInfo>
        <DisplayName>Pauli, Diana</DisplayName>
        <AccountId>1279</AccountId>
        <AccountType/>
      </UserInfo>
      <UserInfo>
        <DisplayName>Rosenberg, Rebecca</DisplayName>
        <AccountId>20</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3.xml><?xml version="1.0" encoding="utf-8"?>
<ds:datastoreItem xmlns:ds="http://schemas.openxmlformats.org/officeDocument/2006/customXml" ds:itemID="{D2F2E00D-70B1-4C17-B870-70B46B2969CF}"/>
</file>

<file path=customXml/itemProps4.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8157</Words>
  <Characters>46501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Tapley, Talya</dc:creator>
  <cp:keywords/>
  <dc:description/>
  <cp:lastModifiedBy>Zavala, Mel</cp:lastModifiedBy>
  <cp:revision>2</cp:revision>
  <cp:lastPrinted>2023-10-13T19:47:00Z</cp:lastPrinted>
  <dcterms:created xsi:type="dcterms:W3CDTF">2023-10-17T21:25:00Z</dcterms:created>
  <dcterms:modified xsi:type="dcterms:W3CDTF">2023-10-17T21:25:00Z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