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AFB4E" w14:textId="0A2EF8CB" w:rsidR="00832223" w:rsidRPr="00E26B8A" w:rsidRDefault="008E33D3" w:rsidP="00C13F27">
      <w:r>
        <w:t>PUBLIC MATTER</w:t>
      </w:r>
      <w:r w:rsidR="00A60318">
        <w:t>—</w:t>
      </w:r>
      <w:r>
        <w:t>DESIGNATED FOR PUBLICATION</w:t>
      </w:r>
    </w:p>
    <w:p w14:paraId="2A27B9A0" w14:textId="77777777" w:rsidR="00832223" w:rsidRDefault="00832223" w:rsidP="00C13F27"/>
    <w:p w14:paraId="5109043E" w14:textId="4FE7DC1A" w:rsidR="00474987" w:rsidRDefault="00E93785" w:rsidP="00F427B6">
      <w:pPr>
        <w:contextualSpacing/>
      </w:pPr>
      <w:r>
        <w:tab/>
      </w:r>
      <w:r>
        <w:tab/>
      </w:r>
      <w:r>
        <w:tab/>
      </w:r>
      <w:r>
        <w:tab/>
      </w:r>
      <w:r>
        <w:tab/>
      </w:r>
      <w:r>
        <w:tab/>
      </w:r>
      <w:r>
        <w:tab/>
      </w:r>
      <w:r>
        <w:tab/>
      </w:r>
      <w:r w:rsidR="005D22C1">
        <w:t>Filed November 10, 2021</w:t>
      </w:r>
    </w:p>
    <w:p w14:paraId="466DC7DE" w14:textId="77777777" w:rsidR="00B56527" w:rsidRDefault="00B56527" w:rsidP="00F427B6">
      <w:pPr>
        <w:contextualSpacing/>
      </w:pPr>
    </w:p>
    <w:p w14:paraId="017FE2B3" w14:textId="77777777" w:rsidR="00B231E1" w:rsidRDefault="00B231E1" w:rsidP="00F427B6">
      <w:pPr>
        <w:contextualSpacing/>
      </w:pPr>
    </w:p>
    <w:p w14:paraId="2228A3A7" w14:textId="77777777" w:rsidR="00832223" w:rsidRPr="00B76F6A" w:rsidRDefault="00832223" w:rsidP="00B76F6A">
      <w:pPr>
        <w:pStyle w:val="OpinionHeading"/>
      </w:pPr>
      <w:r w:rsidRPr="00B76F6A">
        <w:t>STATE BAR COURT OF CALIFORNIA</w:t>
      </w:r>
    </w:p>
    <w:p w14:paraId="0C1B011C" w14:textId="77777777" w:rsidR="00832223" w:rsidRPr="00B76F6A" w:rsidRDefault="00832223" w:rsidP="00B76F6A">
      <w:pPr>
        <w:pStyle w:val="OpinionHeading"/>
      </w:pPr>
    </w:p>
    <w:p w14:paraId="03063A13" w14:textId="77777777" w:rsidR="00832223" w:rsidRPr="00B76F6A" w:rsidRDefault="00832223" w:rsidP="00B76F6A">
      <w:pPr>
        <w:pStyle w:val="OpinionHeading"/>
      </w:pPr>
      <w:r w:rsidRPr="00B76F6A">
        <w:t>REVIEW DEPARTMENT</w:t>
      </w:r>
    </w:p>
    <w:p w14:paraId="20EE8AC9" w14:textId="77777777" w:rsidR="00832223" w:rsidRPr="00C11CC8" w:rsidRDefault="00832223" w:rsidP="00832223">
      <w:pPr>
        <w:jc w:val="center"/>
        <w:rPr>
          <w:b/>
        </w:rPr>
      </w:pPr>
    </w:p>
    <w:p w14:paraId="7A4F12BA"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18"/>
        <w:gridCol w:w="490"/>
        <w:gridCol w:w="4152"/>
      </w:tblGrid>
      <w:tr w:rsidR="00832223" w:rsidRPr="00C11CC8" w14:paraId="1B199BC2" w14:textId="77777777" w:rsidTr="00357051">
        <w:tc>
          <w:tcPr>
            <w:tcW w:w="4770" w:type="dxa"/>
            <w:tcBorders>
              <w:top w:val="nil"/>
              <w:left w:val="nil"/>
              <w:right w:val="nil"/>
            </w:tcBorders>
            <w:tcMar>
              <w:left w:w="0" w:type="dxa"/>
              <w:right w:w="0" w:type="dxa"/>
            </w:tcMar>
          </w:tcPr>
          <w:p w14:paraId="468E70A1" w14:textId="77777777" w:rsidR="00832223" w:rsidRDefault="00832223" w:rsidP="00357051">
            <w:bookmarkStart w:id="0" w:name="_Hlk93586289"/>
            <w:r>
              <w:t>In the Matter of</w:t>
            </w:r>
          </w:p>
          <w:p w14:paraId="6183A6E1" w14:textId="77777777" w:rsidR="00832223" w:rsidRDefault="00832223" w:rsidP="00357051"/>
          <w:p w14:paraId="12A5F024" w14:textId="2024759B" w:rsidR="00832223" w:rsidRPr="008F3169" w:rsidRDefault="00E02458" w:rsidP="00357051">
            <w:bookmarkStart w:id="1" w:name="Respondent"/>
            <w:bookmarkEnd w:id="1"/>
            <w:r>
              <w:t>EDWARD SHKOLNIKOV</w:t>
            </w:r>
          </w:p>
          <w:bookmarkEnd w:id="0"/>
          <w:p w14:paraId="02FA45DC" w14:textId="77777777" w:rsidR="00832223" w:rsidRDefault="00832223" w:rsidP="00357051"/>
          <w:p w14:paraId="5656C5EA" w14:textId="20356231" w:rsidR="00832223" w:rsidRPr="00C11CC8" w:rsidRDefault="008E33D3" w:rsidP="002C01AA">
            <w:bookmarkStart w:id="2" w:name="type"/>
            <w:bookmarkEnd w:id="2"/>
            <w:r>
              <w:t>State Bar No.</w:t>
            </w:r>
            <w:r w:rsidR="00832223">
              <w:t xml:space="preserve"> </w:t>
            </w:r>
            <w:bookmarkStart w:id="3" w:name="memno"/>
            <w:bookmarkStart w:id="4" w:name="MemberNo"/>
            <w:bookmarkEnd w:id="3"/>
            <w:bookmarkEnd w:id="4"/>
            <w:r w:rsidR="00E02458">
              <w:t>237116</w:t>
            </w:r>
            <w:r>
              <w:t>.</w:t>
            </w:r>
          </w:p>
        </w:tc>
        <w:tc>
          <w:tcPr>
            <w:tcW w:w="497" w:type="dxa"/>
            <w:tcBorders>
              <w:top w:val="nil"/>
              <w:left w:val="nil"/>
              <w:bottom w:val="nil"/>
              <w:right w:val="nil"/>
            </w:tcBorders>
            <w:tcMar>
              <w:left w:w="0" w:type="dxa"/>
              <w:right w:w="0" w:type="dxa"/>
            </w:tcMar>
          </w:tcPr>
          <w:p w14:paraId="59F3764E" w14:textId="77777777" w:rsidR="00832223" w:rsidRPr="004D32E9" w:rsidRDefault="00832223" w:rsidP="00357051">
            <w:r w:rsidRPr="004D32E9">
              <w:t>)</w:t>
            </w:r>
          </w:p>
          <w:p w14:paraId="6C0E6613" w14:textId="77777777"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7F6EDBA3" w14:textId="1852D2F1" w:rsidR="00832223" w:rsidRPr="005E6703" w:rsidRDefault="00E02458" w:rsidP="00357051">
            <w:bookmarkStart w:id="5" w:name="caseno"/>
            <w:bookmarkStart w:id="6" w:name="_Hlk93586455"/>
            <w:bookmarkEnd w:id="5"/>
            <w:r>
              <w:t>SBC-20</w:t>
            </w:r>
            <w:r w:rsidR="002C01AA">
              <w:t>-O-</w:t>
            </w:r>
            <w:r>
              <w:t>30528</w:t>
            </w:r>
          </w:p>
          <w:bookmarkEnd w:id="6"/>
          <w:p w14:paraId="5AECFC6A" w14:textId="77777777" w:rsidR="00832223" w:rsidRDefault="00832223" w:rsidP="00357051"/>
          <w:p w14:paraId="1CCD2960" w14:textId="470B405D" w:rsidR="00832223" w:rsidRDefault="008E33D3" w:rsidP="00357051">
            <w:bookmarkStart w:id="7" w:name="title"/>
            <w:bookmarkEnd w:id="7"/>
            <w:r>
              <w:t>OPINION</w:t>
            </w:r>
          </w:p>
          <w:p w14:paraId="15B1079B" w14:textId="55ADAABB" w:rsidR="00197298" w:rsidRDefault="00197298" w:rsidP="00357051">
            <w:r w:rsidRPr="00034BD7">
              <w:t>[As Modified on January</w:t>
            </w:r>
            <w:r w:rsidR="00034BD7" w:rsidRPr="00034BD7">
              <w:t xml:space="preserve"> 2</w:t>
            </w:r>
            <w:r w:rsidR="008F4E53">
              <w:t>1</w:t>
            </w:r>
            <w:r w:rsidRPr="00034BD7">
              <w:t>, 2022]</w:t>
            </w:r>
          </w:p>
          <w:p w14:paraId="509C669E" w14:textId="29AC8404" w:rsidR="002268DF" w:rsidRPr="00D90643" w:rsidRDefault="002268DF" w:rsidP="00357051"/>
        </w:tc>
      </w:tr>
    </w:tbl>
    <w:p w14:paraId="40792B95" w14:textId="77777777" w:rsidR="00832223" w:rsidRDefault="00832223" w:rsidP="00832223"/>
    <w:p w14:paraId="4FC80BEB" w14:textId="7EA72C86" w:rsidR="00E02458" w:rsidRDefault="00E02458" w:rsidP="00E02458">
      <w:pPr>
        <w:spacing w:line="480" w:lineRule="auto"/>
        <w:ind w:right="-144" w:firstLine="720"/>
      </w:pPr>
      <w:bookmarkStart w:id="8" w:name="start"/>
      <w:bookmarkEnd w:id="8"/>
      <w:r>
        <w:t xml:space="preserve">Edward Shkolnikov </w:t>
      </w:r>
      <w:r w:rsidR="00487266">
        <w:t xml:space="preserve">is charged with </w:t>
      </w:r>
      <w:r>
        <w:t>five</w:t>
      </w:r>
      <w:r w:rsidR="00487266">
        <w:t xml:space="preserve"> counts of misconduct </w:t>
      </w:r>
      <w:r>
        <w:t>in two client matters: moral turpitude (misrepresentation), failure to perform with competence, failure to inform client of significant development</w:t>
      </w:r>
      <w:r w:rsidR="00014B46">
        <w:t>s</w:t>
      </w:r>
      <w:r>
        <w:t xml:space="preserve"> (two counts), and improper withdrawal from employment.  </w:t>
      </w:r>
      <w:r w:rsidR="00487266">
        <w:t xml:space="preserve">A hearing judge found </w:t>
      </w:r>
      <w:r>
        <w:t>Shkolnikov</w:t>
      </w:r>
      <w:r w:rsidR="00487266">
        <w:t xml:space="preserve"> </w:t>
      </w:r>
      <w:r w:rsidR="00C5327C">
        <w:t xml:space="preserve">culpable </w:t>
      </w:r>
      <w:r w:rsidR="004C7EC0">
        <w:t xml:space="preserve">on </w:t>
      </w:r>
      <w:r>
        <w:t>three</w:t>
      </w:r>
      <w:r w:rsidR="004C7EC0">
        <w:t xml:space="preserve"> of </w:t>
      </w:r>
      <w:r w:rsidR="00487266">
        <w:t xml:space="preserve">the </w:t>
      </w:r>
      <w:r>
        <w:t>five</w:t>
      </w:r>
      <w:r w:rsidR="004C7EC0">
        <w:t xml:space="preserve"> counts</w:t>
      </w:r>
      <w:r>
        <w:t xml:space="preserve">; he did not find Shkolnikov culpable of the two counts for failure to inform of significant developments.  The judge </w:t>
      </w:r>
      <w:r w:rsidR="00965E5F">
        <w:t xml:space="preserve">recommended that </w:t>
      </w:r>
      <w:r>
        <w:t>Shkolnikov</w:t>
      </w:r>
      <w:r w:rsidR="00965E5F">
        <w:t xml:space="preserve"> be actually suspended for </w:t>
      </w:r>
      <w:r>
        <w:t xml:space="preserve">45 days.  The </w:t>
      </w:r>
      <w:r w:rsidR="00912659">
        <w:t>Office of Chief Trial Counsel of the State Bar (OCTC) appeal</w:t>
      </w:r>
      <w:r>
        <w:t>s, arguing that the record supports culpability on all five counts and that an actual suspension of six months is required.  Shkolnikov accepts the hearing judge’s findings and recommendation.</w:t>
      </w:r>
    </w:p>
    <w:p w14:paraId="31F33ACC" w14:textId="4051ED5E" w:rsidR="009E2486" w:rsidRDefault="00410DB9" w:rsidP="00C81976">
      <w:pPr>
        <w:spacing w:line="480" w:lineRule="auto"/>
        <w:ind w:right="-144" w:firstLine="720"/>
      </w:pPr>
      <w:r w:rsidRPr="00096744">
        <w:t xml:space="preserve">Upon independent review of the record (Cal. Rules of Court, rule 9.12), </w:t>
      </w:r>
      <w:r w:rsidR="00667F50" w:rsidRPr="00096744">
        <w:t>we</w:t>
      </w:r>
      <w:r w:rsidR="00667F50">
        <w:t xml:space="preserve"> </w:t>
      </w:r>
      <w:r w:rsidR="00487266">
        <w:t xml:space="preserve">find </w:t>
      </w:r>
      <w:r w:rsidR="00E02458">
        <w:t>Shkolnikov</w:t>
      </w:r>
      <w:r w:rsidR="00487266">
        <w:t xml:space="preserve"> culpable of </w:t>
      </w:r>
      <w:r w:rsidR="00431D19">
        <w:t>four</w:t>
      </w:r>
      <w:r w:rsidR="00487266">
        <w:t xml:space="preserve"> counts of misconduct.</w:t>
      </w:r>
      <w:r w:rsidR="00E02458">
        <w:t xml:space="preserve">  </w:t>
      </w:r>
      <w:r w:rsidR="00E60FA2">
        <w:t xml:space="preserve">His misconduct spanned several years, involved </w:t>
      </w:r>
      <w:r w:rsidR="006F18BC">
        <w:t xml:space="preserve">intentional </w:t>
      </w:r>
      <w:r w:rsidR="00E60FA2">
        <w:t>misrepresentation</w:t>
      </w:r>
      <w:r w:rsidR="006F18BC">
        <w:t xml:space="preserve"> to a client</w:t>
      </w:r>
      <w:r w:rsidR="00E60FA2">
        <w:t>, and caused significant harm in two client matters.</w:t>
      </w:r>
      <w:r w:rsidR="00C41757">
        <w:t xml:space="preserve">  Under these circumstances, a 45-day actual suspension is not appropriate.</w:t>
      </w:r>
      <w:r w:rsidR="00C81976">
        <w:t xml:space="preserve">  Protection of the public, the courts, and the legal profession is necessary and</w:t>
      </w:r>
      <w:r w:rsidR="00D36884">
        <w:t>,</w:t>
      </w:r>
      <w:r w:rsidR="00C81976">
        <w:t xml:space="preserve"> in order to achieve that, we recommend a six-month actual suspension as warranted under our disciplinary standards.</w:t>
      </w:r>
    </w:p>
    <w:p w14:paraId="194ECF91" w14:textId="77777777" w:rsidR="009E2486" w:rsidRDefault="009E2486" w:rsidP="00C81976">
      <w:pPr>
        <w:spacing w:line="480" w:lineRule="auto"/>
        <w:ind w:right="-144"/>
      </w:pPr>
    </w:p>
    <w:p w14:paraId="44DAA756" w14:textId="77777777" w:rsidR="00410DB9" w:rsidRPr="00410DB9" w:rsidRDefault="00410DB9" w:rsidP="00410DB9">
      <w:pPr>
        <w:spacing w:line="480" w:lineRule="auto"/>
        <w:jc w:val="center"/>
        <w:rPr>
          <w:b/>
        </w:rPr>
      </w:pPr>
      <w:r w:rsidRPr="00410DB9">
        <w:rPr>
          <w:b/>
        </w:rPr>
        <w:lastRenderedPageBreak/>
        <w:t>I.  PROCEDURAL BACKGROUND</w:t>
      </w:r>
    </w:p>
    <w:p w14:paraId="49DC3967" w14:textId="330CEF58" w:rsidR="00043853" w:rsidRDefault="00410DB9" w:rsidP="003D56F4">
      <w:pPr>
        <w:spacing w:line="480" w:lineRule="auto"/>
        <w:ind w:firstLine="720"/>
      </w:pPr>
      <w:r>
        <w:t xml:space="preserve">OCTC filed a Notice of Disciplinary Charges (NDC) on </w:t>
      </w:r>
      <w:r w:rsidR="009F4DF3">
        <w:t>August 25, 2020</w:t>
      </w:r>
      <w:r w:rsidR="00A945AA">
        <w:t xml:space="preserve">.  </w:t>
      </w:r>
      <w:r w:rsidR="009F4DF3">
        <w:t xml:space="preserve">Shkolnikov </w:t>
      </w:r>
      <w:r w:rsidR="000513C2">
        <w:t xml:space="preserve">filed </w:t>
      </w:r>
      <w:r w:rsidR="009F4DF3">
        <w:t>a response</w:t>
      </w:r>
      <w:r w:rsidR="000513C2">
        <w:t xml:space="preserve"> on </w:t>
      </w:r>
      <w:r w:rsidR="009F4DF3">
        <w:t>September 23</w:t>
      </w:r>
      <w:r w:rsidR="00A945AA">
        <w:t xml:space="preserve">.  </w:t>
      </w:r>
      <w:r w:rsidR="00741A6C">
        <w:t>On November 30, the parties filed a Stipulation to Undisputed Facts (</w:t>
      </w:r>
      <w:r w:rsidR="005F2E1F">
        <w:t>S</w:t>
      </w:r>
      <w:r w:rsidR="00741A6C">
        <w:t>tipulation).  T</w:t>
      </w:r>
      <w:r w:rsidR="007F53EA">
        <w:t xml:space="preserve">rial was held </w:t>
      </w:r>
      <w:r w:rsidR="005C3A2E">
        <w:t xml:space="preserve">on </w:t>
      </w:r>
      <w:r w:rsidR="00741A6C">
        <w:t>December 8,</w:t>
      </w:r>
      <w:r w:rsidR="00874A2A">
        <w:t xml:space="preserve"> and</w:t>
      </w:r>
      <w:r w:rsidR="000900F9">
        <w:t xml:space="preserve"> </w:t>
      </w:r>
      <w:r w:rsidR="00874A2A">
        <w:t>c</w:t>
      </w:r>
      <w:r w:rsidR="005C1620">
        <w:t>losi</w:t>
      </w:r>
      <w:r w:rsidR="000513C2">
        <w:t>ng briefs were filed o</w:t>
      </w:r>
      <w:r w:rsidR="00741A6C">
        <w:t>n December 18</w:t>
      </w:r>
      <w:r w:rsidR="005C1620">
        <w:t xml:space="preserve">.  The hearing judge </w:t>
      </w:r>
      <w:r w:rsidR="000513C2">
        <w:t xml:space="preserve">issued his decision on </w:t>
      </w:r>
      <w:r w:rsidR="00741A6C">
        <w:t>February 16, 2021</w:t>
      </w:r>
      <w:r w:rsidR="005C1620">
        <w:t>.</w:t>
      </w:r>
      <w:r w:rsidR="00741A6C">
        <w:t xml:space="preserve">  OCTC filed a request for review on March 5.  After briefing was completed, we heard oral argument on </w:t>
      </w:r>
      <w:r w:rsidR="00583059">
        <w:t>October 13</w:t>
      </w:r>
      <w:r w:rsidR="00741A6C">
        <w:t>.</w:t>
      </w:r>
    </w:p>
    <w:p w14:paraId="13DEEF45" w14:textId="14C7EB7D" w:rsidR="005A3ADE" w:rsidRPr="005A3ADE" w:rsidRDefault="00410DB9" w:rsidP="008A71E9">
      <w:pPr>
        <w:spacing w:line="480" w:lineRule="auto"/>
        <w:jc w:val="center"/>
        <w:rPr>
          <w:b/>
        </w:rPr>
      </w:pPr>
      <w:r w:rsidRPr="003D0ED1">
        <w:rPr>
          <w:b/>
        </w:rPr>
        <w:t xml:space="preserve">II.  </w:t>
      </w:r>
      <w:r w:rsidR="000573E7">
        <w:rPr>
          <w:b/>
        </w:rPr>
        <w:t>FACTUAL BACKGROUND</w:t>
      </w:r>
      <w:r w:rsidR="003D0ED1">
        <w:rPr>
          <w:rStyle w:val="FootnoteReference"/>
          <w:b/>
        </w:rPr>
        <w:footnoteReference w:id="1"/>
      </w:r>
    </w:p>
    <w:p w14:paraId="194CE1E7" w14:textId="2B7280F3" w:rsidR="00224D19" w:rsidRDefault="000573E7" w:rsidP="000573E7">
      <w:pPr>
        <w:spacing w:line="480" w:lineRule="auto"/>
        <w:ind w:firstLine="720"/>
      </w:pPr>
      <w:bookmarkStart w:id="11" w:name="_Hlk55300952"/>
      <w:r>
        <w:t>Shkolnikov</w:t>
      </w:r>
      <w:r w:rsidR="00CD150E">
        <w:t xml:space="preserve"> </w:t>
      </w:r>
      <w:r>
        <w:t xml:space="preserve">was admitted to practice in California on June 1, 2005.  </w:t>
      </w:r>
    </w:p>
    <w:p w14:paraId="62C9B74D" w14:textId="0032541E" w:rsidR="000573E7" w:rsidRPr="00DB65B6" w:rsidRDefault="000573E7" w:rsidP="00DB65B6">
      <w:pPr>
        <w:spacing w:line="480" w:lineRule="auto"/>
        <w:rPr>
          <w:b/>
          <w:bCs/>
        </w:rPr>
      </w:pPr>
      <w:bookmarkStart w:id="12" w:name="_Hlk85552701"/>
      <w:r w:rsidRPr="00DB65B6">
        <w:rPr>
          <w:b/>
          <w:bCs/>
        </w:rPr>
        <w:t>A.</w:t>
      </w:r>
      <w:r w:rsidRPr="00DB65B6">
        <w:rPr>
          <w:b/>
          <w:bCs/>
        </w:rPr>
        <w:tab/>
        <w:t>Herrera Matter</w:t>
      </w:r>
    </w:p>
    <w:p w14:paraId="75AE4DE8" w14:textId="42C8B973" w:rsidR="00DB65B6" w:rsidRDefault="000573E7" w:rsidP="000573E7">
      <w:pPr>
        <w:spacing w:line="480" w:lineRule="auto"/>
        <w:ind w:firstLine="720"/>
      </w:pPr>
      <w:r>
        <w:t xml:space="preserve">On March 3, 2012, Hortencia Herrera was injured </w:t>
      </w:r>
      <w:r w:rsidR="00AA07F3">
        <w:t xml:space="preserve">while </w:t>
      </w:r>
      <w:r>
        <w:t>work</w:t>
      </w:r>
      <w:r w:rsidR="00AA07F3">
        <w:t xml:space="preserve">ing at </w:t>
      </w:r>
      <w:r>
        <w:t>a recycling center in San Luis Obispo.  A truck crashed into a container while she was inside, causing bundles of plastic bottles and cans to fall on her.  On March 12, Herrera retained Shkolnikov to represent her in a personal injury matter.  On M</w:t>
      </w:r>
      <w:r w:rsidR="00ED33A1">
        <w:t>arch</w:t>
      </w:r>
      <w:r>
        <w:t xml:space="preserve"> 3, 2014,</w:t>
      </w:r>
      <w:r w:rsidR="00ED33A1">
        <w:rPr>
          <w:rStyle w:val="FootnoteReference"/>
        </w:rPr>
        <w:footnoteReference w:id="2"/>
      </w:r>
      <w:r>
        <w:t xml:space="preserve"> exactly two years after the accident, Shkolnikov filed a complaint on Herrera’s behalf.  (</w:t>
      </w:r>
      <w:r w:rsidRPr="000573E7">
        <w:rPr>
          <w:i/>
          <w:iCs/>
        </w:rPr>
        <w:t>Herrera v. Flower</w:t>
      </w:r>
      <w:r w:rsidR="00867B8B">
        <w:rPr>
          <w:i/>
          <w:iCs/>
        </w:rPr>
        <w:t>s</w:t>
      </w:r>
      <w:r w:rsidRPr="000573E7">
        <w:rPr>
          <w:i/>
          <w:iCs/>
        </w:rPr>
        <w:t xml:space="preserve"> Foods, Inc.</w:t>
      </w:r>
      <w:r>
        <w:t xml:space="preserve"> (Super. Ct. L.A. County</w:t>
      </w:r>
      <w:r w:rsidR="007C74D8">
        <w:t>,</w:t>
      </w:r>
      <w:r w:rsidR="00867B8B">
        <w:t xml:space="preserve"> </w:t>
      </w:r>
      <w:r>
        <w:t>No. BC545459</w:t>
      </w:r>
      <w:r w:rsidR="00867B8B">
        <w:t>).)</w:t>
      </w:r>
      <w:r>
        <w:t xml:space="preserve">  Shkolnikov and Herrera executed liens with Herrera’s medical providers.  </w:t>
      </w:r>
    </w:p>
    <w:p w14:paraId="25D1A884" w14:textId="7553407A" w:rsidR="000573E7" w:rsidRDefault="000573E7" w:rsidP="000573E7">
      <w:pPr>
        <w:spacing w:line="480" w:lineRule="auto"/>
        <w:ind w:firstLine="720"/>
      </w:pPr>
      <w:r>
        <w:t xml:space="preserve">Trial was set for September 3, 2015.  On August 17, Shkolnikov did not appear for the final status conference </w:t>
      </w:r>
      <w:r w:rsidR="008A2CCA">
        <w:t xml:space="preserve">(FSC) </w:t>
      </w:r>
      <w:r>
        <w:t>or communicate with the court as to the non-appearance.  The</w:t>
      </w:r>
      <w:r w:rsidR="00545063">
        <w:t xml:space="preserve"> </w:t>
      </w:r>
      <w:r>
        <w:t>defendant, Flower</w:t>
      </w:r>
      <w:r w:rsidR="00874E40">
        <w:t>s</w:t>
      </w:r>
      <w:r>
        <w:t xml:space="preserve"> Foods, Inc., had not been served with the summons and complaint and did </w:t>
      </w:r>
      <w:r>
        <w:lastRenderedPageBreak/>
        <w:t>not appear.  The court took the status conference off calendar but kept the trial date on calendar.</w:t>
      </w:r>
      <w:r w:rsidR="00DB65B6">
        <w:t xml:space="preserve">  On September 3, Shkolnikov appeared and advised the court that he would serve the summons and complaint by publication.  The court reset </w:t>
      </w:r>
      <w:r w:rsidR="008A2CCA">
        <w:t>the FSC</w:t>
      </w:r>
      <w:r w:rsidR="00DB65B6">
        <w:t xml:space="preserve"> for March 3, 2016, and continued the trial to March 15, 2016.  </w:t>
      </w:r>
      <w:r w:rsidR="008A2CCA">
        <w:t>The rescheduled FSC and trial did not take place.  Instead, t</w:t>
      </w:r>
      <w:r w:rsidR="00DB65B6">
        <w:t xml:space="preserve">he court issued an order to show cause </w:t>
      </w:r>
      <w:r w:rsidR="00B925B0">
        <w:t xml:space="preserve">(OSC) </w:t>
      </w:r>
      <w:r w:rsidR="00DB65B6">
        <w:t>regarding dismissal for failure to prosecute and serve the summons and complaint.</w:t>
      </w:r>
      <w:r w:rsidR="008A2CCA">
        <w:t xml:space="preserve">  </w:t>
      </w:r>
      <w:r w:rsidR="00DB65B6">
        <w:t xml:space="preserve">On March 3, 2017, Shkolnikov appeared at a hearing on the </w:t>
      </w:r>
      <w:r w:rsidR="00B925B0">
        <w:t>OSC</w:t>
      </w:r>
      <w:r w:rsidR="00DB65B6">
        <w:t>.</w:t>
      </w:r>
      <w:r w:rsidR="00DA2BFF">
        <w:rPr>
          <w:rStyle w:val="FootnoteReference"/>
        </w:rPr>
        <w:footnoteReference w:id="3"/>
      </w:r>
      <w:r w:rsidR="00DB65B6">
        <w:t xml:space="preserve">  He requested a continuance to serve the defendant</w:t>
      </w:r>
      <w:r w:rsidR="00DA2BFF">
        <w:t>.</w:t>
      </w:r>
      <w:r w:rsidR="00D36884">
        <w:t xml:space="preserve"> </w:t>
      </w:r>
      <w:r w:rsidR="00DA2BFF">
        <w:t xml:space="preserve"> T</w:t>
      </w:r>
      <w:r w:rsidR="00DB65B6">
        <w:t>he court denied</w:t>
      </w:r>
      <w:r w:rsidR="00DA2BFF">
        <w:t xml:space="preserve"> the request</w:t>
      </w:r>
      <w:r w:rsidR="00DB65B6">
        <w:t xml:space="preserve"> and dismissed the case with prejudice.</w:t>
      </w:r>
    </w:p>
    <w:p w14:paraId="5687BF0E" w14:textId="6AE51E2B" w:rsidR="001B70B0" w:rsidRDefault="00DF41FA" w:rsidP="00332731">
      <w:pPr>
        <w:spacing w:line="480" w:lineRule="auto"/>
        <w:ind w:firstLine="720"/>
      </w:pPr>
      <w:bookmarkStart w:id="13" w:name="_Hlk82699331"/>
      <w:bookmarkEnd w:id="12"/>
      <w:r>
        <w:t xml:space="preserve">Herrera </w:t>
      </w:r>
      <w:r w:rsidR="001B70B0">
        <w:t>testified that Shkolnikov never informed her that her case was dismissed.  Instead, she stated that she believed Shkolnikov was still working on her case</w:t>
      </w:r>
      <w:r w:rsidR="001C4593">
        <w:t xml:space="preserve"> based on her communications with him</w:t>
      </w:r>
      <w:r w:rsidR="00AE768B">
        <w:t xml:space="preserve"> and that he </w:t>
      </w:r>
      <w:r>
        <w:t xml:space="preserve">had </w:t>
      </w:r>
      <w:r w:rsidR="00AB4F75">
        <w:t>negotiated</w:t>
      </w:r>
      <w:r w:rsidR="00AE768B">
        <w:t xml:space="preserve"> a $40,000 settlement</w:t>
      </w:r>
      <w:r w:rsidR="001C4593">
        <w:t xml:space="preserve">.  </w:t>
      </w:r>
      <w:r w:rsidR="005562E3">
        <w:t xml:space="preserve">In fact, </w:t>
      </w:r>
      <w:r>
        <w:t xml:space="preserve">the record reveals </w:t>
      </w:r>
      <w:r w:rsidR="005562E3">
        <w:t xml:space="preserve">Shkolnikov </w:t>
      </w:r>
      <w:r>
        <w:t>failed to inform Herrera that there</w:t>
      </w:r>
      <w:r w:rsidR="005562E3">
        <w:t xml:space="preserve"> was no settlement </w:t>
      </w:r>
      <w:r w:rsidR="00CD3BEC">
        <w:t xml:space="preserve">and the case had been dismissed two years </w:t>
      </w:r>
      <w:r>
        <w:t>earlier</w:t>
      </w:r>
      <w:r w:rsidR="00CD3BEC">
        <w:t xml:space="preserve">.  </w:t>
      </w:r>
      <w:r w:rsidR="001C4593">
        <w:t xml:space="preserve">Herrera thought that Shkolnikov was working to track down the money from the defendant in her case, which is corroborated by the text messages between Shkolnikov and Herrera in the record.  Shkolnikov texted </w:t>
      </w:r>
      <w:r w:rsidR="005F2E1F">
        <w:t>Herrera on August 30</w:t>
      </w:r>
      <w:r w:rsidR="003A3D60">
        <w:t xml:space="preserve"> and 31</w:t>
      </w:r>
      <w:r w:rsidR="005F2E1F">
        <w:t xml:space="preserve">, 2018, respectively, </w:t>
      </w:r>
      <w:r w:rsidR="001C4593">
        <w:t xml:space="preserve">that he was “on the phone tracking” </w:t>
      </w:r>
      <w:r w:rsidR="0013492E">
        <w:t>her settlement</w:t>
      </w:r>
      <w:r w:rsidR="001C4593">
        <w:t xml:space="preserve"> money, but there was “no money . . . in the account.”</w:t>
      </w:r>
      <w:r w:rsidR="006046E4">
        <w:rPr>
          <w:rStyle w:val="FootnoteReference"/>
        </w:rPr>
        <w:footnoteReference w:id="4"/>
      </w:r>
      <w:r w:rsidR="0013492E">
        <w:t xml:space="preserve">  Shkolnikov texted Herrera on August 31, 2018, “I settled for 40 we need to pay doctors too.  [Whatever] I will save on them will be passed on to you as well.”  When Herrera asked </w:t>
      </w:r>
      <w:r w:rsidR="00ED4AEB">
        <w:t xml:space="preserve">Shkolnikov </w:t>
      </w:r>
      <w:r w:rsidR="0013492E">
        <w:t>to give her the</w:t>
      </w:r>
      <w:r w:rsidR="00ED4AEB">
        <w:t xml:space="preserve"> settlement money</w:t>
      </w:r>
      <w:r w:rsidR="0013492E">
        <w:t xml:space="preserve">, Shkolnikov responded, “I wish I could.  As soon as [I] get it I will.  Believe me I know how much you need it.”  </w:t>
      </w:r>
      <w:r w:rsidR="00332731">
        <w:t>She also asked about court dates and what other work he was doing on the case.  She later texted</w:t>
      </w:r>
      <w:r w:rsidR="00AE768B">
        <w:t xml:space="preserve">, “[W]hy </w:t>
      </w:r>
      <w:r w:rsidR="00AE768B">
        <w:lastRenderedPageBreak/>
        <w:t xml:space="preserve">won’t you send me all my documents of my case...judgment...order you send the bank...all from beginning to end[?]”  </w:t>
      </w:r>
      <w:r w:rsidR="0013492E">
        <w:t xml:space="preserve">About a month later, Herrera texted again asking </w:t>
      </w:r>
      <w:r w:rsidR="00ED4AEB">
        <w:t xml:space="preserve">about her money.  Shkolnikov confirmed </w:t>
      </w:r>
      <w:r w:rsidR="00C972B2">
        <w:t xml:space="preserve">in a text message </w:t>
      </w:r>
      <w:r w:rsidR="00ED4AEB">
        <w:t>that he had promised her $40,000.</w:t>
      </w:r>
      <w:r w:rsidR="00C972B2">
        <w:rPr>
          <w:rStyle w:val="FootnoteReference"/>
        </w:rPr>
        <w:footnoteReference w:id="5"/>
      </w:r>
      <w:r w:rsidR="00ED4AEB">
        <w:t xml:space="preserve">  Herrera </w:t>
      </w:r>
      <w:r w:rsidR="00332731">
        <w:t xml:space="preserve">texted </w:t>
      </w:r>
      <w:r w:rsidR="00ED4AEB">
        <w:t>Shkolnikov</w:t>
      </w:r>
      <w:r w:rsidR="00332731">
        <w:t xml:space="preserve"> that he</w:t>
      </w:r>
      <w:r w:rsidR="00ED4AEB">
        <w:t xml:space="preserve"> needed to call </w:t>
      </w:r>
      <w:r w:rsidR="00332731">
        <w:t>“them”</w:t>
      </w:r>
      <w:r w:rsidR="00ED4AEB">
        <w:t xml:space="preserve"> to get the money.</w:t>
      </w:r>
    </w:p>
    <w:p w14:paraId="0C090329" w14:textId="72C355DF" w:rsidR="00626164" w:rsidRDefault="00ED4AEB" w:rsidP="00AB4F75">
      <w:pPr>
        <w:spacing w:line="480" w:lineRule="auto"/>
        <w:ind w:firstLine="720"/>
      </w:pPr>
      <w:r>
        <w:t xml:space="preserve">In April 2019, Herrera </w:t>
      </w:r>
      <w:r w:rsidR="00B3423C">
        <w:t xml:space="preserve">texted Shkolnikov, “There is a judgment from a judge and these people are . . . not paying off.  [P]lease Edward then go back to that judge and let’s get this ball rolling.”  Shkolnikov responded that he was working on finishing her case.  </w:t>
      </w:r>
      <w:r w:rsidR="00773891">
        <w:t>Herrera</w:t>
      </w:r>
      <w:r w:rsidR="00B3423C">
        <w:t xml:space="preserve"> </w:t>
      </w:r>
      <w:r w:rsidR="00FF2B79">
        <w:t xml:space="preserve">responded that she was going to look into contacting the Better Business Bureau because Shkolnikov had not closed her case.  He texted her, “I mean to be fully committed to you.  No other cases.”  In </w:t>
      </w:r>
      <w:r>
        <w:t xml:space="preserve">May 2019, Herrera texted asking for an update on her case.  Shkolnikov responded, “I am working on it constantly.  I hope to give you definite news.”  </w:t>
      </w:r>
      <w:r w:rsidR="00C972B2">
        <w:t>Later she asked, “Do you need to go back to court and let the judge know they don’t care what he ordered[?]”</w:t>
      </w:r>
      <w:r w:rsidR="00684DFD">
        <w:t xml:space="preserve">  Herrera testified that she believed Shkolnikov was still working on her case in 2019.</w:t>
      </w:r>
      <w:r w:rsidR="00DB3310">
        <w:rPr>
          <w:rStyle w:val="FootnoteReference"/>
        </w:rPr>
        <w:footnoteReference w:id="6"/>
      </w:r>
      <w:r w:rsidR="001A4BF1">
        <w:t xml:space="preserve">  </w:t>
      </w:r>
      <w:r w:rsidR="00C972B2">
        <w:t xml:space="preserve">The </w:t>
      </w:r>
      <w:r w:rsidR="00AB4F75">
        <w:t xml:space="preserve">multiple </w:t>
      </w:r>
      <w:r w:rsidR="00C972B2">
        <w:t>text messages corroborate Herrera’s understanding that the case was ongoing and that Shkolnikov was still doing work for her, not that it had been dismissed.</w:t>
      </w:r>
      <w:r w:rsidR="00CB6AAD">
        <w:t xml:space="preserve">  </w:t>
      </w:r>
      <w:bookmarkStart w:id="14" w:name="_Hlk84263455"/>
      <w:r w:rsidR="00CB6AAD">
        <w:t>T</w:t>
      </w:r>
      <w:r w:rsidR="00AB4F75">
        <w:t>he</w:t>
      </w:r>
      <w:r w:rsidR="00E02879">
        <w:t xml:space="preserve"> text messages are documentary evidence that Herrera was not aware her case was dismissed, which corresponds to her testimony.  The record supports Herrera’s version of events—that she was unaware that her case was dismissed</w:t>
      </w:r>
      <w:r w:rsidR="00A82144">
        <w:t>,</w:t>
      </w:r>
      <w:r w:rsidR="00E02879">
        <w:t xml:space="preserve"> </w:t>
      </w:r>
      <w:r w:rsidR="00E02879">
        <w:lastRenderedPageBreak/>
        <w:t>and she believed Shkolnikov was still working on it.</w:t>
      </w:r>
      <w:bookmarkStart w:id="15" w:name="_Hlk84258482"/>
      <w:r w:rsidR="00CB6AAD">
        <w:t xml:space="preserve">  Therefore, we find that Herrera did not know her case was dismissed.</w:t>
      </w:r>
      <w:r w:rsidR="00CB6AAD">
        <w:rPr>
          <w:rStyle w:val="FootnoteReference"/>
        </w:rPr>
        <w:footnoteReference w:id="7"/>
      </w:r>
    </w:p>
    <w:bookmarkEnd w:id="13"/>
    <w:bookmarkEnd w:id="14"/>
    <w:bookmarkEnd w:id="15"/>
    <w:p w14:paraId="1537B6E9" w14:textId="2331BBA1" w:rsidR="00EB4C17" w:rsidRPr="00EB4C17" w:rsidRDefault="00EB4C17" w:rsidP="00EB4C17">
      <w:pPr>
        <w:spacing w:line="480" w:lineRule="auto"/>
        <w:rPr>
          <w:b/>
          <w:bCs/>
        </w:rPr>
      </w:pPr>
      <w:r w:rsidRPr="00EB4C17">
        <w:rPr>
          <w:b/>
          <w:bCs/>
        </w:rPr>
        <w:t>B</w:t>
      </w:r>
      <w:bookmarkStart w:id="16" w:name="_Hlk85552717"/>
      <w:r w:rsidRPr="00EB4C17">
        <w:rPr>
          <w:b/>
          <w:bCs/>
        </w:rPr>
        <w:t>.</w:t>
      </w:r>
      <w:r w:rsidRPr="00EB4C17">
        <w:rPr>
          <w:b/>
          <w:bCs/>
        </w:rPr>
        <w:tab/>
        <w:t>Macias Matter</w:t>
      </w:r>
    </w:p>
    <w:p w14:paraId="7FD73B8A" w14:textId="77777777" w:rsidR="004539A2" w:rsidRDefault="00EB4C17" w:rsidP="000573E7">
      <w:pPr>
        <w:spacing w:line="480" w:lineRule="auto"/>
        <w:ind w:firstLine="720"/>
      </w:pPr>
      <w:bookmarkStart w:id="17" w:name="_Hlk84335997"/>
      <w:r>
        <w:t>On March 1, 2013, Peter and Leslie Macias were rear-ended in their vehicle by a Los Angeles County Metropolitan Transportation (Metro) bus.  The Maciases were injured and hired Shkolnikov shortly after the accident to represent them in a personal injury matter.  In March</w:t>
      </w:r>
      <w:r w:rsidR="00545063">
        <w:t> </w:t>
      </w:r>
      <w:r>
        <w:t xml:space="preserve">2013, Shkolnikov sent Metro a claim for damages on behalf of his clients, which was rejected; the rejection was served on Shkolnikov.  </w:t>
      </w:r>
    </w:p>
    <w:p w14:paraId="45F7E518" w14:textId="04A7935A" w:rsidR="00EB4C17" w:rsidRDefault="00EB4C17" w:rsidP="000573E7">
      <w:pPr>
        <w:spacing w:line="480" w:lineRule="auto"/>
        <w:ind w:firstLine="720"/>
      </w:pPr>
      <w:r>
        <w:t xml:space="preserve">On February 26, 2015, </w:t>
      </w:r>
      <w:r w:rsidR="005F2E1F">
        <w:t xml:space="preserve">Shkolnikov </w:t>
      </w:r>
      <w:r>
        <w:t>filed a complaint against Metro.  (</w:t>
      </w:r>
      <w:r w:rsidRPr="00CF6836">
        <w:rPr>
          <w:i/>
          <w:iCs/>
        </w:rPr>
        <w:t>Macias, et al. v. L.A. County Metropolitan Transportation Authority, et al.</w:t>
      </w:r>
      <w:r>
        <w:t xml:space="preserve"> (Super Ct. L.A. County</w:t>
      </w:r>
      <w:r w:rsidR="00A82144">
        <w:t xml:space="preserve">, </w:t>
      </w:r>
      <w:r>
        <w:t>No. BC573614</w:t>
      </w:r>
      <w:r w:rsidR="00A82144">
        <w:t>)</w:t>
      </w:r>
      <w:r>
        <w:t>.)</w:t>
      </w:r>
      <w:r w:rsidR="00CF6836">
        <w:t xml:space="preserve">  On November 2, 2016, Metro demurred to the complaint on the ground that the complaint was untimely under Government Code section 945.6 and, therefore, did not state facts sufficient to constitute a cause of action.</w:t>
      </w:r>
      <w:r w:rsidR="003A3D60">
        <w:rPr>
          <w:rStyle w:val="FootnoteReference"/>
        </w:rPr>
        <w:footnoteReference w:id="8"/>
      </w:r>
      <w:r w:rsidR="00CF6836">
        <w:t xml:space="preserve">  </w:t>
      </w:r>
      <w:r w:rsidR="004539A2">
        <w:t xml:space="preserve">Shkolnikov did not file an opposition to the demurrer or an amended complaint.  On December 16, 2016, Shkolnikov appeared in court for a hearing on the demurrer.  The Maciases were also present in court and were aware that the court had made the tentative ruling to dismiss their case.  After oral argument, the court adopted its tentative ruling and sustained the </w:t>
      </w:r>
      <w:r w:rsidR="00CF6836">
        <w:t>demurrer</w:t>
      </w:r>
      <w:r w:rsidR="004539A2">
        <w:t xml:space="preserve"> without leave to amend.</w:t>
      </w:r>
    </w:p>
    <w:p w14:paraId="206BD741" w14:textId="084F935F" w:rsidR="00C407EE" w:rsidRDefault="00300C34" w:rsidP="00300C34">
      <w:pPr>
        <w:spacing w:line="480" w:lineRule="auto"/>
        <w:ind w:firstLine="720"/>
      </w:pPr>
      <w:r>
        <w:t xml:space="preserve">After the case was dismissed in December 2016, Shkolnikov did not take any other action on the Maciases’ case and did not tell them that he had stopped working on it.  The Maciases believed their case was still viable and that Shkolnikov was working on setting aside the </w:t>
      </w:r>
      <w:r>
        <w:lastRenderedPageBreak/>
        <w:t xml:space="preserve">dismissal.  </w:t>
      </w:r>
      <w:r w:rsidR="00E55688">
        <w:t xml:space="preserve">The Maciases </w:t>
      </w:r>
      <w:r w:rsidR="00124CDC">
        <w:t>messaged</w:t>
      </w:r>
      <w:r w:rsidR="00E55688">
        <w:t xml:space="preserve"> Shkolnikov asking about their case.  </w:t>
      </w:r>
      <w:r>
        <w:t xml:space="preserve">In January 2018, </w:t>
      </w:r>
      <w:r w:rsidR="00E55688">
        <w:t xml:space="preserve">Shkolnikov </w:t>
      </w:r>
      <w:r>
        <w:t>texted Leslie Macias that he was working on setting the dismissal aside and that he was “working on fixing it.”</w:t>
      </w:r>
      <w:r w:rsidR="00E55688">
        <w:t xml:space="preserve">  Subsequently, the Maciases met Shkolnikov at his office where he admitted that they could no longer sue Metro.  He told them that he had made mistakes in their case and they could pursue legal action against him and his insurance.</w:t>
      </w:r>
    </w:p>
    <w:bookmarkEnd w:id="16"/>
    <w:bookmarkEnd w:id="17"/>
    <w:p w14:paraId="01D732D4" w14:textId="175F6363" w:rsidR="00224D19" w:rsidRPr="004F2245" w:rsidRDefault="006B3087" w:rsidP="00CC2C74">
      <w:pPr>
        <w:spacing w:line="480" w:lineRule="auto"/>
        <w:jc w:val="center"/>
        <w:rPr>
          <w:b/>
          <w:bCs/>
        </w:rPr>
      </w:pPr>
      <w:r>
        <w:rPr>
          <w:b/>
          <w:bCs/>
        </w:rPr>
        <w:t>III.  CULPABILITY</w:t>
      </w:r>
    </w:p>
    <w:p w14:paraId="4DE91A92" w14:textId="29C1D811" w:rsidR="004D2C1F" w:rsidRPr="00376476" w:rsidRDefault="00D85C88" w:rsidP="004D2C1F">
      <w:pPr>
        <w:spacing w:line="480" w:lineRule="auto"/>
        <w:rPr>
          <w:b/>
        </w:rPr>
      </w:pPr>
      <w:r>
        <w:rPr>
          <w:b/>
        </w:rPr>
        <w:t>A</w:t>
      </w:r>
      <w:r w:rsidR="004D2C1F" w:rsidRPr="00376476">
        <w:rPr>
          <w:b/>
        </w:rPr>
        <w:t>.</w:t>
      </w:r>
      <w:r w:rsidR="004D2C1F" w:rsidRPr="00376476">
        <w:rPr>
          <w:b/>
        </w:rPr>
        <w:tab/>
        <w:t xml:space="preserve">Count </w:t>
      </w:r>
      <w:r w:rsidR="00CF6836">
        <w:rPr>
          <w:b/>
        </w:rPr>
        <w:t>One</w:t>
      </w:r>
      <w:r w:rsidR="004D2C1F" w:rsidRPr="00376476">
        <w:rPr>
          <w:b/>
        </w:rPr>
        <w:t xml:space="preserve">: </w:t>
      </w:r>
      <w:r w:rsidR="00CF6836">
        <w:rPr>
          <w:b/>
        </w:rPr>
        <w:t xml:space="preserve">Moral Turpitude – Misrepresentation </w:t>
      </w:r>
      <w:r w:rsidR="004D2C1F" w:rsidRPr="00376476">
        <w:rPr>
          <w:b/>
        </w:rPr>
        <w:t>(</w:t>
      </w:r>
      <w:r w:rsidR="00CF6836">
        <w:rPr>
          <w:b/>
        </w:rPr>
        <w:t xml:space="preserve">Bus. &amp; Prof. Code, </w:t>
      </w:r>
      <w:r w:rsidR="004D2C1F">
        <w:rPr>
          <w:b/>
        </w:rPr>
        <w:t>§ 6</w:t>
      </w:r>
      <w:r w:rsidR="00CF6836">
        <w:rPr>
          <w:b/>
        </w:rPr>
        <w:t>106</w:t>
      </w:r>
      <w:r w:rsidR="004D2C1F" w:rsidRPr="00376476">
        <w:rPr>
          <w:b/>
        </w:rPr>
        <w:t>)</w:t>
      </w:r>
      <w:r w:rsidR="00CF6836">
        <w:rPr>
          <w:rStyle w:val="FootnoteReference"/>
          <w:b/>
        </w:rPr>
        <w:footnoteReference w:id="9"/>
      </w:r>
    </w:p>
    <w:p w14:paraId="16E5618F" w14:textId="148C4355" w:rsidR="003B360E" w:rsidRDefault="00101319" w:rsidP="00734CAF">
      <w:pPr>
        <w:spacing w:line="480" w:lineRule="auto"/>
        <w:ind w:firstLine="720"/>
      </w:pPr>
      <w:bookmarkStart w:id="18" w:name="_Hlk82697289"/>
      <w:r>
        <w:t xml:space="preserve">In count one, the NDC alleges that on August 31, 2018, Shkolnikov stated in writing to Herrera that he had settled Herrera’s case, when he knew </w:t>
      </w:r>
      <w:r w:rsidR="00D816E7">
        <w:t>his</w:t>
      </w:r>
      <w:r>
        <w:t xml:space="preserve"> statement was false, in violation of section 6106.  </w:t>
      </w:r>
      <w:r w:rsidR="00CC2C74">
        <w:t>Section </w:t>
      </w:r>
      <w:r w:rsidR="00CF6836">
        <w:t xml:space="preserve">6106 provides, in part, that the commission of any act involving dishonesty, moral turpitude, or corruption constitutes cause for suspension or disbarment.  </w:t>
      </w:r>
      <w:r w:rsidR="00BC401B">
        <w:t xml:space="preserve">The hearing judge found that Shkolnikov texted Herrera on August 31, 2018, stating that her case had settled for $40,000, which was a misrepresentation.  The judge found that this misrepresentation was material, as Herrera had been waiting for the resolution of her case for years.  He also found Shkolnikov acted intentionally.  Therefore, he was found culpable of a moral turpitude violation under count one.  OCTC does not seek review of this count and Shkolnikov </w:t>
      </w:r>
      <w:r w:rsidR="00734CAF">
        <w:t>accepts the judge’s finding.  We find clear and convincing evidence</w:t>
      </w:r>
      <w:r w:rsidR="003B360E">
        <w:rPr>
          <w:rStyle w:val="FootnoteReference"/>
        </w:rPr>
        <w:footnoteReference w:id="10"/>
      </w:r>
      <w:r w:rsidR="00734CAF">
        <w:t xml:space="preserve"> that Shkolnikov is culpable under count one and affirm the hearing judge’s culpability determination</w:t>
      </w:r>
      <w:r w:rsidR="00EF529E">
        <w:t xml:space="preserve">.  (See </w:t>
      </w:r>
      <w:r w:rsidR="00EF529E">
        <w:rPr>
          <w:i/>
        </w:rPr>
        <w:t>In the Matter of Wells</w:t>
      </w:r>
      <w:r w:rsidR="00EF529E">
        <w:t xml:space="preserve"> (Review Dept. 2006) 4 Cal. State Bar Ct. Rptr. 896, 910 [moral turpitude includes affirmative misrepresentations].)</w:t>
      </w:r>
    </w:p>
    <w:p w14:paraId="0C8C53B8" w14:textId="059D5170" w:rsidR="003A3D60" w:rsidRDefault="003A3D60" w:rsidP="00734CAF">
      <w:pPr>
        <w:spacing w:line="480" w:lineRule="auto"/>
        <w:ind w:firstLine="720"/>
      </w:pPr>
    </w:p>
    <w:p w14:paraId="7F49F9F2" w14:textId="77777777" w:rsidR="003A3D60" w:rsidRDefault="003A3D60" w:rsidP="00734CAF">
      <w:pPr>
        <w:spacing w:line="480" w:lineRule="auto"/>
        <w:ind w:firstLine="720"/>
      </w:pPr>
    </w:p>
    <w:bookmarkEnd w:id="11"/>
    <w:bookmarkEnd w:id="18"/>
    <w:p w14:paraId="6FA85587" w14:textId="77777777" w:rsidR="00BF70FF" w:rsidRDefault="00CB7E01" w:rsidP="00BF70FF">
      <w:pPr>
        <w:rPr>
          <w:b/>
        </w:rPr>
      </w:pPr>
      <w:r>
        <w:rPr>
          <w:b/>
        </w:rPr>
        <w:t>B</w:t>
      </w:r>
      <w:r w:rsidR="00C42F9E" w:rsidRPr="0037480A">
        <w:rPr>
          <w:b/>
        </w:rPr>
        <w:t>.</w:t>
      </w:r>
      <w:r w:rsidR="00C42F9E" w:rsidRPr="0037480A">
        <w:rPr>
          <w:b/>
        </w:rPr>
        <w:tab/>
        <w:t xml:space="preserve">Count </w:t>
      </w:r>
      <w:r w:rsidR="00BF70FF">
        <w:rPr>
          <w:b/>
        </w:rPr>
        <w:t>Two</w:t>
      </w:r>
      <w:r w:rsidR="00C42F9E" w:rsidRPr="0037480A">
        <w:rPr>
          <w:b/>
        </w:rPr>
        <w:t xml:space="preserve">: </w:t>
      </w:r>
      <w:r w:rsidR="00BF70FF">
        <w:rPr>
          <w:b/>
        </w:rPr>
        <w:t>Failure to Perform with Competence</w:t>
      </w:r>
      <w:r w:rsidR="00C42F9E" w:rsidRPr="00376476">
        <w:rPr>
          <w:b/>
        </w:rPr>
        <w:t xml:space="preserve"> (</w:t>
      </w:r>
      <w:r w:rsidR="00BF70FF">
        <w:rPr>
          <w:b/>
        </w:rPr>
        <w:t xml:space="preserve">Rules Prof. Conduct, </w:t>
      </w:r>
    </w:p>
    <w:p w14:paraId="20196DDC" w14:textId="56FB4F2E" w:rsidR="00C42F9E" w:rsidRDefault="00BF70FF" w:rsidP="00BF70FF">
      <w:pPr>
        <w:ind w:firstLine="720"/>
        <w:rPr>
          <w:b/>
        </w:rPr>
      </w:pPr>
      <w:r>
        <w:rPr>
          <w:b/>
        </w:rPr>
        <w:t>rule 3-110(A)</w:t>
      </w:r>
      <w:r w:rsidR="00C42F9E" w:rsidRPr="0037480A">
        <w:rPr>
          <w:b/>
        </w:rPr>
        <w:t>)</w:t>
      </w:r>
      <w:r>
        <w:rPr>
          <w:rStyle w:val="FootnoteReference"/>
          <w:b/>
        </w:rPr>
        <w:footnoteReference w:id="11"/>
      </w:r>
      <w:bookmarkStart w:id="19" w:name="_Hlk54703736"/>
    </w:p>
    <w:p w14:paraId="02196EEE" w14:textId="77777777" w:rsidR="00BF70FF" w:rsidRPr="00BF70FF" w:rsidRDefault="00BF70FF" w:rsidP="00BF70FF">
      <w:pPr>
        <w:ind w:firstLine="720"/>
        <w:rPr>
          <w:b/>
        </w:rPr>
      </w:pPr>
    </w:p>
    <w:p w14:paraId="4F59B27C" w14:textId="1E373BE6" w:rsidR="00BF70FF" w:rsidRPr="00885AFB" w:rsidRDefault="00101319" w:rsidP="004E16AE">
      <w:pPr>
        <w:spacing w:line="480" w:lineRule="auto"/>
        <w:ind w:firstLine="720"/>
      </w:pPr>
      <w:r>
        <w:t xml:space="preserve">In count two, the NDC alleges that Shkolnikov failed to perform with competence in </w:t>
      </w:r>
      <w:r w:rsidRPr="00101319">
        <w:rPr>
          <w:i/>
          <w:iCs/>
        </w:rPr>
        <w:t>Herrera v. Flower</w:t>
      </w:r>
      <w:r w:rsidR="00C54851">
        <w:rPr>
          <w:i/>
          <w:iCs/>
        </w:rPr>
        <w:t>s</w:t>
      </w:r>
      <w:r w:rsidRPr="00101319">
        <w:rPr>
          <w:i/>
          <w:iCs/>
        </w:rPr>
        <w:t xml:space="preserve"> Foods</w:t>
      </w:r>
      <w:r w:rsidR="00866075">
        <w:rPr>
          <w:i/>
          <w:iCs/>
        </w:rPr>
        <w:t>, Inc.</w:t>
      </w:r>
      <w:r>
        <w:t xml:space="preserve"> by failing to serve the summons and complaint on the defendant from approximately May 2014 to March 2017, in violation of rule 3-110(A).</w:t>
      </w:r>
      <w:r w:rsidR="00AD4DBD">
        <w:t xml:space="preserve">  </w:t>
      </w:r>
      <w:r w:rsidR="00BF70FF">
        <w:t>Rule 3-110(A) provides that an attorney “shall not intentionally, recklessly, or repeatedly fail to perform legal services with competence.”</w:t>
      </w:r>
      <w:r w:rsidR="00AD4DBD">
        <w:t xml:space="preserve">  The hearing judge found Shkolnikov culpable as charged.  His failure to serve the defendant</w:t>
      </w:r>
      <w:r w:rsidR="00C7624E">
        <w:t xml:space="preserve"> for nearly three years</w:t>
      </w:r>
      <w:r w:rsidR="00AD4DBD">
        <w:t xml:space="preserve"> resulted in the dismissal of Herrera’s case for failure to prosecute.  Neither OCTC nor Shkolnikov challenge this determination.  We find clear and convincing evidence that Shkolnikov is culpable under count two and affirm the hearing judge’s culpability determination.</w:t>
      </w:r>
      <w:r w:rsidR="00885AFB">
        <w:t xml:space="preserve">  (See </w:t>
      </w:r>
      <w:r w:rsidR="00885AFB">
        <w:rPr>
          <w:i/>
        </w:rPr>
        <w:t>In the Matter of Guzman</w:t>
      </w:r>
      <w:r w:rsidR="00885AFB">
        <w:t xml:space="preserve"> (Review Dept. 2014) 5 Cal. State Bar Ct. Rptr. 308, 316 [rule 3-110(A) violation</w:t>
      </w:r>
      <w:r w:rsidR="004E16AE">
        <w:t xml:space="preserve"> where attorney failed </w:t>
      </w:r>
      <w:r w:rsidR="00885AFB">
        <w:t>to timely serve summons and complaint, resulting in dismissal of client’s case].)</w:t>
      </w:r>
    </w:p>
    <w:bookmarkEnd w:id="19"/>
    <w:p w14:paraId="706EFFC2" w14:textId="7DD3D230" w:rsidR="00296349" w:rsidRDefault="00CB7E01" w:rsidP="00296349">
      <w:pPr>
        <w:rPr>
          <w:b/>
        </w:rPr>
      </w:pPr>
      <w:r>
        <w:rPr>
          <w:b/>
        </w:rPr>
        <w:t>C.</w:t>
      </w:r>
      <w:r>
        <w:rPr>
          <w:b/>
        </w:rPr>
        <w:tab/>
      </w:r>
      <w:r w:rsidRPr="002B6614">
        <w:rPr>
          <w:b/>
        </w:rPr>
        <w:t xml:space="preserve">Count </w:t>
      </w:r>
      <w:r w:rsidR="00BF70FF">
        <w:rPr>
          <w:b/>
        </w:rPr>
        <w:t>Three</w:t>
      </w:r>
      <w:r w:rsidRPr="002B6614">
        <w:rPr>
          <w:b/>
        </w:rPr>
        <w:t xml:space="preserve">: </w:t>
      </w:r>
      <w:r w:rsidR="00BF70FF">
        <w:rPr>
          <w:b/>
        </w:rPr>
        <w:t>Failure to Inform Client of Significant Development</w:t>
      </w:r>
      <w:r w:rsidR="00655655">
        <w:rPr>
          <w:b/>
        </w:rPr>
        <w:t>s</w:t>
      </w:r>
      <w:r w:rsidRPr="00376476">
        <w:rPr>
          <w:b/>
        </w:rPr>
        <w:t xml:space="preserve"> </w:t>
      </w:r>
    </w:p>
    <w:p w14:paraId="0E8B1635" w14:textId="6D569C5A" w:rsidR="00CB7E01" w:rsidRDefault="00CB7E01" w:rsidP="00296349">
      <w:pPr>
        <w:ind w:firstLine="720"/>
        <w:rPr>
          <w:b/>
        </w:rPr>
      </w:pPr>
      <w:r w:rsidRPr="00376476">
        <w:rPr>
          <w:b/>
        </w:rPr>
        <w:t>(</w:t>
      </w:r>
      <w:r>
        <w:rPr>
          <w:b/>
        </w:rPr>
        <w:t>§ 6068, subd. (</w:t>
      </w:r>
      <w:r w:rsidR="00BF70FF">
        <w:rPr>
          <w:b/>
        </w:rPr>
        <w:t>m</w:t>
      </w:r>
      <w:r w:rsidRPr="00376476">
        <w:rPr>
          <w:b/>
        </w:rPr>
        <w:t>)</w:t>
      </w:r>
      <w:r w:rsidRPr="0037480A">
        <w:rPr>
          <w:b/>
        </w:rPr>
        <w:t>)</w:t>
      </w:r>
    </w:p>
    <w:p w14:paraId="2EB911AC" w14:textId="77777777" w:rsidR="00296349" w:rsidRPr="00042F28" w:rsidRDefault="00296349" w:rsidP="00296349">
      <w:pPr>
        <w:ind w:firstLine="720"/>
        <w:rPr>
          <w:b/>
        </w:rPr>
      </w:pPr>
    </w:p>
    <w:p w14:paraId="1D125D1F" w14:textId="48019B61" w:rsidR="00930462" w:rsidRDefault="00CA3FC5" w:rsidP="00CB7E01">
      <w:pPr>
        <w:spacing w:line="480" w:lineRule="auto"/>
        <w:ind w:firstLine="720"/>
      </w:pPr>
      <w:r>
        <w:t>The NDC alleges in count three</w:t>
      </w:r>
      <w:r w:rsidR="003A3D60">
        <w:t xml:space="preserve"> </w:t>
      </w:r>
      <w:r w:rsidR="009605F7">
        <w:t>that</w:t>
      </w:r>
      <w:r>
        <w:t xml:space="preserve"> Shkolnikov failed to inform Herrera that her case</w:t>
      </w:r>
      <w:r w:rsidR="005F2E1F">
        <w:t xml:space="preserve">, </w:t>
      </w:r>
      <w:r w:rsidRPr="00101319">
        <w:rPr>
          <w:i/>
          <w:iCs/>
        </w:rPr>
        <w:t>Herrera v. Flower</w:t>
      </w:r>
      <w:r w:rsidR="00C54851">
        <w:rPr>
          <w:i/>
          <w:iCs/>
        </w:rPr>
        <w:t>s</w:t>
      </w:r>
      <w:r w:rsidRPr="00101319">
        <w:rPr>
          <w:i/>
          <w:iCs/>
        </w:rPr>
        <w:t xml:space="preserve"> Foods</w:t>
      </w:r>
      <w:r w:rsidRPr="00144C4E">
        <w:rPr>
          <w:i/>
          <w:iCs/>
        </w:rPr>
        <w:t>,</w:t>
      </w:r>
      <w:r w:rsidR="00866075" w:rsidRPr="00144C4E">
        <w:rPr>
          <w:i/>
          <w:iCs/>
        </w:rPr>
        <w:t xml:space="preserve"> Inc.</w:t>
      </w:r>
      <w:r>
        <w:t xml:space="preserve"> </w:t>
      </w:r>
      <w:r w:rsidR="005F2E1F">
        <w:t xml:space="preserve">had been dismissed </w:t>
      </w:r>
      <w:r>
        <w:t xml:space="preserve">in violation of section 6068, subdivision (m).  </w:t>
      </w:r>
      <w:r w:rsidR="00BF70FF">
        <w:t xml:space="preserve">Section 6068, subdivision (m) provides that it is the duty of an attorney to </w:t>
      </w:r>
      <w:r w:rsidR="00296349">
        <w:t>“respond promptly to reasonable status inquires of clients and to keep clients reasonably informed of significant developments in matters with regard to which the attorney has agreed to provide legal services.</w:t>
      </w:r>
      <w:r w:rsidR="0056168A">
        <w:t>”</w:t>
      </w:r>
    </w:p>
    <w:p w14:paraId="3D0B4590" w14:textId="0398D7C3" w:rsidR="00BF70FF" w:rsidRDefault="0056168A" w:rsidP="00CB7E01">
      <w:pPr>
        <w:spacing w:line="480" w:lineRule="auto"/>
        <w:ind w:firstLine="720"/>
      </w:pPr>
      <w:r>
        <w:t xml:space="preserve">The hearing judge found that Herrera attended the OSC hearing on March 3, 2017, where her case was dismissed, which was consistent with Shkolnikov’s testimony that he informed </w:t>
      </w:r>
      <w:r>
        <w:lastRenderedPageBreak/>
        <w:t>Herrera that the court dismissed her case on the day they attended the OSC hearing.  The judge found that Herrera heard from Shkolnikov and the court that her case was dismissed, therefore, OCTC did not prove culpability by clear and convincing evidence.  The judge dismissed count three with prejudice.</w:t>
      </w:r>
    </w:p>
    <w:p w14:paraId="22EA3C20" w14:textId="5C33EFE7" w:rsidR="00AB4F75" w:rsidRDefault="00785A75" w:rsidP="00395898">
      <w:pPr>
        <w:spacing w:line="480" w:lineRule="auto"/>
        <w:ind w:firstLine="720"/>
      </w:pPr>
      <w:r>
        <w:t xml:space="preserve">On review, </w:t>
      </w:r>
      <w:r w:rsidR="00FD300D">
        <w:t xml:space="preserve">OCTC seeks culpability under count three.  </w:t>
      </w:r>
      <w:r>
        <w:t>OCTC challenges the finding that Herrera heard from Shkolnikov and the court that her case was dismissed and takes issue with the hearing judge crediting Shkolnikov’s version of events over Herrera’s.</w:t>
      </w:r>
      <w:r w:rsidR="00092DB1">
        <w:t xml:space="preserve">  </w:t>
      </w:r>
      <w:bookmarkStart w:id="20" w:name="_Hlk84255457"/>
      <w:r w:rsidR="00AB4F75">
        <w:t xml:space="preserve">The hearing judge reasoned Herrera knew of the dismissal because she attended the OSC hearing where the case was dismissed.  </w:t>
      </w:r>
      <w:r w:rsidR="000D279F">
        <w:t xml:space="preserve">While </w:t>
      </w:r>
      <w:r w:rsidR="00AB4F75">
        <w:t>Herrera could not recall the date of the hearing she attended, she was adamant that the judge did not say that her case was dismissed.</w:t>
      </w:r>
      <w:r w:rsidR="00AB4F75">
        <w:rPr>
          <w:rStyle w:val="FootnoteReference"/>
        </w:rPr>
        <w:footnoteReference w:id="12"/>
      </w:r>
      <w:r w:rsidR="00AB4F75">
        <w:t xml:space="preserve">  She testified that she did not understand what the judge said at the hearing, but she trusted Shkolnikov as her lawyer.  </w:t>
      </w:r>
      <w:r w:rsidR="000D279F">
        <w:t xml:space="preserve">Regardless of </w:t>
      </w:r>
      <w:r w:rsidR="00AB4F75">
        <w:t>wh</w:t>
      </w:r>
      <w:r w:rsidR="000D279F">
        <w:t>ich</w:t>
      </w:r>
      <w:r w:rsidR="00AB4F75">
        <w:t xml:space="preserve"> hearing she attended, Herrera </w:t>
      </w:r>
      <w:r w:rsidR="000D279F">
        <w:t xml:space="preserve">clearly </w:t>
      </w:r>
      <w:r w:rsidR="00AB4F75">
        <w:t xml:space="preserve">did not know her case was dismissed.  </w:t>
      </w:r>
      <w:r w:rsidR="00AB4F75" w:rsidRPr="005562E3">
        <w:t>Shkolnikov testified Herrera was in court with him at the OSC hearing</w:t>
      </w:r>
      <w:r w:rsidR="00AB4F75">
        <w:t>,</w:t>
      </w:r>
      <w:r w:rsidR="00AB4F75" w:rsidRPr="005562E3">
        <w:t xml:space="preserve"> he discussed the dismissal with Herrera</w:t>
      </w:r>
      <w:r w:rsidR="00AB4F75">
        <w:t>,</w:t>
      </w:r>
      <w:r w:rsidR="00AB4F75" w:rsidRPr="005562E3">
        <w:t xml:space="preserve"> and</w:t>
      </w:r>
      <w:r w:rsidR="00AB4F75">
        <w:t xml:space="preserve"> he</w:t>
      </w:r>
      <w:r w:rsidR="00AB4F75" w:rsidRPr="005562E3">
        <w:t xml:space="preserve"> explained to her what had happened</w:t>
      </w:r>
      <w:r w:rsidR="00AB4F75">
        <w:t xml:space="preserve">.  </w:t>
      </w:r>
      <w:r w:rsidR="00AB4F75" w:rsidRPr="005562E3">
        <w:t xml:space="preserve">We find this testimony </w:t>
      </w:r>
      <w:r w:rsidR="00AB4F75">
        <w:t xml:space="preserve">is </w:t>
      </w:r>
      <w:r w:rsidR="00AB4F75" w:rsidRPr="005562E3">
        <w:t xml:space="preserve">unsupported by the record, especially </w:t>
      </w:r>
      <w:r w:rsidR="000D279F" w:rsidRPr="005562E3">
        <w:t>because</w:t>
      </w:r>
      <w:r w:rsidR="00AB4F75" w:rsidRPr="005562E3">
        <w:t xml:space="preserve"> Shkolnikov </w:t>
      </w:r>
      <w:r w:rsidR="000D279F">
        <w:t xml:space="preserve">thereafter repeatedly misled </w:t>
      </w:r>
      <w:r w:rsidR="00AB4F75" w:rsidRPr="005562E3">
        <w:t xml:space="preserve">Herrera </w:t>
      </w:r>
      <w:r w:rsidR="000D279F">
        <w:t xml:space="preserve">in text messages </w:t>
      </w:r>
      <w:r w:rsidR="00AB4F75" w:rsidRPr="005562E3">
        <w:t>regarding the settlement and his ongoing work on her case.</w:t>
      </w:r>
      <w:r w:rsidR="00AB4F75">
        <w:t xml:space="preserve">  </w:t>
      </w:r>
    </w:p>
    <w:p w14:paraId="6D65DF20" w14:textId="0AEB7757" w:rsidR="00AB4F75" w:rsidRDefault="00AB4F75" w:rsidP="00AB4F75">
      <w:pPr>
        <w:spacing w:line="480" w:lineRule="auto"/>
        <w:ind w:firstLine="720"/>
      </w:pPr>
      <w:r>
        <w:t>W</w:t>
      </w:r>
      <w:r w:rsidR="00092DB1">
        <w:t xml:space="preserve">e agree </w:t>
      </w:r>
      <w:r w:rsidR="000D279F">
        <w:t xml:space="preserve">with OCTC </w:t>
      </w:r>
      <w:r w:rsidR="00092DB1">
        <w:t>that Herrera’s testimony</w:t>
      </w:r>
      <w:r w:rsidR="006F18BC">
        <w:t xml:space="preserve"> is entitled to more weight than the hearing judge assi</w:t>
      </w:r>
      <w:r w:rsidR="009605F7">
        <w:t>gn</w:t>
      </w:r>
      <w:r w:rsidR="006F18BC">
        <w:t>ed</w:t>
      </w:r>
      <w:r w:rsidR="00092DB1">
        <w:t>.</w:t>
      </w:r>
      <w:r w:rsidR="00A87BCE">
        <w:t xml:space="preserve">  The text messages support her testimony that she did not know her case was dismissed.</w:t>
      </w:r>
      <w:r w:rsidR="00FD139E">
        <w:rPr>
          <w:rStyle w:val="FootnoteReference"/>
        </w:rPr>
        <w:footnoteReference w:id="13"/>
      </w:r>
      <w:r w:rsidR="00A87BCE">
        <w:t xml:space="preserve">  Other than his testimony that he explained to her on the day of the OSC hearing </w:t>
      </w:r>
      <w:r w:rsidR="00A87BCE">
        <w:lastRenderedPageBreak/>
        <w:t xml:space="preserve">that the case was dismissed, Shkolnikov presented no other evidence that would </w:t>
      </w:r>
      <w:r w:rsidR="006F18BC">
        <w:t>prove</w:t>
      </w:r>
      <w:r w:rsidR="008C737B">
        <w:t xml:space="preserve"> </w:t>
      </w:r>
      <w:r w:rsidR="00A87BCE">
        <w:t>he explained to Herrera that her case was dismissed.</w:t>
      </w:r>
      <w:r w:rsidR="00D25EE4">
        <w:rPr>
          <w:rStyle w:val="FootnoteReference"/>
        </w:rPr>
        <w:footnoteReference w:id="14"/>
      </w:r>
      <w:r w:rsidR="00A87BCE">
        <w:t xml:space="preserve">  There are no messages in evidence correcting her when she refer</w:t>
      </w:r>
      <w:r w:rsidR="000D279F">
        <w:t>red</w:t>
      </w:r>
      <w:r w:rsidR="00A87BCE">
        <w:t xml:space="preserve"> to court orders or the case being ongoing.</w:t>
      </w:r>
      <w:r w:rsidR="001A2D9B">
        <w:t xml:space="preserve">  Instead, the messages show that he stated he was working on her case and working to get her </w:t>
      </w:r>
      <w:r w:rsidR="000D279F">
        <w:t xml:space="preserve">paid in </w:t>
      </w:r>
      <w:r w:rsidR="001A2D9B">
        <w:t>the $40,000 settlement.  Herrera’s testimony and the text messages are sufficient for us to reverse the judge’s culpability finding as they show that she was not aware of the dismissal.</w:t>
      </w:r>
      <w:r w:rsidR="00A536D6">
        <w:rPr>
          <w:rStyle w:val="FootnoteReference"/>
        </w:rPr>
        <w:footnoteReference w:id="15"/>
      </w:r>
      <w:r w:rsidR="00930462">
        <w:t xml:space="preserve">  (</w:t>
      </w:r>
      <w:r w:rsidR="00930462">
        <w:rPr>
          <w:i/>
        </w:rPr>
        <w:t>In the Matter of DeMassa</w:t>
      </w:r>
      <w:r w:rsidR="00930462">
        <w:t xml:space="preserve">, </w:t>
      </w:r>
      <w:r w:rsidR="00930462" w:rsidRPr="00930462">
        <w:rPr>
          <w:i/>
          <w:iCs/>
        </w:rPr>
        <w:t>supra</w:t>
      </w:r>
      <w:r w:rsidR="00930462">
        <w:t>, 1 Cal. State Bar Ct. Rptr. at p. 74</w:t>
      </w:r>
      <w:r w:rsidR="00C54851">
        <w:t>2</w:t>
      </w:r>
      <w:r w:rsidR="00930462">
        <w:t xml:space="preserve"> [reversal of hearing judge’s findings when unsupported by the record]</w:t>
      </w:r>
      <w:r w:rsidR="00E867E7">
        <w:t xml:space="preserve">; </w:t>
      </w:r>
      <w:r w:rsidR="00E867E7">
        <w:rPr>
          <w:i/>
        </w:rPr>
        <w:t>In the Matter of Brown</w:t>
      </w:r>
      <w:r w:rsidR="00E867E7">
        <w:t xml:space="preserve"> (Review Dept. 1993) 2 Cal. State Bar Ct. Rptr. 309, 31</w:t>
      </w:r>
      <w:r w:rsidR="00C54851">
        <w:t>5</w:t>
      </w:r>
      <w:r w:rsidR="00E867E7">
        <w:t xml:space="preserve"> </w:t>
      </w:r>
      <w:r w:rsidR="003825AC">
        <w:t>[under independent review, Review Department may make different findings than hearing judge based on the record].</w:t>
      </w:r>
      <w:r w:rsidR="00930462">
        <w:t xml:space="preserve">)  </w:t>
      </w:r>
      <w:r>
        <w:t>Based on Herrera’s testimony and the text messages, we find that Shkolnikov did not inform Herrera of the dismissal.</w:t>
      </w:r>
    </w:p>
    <w:p w14:paraId="69965729" w14:textId="154F119B" w:rsidR="008F5559" w:rsidRPr="00B214F7" w:rsidRDefault="00051F40" w:rsidP="00395898">
      <w:pPr>
        <w:spacing w:line="480" w:lineRule="auto"/>
        <w:ind w:firstLine="720"/>
      </w:pPr>
      <w:r>
        <w:t>Accordingly</w:t>
      </w:r>
      <w:r w:rsidR="00E24434">
        <w:t>, we find clear and convincing</w:t>
      </w:r>
      <w:r w:rsidR="00930462">
        <w:t xml:space="preserve"> documentary and testimonial</w:t>
      </w:r>
      <w:r w:rsidR="00E24434">
        <w:t xml:space="preserve"> evidence </w:t>
      </w:r>
      <w:r w:rsidR="001A2D9B">
        <w:t>that Shkolnikov failed to keep Herrera informed of significant developments in her case, including the dismissal</w:t>
      </w:r>
      <w:r w:rsidR="00E24434">
        <w:t>, and find culpability under count three.</w:t>
      </w:r>
      <w:r w:rsidR="004210CE">
        <w:rPr>
          <w:rStyle w:val="FootnoteReference"/>
        </w:rPr>
        <w:footnoteReference w:id="16"/>
      </w:r>
      <w:r w:rsidR="008F5559">
        <w:t xml:space="preserve">  However, we do not assign additional disciplinary weight because Shkolnikov’s misconduct underlying count three is </w:t>
      </w:r>
      <w:r w:rsidR="00083854">
        <w:t xml:space="preserve">factually </w:t>
      </w:r>
      <w:r w:rsidR="008F5559">
        <w:t xml:space="preserve">the same as that underlying count one: he was dishonest about the settlement and lied to Herrera </w:t>
      </w:r>
      <w:r w:rsidR="008F5559">
        <w:lastRenderedPageBreak/>
        <w:t>about the status of her case.</w:t>
      </w:r>
      <w:r w:rsidR="00411BC2">
        <w:rPr>
          <w:rStyle w:val="FootnoteReference"/>
        </w:rPr>
        <w:footnoteReference w:id="17"/>
      </w:r>
      <w:r w:rsidR="008F5559">
        <w:t xml:space="preserve">  (</w:t>
      </w:r>
      <w:r w:rsidR="008F5559">
        <w:rPr>
          <w:i/>
        </w:rPr>
        <w:t>In the Matter of Moriarty</w:t>
      </w:r>
      <w:r w:rsidR="008F5559">
        <w:t xml:space="preserve"> (Review Dept. 2017) 5 Cal. State Bar Ct. Rptr. 511, 520</w:t>
      </w:r>
      <w:r w:rsidR="00B214F7">
        <w:t xml:space="preserve"> [no additional weight in determining discipline where same misconduct underlies two violations].)  Therefore, we treat the two violations as a single offense involving moral turpitude.  (</w:t>
      </w:r>
      <w:r w:rsidR="00B214F7">
        <w:rPr>
          <w:i/>
          <w:iCs/>
        </w:rPr>
        <w:t>Ibid</w:t>
      </w:r>
      <w:r w:rsidR="00B214F7">
        <w:t>.)</w:t>
      </w:r>
    </w:p>
    <w:bookmarkEnd w:id="20"/>
    <w:p w14:paraId="05F21A2F" w14:textId="77777777" w:rsidR="00F75ADB" w:rsidRDefault="00F956F3" w:rsidP="00296349">
      <w:pPr>
        <w:rPr>
          <w:b/>
        </w:rPr>
      </w:pPr>
      <w:r>
        <w:rPr>
          <w:b/>
        </w:rPr>
        <w:t>D</w:t>
      </w:r>
      <w:r w:rsidRPr="0030601B">
        <w:rPr>
          <w:b/>
        </w:rPr>
        <w:t>.</w:t>
      </w:r>
      <w:r w:rsidRPr="0030601B">
        <w:rPr>
          <w:b/>
        </w:rPr>
        <w:tab/>
        <w:t xml:space="preserve">Count </w:t>
      </w:r>
      <w:r w:rsidR="00296349">
        <w:rPr>
          <w:b/>
        </w:rPr>
        <w:t>Four</w:t>
      </w:r>
      <w:r w:rsidRPr="0030601B">
        <w:rPr>
          <w:b/>
        </w:rPr>
        <w:t xml:space="preserve">: Failure to </w:t>
      </w:r>
      <w:r w:rsidR="00296349">
        <w:rPr>
          <w:b/>
        </w:rPr>
        <w:t>Inform Client of Significant Development</w:t>
      </w:r>
      <w:r w:rsidR="00F75ADB">
        <w:rPr>
          <w:b/>
        </w:rPr>
        <w:t>s</w:t>
      </w:r>
      <w:r>
        <w:rPr>
          <w:b/>
        </w:rPr>
        <w:t xml:space="preserve"> </w:t>
      </w:r>
    </w:p>
    <w:p w14:paraId="4419F6E7" w14:textId="287E077D" w:rsidR="00F956F3" w:rsidRDefault="00F956F3" w:rsidP="00F75ADB">
      <w:pPr>
        <w:ind w:firstLine="720"/>
        <w:rPr>
          <w:b/>
        </w:rPr>
      </w:pPr>
      <w:r>
        <w:rPr>
          <w:b/>
        </w:rPr>
        <w:t>(§ 6068, subd. (</w:t>
      </w:r>
      <w:r w:rsidR="00296349">
        <w:rPr>
          <w:b/>
        </w:rPr>
        <w:t>m</w:t>
      </w:r>
      <w:r>
        <w:rPr>
          <w:b/>
        </w:rPr>
        <w:t>)</w:t>
      </w:r>
      <w:r w:rsidRPr="0030601B">
        <w:rPr>
          <w:b/>
        </w:rPr>
        <w:t>)</w:t>
      </w:r>
    </w:p>
    <w:p w14:paraId="6BD1DB3C" w14:textId="77777777" w:rsidR="00296349" w:rsidRPr="00296349" w:rsidRDefault="00296349" w:rsidP="00296349">
      <w:pPr>
        <w:rPr>
          <w:b/>
        </w:rPr>
      </w:pPr>
    </w:p>
    <w:p w14:paraId="2E606270" w14:textId="25BAC731" w:rsidR="00F956F3" w:rsidRDefault="006B467B" w:rsidP="00296349">
      <w:pPr>
        <w:spacing w:line="480" w:lineRule="auto"/>
        <w:ind w:right="-144" w:firstLine="720"/>
      </w:pPr>
      <w:r>
        <w:t xml:space="preserve">In </w:t>
      </w:r>
      <w:r w:rsidR="00296349">
        <w:t xml:space="preserve">count four, </w:t>
      </w:r>
      <w:r w:rsidR="00921350">
        <w:t xml:space="preserve">the NDC alleges that Shkolnikov failed to inform the Maciases that the court sustained the defendant’s November 2, 2016 demurrer in </w:t>
      </w:r>
      <w:r w:rsidR="00921350" w:rsidRPr="00CF6836">
        <w:rPr>
          <w:i/>
          <w:iCs/>
        </w:rPr>
        <w:t>Macias v. L.A. County Metropolitan Transportation Authority</w:t>
      </w:r>
      <w:r w:rsidR="00921350">
        <w:t>, in violation of section 6068, subdivision (m).  The Maciases testified that they were present at the hearing on the demurrer and heard Shkolnikov’s argument and the court’s ruling on the matter.  They also stated they spoke with Shkolnikov about the court’s dismissal.  Therefore, the hearing judge found that OCTC failed to establish by clear and convincing evidence that Shkolnikov violated section 6068, subdivision (m) as alleged in count four and dismissed the count with prejudice.</w:t>
      </w:r>
    </w:p>
    <w:p w14:paraId="64A5F550" w14:textId="621566BC" w:rsidR="00F6333E" w:rsidRDefault="00921350" w:rsidP="00F6333E">
      <w:pPr>
        <w:spacing w:line="480" w:lineRule="auto"/>
        <w:ind w:right="-144" w:firstLine="720"/>
      </w:pPr>
      <w:r>
        <w:t>On review, OCTC asserts that Shkolnikov</w:t>
      </w:r>
      <w:r w:rsidR="00B56B2B">
        <w:t xml:space="preserve"> committed a section 6068, subdivision (m)</w:t>
      </w:r>
      <w:r w:rsidR="00ED0CEE">
        <w:t xml:space="preserve"> violation</w:t>
      </w:r>
      <w:r w:rsidR="00B56B2B">
        <w:t xml:space="preserve"> in the Macias matter by failing to keep his clients informed about their case, including the granting of the defendant’s demurrer and the significant events leading to that point.  OCTC </w:t>
      </w:r>
      <w:r w:rsidR="009643B8">
        <w:t>acknowledges</w:t>
      </w:r>
      <w:r w:rsidR="00B56B2B">
        <w:t xml:space="preserve"> that the NDC does not allege this specific misconduct but contends that the NDC is broad enough to put Shkolnikov on notice that all his communications, or lack thereof, related to the demurrer</w:t>
      </w:r>
      <w:r w:rsidR="00B71F41">
        <w:t xml:space="preserve"> would be at issue in the disciplinary trial.</w:t>
      </w:r>
    </w:p>
    <w:p w14:paraId="4A5A1C30" w14:textId="243EB5C5" w:rsidR="00EE7715" w:rsidRDefault="00B71F41" w:rsidP="00465329">
      <w:pPr>
        <w:spacing w:line="480" w:lineRule="auto"/>
        <w:ind w:right="-144" w:firstLine="720"/>
      </w:pPr>
      <w:r>
        <w:t>“The degree of specificity required [in the NDC] does not necessitate lengthy detailed pleading.”  (</w:t>
      </w:r>
      <w:r>
        <w:rPr>
          <w:i/>
        </w:rPr>
        <w:t>In the Matter of Glasser</w:t>
      </w:r>
      <w:r>
        <w:t xml:space="preserve"> (Review Dept. 1990) 1 Cal. State Bar Ct. Rptr. 163, 173.)  </w:t>
      </w:r>
      <w:r>
        <w:lastRenderedPageBreak/>
        <w:t>Rather, the NDC must (1) cite the statute</w:t>
      </w:r>
      <w:r w:rsidR="00D4173D">
        <w:t>s</w:t>
      </w:r>
      <w:r>
        <w:t xml:space="preserve"> or rules an attorney allegedly violated, (2) contain facts comprising the violation in sufficient detail to permit the preparation of a defense, and (3) relate the stated facts to the authorities the attorney allegedly violated.  (Rules Proc. of State Bar, rule 5.41(B).)</w:t>
      </w:r>
      <w:r w:rsidR="007E3ABD">
        <w:t xml:space="preserve">  Here, the facts charged in count four were very specific—that Shkolnikov failed to inform the </w:t>
      </w:r>
      <w:r w:rsidR="005B07A8">
        <w:t>Maciases</w:t>
      </w:r>
      <w:r w:rsidR="007E3ABD">
        <w:t xml:space="preserve"> that the court sustained the demurrer.</w:t>
      </w:r>
      <w:r w:rsidR="005B07A8">
        <w:t xml:space="preserve">  OCTC now asks us to interpret that charge broadly and argues that other facts constitute misconduct that would violate section 6068, subdivision (m) in the Macias matter.</w:t>
      </w:r>
      <w:r w:rsidR="00F6333E">
        <w:t xml:space="preserve">  </w:t>
      </w:r>
      <w:r w:rsidR="00646E70">
        <w:t xml:space="preserve">We decline to include other alleged misconduct under the charge of count four.  To do so would </w:t>
      </w:r>
      <w:r w:rsidR="00D150DB">
        <w:t>infringe on Shkolnikov’s right to a fair proceeding</w:t>
      </w:r>
      <w:r w:rsidR="00646E70">
        <w:t xml:space="preserve"> as he is entitled to adequate notice of the rule or statute he violated and the manner in which he is </w:t>
      </w:r>
      <w:r w:rsidR="004F4273">
        <w:t xml:space="preserve">alleged </w:t>
      </w:r>
      <w:r w:rsidR="00646E70">
        <w:t>to have violated it.  (</w:t>
      </w:r>
      <w:r w:rsidR="00646E70">
        <w:rPr>
          <w:i/>
        </w:rPr>
        <w:t>Van Sloten v. State Bar</w:t>
      </w:r>
      <w:r w:rsidR="00646E70">
        <w:t xml:space="preserve"> (1989) 48 Cal.3d 921, </w:t>
      </w:r>
      <w:r w:rsidR="004F4273">
        <w:t>928-</w:t>
      </w:r>
      <w:r w:rsidR="00646E70">
        <w:t>929.</w:t>
      </w:r>
      <w:r w:rsidR="003710BA">
        <w:t>)</w:t>
      </w:r>
      <w:r w:rsidR="00F6333E">
        <w:t xml:space="preserve">  </w:t>
      </w:r>
    </w:p>
    <w:p w14:paraId="0AF9504C" w14:textId="1B348EE1" w:rsidR="00B71F41" w:rsidRDefault="00F6333E" w:rsidP="00465329">
      <w:pPr>
        <w:spacing w:line="480" w:lineRule="auto"/>
        <w:ind w:right="-144" w:firstLine="720"/>
      </w:pPr>
      <w:r w:rsidRPr="00F6333E">
        <w:t xml:space="preserve">We reject OCTC’s argument that Shkolnikov received notice that his overall communication with the Maciases was </w:t>
      </w:r>
      <w:r>
        <w:t>being charged</w:t>
      </w:r>
      <w:r w:rsidRPr="00F6333E">
        <w:t xml:space="preserve">.  </w:t>
      </w:r>
      <w:r>
        <w:t>OCTC’s after-the-fact</w:t>
      </w:r>
      <w:r w:rsidRPr="00F6333E">
        <w:t xml:space="preserve"> allegations are much broader than what was charged in the NDC and even what was stated in OCTC’s pre-trial statement.  (See </w:t>
      </w:r>
      <w:r w:rsidRPr="00F6333E">
        <w:rPr>
          <w:i/>
        </w:rPr>
        <w:t>In the Matter of Varakin</w:t>
      </w:r>
      <w:r w:rsidRPr="00F6333E">
        <w:t xml:space="preserve"> (Review Dept. 1994) 3 Cal. State Bar Ct. Rptr. 179, 186 [respondent must not be “left to guess” as to why he is being charged with violating a specified statute].)</w:t>
      </w:r>
      <w:r w:rsidR="00465329">
        <w:t xml:space="preserve">  </w:t>
      </w:r>
      <w:r w:rsidR="003710BA">
        <w:t xml:space="preserve">Further, OCTC did not amend the NDC to conform to proof at trial.  </w:t>
      </w:r>
      <w:r w:rsidR="00D4173D">
        <w:t>If the NDC does not match the subsequent proof at the hearing, the NDC m</w:t>
      </w:r>
      <w:r w:rsidR="009936AB">
        <w:t>ay</w:t>
      </w:r>
      <w:r w:rsidR="00D4173D">
        <w:t xml:space="preserve"> be amended to conform to proof and the respondent must have a chance to respond.  (Rules Proc. of State Bar, rule 5.44(C); </w:t>
      </w:r>
      <w:r w:rsidR="00D4173D">
        <w:rPr>
          <w:i/>
        </w:rPr>
        <w:t>Van Sloten v. State Bar</w:t>
      </w:r>
      <w:r w:rsidR="003710BA">
        <w:t xml:space="preserve">, </w:t>
      </w:r>
      <w:r w:rsidR="003710BA" w:rsidRPr="003710BA">
        <w:rPr>
          <w:i/>
          <w:iCs/>
        </w:rPr>
        <w:t>supra</w:t>
      </w:r>
      <w:r w:rsidR="003710BA">
        <w:t xml:space="preserve">, </w:t>
      </w:r>
      <w:r w:rsidR="00D4173D">
        <w:t xml:space="preserve">48 Cal.3d </w:t>
      </w:r>
      <w:r w:rsidR="003710BA">
        <w:t xml:space="preserve">at pp. </w:t>
      </w:r>
      <w:r w:rsidR="00D4173D">
        <w:t xml:space="preserve">928-929; </w:t>
      </w:r>
      <w:r w:rsidR="00D4173D">
        <w:rPr>
          <w:i/>
        </w:rPr>
        <w:t>Marquette v. State Bar</w:t>
      </w:r>
      <w:r w:rsidR="00D4173D">
        <w:t xml:space="preserve"> (1988) 44 Cal.3d 253, 264-265.)</w:t>
      </w:r>
      <w:r w:rsidR="009A1454">
        <w:t xml:space="preserve">  Because the NDC </w:t>
      </w:r>
      <w:r w:rsidR="009643B8">
        <w:t xml:space="preserve">was narrowly drafted and </w:t>
      </w:r>
      <w:r w:rsidR="009A1454">
        <w:t>was not amended to conform to proof,</w:t>
      </w:r>
      <w:r w:rsidR="0044450C">
        <w:t xml:space="preserve"> we will not consider OCTC’s</w:t>
      </w:r>
      <w:r w:rsidR="009A1454">
        <w:t xml:space="preserve"> </w:t>
      </w:r>
      <w:r w:rsidR="0044450C">
        <w:t>allegations</w:t>
      </w:r>
      <w:r w:rsidR="006D4313">
        <w:t xml:space="preserve"> on review</w:t>
      </w:r>
      <w:r w:rsidR="009A1454">
        <w:t xml:space="preserve"> that Shkolnikov failed to communicate in other instances in the Macias matter</w:t>
      </w:r>
      <w:r w:rsidR="0044450C">
        <w:t>.</w:t>
      </w:r>
    </w:p>
    <w:p w14:paraId="528802BF" w14:textId="6C51EFDC" w:rsidR="00EE7715" w:rsidRPr="00ED0CEE" w:rsidRDefault="00ED0CEE">
      <w:pPr>
        <w:spacing w:line="480" w:lineRule="auto"/>
        <w:ind w:right="-144" w:firstLine="720"/>
      </w:pPr>
      <w:r>
        <w:t xml:space="preserve">The Maciases were in court with Shkolnikov when their case was dismissed.  </w:t>
      </w:r>
      <w:r w:rsidR="009643B8">
        <w:t xml:space="preserve">They heard and understood the judge’s ruling.  </w:t>
      </w:r>
      <w:r>
        <w:t>Therefore, no violation of section 6068, subdivision (m)</w:t>
      </w:r>
      <w:r w:rsidR="00EE7715">
        <w:t xml:space="preserve"> </w:t>
      </w:r>
      <w:r w:rsidR="009605F7">
        <w:lastRenderedPageBreak/>
        <w:t>occurred</w:t>
      </w:r>
      <w:r>
        <w:t xml:space="preserve"> as alleged in count four.  We affirm the hearing judge’s dismissal of count four with prejudice.  (</w:t>
      </w:r>
      <w:r>
        <w:rPr>
          <w:i/>
        </w:rPr>
        <w:t>In the Matter of Kroff</w:t>
      </w:r>
      <w:r>
        <w:t xml:space="preserve"> (Review Dept. 1998) 3 Cal. State Bar Ct. Rptr. 838, 843 [dismissal of charges for want of proof after trial on merits is with prejudice].)</w:t>
      </w:r>
    </w:p>
    <w:p w14:paraId="1FE984AA" w14:textId="6166BD9A" w:rsidR="00296349" w:rsidRPr="00296349" w:rsidRDefault="00296349" w:rsidP="00296349">
      <w:pPr>
        <w:spacing w:line="480" w:lineRule="auto"/>
        <w:ind w:right="-144"/>
        <w:rPr>
          <w:b/>
          <w:bCs/>
        </w:rPr>
      </w:pPr>
      <w:r w:rsidRPr="00296349">
        <w:rPr>
          <w:b/>
          <w:bCs/>
        </w:rPr>
        <w:t>E.</w:t>
      </w:r>
      <w:r w:rsidRPr="00296349">
        <w:rPr>
          <w:b/>
          <w:bCs/>
        </w:rPr>
        <w:tab/>
        <w:t>Count Five: Improper Withdrawal from Employment (Rule 3-700(A)(2))</w:t>
      </w:r>
    </w:p>
    <w:p w14:paraId="6471007F" w14:textId="0AA9AE57" w:rsidR="00A7597C" w:rsidRDefault="0077468A" w:rsidP="00994ADA">
      <w:pPr>
        <w:spacing w:line="480" w:lineRule="auto"/>
        <w:ind w:right="-144" w:firstLine="720"/>
      </w:pPr>
      <w:r>
        <w:t>Count Five alleges that Shkolnikov failed to take any action on the Maciases’ behalf after the December 16, 2016 hearing</w:t>
      </w:r>
      <w:r w:rsidR="009936AB">
        <w:t>,</w:t>
      </w:r>
      <w:r>
        <w:t xml:space="preserve"> and therefore, constructively terminated his employment.  The NDC charges that </w:t>
      </w:r>
      <w:r w:rsidR="00470205">
        <w:t xml:space="preserve">Shkolnikov failed </w:t>
      </w:r>
      <w:r>
        <w:t xml:space="preserve">to inform the Maciases that he was withdrawing from employment </w:t>
      </w:r>
      <w:r w:rsidR="00470205">
        <w:t xml:space="preserve">and did not take reasonable steps to avoid foreseeable prejudice to them, in </w:t>
      </w:r>
      <w:r>
        <w:t>violation of rule 3-700(A)(2).</w:t>
      </w:r>
      <w:r w:rsidR="00470205">
        <w:t xml:space="preserve">  </w:t>
      </w:r>
      <w:r w:rsidR="00296349">
        <w:t>Rule 3-700(A)(2) provides that an attorney shall not withdraw from employment until the attorney “has taken reasonable steps to avoid reasonably foreseeable prejudice to the rights of the client, including giving due notice to the client, allowing time for employment of other counsel, complying with rule 3-700(D), and complying with applicable laws and rules.”</w:t>
      </w:r>
      <w:r w:rsidR="00470205">
        <w:t xml:space="preserve">  </w:t>
      </w:r>
    </w:p>
    <w:p w14:paraId="4C378252" w14:textId="7E7A2EA0" w:rsidR="00994ADA" w:rsidRDefault="00470205" w:rsidP="00994ADA">
      <w:pPr>
        <w:spacing w:line="480" w:lineRule="auto"/>
        <w:ind w:right="-144" w:firstLine="720"/>
      </w:pPr>
      <w:r>
        <w:t xml:space="preserve">The hearing judge found that after the December 16, 2016 hearing where the court dismissed the case, Shkolnikov </w:t>
      </w:r>
      <w:r w:rsidR="00994ADA">
        <w:t xml:space="preserve">did not take any action on the Maciases’ case and did not tell them that he had stopped working on the matter.  Instead, more than a year after the court hearing, Shkolnikov informed Leslie Macias that he was working on setting aside the dismissal.  The judge found that Shkolnikov’s failure to take any action resulted in a constructive termination of the employment.  </w:t>
      </w:r>
      <w:r w:rsidR="002F2BF1">
        <w:t xml:space="preserve">Because Shkolnikov failed to give notice to the Maciases that he was no longer working on the case, the judge determined that Shkolnikov was culpable </w:t>
      </w:r>
      <w:r w:rsidR="0046496B">
        <w:t>of</w:t>
      </w:r>
      <w:r w:rsidR="002F2BF1">
        <w:t xml:space="preserve"> violating rule 3-700(A)(2).  </w:t>
      </w:r>
      <w:r w:rsidR="00A7597C">
        <w:t xml:space="preserve">We agree.  </w:t>
      </w:r>
      <w:r w:rsidR="002F2BF1">
        <w:t>Neither OCTC nor Shkolnikov challenge this determination.</w:t>
      </w:r>
      <w:r w:rsidR="00A7597C">
        <w:t xml:space="preserve">  Shkolnikov had a duty to truthfully inform his clients about the status of their case.  Instead, he </w:t>
      </w:r>
      <w:r w:rsidR="00A65063">
        <w:t>stopped w</w:t>
      </w:r>
      <w:r w:rsidR="00A7597C">
        <w:t>ork</w:t>
      </w:r>
      <w:r w:rsidR="00A65063">
        <w:t>ing</w:t>
      </w:r>
      <w:r w:rsidR="00A7597C">
        <w:t xml:space="preserve"> for them and later lead them to believe that the case was not over and he was working on setting aside the dismissal.  Therefore, w</w:t>
      </w:r>
      <w:r w:rsidR="002F2BF1">
        <w:t xml:space="preserve">e find clear and convincing evidence that Shkolnikov is </w:t>
      </w:r>
      <w:r w:rsidR="002F2BF1">
        <w:lastRenderedPageBreak/>
        <w:t>culpable under count five and affirm the judge’s culpability determination.</w:t>
      </w:r>
      <w:r w:rsidR="00996D85">
        <w:t xml:space="preserve">  (See </w:t>
      </w:r>
      <w:r w:rsidR="00996D85">
        <w:rPr>
          <w:i/>
        </w:rPr>
        <w:t>In the Matter of Hindin</w:t>
      </w:r>
      <w:r w:rsidR="00996D85">
        <w:t xml:space="preserve"> (Review Dept. 1997) 3 Cal. State Bar Ct. Rptr. 657</w:t>
      </w:r>
      <w:r w:rsidR="00F33AB8">
        <w:t>, 680 [withdrawal from employment is serious misconduct].)</w:t>
      </w:r>
    </w:p>
    <w:p w14:paraId="047F56DA" w14:textId="3290E780" w:rsidR="003D0ED1" w:rsidRDefault="003D0ED1" w:rsidP="003D0ED1">
      <w:pPr>
        <w:spacing w:line="480" w:lineRule="auto"/>
        <w:jc w:val="center"/>
        <w:rPr>
          <w:b/>
        </w:rPr>
      </w:pPr>
      <w:r w:rsidRPr="003D0ED1">
        <w:rPr>
          <w:b/>
        </w:rPr>
        <w:t>IV.  AGGRAVATION AND MITIGATION</w:t>
      </w:r>
    </w:p>
    <w:p w14:paraId="3DE40649" w14:textId="317714BA" w:rsidR="00A13D85" w:rsidRDefault="00A13D85" w:rsidP="00A13D85">
      <w:pPr>
        <w:spacing w:line="480" w:lineRule="auto"/>
        <w:ind w:firstLine="720"/>
      </w:pPr>
      <w:r w:rsidRPr="00801B35">
        <w:t>Standard</w:t>
      </w:r>
      <w:r>
        <w:t> </w:t>
      </w:r>
      <w:r w:rsidRPr="00801B35">
        <w:t xml:space="preserve">1.5 </w:t>
      </w:r>
      <w:r>
        <w:t>of the Rules of Procedure of the State Bar, title IV, Standards for Attorney Sanctions for Professional Misconduct</w:t>
      </w:r>
      <w:r>
        <w:rPr>
          <w:rStyle w:val="FootnoteReference"/>
        </w:rPr>
        <w:footnoteReference w:id="18"/>
      </w:r>
      <w:r>
        <w:t xml:space="preserve"> </w:t>
      </w:r>
      <w:r w:rsidRPr="00801B35">
        <w:t>requires OCTC to establish aggravating circumstances by clear and convincing evidence</w:t>
      </w:r>
      <w:r>
        <w:t>.  S</w:t>
      </w:r>
      <w:r w:rsidRPr="00801B35">
        <w:t>tandard</w:t>
      </w:r>
      <w:r>
        <w:t> </w:t>
      </w:r>
      <w:r w:rsidRPr="00801B35">
        <w:t xml:space="preserve">1.6 requires </w:t>
      </w:r>
      <w:r w:rsidR="00296349">
        <w:t xml:space="preserve">Shkolnikov </w:t>
      </w:r>
      <w:r w:rsidRPr="00801B35">
        <w:t>to meet the sa</w:t>
      </w:r>
      <w:r>
        <w:t>me burden to prove mitigation.</w:t>
      </w:r>
    </w:p>
    <w:p w14:paraId="6FD204A5" w14:textId="163E3224" w:rsidR="00A13D85" w:rsidRPr="000E1B79" w:rsidRDefault="00A13D85" w:rsidP="00A13D85">
      <w:pPr>
        <w:spacing w:line="480" w:lineRule="auto"/>
        <w:rPr>
          <w:b/>
        </w:rPr>
      </w:pPr>
      <w:r w:rsidRPr="000E1B79">
        <w:rPr>
          <w:b/>
        </w:rPr>
        <w:t>A.</w:t>
      </w:r>
      <w:r w:rsidRPr="000E1B79">
        <w:rPr>
          <w:b/>
        </w:rPr>
        <w:tab/>
        <w:t>Aggravation</w:t>
      </w:r>
    </w:p>
    <w:p w14:paraId="67091DE2" w14:textId="567BA7D8" w:rsidR="00A13D85" w:rsidRDefault="00296349" w:rsidP="00A13D85">
      <w:pPr>
        <w:ind w:left="720"/>
        <w:rPr>
          <w:b/>
        </w:rPr>
      </w:pPr>
      <w:r>
        <w:rPr>
          <w:b/>
        </w:rPr>
        <w:t>1</w:t>
      </w:r>
      <w:r w:rsidR="00A13D85" w:rsidRPr="0086258E">
        <w:rPr>
          <w:b/>
        </w:rPr>
        <w:t>.  Multiple Acts of Wrongdoing (Std. 1.5(b))</w:t>
      </w:r>
      <w:r w:rsidR="00A13D85">
        <w:rPr>
          <w:b/>
        </w:rPr>
        <w:t xml:space="preserve"> </w:t>
      </w:r>
    </w:p>
    <w:p w14:paraId="63CC4F53" w14:textId="77777777" w:rsidR="00A13D85" w:rsidRPr="0086258E" w:rsidRDefault="00A13D85" w:rsidP="00A13D85">
      <w:pPr>
        <w:ind w:left="720"/>
        <w:rPr>
          <w:b/>
        </w:rPr>
      </w:pPr>
    </w:p>
    <w:p w14:paraId="3A84871D" w14:textId="64561D25" w:rsidR="00A93842" w:rsidRDefault="00A13D85" w:rsidP="00A93842">
      <w:pPr>
        <w:spacing w:line="480" w:lineRule="auto"/>
        <w:ind w:firstLine="720"/>
      </w:pPr>
      <w:r>
        <w:t xml:space="preserve">The hearing judge </w:t>
      </w:r>
      <w:r w:rsidR="00451CC4">
        <w:t xml:space="preserve">found culpability for three counts in the NDC and assigned limited weight in aggravation.  (See </w:t>
      </w:r>
      <w:r w:rsidR="00451CC4">
        <w:rPr>
          <w:i/>
        </w:rPr>
        <w:t>In the Matter of Bach</w:t>
      </w:r>
      <w:r w:rsidR="00451CC4">
        <w:t xml:space="preserve"> (Review Dept. 1991) 1 Cal. State Bar Ct. Rptr. 631, </w:t>
      </w:r>
      <w:r w:rsidR="00451CC4" w:rsidRPr="004072CB">
        <w:rPr>
          <w:rFonts w:eastAsia="Times New Roman"/>
          <w:szCs w:val="24"/>
        </w:rPr>
        <w:t>646</w:t>
      </w:r>
      <w:r w:rsidR="00451CC4" w:rsidRPr="00720D6D">
        <w:rPr>
          <w:szCs w:val="24"/>
        </w:rPr>
        <w:t>–</w:t>
      </w:r>
      <w:r w:rsidR="00451CC4" w:rsidRPr="004072CB">
        <w:rPr>
          <w:rFonts w:eastAsia="Times New Roman"/>
          <w:szCs w:val="24"/>
        </w:rPr>
        <w:t>647 [three instances of misconduct considered multiple acts].)</w:t>
      </w:r>
      <w:r w:rsidR="00451CC4">
        <w:rPr>
          <w:rFonts w:eastAsia="Times New Roman"/>
          <w:szCs w:val="24"/>
        </w:rPr>
        <w:t xml:space="preserve">  </w:t>
      </w:r>
      <w:r w:rsidR="00C4327F">
        <w:t xml:space="preserve">Citing </w:t>
      </w:r>
      <w:r w:rsidR="00C4327F">
        <w:rPr>
          <w:i/>
        </w:rPr>
        <w:t>In the Matter of Song</w:t>
      </w:r>
      <w:r w:rsidR="00C4327F">
        <w:t xml:space="preserve"> (Review Dept. 2013) 5 Cal. State Bar Ct. Rptr. 273, </w:t>
      </w:r>
      <w:r w:rsidR="00C4327F">
        <w:rPr>
          <w:i/>
        </w:rPr>
        <w:t>In the Matter of Guzman</w:t>
      </w:r>
      <w:r w:rsidR="00C4327F">
        <w:t xml:space="preserve"> (Review Dept. 2014) 5 Cal. State Bar Ct. Rptr. 308, and </w:t>
      </w:r>
      <w:r w:rsidR="00C4327F">
        <w:rPr>
          <w:i/>
        </w:rPr>
        <w:t>In the Matter of Martin</w:t>
      </w:r>
      <w:r w:rsidR="00C4327F">
        <w:t xml:space="preserve"> (Review Dept. 2020) 5 Cal State Bar Ct. Rptr. 753, OCTC argues that Shkolnikov should receive significant aggravation for his multiple acts of misconduct because it spanned multiple years and caused significant harm.  The facts of those cases are not comparable to </w:t>
      </w:r>
      <w:r w:rsidR="00A8374E">
        <w:t>the instant matter</w:t>
      </w:r>
      <w:r w:rsidR="00C4327F">
        <w:t xml:space="preserve"> as they involved more acts of misconduct</w:t>
      </w:r>
      <w:r w:rsidR="00A8374E">
        <w:t xml:space="preserve">: </w:t>
      </w:r>
      <w:r w:rsidR="00C4327F">
        <w:t xml:space="preserve">65 improper client trust account (CTA) withdrawals in </w:t>
      </w:r>
      <w:r w:rsidR="00C4327F" w:rsidRPr="00D26570">
        <w:rPr>
          <w:i/>
          <w:iCs/>
        </w:rPr>
        <w:t>Song</w:t>
      </w:r>
      <w:r w:rsidR="00C4327F">
        <w:t xml:space="preserve">, 24 counts of misconduct in </w:t>
      </w:r>
      <w:r w:rsidR="00C4327F" w:rsidRPr="00D26570">
        <w:rPr>
          <w:i/>
          <w:iCs/>
        </w:rPr>
        <w:t>Guzman</w:t>
      </w:r>
      <w:r w:rsidR="00C4327F">
        <w:t xml:space="preserve">, and 168 improper CTA uses in </w:t>
      </w:r>
      <w:r w:rsidR="00C4327F" w:rsidRPr="00D26570">
        <w:rPr>
          <w:i/>
          <w:iCs/>
        </w:rPr>
        <w:t>Martin</w:t>
      </w:r>
      <w:r w:rsidR="00C4327F">
        <w:t>.</w:t>
      </w:r>
      <w:r w:rsidR="00D26570">
        <w:t xml:space="preserve">  </w:t>
      </w:r>
      <w:r w:rsidR="004D79C2">
        <w:t>W</w:t>
      </w:r>
      <w:r w:rsidR="00D26570">
        <w:t xml:space="preserve">e do not </w:t>
      </w:r>
      <w:r w:rsidR="004D79C2">
        <w:t xml:space="preserve">find it appropriate to consider </w:t>
      </w:r>
      <w:r w:rsidR="00D26570">
        <w:t xml:space="preserve">significant harm in </w:t>
      </w:r>
      <w:r w:rsidR="009D43E8">
        <w:t xml:space="preserve">assigning </w:t>
      </w:r>
      <w:r w:rsidR="004D79C2">
        <w:t xml:space="preserve">the level of </w:t>
      </w:r>
      <w:r w:rsidR="009D43E8">
        <w:t>aggravation for</w:t>
      </w:r>
      <w:r w:rsidR="00D26570">
        <w:t xml:space="preserve"> multiple acts of misconduct.  </w:t>
      </w:r>
      <w:r w:rsidR="004D79C2">
        <w:t xml:space="preserve">Doing so would double count harm in evaluating standards 1.5(b) and 1.5(j).  </w:t>
      </w:r>
      <w:r w:rsidR="00D26570">
        <w:t xml:space="preserve">We </w:t>
      </w:r>
      <w:r w:rsidR="00D26570">
        <w:lastRenderedPageBreak/>
        <w:t xml:space="preserve">reject OCTC’s argument and find that Shkolnikov’s </w:t>
      </w:r>
      <w:r w:rsidR="00A93842">
        <w:t>three</w:t>
      </w:r>
      <w:r w:rsidR="00D26570">
        <w:t xml:space="preserve"> ethical violations are entitled to limited weight in aggravation.</w:t>
      </w:r>
      <w:r w:rsidR="00A93842">
        <w:rPr>
          <w:rStyle w:val="FootnoteReference"/>
        </w:rPr>
        <w:footnoteReference w:id="19"/>
      </w:r>
    </w:p>
    <w:p w14:paraId="62A53E27" w14:textId="3CE7E02E" w:rsidR="00A13D85" w:rsidRDefault="00296349" w:rsidP="00A13D85">
      <w:pPr>
        <w:ind w:firstLine="720"/>
        <w:rPr>
          <w:b/>
        </w:rPr>
      </w:pPr>
      <w:r>
        <w:rPr>
          <w:b/>
        </w:rPr>
        <w:t>2</w:t>
      </w:r>
      <w:r w:rsidR="00A13D85" w:rsidRPr="0086258E">
        <w:rPr>
          <w:b/>
        </w:rPr>
        <w:t xml:space="preserve">.  Significant Harm to </w:t>
      </w:r>
      <w:r w:rsidR="00A13D85">
        <w:rPr>
          <w:b/>
        </w:rPr>
        <w:t xml:space="preserve">the </w:t>
      </w:r>
      <w:r w:rsidR="00A13D85" w:rsidRPr="0086258E">
        <w:rPr>
          <w:b/>
        </w:rPr>
        <w:t>Clien</w:t>
      </w:r>
      <w:r w:rsidR="00BD0F67">
        <w:rPr>
          <w:b/>
        </w:rPr>
        <w:t xml:space="preserve">t </w:t>
      </w:r>
      <w:r w:rsidR="00A13D85" w:rsidRPr="0086258E">
        <w:rPr>
          <w:b/>
        </w:rPr>
        <w:t>(Std. 1.5(j))</w:t>
      </w:r>
    </w:p>
    <w:p w14:paraId="784E4D95" w14:textId="77777777" w:rsidR="00A13D85" w:rsidRPr="0086258E" w:rsidRDefault="00A13D85" w:rsidP="00A13D85">
      <w:pPr>
        <w:ind w:firstLine="720"/>
        <w:rPr>
          <w:b/>
        </w:rPr>
      </w:pPr>
    </w:p>
    <w:p w14:paraId="2777D8D4" w14:textId="1CC06337" w:rsidR="00296349" w:rsidRPr="00E67379" w:rsidRDefault="0049236D" w:rsidP="0049236D">
      <w:pPr>
        <w:spacing w:line="480" w:lineRule="auto"/>
        <w:ind w:firstLine="720"/>
      </w:pPr>
      <w:r>
        <w:t xml:space="preserve">The hearing judge assigned significant weight in aggravation for the harm Shkolnikov caused Herrera and the Maciases.  </w:t>
      </w:r>
      <w:r w:rsidR="00A93842">
        <w:t>Neither OCTC nor Shkolnikov challenge this finding.  Shkolnikov’s</w:t>
      </w:r>
      <w:r>
        <w:t xml:space="preserve"> failure to serve the defendant for over three years caused the court to dismiss Herrera’s case.  In the Macias matter, </w:t>
      </w:r>
      <w:r w:rsidR="004945B8">
        <w:t xml:space="preserve">Shkolnikov failed to oppose the demurrer, causing the case to be dismissed.  In both matters, his clients did not receive their day in court.  After the dismissals, he led them to believe he was working on their cases, </w:t>
      </w:r>
      <w:r w:rsidR="00A65063">
        <w:t xml:space="preserve">which </w:t>
      </w:r>
      <w:r w:rsidR="004945B8">
        <w:t>was false.  The clients were distressed to learn years after the fact that their cases could no longer be pursued.  W</w:t>
      </w:r>
      <w:r>
        <w:t>e agree with the hearing judge that Shkolnikov</w:t>
      </w:r>
      <w:r w:rsidR="00E67379">
        <w:t xml:space="preserve"> caused significant client harm and assign substantial </w:t>
      </w:r>
      <w:r w:rsidR="00DD356B">
        <w:t>weight</w:t>
      </w:r>
      <w:r w:rsidR="00E67379">
        <w:t xml:space="preserve"> in aggravation.  (</w:t>
      </w:r>
      <w:r w:rsidR="00E67379">
        <w:rPr>
          <w:i/>
        </w:rPr>
        <w:t>In the Matter of Bach</w:t>
      </w:r>
      <w:r w:rsidR="00E67379">
        <w:t xml:space="preserve">, </w:t>
      </w:r>
      <w:r w:rsidR="00E67379" w:rsidRPr="00E67379">
        <w:rPr>
          <w:i/>
          <w:iCs/>
        </w:rPr>
        <w:t>supra</w:t>
      </w:r>
      <w:r w:rsidR="00E67379">
        <w:t>, 1 Cal. State Bar Ct. Rptr. at p. 646 [significant aggravation where attorney failed to pursue client’s case resulting in its dismissal].)</w:t>
      </w:r>
    </w:p>
    <w:p w14:paraId="202EB5C2" w14:textId="77777777" w:rsidR="00A13D85" w:rsidRPr="00216D8A" w:rsidRDefault="00A13D85" w:rsidP="00A13D85">
      <w:pPr>
        <w:spacing w:line="480" w:lineRule="auto"/>
        <w:rPr>
          <w:b/>
        </w:rPr>
      </w:pPr>
      <w:r w:rsidRPr="00216D8A">
        <w:rPr>
          <w:b/>
        </w:rPr>
        <w:t>B.</w:t>
      </w:r>
      <w:r w:rsidRPr="00216D8A">
        <w:rPr>
          <w:b/>
        </w:rPr>
        <w:tab/>
        <w:t>Mitigation</w:t>
      </w:r>
    </w:p>
    <w:p w14:paraId="3AFF9ACF" w14:textId="77777777" w:rsidR="00A13D85" w:rsidRPr="00B66343" w:rsidRDefault="00A13D85" w:rsidP="00A13D85">
      <w:pPr>
        <w:spacing w:line="480" w:lineRule="auto"/>
        <w:ind w:firstLine="720"/>
        <w:rPr>
          <w:b/>
        </w:rPr>
      </w:pPr>
      <w:r>
        <w:rPr>
          <w:b/>
        </w:rPr>
        <w:t>1.  No Prior Record of Discipline (Std. 1.6(a</w:t>
      </w:r>
      <w:r w:rsidRPr="00B66343">
        <w:rPr>
          <w:b/>
        </w:rPr>
        <w:t>))</w:t>
      </w:r>
    </w:p>
    <w:p w14:paraId="7FFDC44F" w14:textId="1BAAFECA" w:rsidR="00E67379" w:rsidRPr="00566F57" w:rsidRDefault="00A13D85" w:rsidP="00566F57">
      <w:pPr>
        <w:tabs>
          <w:tab w:val="left" w:pos="720"/>
        </w:tabs>
        <w:spacing w:line="480" w:lineRule="auto"/>
        <w:ind w:right="-144" w:firstLine="720"/>
        <w:rPr>
          <w:szCs w:val="24"/>
        </w:rPr>
      </w:pPr>
      <w:r w:rsidRPr="00D55103">
        <w:rPr>
          <w:szCs w:val="24"/>
        </w:rPr>
        <w:t xml:space="preserve">Mitigation </w:t>
      </w:r>
      <w:r w:rsidR="00566F57">
        <w:rPr>
          <w:szCs w:val="24"/>
        </w:rPr>
        <w:t xml:space="preserve">includes “absence of any prior record of discipline over many years coupled with present misconduct, which is not likely to recur.” </w:t>
      </w:r>
      <w:r w:rsidRPr="00D55103">
        <w:rPr>
          <w:szCs w:val="24"/>
        </w:rPr>
        <w:t xml:space="preserve"> (Std. 1.6(a).)</w:t>
      </w:r>
      <w:r w:rsidR="00E67379">
        <w:rPr>
          <w:szCs w:val="24"/>
        </w:rPr>
        <w:t xml:space="preserve">  </w:t>
      </w:r>
      <w:r w:rsidR="00DD356B">
        <w:rPr>
          <w:szCs w:val="24"/>
        </w:rPr>
        <w:t>B</w:t>
      </w:r>
      <w:r w:rsidR="00E67379">
        <w:rPr>
          <w:szCs w:val="24"/>
        </w:rPr>
        <w:t xml:space="preserve">ecause </w:t>
      </w:r>
      <w:r w:rsidR="00E67379">
        <w:t xml:space="preserve">Shkolnikov “admitted that he lacked focus due to personal matters and advised both clients that they may pursue a claim against him,” </w:t>
      </w:r>
      <w:r w:rsidR="00DD356B">
        <w:t xml:space="preserve">the hearing judge found </w:t>
      </w:r>
      <w:r w:rsidR="00E67379">
        <w:t>his misconduct was aberrational and unlikely to recur.  (</w:t>
      </w:r>
      <w:r w:rsidR="00E67379">
        <w:rPr>
          <w:szCs w:val="24"/>
        </w:rPr>
        <w:t xml:space="preserve">See </w:t>
      </w:r>
      <w:r w:rsidR="00E67379" w:rsidRPr="003E29C5">
        <w:rPr>
          <w:i/>
          <w:szCs w:val="24"/>
        </w:rPr>
        <w:t>Cooper v. State Bar</w:t>
      </w:r>
      <w:r w:rsidR="00E67379" w:rsidRPr="003E29C5">
        <w:rPr>
          <w:szCs w:val="24"/>
        </w:rPr>
        <w:t xml:space="preserve"> (1987) 43 Cal.3d 1016, 1029 [when misconduct is serious, long record without discipline is most relevant when misconduct</w:t>
      </w:r>
      <w:r w:rsidR="00E67379">
        <w:rPr>
          <w:szCs w:val="24"/>
        </w:rPr>
        <w:t xml:space="preserve"> is aberrational].)  However, the judge </w:t>
      </w:r>
      <w:r w:rsidR="00E67379">
        <w:rPr>
          <w:szCs w:val="24"/>
        </w:rPr>
        <w:lastRenderedPageBreak/>
        <w:t xml:space="preserve">assigned limited weight in mitigation because </w:t>
      </w:r>
      <w:r w:rsidR="00E67379">
        <w:t>Shkolnikov had only practiced approximately seven years without misconduct.</w:t>
      </w:r>
    </w:p>
    <w:p w14:paraId="3EB8024B" w14:textId="077C429B" w:rsidR="00B233EA" w:rsidRDefault="00BD0F67" w:rsidP="00655612">
      <w:pPr>
        <w:tabs>
          <w:tab w:val="left" w:pos="720"/>
        </w:tabs>
        <w:spacing w:line="480" w:lineRule="auto"/>
        <w:ind w:right="-144" w:firstLine="720"/>
      </w:pPr>
      <w:r>
        <w:t>OCTC asserts that Shkolnikov is not entitled to any mitigation under standard 1.6(a).</w:t>
      </w:r>
      <w:r w:rsidR="00B233EA">
        <w:t xml:space="preserve">  We disagree as Shkolnikov’s seven years of discipline-free practice satisfies the first prong of the standard: no prior record of discipline over many years of practice.  However, this seven-year period is entitled to only </w:t>
      </w:r>
      <w:r w:rsidR="000270AE">
        <w:t xml:space="preserve">minimal mitigation.  (See </w:t>
      </w:r>
      <w:r w:rsidR="000270AE">
        <w:rPr>
          <w:i/>
        </w:rPr>
        <w:t>In the Matter of Tindall</w:t>
      </w:r>
      <w:r w:rsidR="000270AE">
        <w:t xml:space="preserve"> (Review Dept. 1991) 1 Cal. State Bar Ct. Rptr. 652, 664 [practicing less than seven years is not significant mitigation].)</w:t>
      </w:r>
      <w:r w:rsidR="00655612">
        <w:t xml:space="preserve">  </w:t>
      </w:r>
      <w:r w:rsidR="00B233EA">
        <w:t xml:space="preserve">Under the second prong of the standard, OCTC argues that Shkolnikov’s mitigation should be further reduced </w:t>
      </w:r>
      <w:r w:rsidR="000270AE">
        <w:t xml:space="preserve">because Shkolnikov did not demonstrate </w:t>
      </w:r>
      <w:r>
        <w:t xml:space="preserve">that his misconduct was </w:t>
      </w:r>
      <w:r w:rsidR="00EE7715">
        <w:t>aberrational</w:t>
      </w:r>
      <w:r w:rsidR="00716B11">
        <w:t xml:space="preserve">.  </w:t>
      </w:r>
      <w:r w:rsidR="005C30A5">
        <w:t xml:space="preserve">We disagree.  </w:t>
      </w:r>
      <w:r w:rsidR="00716B11">
        <w:t xml:space="preserve">We decline to totally eliminate Shkolnikov’s mitigation under standard 1.6(a) as he showed some understanding of his misconduct, </w:t>
      </w:r>
      <w:r w:rsidR="009D43E8">
        <w:t>admitted to</w:t>
      </w:r>
      <w:r w:rsidR="00716B11">
        <w:t xml:space="preserve"> </w:t>
      </w:r>
      <w:r w:rsidR="00B233EA">
        <w:t>the Maciases</w:t>
      </w:r>
      <w:r w:rsidR="00716B11">
        <w:t xml:space="preserve"> he made mistakes, and </w:t>
      </w:r>
      <w:r w:rsidR="009D43E8">
        <w:t>told them to pursue a claim with</w:t>
      </w:r>
      <w:r w:rsidR="00716B11">
        <w:t xml:space="preserve"> his malpractice insurance.  Further, he does not contest the hearing judge’s culpability determination</w:t>
      </w:r>
      <w:r w:rsidR="00EE7715">
        <w:t>s</w:t>
      </w:r>
      <w:r w:rsidR="00716B11">
        <w:t>.  And Shkolnikov attributed his misconduct to personal issues affecting his focus</w:t>
      </w:r>
      <w:r w:rsidR="0046496B">
        <w:t xml:space="preserve"> and showed some insight into his misconduct.</w:t>
      </w:r>
      <w:r w:rsidR="00B233EA">
        <w:t xml:space="preserve">  Therefore, the record supports the finding that Shkolnikov’s misconduct was aberrational.  However, we assign less weight than the judge </w:t>
      </w:r>
      <w:r w:rsidR="005C30A5">
        <w:t xml:space="preserve">because </w:t>
      </w:r>
      <w:r w:rsidR="00B233EA">
        <w:t xml:space="preserve">Shkolnikov </w:t>
      </w:r>
      <w:r w:rsidR="005C30A5">
        <w:t xml:space="preserve">had only </w:t>
      </w:r>
      <w:r w:rsidR="00B233EA">
        <w:t xml:space="preserve">practiced </w:t>
      </w:r>
      <w:r w:rsidR="005C30A5">
        <w:t xml:space="preserve">for seven years, the minimum amount of time </w:t>
      </w:r>
      <w:r w:rsidR="00B233EA">
        <w:t>without misconduct</w:t>
      </w:r>
      <w:r w:rsidR="005C30A5">
        <w:t xml:space="preserve"> to obtain credit for this mitigating factor.</w:t>
      </w:r>
      <w:r w:rsidR="00B233EA">
        <w:t xml:space="preserve">  </w:t>
      </w:r>
      <w:r w:rsidR="00655612">
        <w:t>We assign minimal mitigation for this seven-year period.</w:t>
      </w:r>
    </w:p>
    <w:p w14:paraId="435DBE43" w14:textId="170A6BF4" w:rsidR="003B360E" w:rsidRPr="004113DA" w:rsidRDefault="003B360E" w:rsidP="003B360E">
      <w:pPr>
        <w:spacing w:line="480" w:lineRule="auto"/>
        <w:ind w:firstLine="720"/>
        <w:rPr>
          <w:b/>
          <w:bCs/>
        </w:rPr>
      </w:pPr>
      <w:r w:rsidRPr="004113DA">
        <w:rPr>
          <w:b/>
          <w:bCs/>
        </w:rPr>
        <w:t>2.  Cooperation</w:t>
      </w:r>
      <w:r>
        <w:rPr>
          <w:b/>
          <w:bCs/>
        </w:rPr>
        <w:t xml:space="preserve"> (Std. 1.6(e))</w:t>
      </w:r>
    </w:p>
    <w:p w14:paraId="7E58D665" w14:textId="09E179E6" w:rsidR="003B360E" w:rsidRDefault="00D471CC" w:rsidP="008770CC">
      <w:pPr>
        <w:spacing w:line="480" w:lineRule="auto"/>
        <w:ind w:firstLine="720"/>
      </w:pPr>
      <w:r>
        <w:t xml:space="preserve">The hearing judge </w:t>
      </w:r>
      <w:r w:rsidR="008770CC">
        <w:t xml:space="preserve">assigned limited mitigation for Shkolnikov’s </w:t>
      </w:r>
      <w:r w:rsidR="005F2E1F">
        <w:t>S</w:t>
      </w:r>
      <w:r w:rsidR="008770CC">
        <w:t>tipulation because it involved easily provable facts.</w:t>
      </w:r>
      <w:r w:rsidR="00B83B37">
        <w:t xml:space="preserve">  Neither OCTC nor Shkolnikov challenge this finding.</w:t>
      </w:r>
      <w:r w:rsidR="008770CC">
        <w:t xml:space="preserve">  We </w:t>
      </w:r>
      <w:r w:rsidR="00B83B37">
        <w:t>agree with the judge</w:t>
      </w:r>
      <w:r w:rsidR="008770CC">
        <w:t>.</w:t>
      </w:r>
      <w:r w:rsidR="003B360E">
        <w:t xml:space="preserve">  (See </w:t>
      </w:r>
      <w:r w:rsidR="003B360E">
        <w:rPr>
          <w:i/>
        </w:rPr>
        <w:t>In the Matter of Johnson</w:t>
      </w:r>
      <w:r w:rsidR="003B360E">
        <w:t xml:space="preserve"> (Review Dept. 2000) 4 Cal. State Bar Ct. Rptr. 179, 190 [more extensive mitigation weight for admission of culpability and facts].)</w:t>
      </w:r>
      <w:r w:rsidR="003B360E" w:rsidRPr="00F43164">
        <w:t xml:space="preserve"> </w:t>
      </w:r>
    </w:p>
    <w:p w14:paraId="2A0E1ADD" w14:textId="77777777" w:rsidR="00A536D6" w:rsidRPr="008770CC" w:rsidRDefault="00A536D6" w:rsidP="008770CC">
      <w:pPr>
        <w:spacing w:line="480" w:lineRule="auto"/>
        <w:ind w:firstLine="720"/>
      </w:pPr>
    </w:p>
    <w:p w14:paraId="3125DA87" w14:textId="005040EA" w:rsidR="003B360E" w:rsidRPr="00DF7CF1" w:rsidRDefault="003B360E" w:rsidP="003B360E">
      <w:pPr>
        <w:spacing w:line="480" w:lineRule="auto"/>
        <w:ind w:firstLine="720"/>
        <w:rPr>
          <w:b/>
          <w:bCs/>
        </w:rPr>
      </w:pPr>
      <w:r w:rsidRPr="00DF7CF1">
        <w:rPr>
          <w:b/>
          <w:bCs/>
        </w:rPr>
        <w:lastRenderedPageBreak/>
        <w:t>3.  Extraordinary Good Character</w:t>
      </w:r>
      <w:r>
        <w:rPr>
          <w:b/>
          <w:bCs/>
        </w:rPr>
        <w:t xml:space="preserve"> (Std. 1.6(f))</w:t>
      </w:r>
    </w:p>
    <w:p w14:paraId="48C9F6B1" w14:textId="2AE644E5" w:rsidR="008770CC" w:rsidRDefault="00E12B73" w:rsidP="005C57A4">
      <w:pPr>
        <w:spacing w:line="480" w:lineRule="auto"/>
        <w:ind w:firstLine="720"/>
      </w:pPr>
      <w:r>
        <w:t>Shkolnikov</w:t>
      </w:r>
      <w:r w:rsidR="003B360E">
        <w:t xml:space="preserve"> may obtain mitigation for “extraordinary good character attested to by a wide range of references in the legal and general communities, who are aware of the full extent of the misconduct.”  (Std. 1.6(f).)</w:t>
      </w:r>
      <w:r w:rsidR="00123868">
        <w:t xml:space="preserve">  Four witnesses testified at trial and two more submitted character letters.  They included three attorneys, a former client, a friend, and a doctor who had worked with </w:t>
      </w:r>
      <w:r w:rsidR="00356CFA">
        <w:t>him</w:t>
      </w:r>
      <w:r w:rsidR="00123868">
        <w:t xml:space="preserve"> </w:t>
      </w:r>
      <w:r w:rsidR="005C57A4">
        <w:t xml:space="preserve">in </w:t>
      </w:r>
      <w:r w:rsidR="00356CFA">
        <w:t>Shkolnikov’s</w:t>
      </w:r>
      <w:r w:rsidR="005C57A4">
        <w:t xml:space="preserve"> capacity as a registered</w:t>
      </w:r>
      <w:r w:rsidR="00123868">
        <w:t xml:space="preserve"> nurse.</w:t>
      </w:r>
      <w:r w:rsidR="00946749">
        <w:rPr>
          <w:rStyle w:val="FootnoteReference"/>
        </w:rPr>
        <w:footnoteReference w:id="20"/>
      </w:r>
      <w:r w:rsidR="00123868">
        <w:t xml:space="preserve">  His character references had known him for a significant amount of time, between 12 and 29 years, and they spoke positively regarding his character and his abilities as an attorney.</w:t>
      </w:r>
      <w:r w:rsidR="005C57A4">
        <w:t xml:space="preserve">  </w:t>
      </w:r>
      <w:r>
        <w:t xml:space="preserve">However, none of the witnesses stated they read the NDC or discussed the details of the charges with Shkolnikov.  Because Shkolnikov’s character witnesses were not aware of the full extent of the misconduct, the hearing judge </w:t>
      </w:r>
      <w:r w:rsidR="003B360E">
        <w:t xml:space="preserve">assigned </w:t>
      </w:r>
      <w:r w:rsidR="008770CC">
        <w:t>limited weight in mitigation.</w:t>
      </w:r>
      <w:r w:rsidR="00B83B37">
        <w:t xml:space="preserve">  Neither OCTC nor Shkolnikov challenge this finding.</w:t>
      </w:r>
      <w:r>
        <w:t xml:space="preserve">  We agree</w:t>
      </w:r>
      <w:r w:rsidR="00B83B37">
        <w:t xml:space="preserve"> with the hearing judge</w:t>
      </w:r>
      <w:r>
        <w:t xml:space="preserve">.  </w:t>
      </w:r>
      <w:r w:rsidR="005C57A4">
        <w:t xml:space="preserve">(See </w:t>
      </w:r>
      <w:r w:rsidR="005C57A4">
        <w:rPr>
          <w:i/>
        </w:rPr>
        <w:t>In re Aquino</w:t>
      </w:r>
      <w:r w:rsidR="005C57A4">
        <w:t xml:space="preserve"> (1989) 49 Cal.3d 1122, 1131 [testimony of witnesses unfamiliar with details of misconduct not given significant weight in mitigation].)</w:t>
      </w:r>
    </w:p>
    <w:p w14:paraId="3682797A" w14:textId="04D54931" w:rsidR="003B360E" w:rsidRPr="000655BF" w:rsidRDefault="003B360E" w:rsidP="003B360E">
      <w:pPr>
        <w:spacing w:line="480" w:lineRule="auto"/>
        <w:ind w:firstLine="720"/>
        <w:rPr>
          <w:b/>
          <w:bCs/>
        </w:rPr>
      </w:pPr>
      <w:r w:rsidRPr="00322DD1">
        <w:rPr>
          <w:b/>
          <w:bCs/>
        </w:rPr>
        <w:t>4.  Extreme Emotional Difficulties (Std. 1.6(d))</w:t>
      </w:r>
    </w:p>
    <w:p w14:paraId="2F57DFE8" w14:textId="723F7030" w:rsidR="00322DD1" w:rsidRDefault="003D3343" w:rsidP="00577361">
      <w:pPr>
        <w:spacing w:line="480" w:lineRule="auto"/>
        <w:ind w:firstLine="720"/>
      </w:pPr>
      <w:r w:rsidRPr="00FE40FF">
        <w:t>Standard 1.6(d) provides that mitigation may be assigned for</w:t>
      </w:r>
      <w:r>
        <w:t xml:space="preserve"> extreme emotional difficulties </w:t>
      </w:r>
      <w:r>
        <w:rPr>
          <w:szCs w:val="24"/>
        </w:rPr>
        <w:t>where</w:t>
      </w:r>
      <w:r w:rsidRPr="00FE40FF">
        <w:rPr>
          <w:szCs w:val="24"/>
        </w:rPr>
        <w:t xml:space="preserve"> (1) the attorney suffered from them at the time of the misconduct</w:t>
      </w:r>
      <w:r>
        <w:rPr>
          <w:szCs w:val="24"/>
        </w:rPr>
        <w:t>,</w:t>
      </w:r>
      <w:r w:rsidRPr="00FE40FF">
        <w:rPr>
          <w:szCs w:val="24"/>
        </w:rPr>
        <w:t xml:space="preserve"> (2) they are established by expert testimony as being directly responsible for the misconduct</w:t>
      </w:r>
      <w:r>
        <w:rPr>
          <w:szCs w:val="24"/>
        </w:rPr>
        <w:t>,</w:t>
      </w:r>
      <w:r w:rsidRPr="00FE40FF">
        <w:rPr>
          <w:szCs w:val="24"/>
        </w:rPr>
        <w:t xml:space="preserve"> and (3) they no longer pose a risk that the attorney </w:t>
      </w:r>
      <w:r>
        <w:rPr>
          <w:szCs w:val="24"/>
        </w:rPr>
        <w:t xml:space="preserve">will commit future misconduct.  However, some mitigation may be available for extremely stressful family circumstances even when there is no expert testimony.  (See </w:t>
      </w:r>
      <w:r>
        <w:rPr>
          <w:i/>
          <w:szCs w:val="24"/>
        </w:rPr>
        <w:t>Lawhorn v. State Bar</w:t>
      </w:r>
      <w:r>
        <w:rPr>
          <w:szCs w:val="24"/>
        </w:rPr>
        <w:t xml:space="preserve"> (1987) 43 Cal.3d 1357, 1364 [lay testimony of marital difficulties considered in mitigation]; </w:t>
      </w:r>
      <w:r>
        <w:rPr>
          <w:i/>
          <w:szCs w:val="24"/>
        </w:rPr>
        <w:t>In the Matter of Mitchell</w:t>
      </w:r>
      <w:r>
        <w:rPr>
          <w:szCs w:val="24"/>
        </w:rPr>
        <w:t xml:space="preserve"> (Review Dept. 1991) 1 Cal. State Bar Ct. Rptr. 332, 3</w:t>
      </w:r>
      <w:r w:rsidR="00C90C9F">
        <w:rPr>
          <w:szCs w:val="24"/>
        </w:rPr>
        <w:t>38</w:t>
      </w:r>
      <w:r>
        <w:rPr>
          <w:szCs w:val="24"/>
        </w:rPr>
        <w:t xml:space="preserve"> [lay testimony regarding family concerns mitigating].)</w:t>
      </w:r>
      <w:r w:rsidR="00322DD1">
        <w:rPr>
          <w:szCs w:val="24"/>
        </w:rPr>
        <w:t xml:space="preserve">  The hearing judge </w:t>
      </w:r>
      <w:r w:rsidR="00322DD1">
        <w:rPr>
          <w:szCs w:val="24"/>
        </w:rPr>
        <w:lastRenderedPageBreak/>
        <w:t xml:space="preserve">found that some of </w:t>
      </w:r>
      <w:r w:rsidR="00322DD1">
        <w:t xml:space="preserve">Shkolnikov’s misconduct in 2018—his misrepresentation to Herrera and his claim to the Maciases that he was working on setting aside the dismissal—was mitigated by the emotional difficulties he suffered as a result of </w:t>
      </w:r>
      <w:r w:rsidR="00577361">
        <w:t>family stress at the time.  Both his wife and mother were dealing with serious medical issues.  His mother then died in September 2018, which caused Shkolnikov great distress</w:t>
      </w:r>
      <w:r w:rsidR="00322DD1">
        <w:t xml:space="preserve">.  The judge noted that Shkolnikov’s failure to perform in the Herrera matter occurred between 2012 and 2017, which preceded his family’s health issues.  Due to “extremely stressful family circumstances” that Shkolnikov endured when he committed some of the misconduct, the judge assigned moderate weight in mitigation.  </w:t>
      </w:r>
    </w:p>
    <w:p w14:paraId="29EEBA0C" w14:textId="4510D55E" w:rsidR="009D43E8" w:rsidRDefault="00577361" w:rsidP="00731BB9">
      <w:pPr>
        <w:spacing w:line="480" w:lineRule="auto"/>
        <w:ind w:firstLine="720"/>
      </w:pPr>
      <w:r>
        <w:t>On review, OCTC argues that mitigation for emotional difficulties is</w:t>
      </w:r>
      <w:r w:rsidR="002C3FA1">
        <w:t xml:space="preserve"> not</w:t>
      </w:r>
      <w:r>
        <w:t xml:space="preserve"> warranted because (1) </w:t>
      </w:r>
      <w:r w:rsidR="00731BB9">
        <w:t xml:space="preserve">all </w:t>
      </w:r>
      <w:r>
        <w:t xml:space="preserve">the misconduct </w:t>
      </w:r>
      <w:r w:rsidR="00731BB9">
        <w:t xml:space="preserve">does not coincide with </w:t>
      </w:r>
      <w:r>
        <w:t>Shkolnikov’s family’s health issues, (2)</w:t>
      </w:r>
      <w:r w:rsidR="00731BB9">
        <w:t> </w:t>
      </w:r>
      <w:r>
        <w:t>Shkolnikov’s dishonesty is not explained by his emotional distress,</w:t>
      </w:r>
      <w:r w:rsidR="00A22925">
        <w:t xml:space="preserve"> and</w:t>
      </w:r>
      <w:r>
        <w:t xml:space="preserve"> (3) </w:t>
      </w:r>
      <w:r w:rsidR="002C3FA1">
        <w:t>there were no assurances that his emotional issues are resolved.</w:t>
      </w:r>
      <w:r w:rsidR="00276A86">
        <w:rPr>
          <w:rStyle w:val="FootnoteReference"/>
        </w:rPr>
        <w:footnoteReference w:id="21"/>
      </w:r>
      <w:r w:rsidR="00567447">
        <w:t xml:space="preserve">  We agree that Shkolnikov’s personal problems do not fully explain his misconduct.  The medical issues did not begin until years after Shkolnikov took on the Herrera matter, yet even without these personal problems, </w:t>
      </w:r>
      <w:bookmarkStart w:id="21" w:name="_Hlk83047719"/>
      <w:r w:rsidR="00567447">
        <w:t xml:space="preserve">Shkolnikov </w:t>
      </w:r>
      <w:bookmarkEnd w:id="21"/>
      <w:r w:rsidR="00567447">
        <w:t>failed to perform competently, resulting in the dismissal of her case.</w:t>
      </w:r>
      <w:r w:rsidR="00A22925">
        <w:t xml:space="preserve">  </w:t>
      </w:r>
      <w:r w:rsidR="00276A86">
        <w:t>The pressure of dealing with his family’s medical problems does coincide with some of the misconduct</w:t>
      </w:r>
      <w:r w:rsidR="00A4686A">
        <w:t xml:space="preserve"> </w:t>
      </w:r>
      <w:r w:rsidR="00276A86">
        <w:t>and is worthy of some mitigation, but not moderate weight as assigned by the hearing judge</w:t>
      </w:r>
      <w:r w:rsidR="00206A5A">
        <w:t>.</w:t>
      </w:r>
      <w:r w:rsidR="00A22925">
        <w:t xml:space="preserve">  </w:t>
      </w:r>
      <w:r w:rsidR="003B7BB8">
        <w:t xml:space="preserve">Further, Shkolnikov has not demonstrated that when faced with personal problems in the future, he would handle </w:t>
      </w:r>
      <w:r w:rsidR="003B7BB8">
        <w:lastRenderedPageBreak/>
        <w:t xml:space="preserve">them differently so as to avoid </w:t>
      </w:r>
      <w:r w:rsidR="003B7BB8">
        <w:rPr>
          <w:szCs w:val="24"/>
        </w:rPr>
        <w:t>future misconduct.</w:t>
      </w:r>
      <w:r w:rsidR="00731BB9">
        <w:rPr>
          <w:rStyle w:val="FootnoteReference"/>
          <w:szCs w:val="24"/>
        </w:rPr>
        <w:footnoteReference w:id="22"/>
      </w:r>
      <w:r w:rsidR="003B7BB8">
        <w:rPr>
          <w:szCs w:val="24"/>
        </w:rPr>
        <w:t xml:space="preserve">  (See </w:t>
      </w:r>
      <w:r w:rsidR="003B7BB8">
        <w:rPr>
          <w:i/>
          <w:szCs w:val="24"/>
        </w:rPr>
        <w:t>Kaplan v. State Bar</w:t>
      </w:r>
      <w:r w:rsidR="003B7BB8">
        <w:rPr>
          <w:szCs w:val="24"/>
        </w:rPr>
        <w:t xml:space="preserve"> (1991) 52 Cal.3d 1067, 1072-1073 [</w:t>
      </w:r>
      <w:r w:rsidR="000F14DD">
        <w:rPr>
          <w:szCs w:val="24"/>
        </w:rPr>
        <w:t xml:space="preserve">concern that routine family stresses or medical </w:t>
      </w:r>
      <w:r w:rsidR="000726E2">
        <w:rPr>
          <w:szCs w:val="24"/>
        </w:rPr>
        <w:t>emergencies</w:t>
      </w:r>
      <w:r w:rsidR="000F14DD">
        <w:rPr>
          <w:szCs w:val="24"/>
        </w:rPr>
        <w:t xml:space="preserve"> will trigger future misconduct when no assurance</w:t>
      </w:r>
      <w:r w:rsidR="003B7BB8">
        <w:rPr>
          <w:szCs w:val="24"/>
        </w:rPr>
        <w:t xml:space="preserve"> </w:t>
      </w:r>
      <w:r w:rsidR="000F14DD">
        <w:rPr>
          <w:szCs w:val="24"/>
        </w:rPr>
        <w:t xml:space="preserve">that emotional issues are resolved].)  </w:t>
      </w:r>
      <w:r w:rsidR="003B7BB8">
        <w:rPr>
          <w:szCs w:val="24"/>
        </w:rPr>
        <w:t xml:space="preserve">For these reasons, we assign minimal </w:t>
      </w:r>
      <w:r w:rsidR="00731BB9">
        <w:rPr>
          <w:szCs w:val="24"/>
        </w:rPr>
        <w:t xml:space="preserve">mitigation for </w:t>
      </w:r>
      <w:r w:rsidR="00731BB9">
        <w:t>Shkolnikov’s emotional difficulties that occurred during some of the time he committed misconduct.  We emphasize that this does not mitigate his failure to perform competently in the Herrera matter.</w:t>
      </w:r>
    </w:p>
    <w:p w14:paraId="09F642C3" w14:textId="03AF76CC" w:rsidR="003B360E" w:rsidRPr="00AA6F3A" w:rsidRDefault="003B360E" w:rsidP="003B360E">
      <w:pPr>
        <w:spacing w:line="480" w:lineRule="auto"/>
        <w:ind w:firstLine="720"/>
        <w:rPr>
          <w:b/>
          <w:bCs/>
        </w:rPr>
      </w:pPr>
      <w:r w:rsidRPr="00AA6F3A">
        <w:rPr>
          <w:b/>
          <w:bCs/>
        </w:rPr>
        <w:t xml:space="preserve">5.  </w:t>
      </w:r>
      <w:r w:rsidR="004555C4">
        <w:rPr>
          <w:b/>
          <w:bCs/>
        </w:rPr>
        <w:t xml:space="preserve">Pro Bono Work </w:t>
      </w:r>
    </w:p>
    <w:p w14:paraId="4270E22E" w14:textId="54712E85" w:rsidR="000702A9" w:rsidRDefault="00B52114" w:rsidP="00215B0E">
      <w:pPr>
        <w:spacing w:line="480" w:lineRule="auto"/>
        <w:ind w:right="-144" w:firstLine="720"/>
        <w:rPr>
          <w:rFonts w:eastAsiaTheme="minorHAnsi" w:cstheme="minorBidi"/>
          <w:szCs w:val="24"/>
        </w:rPr>
      </w:pPr>
      <w:r>
        <w:rPr>
          <w:rFonts w:eastAsiaTheme="minorHAnsi" w:cstheme="minorBidi"/>
          <w:szCs w:val="24"/>
        </w:rPr>
        <w:t>Pro bono work is a</w:t>
      </w:r>
      <w:r w:rsidRPr="005D0432">
        <w:rPr>
          <w:rFonts w:eastAsiaTheme="minorHAnsi" w:cstheme="minorBidi"/>
          <w:szCs w:val="24"/>
        </w:rPr>
        <w:t xml:space="preserve"> mitigating </w:t>
      </w:r>
      <w:r>
        <w:rPr>
          <w:rFonts w:eastAsiaTheme="minorHAnsi" w:cstheme="minorBidi"/>
          <w:szCs w:val="24"/>
        </w:rPr>
        <w:t>circumstance</w:t>
      </w:r>
      <w:r w:rsidRPr="005D0432">
        <w:rPr>
          <w:rFonts w:eastAsiaTheme="minorHAnsi" w:cstheme="minorBidi"/>
          <w:szCs w:val="24"/>
        </w:rPr>
        <w:t>.  (</w:t>
      </w:r>
      <w:r w:rsidRPr="005D0432">
        <w:rPr>
          <w:rFonts w:eastAsiaTheme="minorHAnsi" w:cstheme="minorBidi"/>
          <w:i/>
          <w:szCs w:val="24"/>
        </w:rPr>
        <w:t xml:space="preserve">Calvert v. State Bar </w:t>
      </w:r>
      <w:r w:rsidRPr="005D0432">
        <w:rPr>
          <w:rFonts w:eastAsiaTheme="minorHAnsi" w:cstheme="minorBidi"/>
          <w:szCs w:val="24"/>
        </w:rPr>
        <w:t>(1991) 54 Cal.3d 765, 785</w:t>
      </w:r>
      <w:r>
        <w:rPr>
          <w:rFonts w:eastAsiaTheme="minorHAnsi" w:cstheme="minorBidi"/>
          <w:szCs w:val="24"/>
        </w:rPr>
        <w:t>.)  Two character witnesse</w:t>
      </w:r>
      <w:r w:rsidR="000702A9">
        <w:rPr>
          <w:rFonts w:eastAsiaTheme="minorHAnsi" w:cstheme="minorBidi"/>
          <w:szCs w:val="24"/>
        </w:rPr>
        <w:t>s</w:t>
      </w:r>
      <w:r>
        <w:rPr>
          <w:rFonts w:eastAsiaTheme="minorHAnsi" w:cstheme="minorBidi"/>
          <w:szCs w:val="24"/>
        </w:rPr>
        <w:t xml:space="preserve"> discussed Shkolnikov’s pro bono work </w:t>
      </w:r>
      <w:r w:rsidR="000702A9">
        <w:rPr>
          <w:rFonts w:eastAsiaTheme="minorHAnsi" w:cstheme="minorBidi"/>
          <w:szCs w:val="24"/>
        </w:rPr>
        <w:t xml:space="preserve">for a client who had a serious drug problem.  Shkolnikov worked for several years on the client’s various criminal cases and also acted as the client’s mentor.  The client testified that she has been sober for two years and credited Shkolnikov in that achievement.  </w:t>
      </w:r>
      <w:r w:rsidR="00B83B37">
        <w:t xml:space="preserve">The hearing judge noted in footnote 12 of the decision that he considered </w:t>
      </w:r>
      <w:r w:rsidR="006A6ABD">
        <w:t>mitigation for pro bono work as there was some witness testimony concerning it.  However, the judge decided that Shkolnikov did not meet the burden of proof to establish mitigation credit for his pro bono work.</w:t>
      </w:r>
      <w:r w:rsidR="000702A9">
        <w:t xml:space="preserve">  On our independent review of the record, we find Shkolnikov’s pro bono work for this client is entitled to mitigation.  However, he did not establish a prolonged dedication to pro bono work.  </w:t>
      </w:r>
      <w:r w:rsidR="000702A9">
        <w:rPr>
          <w:rFonts w:eastAsiaTheme="minorHAnsi" w:cstheme="minorBidi"/>
          <w:szCs w:val="24"/>
        </w:rPr>
        <w:t xml:space="preserve">(See </w:t>
      </w:r>
      <w:r w:rsidR="000702A9">
        <w:rPr>
          <w:rFonts w:eastAsiaTheme="minorHAnsi" w:cstheme="minorBidi"/>
          <w:i/>
          <w:szCs w:val="24"/>
        </w:rPr>
        <w:t>Rose v. State Bar</w:t>
      </w:r>
      <w:r w:rsidR="000702A9">
        <w:rPr>
          <w:rFonts w:eastAsiaTheme="minorHAnsi" w:cstheme="minorBidi"/>
          <w:szCs w:val="24"/>
        </w:rPr>
        <w:t xml:space="preserve"> (1989) 49 Cal.3d 646, 667 [mitigation for legal abilities, dedication, and zeal in pro bono work].)  Therefore, we assign limited mitigating weight.</w:t>
      </w:r>
    </w:p>
    <w:p w14:paraId="56FF1B09" w14:textId="77777777" w:rsidR="00A13D85" w:rsidRPr="00084C62" w:rsidRDefault="00A13D85" w:rsidP="00A13D85">
      <w:pPr>
        <w:spacing w:line="480" w:lineRule="auto"/>
        <w:jc w:val="center"/>
        <w:rPr>
          <w:b/>
        </w:rPr>
      </w:pPr>
      <w:r>
        <w:rPr>
          <w:b/>
        </w:rPr>
        <w:t>V.  DISCIPLINE</w:t>
      </w:r>
    </w:p>
    <w:p w14:paraId="13BD1D29" w14:textId="2512D446" w:rsidR="00A13D85" w:rsidRDefault="00A13D85" w:rsidP="00A13D85">
      <w:pPr>
        <w:spacing w:line="480" w:lineRule="auto"/>
        <w:ind w:firstLine="720"/>
        <w:rPr>
          <w:szCs w:val="24"/>
        </w:rPr>
      </w:pP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w:t>
      </w:r>
      <w:r w:rsidRPr="0073476E">
        <w:lastRenderedPageBreak/>
        <w:t>maintain high professional standards for attorney</w:t>
      </w:r>
      <w:r>
        <w:t xml:space="preserve">s.  (Std. 1.1.)  </w:t>
      </w:r>
      <w:r w:rsidRPr="001223A2">
        <w:rPr>
          <w:rFonts w:eastAsia="Times New Roman"/>
          <w:szCs w:val="24"/>
        </w:rPr>
        <w:t>Our disciplinary analysis begins with the standards.  While they are guidelines for discipline and are not mandatory, we give them great weight to promote consistency.  (</w:t>
      </w:r>
      <w:r w:rsidRPr="001223A2">
        <w:rPr>
          <w:rFonts w:eastAsia="Times New Roman"/>
          <w:i/>
          <w:szCs w:val="24"/>
        </w:rPr>
        <w:t>In re Silverton</w:t>
      </w:r>
      <w:r w:rsidRPr="001223A2">
        <w:rPr>
          <w:rFonts w:eastAsia="Times New Roman"/>
          <w:szCs w:val="24"/>
        </w:rPr>
        <w:t xml:space="preserve"> (2005) 36</w:t>
      </w:r>
      <w:r>
        <w:rPr>
          <w:rFonts w:eastAsia="Times New Roman"/>
          <w:szCs w:val="24"/>
        </w:rPr>
        <w:t> </w:t>
      </w:r>
      <w:r w:rsidRPr="001223A2">
        <w:rPr>
          <w:rFonts w:eastAsia="Times New Roman"/>
          <w:szCs w:val="24"/>
        </w:rPr>
        <w:t>Cal.4th 81, 91</w:t>
      </w:r>
      <w:r w:rsidR="005F2E1F">
        <w:rPr>
          <w:rFonts w:eastAsia="Times New Roman"/>
          <w:szCs w:val="24"/>
        </w:rPr>
        <w:t>-</w:t>
      </w:r>
      <w:r w:rsidRPr="001223A2">
        <w:rPr>
          <w:rFonts w:eastAsia="Times New Roman"/>
          <w:szCs w:val="24"/>
        </w:rPr>
        <w:t xml:space="preserve">92.)  </w:t>
      </w:r>
      <w:r>
        <w:rPr>
          <w:rFonts w:eastAsia="Times New Roman"/>
          <w:szCs w:val="24"/>
        </w:rPr>
        <w:t>T</w:t>
      </w:r>
      <w:r w:rsidRPr="001223A2">
        <w:rPr>
          <w:rFonts w:eastAsia="Times New Roman"/>
          <w:szCs w:val="24"/>
        </w:rPr>
        <w:t>he Supreme Court has instructed us to follow the standards “</w:t>
      </w:r>
      <w:r w:rsidRPr="001223A2">
        <w:rPr>
          <w:szCs w:val="24"/>
        </w:rPr>
        <w:t>whenever possible</w:t>
      </w:r>
      <w:r>
        <w:rPr>
          <w:szCs w:val="24"/>
        </w:rPr>
        <w:t>.</w:t>
      </w:r>
      <w:r w:rsidRPr="001223A2">
        <w:rPr>
          <w:szCs w:val="24"/>
        </w:rPr>
        <w:t xml:space="preserve">” </w:t>
      </w:r>
      <w:r>
        <w:rPr>
          <w:szCs w:val="24"/>
        </w:rPr>
        <w:t xml:space="preserve"> </w:t>
      </w:r>
      <w:r w:rsidRPr="001223A2">
        <w:rPr>
          <w:szCs w:val="24"/>
        </w:rPr>
        <w:t>(</w:t>
      </w:r>
      <w:r w:rsidRPr="001223A2">
        <w:rPr>
          <w:rFonts w:eastAsia="Times New Roman"/>
          <w:i/>
          <w:szCs w:val="24"/>
        </w:rPr>
        <w:t>In re Young</w:t>
      </w:r>
      <w:r w:rsidRPr="001223A2">
        <w:rPr>
          <w:rFonts w:eastAsia="Times New Roman"/>
          <w:szCs w:val="24"/>
        </w:rPr>
        <w:t xml:space="preserve"> (1989) 49 Cal.3d 257, 267, fn.</w:t>
      </w:r>
      <w:r>
        <w:rPr>
          <w:rFonts w:eastAsia="Times New Roman"/>
          <w:szCs w:val="24"/>
        </w:rPr>
        <w:t> </w:t>
      </w:r>
      <w:r w:rsidRPr="001223A2">
        <w:rPr>
          <w:rFonts w:eastAsia="Times New Roman"/>
          <w:szCs w:val="24"/>
        </w:rPr>
        <w:t>11</w:t>
      </w:r>
      <w:r>
        <w:rPr>
          <w:rFonts w:eastAsia="Times New Roman"/>
          <w:szCs w:val="24"/>
        </w:rPr>
        <w:t>.</w:t>
      </w:r>
      <w:r w:rsidRPr="001223A2">
        <w:rPr>
          <w:szCs w:val="24"/>
        </w:rPr>
        <w:t>)</w:t>
      </w:r>
      <w:r>
        <w:rPr>
          <w:szCs w:val="24"/>
        </w:rPr>
        <w:t xml:space="preserve">  We</w:t>
      </w:r>
      <w:r w:rsidRPr="001223A2">
        <w:rPr>
          <w:szCs w:val="24"/>
        </w:rPr>
        <w:t xml:space="preserve"> also look to comparable case law for guidance.  (See </w:t>
      </w:r>
      <w:r w:rsidRPr="001223A2">
        <w:rPr>
          <w:i/>
          <w:szCs w:val="24"/>
        </w:rPr>
        <w:t>Snyder v. State Bar</w:t>
      </w:r>
      <w:r w:rsidR="00C62F9C">
        <w:rPr>
          <w:szCs w:val="24"/>
        </w:rPr>
        <w:t xml:space="preserve"> (1990) </w:t>
      </w:r>
      <w:r w:rsidRPr="002F64BE">
        <w:rPr>
          <w:szCs w:val="24"/>
        </w:rPr>
        <w:t>49 Cal.3d 1302</w:t>
      </w:r>
      <w:r w:rsidR="00C62F9C">
        <w:rPr>
          <w:szCs w:val="24"/>
        </w:rPr>
        <w:t>,</w:t>
      </w:r>
      <w:r w:rsidRPr="002F64BE">
        <w:rPr>
          <w:szCs w:val="24"/>
        </w:rPr>
        <w:t xml:space="preserve"> </w:t>
      </w:r>
      <w:r w:rsidR="00C62F9C">
        <w:rPr>
          <w:szCs w:val="24"/>
        </w:rPr>
        <w:t>1</w:t>
      </w:r>
      <w:r w:rsidRPr="001223A2">
        <w:rPr>
          <w:szCs w:val="24"/>
        </w:rPr>
        <w:t>310</w:t>
      </w:r>
      <w:r w:rsidR="005F2E1F">
        <w:rPr>
          <w:szCs w:val="24"/>
        </w:rPr>
        <w:t>-</w:t>
      </w:r>
      <w:r w:rsidRPr="001223A2">
        <w:rPr>
          <w:szCs w:val="24"/>
        </w:rPr>
        <w:t>1311.)</w:t>
      </w:r>
    </w:p>
    <w:p w14:paraId="5C0E97FE" w14:textId="27021417" w:rsidR="0043235A" w:rsidRDefault="00A13D85" w:rsidP="001174A5">
      <w:pPr>
        <w:spacing w:line="480" w:lineRule="auto"/>
        <w:ind w:firstLine="720"/>
      </w:pPr>
      <w:r w:rsidRPr="004072CB">
        <w:rPr>
          <w:rFonts w:eastAsia="Times New Roman"/>
          <w:szCs w:val="24"/>
        </w:rPr>
        <w:t>In analyzing the applicable standards, we first determine which standard specifies the most severe sanction for the at-issue misconduct.  (Std.</w:t>
      </w:r>
      <w:r>
        <w:rPr>
          <w:rFonts w:eastAsia="Times New Roman"/>
          <w:szCs w:val="24"/>
        </w:rPr>
        <w:t> </w:t>
      </w:r>
      <w:r w:rsidRPr="004072CB">
        <w:rPr>
          <w:rFonts w:eastAsia="Times New Roman"/>
          <w:szCs w:val="24"/>
        </w:rPr>
        <w:t>1.7(a) [most severe sanction shall be imposed where multiple sanctions apply].)</w:t>
      </w:r>
      <w:r w:rsidR="001174A5">
        <w:rPr>
          <w:rFonts w:eastAsia="Times New Roman"/>
          <w:szCs w:val="24"/>
        </w:rPr>
        <w:t xml:space="preserve">  The most severe sanction ap</w:t>
      </w:r>
      <w:r w:rsidR="00FA01F3">
        <w:rPr>
          <w:rFonts w:eastAsia="Times New Roman"/>
          <w:szCs w:val="24"/>
        </w:rPr>
        <w:t>plicable here is under standard </w:t>
      </w:r>
      <w:r w:rsidR="001174A5">
        <w:rPr>
          <w:rFonts w:eastAsia="Times New Roman"/>
          <w:szCs w:val="24"/>
        </w:rPr>
        <w:t>2.1</w:t>
      </w:r>
      <w:r w:rsidR="0043235A">
        <w:rPr>
          <w:rFonts w:eastAsia="Times New Roman"/>
          <w:szCs w:val="24"/>
        </w:rPr>
        <w:t>1</w:t>
      </w:r>
      <w:r w:rsidR="001174A5">
        <w:rPr>
          <w:rFonts w:eastAsia="Times New Roman"/>
          <w:szCs w:val="24"/>
        </w:rPr>
        <w:t xml:space="preserve"> and provides for actual suspension or disbarment for </w:t>
      </w:r>
      <w:r w:rsidR="0043235A">
        <w:rPr>
          <w:rFonts w:eastAsia="Times New Roman"/>
          <w:szCs w:val="24"/>
        </w:rPr>
        <w:t>an act of moral turpitude.</w:t>
      </w:r>
      <w:r w:rsidR="0043235A">
        <w:rPr>
          <w:rStyle w:val="FootnoteReference"/>
          <w:rFonts w:eastAsia="Times New Roman"/>
          <w:szCs w:val="24"/>
        </w:rPr>
        <w:footnoteReference w:id="23"/>
      </w:r>
      <w:r w:rsidR="0043235A">
        <w:rPr>
          <w:rFonts w:eastAsia="Times New Roman"/>
          <w:szCs w:val="24"/>
        </w:rPr>
        <w:t xml:space="preserve">  </w:t>
      </w:r>
      <w:bookmarkStart w:id="22" w:name="_Hlk83304013"/>
      <w:r w:rsidR="0043235A">
        <w:rPr>
          <w:rFonts w:eastAsia="Times New Roman"/>
          <w:szCs w:val="24"/>
        </w:rPr>
        <w:t>Standard 2.11 provides, “The degree of sanction depends on the magnitude of the misconduct; the extent to which the misconduct harmed or misled the victim, which may include the adjudicator; the impact on the administration of justice, if any; and the extent to which the misconduct related to the practice of law.”</w:t>
      </w:r>
      <w:r w:rsidR="009C7805">
        <w:rPr>
          <w:rFonts w:eastAsia="Times New Roman"/>
          <w:szCs w:val="24"/>
        </w:rPr>
        <w:t xml:space="preserve">  </w:t>
      </w:r>
      <w:bookmarkEnd w:id="22"/>
      <w:r w:rsidR="009C7805">
        <w:rPr>
          <w:rFonts w:eastAsia="Times New Roman"/>
          <w:szCs w:val="24"/>
        </w:rPr>
        <w:t xml:space="preserve">The hearing judge recommended a 45-day actual suspension.  OCTC argues that a six-month actual suspension is warranted due to </w:t>
      </w:r>
      <w:r w:rsidR="009C7805">
        <w:t>Shkolnikov’s serious misconduct.  Shkolnikov did not appeal and asks us to affirm the hearing judge’s recommendation.</w:t>
      </w:r>
    </w:p>
    <w:p w14:paraId="7C9A2B50" w14:textId="11A7EFBC" w:rsidR="007A6953" w:rsidRDefault="00044930" w:rsidP="007A6953">
      <w:pPr>
        <w:spacing w:line="480" w:lineRule="auto"/>
        <w:ind w:firstLine="720"/>
      </w:pPr>
      <w:r>
        <w:t>For guidance, t</w:t>
      </w:r>
      <w:r w:rsidR="00737B99">
        <w:t xml:space="preserve">he hearing judge looked to </w:t>
      </w:r>
      <w:r w:rsidR="00737B99">
        <w:rPr>
          <w:i/>
        </w:rPr>
        <w:t>Wren v. State Bar</w:t>
      </w:r>
      <w:r w:rsidR="00737B99">
        <w:t xml:space="preserve"> (1983) 34 Cal.3d 81</w:t>
      </w:r>
      <w:r w:rsidR="00E74016">
        <w:t xml:space="preserve"> and </w:t>
      </w:r>
      <w:r w:rsidR="00E74016">
        <w:rPr>
          <w:i/>
        </w:rPr>
        <w:t>Gold v. State Bar</w:t>
      </w:r>
      <w:r w:rsidR="00E74016">
        <w:t xml:space="preserve"> (1989) 49 Cal.3d 908</w:t>
      </w:r>
      <w:r>
        <w:t>.</w:t>
      </w:r>
      <w:r w:rsidR="00E74016">
        <w:t xml:space="preserve">  In </w:t>
      </w:r>
      <w:r w:rsidR="00E74016" w:rsidRPr="00E74016">
        <w:rPr>
          <w:i/>
          <w:iCs/>
        </w:rPr>
        <w:t>Wren</w:t>
      </w:r>
      <w:r w:rsidR="00E74016">
        <w:t xml:space="preserve">, the attorney failed to prosecute a client’s claim, did not communicate adequately with a client, misrepresented the status of the case to his client, and gave misleading testimony in the disciplinary proceeding.  Wren had no prior disciplinary record in over 20 years of practice.  The court determined that a 45-day actual suspension was warranted.  The court in </w:t>
      </w:r>
      <w:r w:rsidR="00E74016" w:rsidRPr="00E74016">
        <w:rPr>
          <w:i/>
          <w:iCs/>
        </w:rPr>
        <w:t>Gold</w:t>
      </w:r>
      <w:r w:rsidR="00E74016">
        <w:t xml:space="preserve"> looked to the </w:t>
      </w:r>
      <w:r w:rsidR="00E74016" w:rsidRPr="00E74016">
        <w:rPr>
          <w:i/>
          <w:iCs/>
        </w:rPr>
        <w:t>Wren</w:t>
      </w:r>
      <w:r w:rsidR="00E74016">
        <w:t xml:space="preserve"> decision and determined that </w:t>
      </w:r>
      <w:r w:rsidR="00E74016">
        <w:lastRenderedPageBreak/>
        <w:t xml:space="preserve">the misconduct in the two cases was similar.  </w:t>
      </w:r>
      <w:r w:rsidR="007A6953">
        <w:t xml:space="preserve">In </w:t>
      </w:r>
      <w:r w:rsidRPr="00044930">
        <w:rPr>
          <w:i/>
          <w:iCs/>
        </w:rPr>
        <w:t>Gold</w:t>
      </w:r>
      <w:r w:rsidR="007A6953">
        <w:t xml:space="preserve">, </w:t>
      </w:r>
      <w:r>
        <w:t>the attorney</w:t>
      </w:r>
      <w:r w:rsidR="007A6953">
        <w:t xml:space="preserve"> failed to perform the services for which he was hired, failed to communicate with his clients, and intentionally misrepresent</w:t>
      </w:r>
      <w:r w:rsidR="006B7FEA">
        <w:t>ed</w:t>
      </w:r>
      <w:r w:rsidR="007A6953">
        <w:t xml:space="preserve"> to a client that he had settled her case when it had been dismissed.  The court considered in mitigation that (1) Gold paid the client the $900 he had represented was her portion of the settlement, (2) he was not motivated by a desire for personal enrichment, and (3) he had practiced law for over 25 years with no prior discipline.  No aggravating circumstances were found.  Gold was ordered actually suspended for 30 days.</w:t>
      </w:r>
      <w:r w:rsidR="00E061B5">
        <w:t xml:space="preserve">  The hearing judge found that </w:t>
      </w:r>
      <w:r w:rsidR="00154118">
        <w:t>Shkolnikov’s mitigation was less than Gold’s and a suspension longer than 30 days would be appropriate.</w:t>
      </w:r>
      <w:r w:rsidR="00011164">
        <w:t xml:space="preserve">  </w:t>
      </w:r>
      <w:r w:rsidR="00154118">
        <w:t>The judge found that Shkolnikov’s mitigation was more similar to Wren’s</w:t>
      </w:r>
      <w:r w:rsidR="008A17EB">
        <w:t xml:space="preserve"> but considered that Wren made misrepresentations in his testimony in addition to his client.  Here, we find that Shkolnikov is entitled to limited or minimal mitigation in four circumstances.  We disagree that this is of similar weight to Wren’s 20 years of discipline-free practice.  Shkolnikov’s mitigation is much less.  In addition, Shkolnikov has aggravation for multiple acts and significant harm; aggravation was not discussed in </w:t>
      </w:r>
      <w:r w:rsidR="008A17EB" w:rsidRPr="008A17EB">
        <w:rPr>
          <w:i/>
          <w:iCs/>
        </w:rPr>
        <w:t>Wren</w:t>
      </w:r>
      <w:r w:rsidR="008A17EB">
        <w:t>.  We look to other cases for additional guidance.</w:t>
      </w:r>
    </w:p>
    <w:p w14:paraId="7348D578" w14:textId="5209EB08" w:rsidR="008A17EB" w:rsidRDefault="008A17EB" w:rsidP="007A6953">
      <w:pPr>
        <w:spacing w:line="480" w:lineRule="auto"/>
        <w:ind w:firstLine="720"/>
      </w:pPr>
      <w:r>
        <w:t xml:space="preserve">OCTC asks us to </w:t>
      </w:r>
      <w:r w:rsidR="00FF3400">
        <w:t xml:space="preserve">consider </w:t>
      </w:r>
      <w:r w:rsidR="00FF3400">
        <w:rPr>
          <w:i/>
        </w:rPr>
        <w:t>Harris v. State Bar</w:t>
      </w:r>
      <w:r w:rsidR="00FF3400">
        <w:t xml:space="preserve"> (1990) 51 Cal.3d 1082, </w:t>
      </w:r>
      <w:r w:rsidR="00FF3400">
        <w:rPr>
          <w:i/>
        </w:rPr>
        <w:t>King v. State Bar</w:t>
      </w:r>
      <w:r w:rsidR="00FF3400">
        <w:t xml:space="preserve"> (1990) 52 Cal.3d 307, and </w:t>
      </w:r>
      <w:r w:rsidR="00FF3400">
        <w:rPr>
          <w:i/>
        </w:rPr>
        <w:t>Foote v. State Bar</w:t>
      </w:r>
      <w:r w:rsidR="00FF3400">
        <w:t xml:space="preserve"> (1951) 37 Cal.2d 127.  The attorney in </w:t>
      </w:r>
      <w:r w:rsidR="00FF3400" w:rsidRPr="00EA1CDA">
        <w:rPr>
          <w:i/>
          <w:iCs/>
        </w:rPr>
        <w:t>Harris</w:t>
      </w:r>
      <w:r w:rsidR="00FF3400">
        <w:t xml:space="preserve"> was actually suspended for 90 days for her misconduct including abandoning a client for four years and failure to communicate.  The court found that Harris’s client suffered substantial prejudice</w:t>
      </w:r>
      <w:r w:rsidR="00DA269B">
        <w:t xml:space="preserve"> and</w:t>
      </w:r>
      <w:r w:rsidR="00FF3400">
        <w:t xml:space="preserve"> Harris failed to show remorse or an understanding of her wrongdoing</w:t>
      </w:r>
      <w:r w:rsidR="00DA269B">
        <w:t>.</w:t>
      </w:r>
      <w:r w:rsidR="004D79C2">
        <w:t xml:space="preserve">  T</w:t>
      </w:r>
      <w:r w:rsidR="00DA269B">
        <w:t xml:space="preserve">he court gave some mitigation for Harris’s illness, but found that it did not excuse four years of neglect and failure to communicate.  Harris also had 10 years of discipline-free practice.  We find that the balance of Shkolnikov’s aggravation and mitigation </w:t>
      </w:r>
      <w:r w:rsidR="00FE3982">
        <w:t>is</w:t>
      </w:r>
      <w:r w:rsidR="00DA269B">
        <w:t xml:space="preserve"> similar to Harris’s.  </w:t>
      </w:r>
      <w:r w:rsidR="006B7FEA">
        <w:t>Shkolnikov</w:t>
      </w:r>
      <w:r w:rsidR="00DA269B">
        <w:t xml:space="preserve"> did not fail to show </w:t>
      </w:r>
      <w:r w:rsidR="00DA269B">
        <w:lastRenderedPageBreak/>
        <w:t xml:space="preserve">remorse, but he had additional misconduct including moral turpitude </w:t>
      </w:r>
      <w:r w:rsidR="004450E9">
        <w:t xml:space="preserve">for </w:t>
      </w:r>
      <w:r w:rsidR="006B7FEA">
        <w:t xml:space="preserve">his </w:t>
      </w:r>
      <w:r w:rsidR="00DA269B">
        <w:t>misrepresentation</w:t>
      </w:r>
      <w:r w:rsidR="006B7FEA">
        <w:t xml:space="preserve"> to Herrera</w:t>
      </w:r>
      <w:r w:rsidR="00DA269B">
        <w:t>.</w:t>
      </w:r>
      <w:r w:rsidR="00011164">
        <w:t xml:space="preserve">  </w:t>
      </w:r>
    </w:p>
    <w:p w14:paraId="0F16DFD0" w14:textId="798DACB0" w:rsidR="00DA269B" w:rsidRDefault="00DA269B" w:rsidP="00EF50F7">
      <w:pPr>
        <w:spacing w:line="480" w:lineRule="auto"/>
        <w:ind w:firstLine="720"/>
      </w:pPr>
      <w:r>
        <w:rPr>
          <w:i/>
        </w:rPr>
        <w:t>King v. State Bar</w:t>
      </w:r>
      <w:r>
        <w:t xml:space="preserve">, </w:t>
      </w:r>
      <w:r w:rsidRPr="00DA269B">
        <w:rPr>
          <w:i/>
          <w:iCs/>
        </w:rPr>
        <w:t>supra</w:t>
      </w:r>
      <w:r>
        <w:t xml:space="preserve">, 52 Cal.3d 307 involved </w:t>
      </w:r>
      <w:r w:rsidR="00D460CD">
        <w:t>a three-month actual</w:t>
      </w:r>
      <w:r>
        <w:t xml:space="preserve"> suspension.  King willfully neglected his clients in two matters, resulting in an $84,000 uncollected malpractice judgment against King.  King</w:t>
      </w:r>
      <w:r w:rsidR="00D460CD">
        <w:t>’s mitigating circumstances included</w:t>
      </w:r>
      <w:r>
        <w:t xml:space="preserve"> </w:t>
      </w:r>
      <w:r w:rsidR="00D460CD">
        <w:t>14 years of discipline-free practice, depression, divorce, and financial problems.  In aggravation, there was a serious financial loss to one client, emotional distress to another client, and King’s failure to appreciate the severity of his misconduct.</w:t>
      </w:r>
      <w:r w:rsidR="00EF50F7">
        <w:t xml:space="preserve">  Shkolnikov asserts that we should not compare his case to King’s as there was no finding here that he did not accept responsibility for his misconduct.  We agree that there was no such finding here and that Shkolnikov’s aggravation is less than King’s.  </w:t>
      </w:r>
      <w:r w:rsidR="00985874">
        <w:t>But</w:t>
      </w:r>
      <w:r w:rsidR="00EF50F7">
        <w:t xml:space="preserve"> Shkolnikov’s mitigation is also less than King’s.  We agree with OCTC that this case is instructive due to the similarities to </w:t>
      </w:r>
      <w:r w:rsidR="004450E9">
        <w:t xml:space="preserve">the instant matter: the neglect in two client matters and the significant harm to clients.  However, </w:t>
      </w:r>
      <w:r w:rsidR="004D79C2">
        <w:t xml:space="preserve">as was the case in </w:t>
      </w:r>
      <w:r w:rsidR="004D79C2" w:rsidRPr="004D79C2">
        <w:rPr>
          <w:i/>
          <w:iCs/>
        </w:rPr>
        <w:t>Harris</w:t>
      </w:r>
      <w:r w:rsidR="004D79C2">
        <w:t xml:space="preserve">, </w:t>
      </w:r>
      <w:r w:rsidR="004450E9" w:rsidRPr="004D79C2">
        <w:t>missing</w:t>
      </w:r>
      <w:r w:rsidR="004450E9">
        <w:t xml:space="preserve"> from </w:t>
      </w:r>
      <w:r w:rsidR="004450E9" w:rsidRPr="004450E9">
        <w:rPr>
          <w:i/>
          <w:iCs/>
        </w:rPr>
        <w:t>King</w:t>
      </w:r>
      <w:r w:rsidR="004450E9">
        <w:t xml:space="preserve"> is a moral turpitude violation.</w:t>
      </w:r>
    </w:p>
    <w:p w14:paraId="6E67451E" w14:textId="6C56BCCA" w:rsidR="00A21C4E" w:rsidRDefault="004450E9" w:rsidP="00EF50F7">
      <w:pPr>
        <w:spacing w:line="480" w:lineRule="auto"/>
        <w:ind w:firstLine="720"/>
      </w:pPr>
      <w:r>
        <w:t xml:space="preserve">OCTC submits that </w:t>
      </w:r>
      <w:r>
        <w:rPr>
          <w:i/>
        </w:rPr>
        <w:t>Foote v. State Bar</w:t>
      </w:r>
      <w:r>
        <w:t xml:space="preserve"> (1951) 37 Cal.2d 127 is most on point</w:t>
      </w:r>
      <w:r w:rsidR="007D50B5">
        <w:t xml:space="preserve">.  </w:t>
      </w:r>
      <w:r w:rsidR="007D50B5" w:rsidRPr="007D50B5">
        <w:rPr>
          <w:i/>
          <w:iCs/>
        </w:rPr>
        <w:t>Foote</w:t>
      </w:r>
      <w:r w:rsidR="007D50B5">
        <w:t xml:space="preserve"> involved an attorney who dismissed a will contest without authority and lied to his clients, stating that a hearing on the contest would be held in the future.  The clients did not learn about the dismissal until after the probate proceedings were completed and the time to oppose the probate had expired.  </w:t>
      </w:r>
      <w:r w:rsidR="004D79C2">
        <w:t>Foote</w:t>
      </w:r>
      <w:r w:rsidR="007D50B5">
        <w:t xml:space="preserve">’s numerous misrepresentations were found to involve moral turpitude and the court imposed a nine-month actual suspension.  OCTC maintains that because Shkolnikov has some mitigation and Foote had none, that lesser discipline than </w:t>
      </w:r>
      <w:r w:rsidR="007D50B5" w:rsidRPr="004D79C2">
        <w:rPr>
          <w:i/>
          <w:iCs/>
        </w:rPr>
        <w:t>Foote</w:t>
      </w:r>
      <w:r w:rsidR="007D50B5">
        <w:t xml:space="preserve"> is appropriate.</w:t>
      </w:r>
      <w:r w:rsidR="00A21C4E">
        <w:t xml:space="preserve">  We agree.</w:t>
      </w:r>
    </w:p>
    <w:p w14:paraId="3F39F3F4" w14:textId="40DCBE55" w:rsidR="00814EC6" w:rsidRDefault="0095579D" w:rsidP="00EF50F7">
      <w:pPr>
        <w:spacing w:line="480" w:lineRule="auto"/>
        <w:ind w:firstLine="720"/>
      </w:pPr>
      <w:r>
        <w:t xml:space="preserve">We find that </w:t>
      </w:r>
      <w:r>
        <w:rPr>
          <w:i/>
        </w:rPr>
        <w:t>In the Matter of Dahlz</w:t>
      </w:r>
      <w:r>
        <w:t xml:space="preserve"> (Review Dept. 2001) 4 Cal. State Bar Ct. Rptr. 269 is also instructive.</w:t>
      </w:r>
      <w:r w:rsidR="006B7FEA">
        <w:t xml:space="preserve">  Dahlz was culpable of</w:t>
      </w:r>
      <w:r w:rsidR="00814EC6">
        <w:t xml:space="preserve"> </w:t>
      </w:r>
      <w:r w:rsidR="001E0B63">
        <w:t xml:space="preserve">violating the same rules and statutes as Shkolnikov: </w:t>
      </w:r>
      <w:r w:rsidR="00197D7D">
        <w:lastRenderedPageBreak/>
        <w:t>moral turpitude (</w:t>
      </w:r>
      <w:r w:rsidR="001E0B63">
        <w:t xml:space="preserve">§ </w:t>
      </w:r>
      <w:r w:rsidR="00197D7D">
        <w:t>6106), failure to perform (rule 3-110(A)), improper withdrawal (rule 3-700(A)(2))</w:t>
      </w:r>
      <w:r w:rsidR="001E0B63">
        <w:t>, and failure to respond to a reasonabl</w:t>
      </w:r>
      <w:r w:rsidR="005F2E1F">
        <w:t>e</w:t>
      </w:r>
      <w:r w:rsidR="001E0B63">
        <w:t xml:space="preserve"> client status inquiry (§ 6068, subd. (m)).  </w:t>
      </w:r>
      <w:r w:rsidR="00197D7D">
        <w:t xml:space="preserve">Dahlz did not do any substantive work on his client’s case for over five years.  When a status conference was approaching, Dahlz telephoned the opposing attorney and told her that his client no longer wanted to pursue her claim, </w:t>
      </w:r>
      <w:r w:rsidR="001E0B63">
        <w:t>which</w:t>
      </w:r>
      <w:r w:rsidR="00197D7D">
        <w:t xml:space="preserve"> was not true.  When he was terminated, he failed to advise his client of upcoming events in her case and failed to give her the case file.  Dahlz received aggravation for a </w:t>
      </w:r>
      <w:r w:rsidR="00814EC6">
        <w:t xml:space="preserve">single </w:t>
      </w:r>
      <w:r w:rsidR="00197D7D">
        <w:t>prior record of discipline</w:t>
      </w:r>
      <w:r w:rsidR="00814EC6">
        <w:t xml:space="preserve"> (no actual suspension), lack of candor for misrepresentations made to the State Bar investigator and false testimony in State Bar Court, multiple acts of misconduct, and significant harm to the client.  He received slight mitigating credit for pro bono work and community service.  We recommended a one-year actual suspension primarily based on Dahlz’s attempt to mislead the State Bar investigator, his false testimony, and his lie to the opposing party to the detriment of his client.</w:t>
      </w:r>
      <w:r w:rsidR="001E0B63">
        <w:t xml:space="preserve">  Shkolnikov has substantially less aggravation than Dahlz and slightly more mitigation.  Therefore, a sanction less than one year of actual suspension would be appropriate.  </w:t>
      </w:r>
      <w:r w:rsidR="001E0B63" w:rsidRPr="001E0B63">
        <w:rPr>
          <w:i/>
          <w:iCs/>
        </w:rPr>
        <w:t>Dahlz</w:t>
      </w:r>
      <w:r w:rsidR="001E0B63">
        <w:rPr>
          <w:i/>
          <w:iCs/>
        </w:rPr>
        <w:t xml:space="preserve"> </w:t>
      </w:r>
      <w:r w:rsidR="001E0B63">
        <w:t xml:space="preserve">is informative as it is a </w:t>
      </w:r>
      <w:r w:rsidR="00EF50F7">
        <w:t>more-</w:t>
      </w:r>
      <w:r w:rsidR="001E0B63">
        <w:t xml:space="preserve">recent case applying </w:t>
      </w:r>
      <w:r w:rsidR="00EF50F7">
        <w:t>the standard for moral turpitude.</w:t>
      </w:r>
    </w:p>
    <w:p w14:paraId="68D1A704" w14:textId="5157AB9B" w:rsidR="00202A36" w:rsidRDefault="00DE7BA3" w:rsidP="006238E6">
      <w:pPr>
        <w:spacing w:line="480" w:lineRule="auto"/>
        <w:ind w:firstLine="720"/>
      </w:pPr>
      <w:r>
        <w:t>In the Herrera matter, Shkolnikov committed a violation involving moral turpitude when he misrepresented to his client that he settled her case</w:t>
      </w:r>
      <w:r w:rsidR="00A21C4E">
        <w:t xml:space="preserve"> when that was false.  Instead, he misled Herrera to believe that he was still working on her case when it was actually dismissed.  And the dismissal was a result of Shkolnikov’s failure to perform competently when he did not </w:t>
      </w:r>
      <w:r>
        <w:t xml:space="preserve">serve the defendant in </w:t>
      </w:r>
      <w:r w:rsidR="00A21C4E">
        <w:t>Herrera’s</w:t>
      </w:r>
      <w:r>
        <w:t xml:space="preserve"> case for nearly three years</w:t>
      </w:r>
      <w:r w:rsidR="00A21C4E">
        <w:t xml:space="preserve">.  </w:t>
      </w:r>
      <w:r>
        <w:t xml:space="preserve">In the Macias matter, he improperly withdrew from employment when he stopped </w:t>
      </w:r>
      <w:r w:rsidR="00125FF4">
        <w:t>providing</w:t>
      </w:r>
      <w:r>
        <w:t xml:space="preserve"> services and then eventually misled </w:t>
      </w:r>
      <w:r w:rsidR="005F2E1F">
        <w:t xml:space="preserve">his clients </w:t>
      </w:r>
      <w:r>
        <w:t>to believe that he was working on their case.</w:t>
      </w:r>
      <w:r w:rsidR="00227FD5">
        <w:t xml:space="preserve">  Shkolnikov’s inattention to his clients in these matters is serious misconduct, especially because it involves dishonesty</w:t>
      </w:r>
      <w:r w:rsidR="00125FF4">
        <w:t xml:space="preserve">.  (See </w:t>
      </w:r>
      <w:r w:rsidR="00125FF4">
        <w:rPr>
          <w:i/>
        </w:rPr>
        <w:t>Rhodes v. State Bar</w:t>
      </w:r>
      <w:r w:rsidR="00125FF4">
        <w:t xml:space="preserve"> (1989) 49 Cal.3d 50, 60 [fundamental rule of legal ethics is that of common honesty].)  The case </w:t>
      </w:r>
      <w:r w:rsidR="00125FF4">
        <w:lastRenderedPageBreak/>
        <w:t xml:space="preserve">law and standard 2.11 require that Shkolnikov be actually suspended.  Applying the factors in standard 2.11, the degree of the recommended discipline is informed by </w:t>
      </w:r>
      <w:r w:rsidR="00011164">
        <w:t>Shkolnikov’s</w:t>
      </w:r>
      <w:r w:rsidR="00125FF4">
        <w:t xml:space="preserve"> serious misconduct in two client matters; the harm caused to both </w:t>
      </w:r>
      <w:r w:rsidR="00A21C4E">
        <w:t>Herrera and the Maciases,</w:t>
      </w:r>
      <w:r w:rsidR="00125FF4">
        <w:t xml:space="preserve"> including the dismissal of their cases; and the fact that all of the misconduct related to Shkolnikov’s practice of law.</w:t>
      </w:r>
      <w:r w:rsidR="007534AA">
        <w:rPr>
          <w:rStyle w:val="FootnoteReference"/>
        </w:rPr>
        <w:footnoteReference w:id="24"/>
      </w:r>
      <w:r w:rsidR="00125FF4">
        <w:t xml:space="preserve">  </w:t>
      </w:r>
    </w:p>
    <w:p w14:paraId="23340E26" w14:textId="303AD9B6" w:rsidR="00F94BB0" w:rsidRDefault="00A21C4E" w:rsidP="00A536D6">
      <w:pPr>
        <w:spacing w:line="480" w:lineRule="auto"/>
        <w:ind w:firstLine="720"/>
      </w:pPr>
      <w:r>
        <w:t xml:space="preserve">The cases mentioned above provide structure to </w:t>
      </w:r>
      <w:r w:rsidR="00962328">
        <w:t xml:space="preserve">fashioning </w:t>
      </w:r>
      <w:r>
        <w:t xml:space="preserve">the appropriate discipline for Shkolnikov’s misconduct.  The </w:t>
      </w:r>
      <w:r w:rsidRPr="00A21C4E">
        <w:rPr>
          <w:i/>
          <w:iCs/>
        </w:rPr>
        <w:t>Harris</w:t>
      </w:r>
      <w:r>
        <w:t xml:space="preserve"> and </w:t>
      </w:r>
      <w:r w:rsidRPr="00A21C4E">
        <w:rPr>
          <w:i/>
          <w:iCs/>
        </w:rPr>
        <w:t>King</w:t>
      </w:r>
      <w:r>
        <w:t xml:space="preserve"> cases guide us to a sanction higher than an actual suspension of 90 days because neither of those cases involved culpability for moral turpitude</w:t>
      </w:r>
      <w:r w:rsidR="00962328">
        <w:t xml:space="preserve">, which is present in this matter.  At the other end of the discipline spectrum are the </w:t>
      </w:r>
      <w:r w:rsidR="00962328" w:rsidRPr="006238E6">
        <w:rPr>
          <w:i/>
          <w:iCs/>
        </w:rPr>
        <w:t>Foote</w:t>
      </w:r>
      <w:r w:rsidR="00962328">
        <w:t xml:space="preserve"> and </w:t>
      </w:r>
      <w:r w:rsidR="00962328" w:rsidRPr="006238E6">
        <w:rPr>
          <w:i/>
          <w:iCs/>
        </w:rPr>
        <w:t>Dahlz</w:t>
      </w:r>
      <w:r w:rsidR="00962328">
        <w:t xml:space="preserve"> matters.  Dahlz received a one</w:t>
      </w:r>
      <w:r w:rsidR="006238E6">
        <w:t>-</w:t>
      </w:r>
      <w:r w:rsidR="00962328">
        <w:t xml:space="preserve">year </w:t>
      </w:r>
      <w:r w:rsidR="006238E6">
        <w:t xml:space="preserve">actual </w:t>
      </w:r>
      <w:r w:rsidR="00962328">
        <w:t>suspension for the exact violations as Shkolnikov</w:t>
      </w:r>
      <w:r w:rsidR="003C7BA3">
        <w:t>;</w:t>
      </w:r>
      <w:r w:rsidR="00962328">
        <w:t xml:space="preserve"> however, </w:t>
      </w:r>
      <w:r w:rsidR="006238E6">
        <w:t>Dahlz</w:t>
      </w:r>
      <w:r w:rsidR="00962328">
        <w:t xml:space="preserve"> was also found to </w:t>
      </w:r>
      <w:r w:rsidR="00202A36">
        <w:t>have made</w:t>
      </w:r>
      <w:r w:rsidR="00962328">
        <w:t xml:space="preserve"> misrepresentations to the State Bar, which we do not find here.</w:t>
      </w:r>
      <w:r w:rsidR="00B2492A">
        <w:rPr>
          <w:rStyle w:val="FootnoteReference"/>
        </w:rPr>
        <w:footnoteReference w:id="25"/>
      </w:r>
      <w:r w:rsidR="00962328">
        <w:t xml:space="preserve">  Foote </w:t>
      </w:r>
      <w:r w:rsidR="006238E6">
        <w:t>received a nine-month actual suspension for lying to his clients, which established a moral turpitude violation.  However, Foote had less mitigation than Shkolnikov.  Under standard 1.2(c)(1), the typical suspension above 90 days and below one year is six months.</w:t>
      </w:r>
      <w:r w:rsidR="00F94BB0">
        <w:rPr>
          <w:rStyle w:val="FootnoteReference"/>
        </w:rPr>
        <w:footnoteReference w:id="26"/>
      </w:r>
      <w:r w:rsidR="006238E6">
        <w:t xml:space="preserve">  Based on the case law, </w:t>
      </w:r>
      <w:r w:rsidR="00227FD5">
        <w:t xml:space="preserve">the standards, </w:t>
      </w:r>
      <w:r w:rsidR="00125FF4">
        <w:t xml:space="preserve">and the aggravation and mitigation, </w:t>
      </w:r>
      <w:r w:rsidR="00227FD5">
        <w:t xml:space="preserve">we find that </w:t>
      </w:r>
      <w:r w:rsidR="006238E6">
        <w:t>a six-month</w:t>
      </w:r>
      <w:r w:rsidR="00227FD5">
        <w:t xml:space="preserve"> actual suspension is </w:t>
      </w:r>
      <w:r w:rsidR="006238E6">
        <w:t xml:space="preserve">appropriate and </w:t>
      </w:r>
      <w:r w:rsidR="00B322E1">
        <w:t xml:space="preserve">necessary for the protection of the </w:t>
      </w:r>
      <w:r w:rsidR="00B322E1">
        <w:lastRenderedPageBreak/>
        <w:t>public, the courts, and the legal profession.  This discipline will emphasize to Shkolnikov the importance of his ethical duties to his clients.</w:t>
      </w:r>
      <w:r w:rsidR="00227FD5">
        <w:t xml:space="preserve">  </w:t>
      </w:r>
      <w:r w:rsidR="00044930">
        <w:t xml:space="preserve"> </w:t>
      </w:r>
    </w:p>
    <w:p w14:paraId="530D9C6B" w14:textId="59C1E641" w:rsidR="00A13D85" w:rsidRDefault="00A13D85" w:rsidP="00A13D85">
      <w:pPr>
        <w:spacing w:line="480" w:lineRule="auto"/>
        <w:jc w:val="center"/>
        <w:rPr>
          <w:b/>
        </w:rPr>
      </w:pPr>
      <w:r w:rsidRPr="006A31ED">
        <w:rPr>
          <w:b/>
        </w:rPr>
        <w:t>VI.  RECOMMENDATION</w:t>
      </w:r>
    </w:p>
    <w:p w14:paraId="40626FE0" w14:textId="5E39D8EB" w:rsidR="00BB740C" w:rsidRDefault="00C57C6A" w:rsidP="00BB740C">
      <w:pPr>
        <w:spacing w:line="480" w:lineRule="auto"/>
        <w:ind w:firstLine="720"/>
        <w:rPr>
          <w:b/>
        </w:rPr>
      </w:pPr>
      <w:r>
        <w:rPr>
          <w:rFonts w:eastAsia="Times New Roman"/>
          <w:spacing w:val="-2"/>
          <w:szCs w:val="24"/>
        </w:rPr>
        <w:t>We</w:t>
      </w:r>
      <w:r w:rsidR="00A13D85" w:rsidRPr="00F46C0C">
        <w:rPr>
          <w:rFonts w:eastAsia="Times New Roman"/>
          <w:spacing w:val="-2"/>
          <w:szCs w:val="24"/>
        </w:rPr>
        <w:t xml:space="preserve"> recommend that </w:t>
      </w:r>
      <w:r w:rsidR="00882E39">
        <w:rPr>
          <w:rFonts w:eastAsia="Times New Roman"/>
          <w:spacing w:val="-2"/>
          <w:szCs w:val="24"/>
        </w:rPr>
        <w:t xml:space="preserve">Edward </w:t>
      </w:r>
      <w:r w:rsidR="00BB740C">
        <w:rPr>
          <w:rFonts w:eastAsia="Times New Roman"/>
          <w:spacing w:val="-2"/>
          <w:szCs w:val="24"/>
        </w:rPr>
        <w:t>Shkolnikov</w:t>
      </w:r>
      <w:r w:rsidR="00BB740C" w:rsidRPr="00F46C0C">
        <w:rPr>
          <w:rFonts w:eastAsia="Times New Roman"/>
          <w:spacing w:val="-2"/>
          <w:szCs w:val="24"/>
        </w:rPr>
        <w:t xml:space="preserve">, State Bar Number </w:t>
      </w:r>
      <w:r w:rsidR="00BB740C">
        <w:rPr>
          <w:rFonts w:eastAsia="Times New Roman"/>
          <w:spacing w:val="-2"/>
          <w:szCs w:val="24"/>
        </w:rPr>
        <w:t>237116</w:t>
      </w:r>
      <w:r w:rsidR="00BB740C" w:rsidRPr="00F46C0C">
        <w:rPr>
          <w:rFonts w:eastAsia="Times New Roman"/>
          <w:spacing w:val="-2"/>
          <w:szCs w:val="24"/>
        </w:rPr>
        <w:t xml:space="preserve">, </w:t>
      </w:r>
      <w:r w:rsidR="00BB740C" w:rsidRPr="00F46C0C">
        <w:rPr>
          <w:rFonts w:eastAsia="Times New Roman"/>
          <w:szCs w:val="24"/>
        </w:rPr>
        <w:t>be</w:t>
      </w:r>
      <w:r w:rsidR="00BB740C" w:rsidRPr="00F46C0C">
        <w:rPr>
          <w:rFonts w:eastAsia="Times New Roman"/>
          <w:spacing w:val="-2"/>
          <w:szCs w:val="24"/>
        </w:rPr>
        <w:t xml:space="preserve"> </w:t>
      </w:r>
      <w:r w:rsidR="00BB740C" w:rsidRPr="00F46C0C">
        <w:rPr>
          <w:rFonts w:eastAsia="Times New Roman"/>
          <w:szCs w:val="24"/>
        </w:rPr>
        <w:t>susp</w:t>
      </w:r>
      <w:r w:rsidR="00BB740C" w:rsidRPr="00F46C0C">
        <w:rPr>
          <w:rFonts w:eastAsia="Times New Roman"/>
          <w:spacing w:val="1"/>
          <w:szCs w:val="24"/>
        </w:rPr>
        <w:t>e</w:t>
      </w:r>
      <w:r w:rsidR="00BB740C" w:rsidRPr="00F46C0C">
        <w:rPr>
          <w:rFonts w:eastAsia="Times New Roman"/>
          <w:szCs w:val="24"/>
        </w:rPr>
        <w:t>nd</w:t>
      </w:r>
      <w:r w:rsidR="00BB740C" w:rsidRPr="00F46C0C">
        <w:rPr>
          <w:rFonts w:eastAsia="Times New Roman"/>
          <w:spacing w:val="-1"/>
          <w:szCs w:val="24"/>
        </w:rPr>
        <w:t>e</w:t>
      </w:r>
      <w:r w:rsidR="00BB740C" w:rsidRPr="00F46C0C">
        <w:rPr>
          <w:rFonts w:eastAsia="Times New Roman"/>
          <w:szCs w:val="24"/>
        </w:rPr>
        <w:t>d f</w:t>
      </w:r>
      <w:r w:rsidR="00BB740C" w:rsidRPr="00F46C0C">
        <w:rPr>
          <w:rFonts w:eastAsia="Times New Roman"/>
          <w:spacing w:val="-2"/>
          <w:szCs w:val="24"/>
        </w:rPr>
        <w:t>r</w:t>
      </w:r>
      <w:r w:rsidR="00BB740C" w:rsidRPr="00F46C0C">
        <w:rPr>
          <w:rFonts w:eastAsia="Times New Roman"/>
          <w:szCs w:val="24"/>
        </w:rPr>
        <w:t>om the p</w:t>
      </w:r>
      <w:r w:rsidR="00BB740C" w:rsidRPr="00F46C0C">
        <w:rPr>
          <w:rFonts w:eastAsia="Times New Roman"/>
          <w:spacing w:val="-1"/>
          <w:szCs w:val="24"/>
        </w:rPr>
        <w:t>rac</w:t>
      </w:r>
      <w:r w:rsidR="00BB740C" w:rsidRPr="00F46C0C">
        <w:rPr>
          <w:rFonts w:eastAsia="Times New Roman"/>
          <w:szCs w:val="24"/>
        </w:rPr>
        <w:t>ti</w:t>
      </w:r>
      <w:r w:rsidR="00BB740C" w:rsidRPr="00F46C0C">
        <w:rPr>
          <w:rFonts w:eastAsia="Times New Roman"/>
          <w:spacing w:val="-1"/>
          <w:szCs w:val="24"/>
        </w:rPr>
        <w:t>c</w:t>
      </w:r>
      <w:r w:rsidR="00BB740C" w:rsidRPr="00F46C0C">
        <w:rPr>
          <w:rFonts w:eastAsia="Times New Roman"/>
          <w:szCs w:val="24"/>
        </w:rPr>
        <w:t>e</w:t>
      </w:r>
      <w:r w:rsidR="00BB740C" w:rsidRPr="00F46C0C">
        <w:rPr>
          <w:rFonts w:eastAsia="Times New Roman"/>
          <w:spacing w:val="-1"/>
          <w:szCs w:val="24"/>
        </w:rPr>
        <w:t xml:space="preserve"> </w:t>
      </w:r>
      <w:r w:rsidR="00BB740C" w:rsidRPr="00F46C0C">
        <w:rPr>
          <w:rFonts w:eastAsia="Times New Roman"/>
          <w:spacing w:val="2"/>
          <w:szCs w:val="24"/>
        </w:rPr>
        <w:t>o</w:t>
      </w:r>
      <w:r w:rsidR="00BB740C" w:rsidRPr="00F46C0C">
        <w:rPr>
          <w:rFonts w:eastAsia="Times New Roman"/>
          <w:szCs w:val="24"/>
        </w:rPr>
        <w:t>f l</w:t>
      </w:r>
      <w:r w:rsidR="00BB740C" w:rsidRPr="00F46C0C">
        <w:rPr>
          <w:rFonts w:eastAsia="Times New Roman"/>
          <w:spacing w:val="-2"/>
          <w:szCs w:val="24"/>
        </w:rPr>
        <w:t>a</w:t>
      </w:r>
      <w:r w:rsidR="00BB740C" w:rsidRPr="00F46C0C">
        <w:rPr>
          <w:rFonts w:eastAsia="Times New Roman"/>
          <w:szCs w:val="24"/>
        </w:rPr>
        <w:t xml:space="preserve">w </w:t>
      </w:r>
      <w:r w:rsidR="00BB740C" w:rsidRPr="00F46C0C">
        <w:rPr>
          <w:rFonts w:eastAsia="Times New Roman"/>
          <w:spacing w:val="-2"/>
          <w:szCs w:val="24"/>
        </w:rPr>
        <w:t>f</w:t>
      </w:r>
      <w:r w:rsidR="00BB740C" w:rsidRPr="00F46C0C">
        <w:rPr>
          <w:rFonts w:eastAsia="Times New Roman"/>
          <w:spacing w:val="2"/>
          <w:szCs w:val="24"/>
        </w:rPr>
        <w:t>o</w:t>
      </w:r>
      <w:r w:rsidR="00BB740C" w:rsidRPr="00F46C0C">
        <w:rPr>
          <w:rFonts w:eastAsia="Times New Roman"/>
          <w:szCs w:val="24"/>
        </w:rPr>
        <w:t xml:space="preserve">r </w:t>
      </w:r>
      <w:r w:rsidR="00BB740C" w:rsidRPr="006238E6">
        <w:rPr>
          <w:rFonts w:eastAsia="Times New Roman"/>
          <w:szCs w:val="24"/>
        </w:rPr>
        <w:t>one year</w:t>
      </w:r>
      <w:r w:rsidR="00BB740C" w:rsidRPr="00F46C0C">
        <w:rPr>
          <w:rFonts w:eastAsia="Times New Roman"/>
          <w:szCs w:val="24"/>
        </w:rPr>
        <w:t>, th</w:t>
      </w:r>
      <w:r w:rsidR="00BB740C" w:rsidRPr="00F46C0C">
        <w:rPr>
          <w:rFonts w:eastAsia="Times New Roman"/>
          <w:spacing w:val="-1"/>
          <w:szCs w:val="24"/>
        </w:rPr>
        <w:t>a</w:t>
      </w:r>
      <w:r w:rsidR="00BB740C" w:rsidRPr="00F46C0C">
        <w:rPr>
          <w:rFonts w:eastAsia="Times New Roman"/>
          <w:szCs w:val="24"/>
        </w:rPr>
        <w:t>t e</w:t>
      </w:r>
      <w:r w:rsidR="00BB740C" w:rsidRPr="00F46C0C">
        <w:rPr>
          <w:rFonts w:eastAsia="Times New Roman"/>
          <w:spacing w:val="1"/>
          <w:szCs w:val="24"/>
        </w:rPr>
        <w:t>x</w:t>
      </w:r>
      <w:r w:rsidR="00BB740C" w:rsidRPr="00F46C0C">
        <w:rPr>
          <w:rFonts w:eastAsia="Times New Roman"/>
          <w:spacing w:val="-1"/>
          <w:szCs w:val="24"/>
        </w:rPr>
        <w:t>ec</w:t>
      </w:r>
      <w:r w:rsidR="00BB740C" w:rsidRPr="00F46C0C">
        <w:rPr>
          <w:rFonts w:eastAsia="Times New Roman"/>
          <w:szCs w:val="24"/>
        </w:rPr>
        <w:t>ution of</w:t>
      </w:r>
      <w:r w:rsidR="00BB740C" w:rsidRPr="00F46C0C">
        <w:rPr>
          <w:rFonts w:eastAsia="Times New Roman"/>
          <w:spacing w:val="-1"/>
          <w:szCs w:val="24"/>
        </w:rPr>
        <w:t xml:space="preserve"> </w:t>
      </w:r>
      <w:r w:rsidR="00BB740C" w:rsidRPr="00F46C0C">
        <w:rPr>
          <w:rFonts w:eastAsia="Times New Roman"/>
          <w:szCs w:val="24"/>
        </w:rPr>
        <w:t>t</w:t>
      </w:r>
      <w:r w:rsidR="00BB740C" w:rsidRPr="00F46C0C">
        <w:rPr>
          <w:rFonts w:eastAsia="Times New Roman"/>
          <w:spacing w:val="2"/>
          <w:szCs w:val="24"/>
        </w:rPr>
        <w:t>h</w:t>
      </w:r>
      <w:r w:rsidR="00BB740C" w:rsidRPr="00F46C0C">
        <w:rPr>
          <w:rFonts w:eastAsia="Times New Roman"/>
          <w:spacing w:val="-1"/>
          <w:szCs w:val="24"/>
        </w:rPr>
        <w:t>a</w:t>
      </w:r>
      <w:r w:rsidR="00BB740C" w:rsidRPr="00F46C0C">
        <w:rPr>
          <w:rFonts w:eastAsia="Times New Roman"/>
          <w:szCs w:val="24"/>
        </w:rPr>
        <w:t>t susp</w:t>
      </w:r>
      <w:r w:rsidR="00BB740C" w:rsidRPr="00F46C0C">
        <w:rPr>
          <w:rFonts w:eastAsia="Times New Roman"/>
          <w:spacing w:val="-1"/>
          <w:szCs w:val="24"/>
        </w:rPr>
        <w:t>e</w:t>
      </w:r>
      <w:r w:rsidR="00BB740C" w:rsidRPr="00F46C0C">
        <w:rPr>
          <w:rFonts w:eastAsia="Times New Roman"/>
          <w:szCs w:val="24"/>
        </w:rPr>
        <w:t>nsion be</w:t>
      </w:r>
      <w:r w:rsidR="00BB740C" w:rsidRPr="00F46C0C">
        <w:rPr>
          <w:rFonts w:eastAsia="Times New Roman"/>
          <w:spacing w:val="-1"/>
          <w:szCs w:val="24"/>
        </w:rPr>
        <w:t xml:space="preserve"> </w:t>
      </w:r>
      <w:r w:rsidR="00BB740C" w:rsidRPr="00F46C0C">
        <w:rPr>
          <w:rFonts w:eastAsia="Times New Roman"/>
          <w:szCs w:val="24"/>
        </w:rPr>
        <w:t>st</w:t>
      </w:r>
      <w:r w:rsidR="00BB740C" w:rsidRPr="00F46C0C">
        <w:rPr>
          <w:rFonts w:eastAsia="Times New Roman"/>
          <w:spacing w:val="4"/>
          <w:szCs w:val="24"/>
        </w:rPr>
        <w:t>a</w:t>
      </w:r>
      <w:r w:rsidR="00BB740C" w:rsidRPr="00F46C0C">
        <w:rPr>
          <w:rFonts w:eastAsia="Times New Roman"/>
          <w:spacing w:val="-5"/>
          <w:szCs w:val="24"/>
        </w:rPr>
        <w:t>y</w:t>
      </w:r>
      <w:r w:rsidR="00BB740C" w:rsidRPr="00F46C0C">
        <w:rPr>
          <w:rFonts w:eastAsia="Times New Roman"/>
          <w:spacing w:val="-1"/>
          <w:szCs w:val="24"/>
        </w:rPr>
        <w:t>e</w:t>
      </w:r>
      <w:r w:rsidR="00BB740C" w:rsidRPr="00F46C0C">
        <w:rPr>
          <w:rFonts w:eastAsia="Times New Roman"/>
          <w:szCs w:val="24"/>
        </w:rPr>
        <w:t>d,</w:t>
      </w:r>
      <w:r w:rsidR="00BB740C" w:rsidRPr="00F46C0C">
        <w:rPr>
          <w:rFonts w:eastAsia="Times New Roman"/>
          <w:spacing w:val="2"/>
          <w:szCs w:val="24"/>
        </w:rPr>
        <w:t xml:space="preserve"> a</w:t>
      </w:r>
      <w:r w:rsidR="00BB740C" w:rsidRPr="00F46C0C">
        <w:rPr>
          <w:rFonts w:eastAsia="Times New Roman"/>
          <w:szCs w:val="24"/>
        </w:rPr>
        <w:t xml:space="preserve">nd that </w:t>
      </w:r>
      <w:r w:rsidR="00BB740C">
        <w:rPr>
          <w:rFonts w:eastAsia="Times New Roman"/>
          <w:szCs w:val="24"/>
        </w:rPr>
        <w:t>he</w:t>
      </w:r>
      <w:r w:rsidR="00BB740C" w:rsidRPr="00F46C0C">
        <w:rPr>
          <w:rFonts w:eastAsia="Times New Roman"/>
          <w:szCs w:val="24"/>
        </w:rPr>
        <w:t xml:space="preserve"> be</w:t>
      </w:r>
      <w:r w:rsidR="00BB740C" w:rsidRPr="00F46C0C">
        <w:rPr>
          <w:rFonts w:eastAsia="Times New Roman"/>
          <w:spacing w:val="-1"/>
          <w:szCs w:val="24"/>
        </w:rPr>
        <w:t xml:space="preserve"> </w:t>
      </w:r>
      <w:r w:rsidR="00BB740C" w:rsidRPr="00F46C0C">
        <w:rPr>
          <w:rFonts w:eastAsia="Times New Roman"/>
          <w:szCs w:val="24"/>
        </w:rPr>
        <w:t>pl</w:t>
      </w:r>
      <w:r w:rsidR="00BB740C" w:rsidRPr="00F46C0C">
        <w:rPr>
          <w:rFonts w:eastAsia="Times New Roman"/>
          <w:spacing w:val="1"/>
          <w:szCs w:val="24"/>
        </w:rPr>
        <w:t>a</w:t>
      </w:r>
      <w:r w:rsidR="00BB740C" w:rsidRPr="00F46C0C">
        <w:rPr>
          <w:rFonts w:eastAsia="Times New Roman"/>
          <w:spacing w:val="-1"/>
          <w:szCs w:val="24"/>
        </w:rPr>
        <w:t>ce</w:t>
      </w:r>
      <w:r w:rsidR="00BB740C" w:rsidRPr="00F46C0C">
        <w:rPr>
          <w:rFonts w:eastAsia="Times New Roman"/>
          <w:szCs w:val="24"/>
        </w:rPr>
        <w:t>d on p</w:t>
      </w:r>
      <w:r w:rsidR="00BB740C" w:rsidRPr="00F46C0C">
        <w:rPr>
          <w:rFonts w:eastAsia="Times New Roman"/>
          <w:spacing w:val="-1"/>
          <w:szCs w:val="24"/>
        </w:rPr>
        <w:t>r</w:t>
      </w:r>
      <w:r w:rsidR="00BB740C" w:rsidRPr="00F46C0C">
        <w:rPr>
          <w:rFonts w:eastAsia="Times New Roman"/>
          <w:szCs w:val="24"/>
        </w:rPr>
        <w:t>ob</w:t>
      </w:r>
      <w:r w:rsidR="00BB740C" w:rsidRPr="00F46C0C">
        <w:rPr>
          <w:rFonts w:eastAsia="Times New Roman"/>
          <w:spacing w:val="-1"/>
          <w:szCs w:val="24"/>
        </w:rPr>
        <w:t>a</w:t>
      </w:r>
      <w:r w:rsidR="00BB740C" w:rsidRPr="00F46C0C">
        <w:rPr>
          <w:rFonts w:eastAsia="Times New Roman"/>
          <w:szCs w:val="24"/>
        </w:rPr>
        <w:t>tion f</w:t>
      </w:r>
      <w:r w:rsidR="00BB740C" w:rsidRPr="00F46C0C">
        <w:rPr>
          <w:rFonts w:eastAsia="Times New Roman"/>
          <w:spacing w:val="-1"/>
          <w:szCs w:val="24"/>
        </w:rPr>
        <w:t>o</w:t>
      </w:r>
      <w:r w:rsidR="00BB740C" w:rsidRPr="00F46C0C">
        <w:rPr>
          <w:rFonts w:eastAsia="Times New Roman"/>
          <w:szCs w:val="24"/>
        </w:rPr>
        <w:t>r</w:t>
      </w:r>
      <w:r w:rsidR="00BB740C" w:rsidRPr="00F46C0C">
        <w:rPr>
          <w:rFonts w:eastAsia="Times New Roman"/>
          <w:spacing w:val="-1"/>
          <w:szCs w:val="24"/>
        </w:rPr>
        <w:t xml:space="preserve"> </w:t>
      </w:r>
      <w:r w:rsidR="00BB740C" w:rsidRPr="006238E6">
        <w:rPr>
          <w:rFonts w:eastAsia="Times New Roman"/>
          <w:spacing w:val="-1"/>
          <w:szCs w:val="24"/>
        </w:rPr>
        <w:t>one year</w:t>
      </w:r>
      <w:r w:rsidR="00BB740C" w:rsidRPr="00F46C0C">
        <w:rPr>
          <w:rFonts w:eastAsia="Times New Roman"/>
          <w:spacing w:val="1"/>
          <w:szCs w:val="24"/>
        </w:rPr>
        <w:t xml:space="preserve"> </w:t>
      </w:r>
      <w:r w:rsidR="00BB740C" w:rsidRPr="00F46C0C">
        <w:rPr>
          <w:rFonts w:eastAsia="Times New Roman"/>
          <w:szCs w:val="24"/>
        </w:rPr>
        <w:t xml:space="preserve">with the </w:t>
      </w:r>
      <w:r w:rsidR="00BB740C" w:rsidRPr="00F46C0C">
        <w:rPr>
          <w:rFonts w:eastAsia="Times New Roman"/>
          <w:spacing w:val="-2"/>
          <w:szCs w:val="24"/>
        </w:rPr>
        <w:t>f</w:t>
      </w:r>
      <w:r w:rsidR="00BB740C" w:rsidRPr="00F46C0C">
        <w:rPr>
          <w:rFonts w:eastAsia="Times New Roman"/>
          <w:szCs w:val="24"/>
        </w:rPr>
        <w:t>ollowing</w:t>
      </w:r>
      <w:r w:rsidR="00BB740C" w:rsidRPr="00F46C0C">
        <w:rPr>
          <w:rFonts w:eastAsia="Times New Roman"/>
          <w:spacing w:val="-3"/>
          <w:szCs w:val="24"/>
        </w:rPr>
        <w:t xml:space="preserve"> </w:t>
      </w:r>
      <w:r w:rsidR="00BB740C" w:rsidRPr="00F46C0C">
        <w:rPr>
          <w:rFonts w:eastAsia="Times New Roman"/>
          <w:spacing w:val="-1"/>
          <w:szCs w:val="24"/>
        </w:rPr>
        <w:t>c</w:t>
      </w:r>
      <w:r w:rsidR="00BB740C" w:rsidRPr="00F46C0C">
        <w:rPr>
          <w:rFonts w:eastAsia="Times New Roman"/>
          <w:szCs w:val="24"/>
        </w:rPr>
        <w:t>on</w:t>
      </w:r>
      <w:r w:rsidR="00BB740C" w:rsidRPr="00F46C0C">
        <w:rPr>
          <w:rFonts w:eastAsia="Times New Roman"/>
          <w:spacing w:val="2"/>
          <w:szCs w:val="24"/>
        </w:rPr>
        <w:t>d</w:t>
      </w:r>
      <w:r w:rsidR="00BB740C" w:rsidRPr="00F46C0C">
        <w:rPr>
          <w:rFonts w:eastAsia="Times New Roman"/>
          <w:szCs w:val="24"/>
        </w:rPr>
        <w:t>ition</w:t>
      </w:r>
      <w:r w:rsidR="00BB740C">
        <w:rPr>
          <w:rFonts w:eastAsia="Times New Roman"/>
          <w:szCs w:val="24"/>
        </w:rPr>
        <w:t>s:</w:t>
      </w:r>
    </w:p>
    <w:p w14:paraId="1B6AB36D" w14:textId="13566A81" w:rsidR="00BB740C" w:rsidRDefault="00BB740C" w:rsidP="00BB740C">
      <w:pPr>
        <w:pStyle w:val="ListParagraph"/>
        <w:numPr>
          <w:ilvl w:val="0"/>
          <w:numId w:val="22"/>
        </w:numPr>
      </w:pPr>
      <w:r w:rsidRPr="00DE6D35">
        <w:rPr>
          <w:b/>
        </w:rPr>
        <w:t>Actual Suspension.</w:t>
      </w:r>
      <w:r w:rsidRPr="00DE6D35">
        <w:t xml:space="preserve">  </w:t>
      </w:r>
      <w:r>
        <w:rPr>
          <w:rFonts w:eastAsia="Times New Roman"/>
          <w:spacing w:val="-2"/>
          <w:szCs w:val="24"/>
        </w:rPr>
        <w:t>Shkolnikov</w:t>
      </w:r>
      <w:r>
        <w:t xml:space="preserve"> must be su</w:t>
      </w:r>
      <w:r w:rsidRPr="00DE6D35">
        <w:t>spended from the practice of law for</w:t>
      </w:r>
      <w:r>
        <w:t xml:space="preserve"> the first </w:t>
      </w:r>
      <w:r w:rsidR="006238E6">
        <w:t>six months</w:t>
      </w:r>
      <w:r>
        <w:t xml:space="preserve"> of the period of his probation.</w:t>
      </w:r>
    </w:p>
    <w:p w14:paraId="67722846" w14:textId="77777777" w:rsidR="00BB740C" w:rsidRDefault="00BB740C" w:rsidP="00BB740C">
      <w:pPr>
        <w:pStyle w:val="ListParagraph"/>
        <w:ind w:left="360"/>
      </w:pPr>
    </w:p>
    <w:p w14:paraId="217FF0CE" w14:textId="70FF7144" w:rsidR="00BB740C" w:rsidRDefault="00BB740C" w:rsidP="00BB740C">
      <w:pPr>
        <w:pStyle w:val="ListParagraph"/>
        <w:numPr>
          <w:ilvl w:val="0"/>
          <w:numId w:val="22"/>
        </w:numPr>
      </w:pPr>
      <w:r w:rsidRPr="00DE6D35">
        <w:rPr>
          <w:b/>
        </w:rPr>
        <w:t>Review Rules of Professional Conduct.</w:t>
      </w:r>
      <w:r>
        <w:rPr>
          <w:b/>
        </w:rPr>
        <w:t xml:space="preserve">  </w:t>
      </w:r>
      <w:r w:rsidRPr="00DE6D35">
        <w:t xml:space="preserve">Within 30 days after the effective date of the Supreme Court order imposing discipline in this matter, </w:t>
      </w:r>
      <w:r>
        <w:rPr>
          <w:rFonts w:eastAsia="Times New Roman"/>
          <w:spacing w:val="-2"/>
          <w:szCs w:val="24"/>
        </w:rPr>
        <w:t>Shkolnikov</w:t>
      </w:r>
      <w:r w:rsidRPr="00DE6D35">
        <w:t xml:space="preserve"> must (1) read the California Rules of Professional Conduct (Rules of Professional Conduct) and Business and Professions Code sections 6067, 6068, and 6103 through 6126, and (2) provide a declaration, under penalty of perjury, attesting to </w:t>
      </w:r>
      <w:r>
        <w:t>his</w:t>
      </w:r>
      <w:r w:rsidRPr="00DE6D35">
        <w:t xml:space="preserve"> compliance with this requirement, to the State Bar’s Office of Probation in Los Angeles (Office of Probation) </w:t>
      </w:r>
      <w:r w:rsidRPr="00DE6D35">
        <w:rPr>
          <w:color w:val="000000"/>
        </w:rPr>
        <w:t xml:space="preserve">with </w:t>
      </w:r>
      <w:r>
        <w:rPr>
          <w:rFonts w:eastAsia="Times New Roman"/>
          <w:spacing w:val="-2"/>
          <w:szCs w:val="24"/>
        </w:rPr>
        <w:t>Shkolnikov</w:t>
      </w:r>
      <w:r>
        <w:rPr>
          <w:color w:val="000000"/>
        </w:rPr>
        <w:t xml:space="preserve">’s </w:t>
      </w:r>
      <w:r w:rsidRPr="00DE6D35">
        <w:rPr>
          <w:color w:val="000000"/>
        </w:rPr>
        <w:t>first quarterly report</w:t>
      </w:r>
      <w:r w:rsidRPr="00DE6D35">
        <w:t>.</w:t>
      </w:r>
    </w:p>
    <w:p w14:paraId="4445CD7A" w14:textId="77777777" w:rsidR="00BB740C" w:rsidRPr="00DE6D35" w:rsidRDefault="00BB740C" w:rsidP="00BB740C">
      <w:pPr>
        <w:pStyle w:val="ListParagraph"/>
        <w:rPr>
          <w:b/>
        </w:rPr>
      </w:pPr>
    </w:p>
    <w:p w14:paraId="44E89577" w14:textId="764572CE" w:rsidR="00BB740C" w:rsidRDefault="00BB740C" w:rsidP="00BB740C">
      <w:pPr>
        <w:pStyle w:val="ListParagraph"/>
        <w:numPr>
          <w:ilvl w:val="0"/>
          <w:numId w:val="22"/>
        </w:numPr>
      </w:pPr>
      <w:r w:rsidRPr="0096680A">
        <w:rPr>
          <w:b/>
        </w:rPr>
        <w:t>Comply with State Bar Act, Rules of Professional Conduct, and Probation Conditions.</w:t>
      </w:r>
      <w:r w:rsidRPr="0096680A">
        <w:t xml:space="preserve"> </w:t>
      </w:r>
      <w:r>
        <w:rPr>
          <w:rFonts w:eastAsia="Times New Roman"/>
          <w:spacing w:val="-2"/>
          <w:szCs w:val="24"/>
        </w:rPr>
        <w:t>Shkolnikov</w:t>
      </w:r>
      <w:r w:rsidRPr="0096680A">
        <w:t xml:space="preserve"> must comply with the provisions of the State Bar Act, the Rules of Professional Conduct, and all conditions of probation.</w:t>
      </w:r>
    </w:p>
    <w:p w14:paraId="29BACF66" w14:textId="77777777" w:rsidR="00BB740C" w:rsidRPr="0096680A" w:rsidRDefault="00BB740C" w:rsidP="00BB740C">
      <w:pPr>
        <w:pStyle w:val="ListParagraph"/>
        <w:rPr>
          <w:b/>
        </w:rPr>
      </w:pPr>
    </w:p>
    <w:p w14:paraId="7EB3355F" w14:textId="297D607E" w:rsidR="00BB740C" w:rsidRDefault="00BB740C" w:rsidP="00BB740C">
      <w:pPr>
        <w:pStyle w:val="ListParagraph"/>
        <w:numPr>
          <w:ilvl w:val="0"/>
          <w:numId w:val="22"/>
        </w:numPr>
      </w:pPr>
      <w:r w:rsidRPr="006A7A08">
        <w:rPr>
          <w:b/>
        </w:rPr>
        <w:t>Maintain Valid Official State Bar Record Address and Other Required Contact Information.</w:t>
      </w:r>
      <w:r>
        <w:rPr>
          <w:b/>
        </w:rPr>
        <w:t xml:space="preserve">  </w:t>
      </w:r>
      <w:r w:rsidRPr="006A7A08">
        <w:t xml:space="preserve">Within 30 days after the effective date of the Supreme Court order imposing discipline in this matter, </w:t>
      </w:r>
      <w:r>
        <w:rPr>
          <w:rFonts w:eastAsia="Times New Roman"/>
          <w:spacing w:val="-2"/>
          <w:szCs w:val="24"/>
        </w:rPr>
        <w:t>Shkolnikov</w:t>
      </w:r>
      <w:r w:rsidRPr="006A7A08">
        <w:t xml:space="preserve"> must make certain that the State Bar Attorney Regulation and Consumer Resources Office (ARCR) has </w:t>
      </w:r>
      <w:r>
        <w:t>his</w:t>
      </w:r>
      <w:r w:rsidRPr="006A7A08">
        <w:t xml:space="preserve"> current office address, email address, and telephone number.  If </w:t>
      </w:r>
      <w:r>
        <w:t>he</w:t>
      </w:r>
      <w:r w:rsidRPr="006A7A08">
        <w:t xml:space="preserve"> does not maintain an office,</w:t>
      </w:r>
      <w:r>
        <w:t xml:space="preserve"> he</w:t>
      </w:r>
      <w:r w:rsidRPr="006A7A08">
        <w:t xml:space="preserve"> must provide the mailing address, email address, and telephone number to be used for State Bar purposes.  </w:t>
      </w:r>
      <w:r>
        <w:rPr>
          <w:rFonts w:eastAsia="Times New Roman"/>
          <w:spacing w:val="-2"/>
          <w:szCs w:val="24"/>
        </w:rPr>
        <w:t>Shkolnikov</w:t>
      </w:r>
      <w:r w:rsidRPr="006A7A08">
        <w:t xml:space="preserve"> must report, in writing, any change in the above information to ARCR, within </w:t>
      </w:r>
      <w:r>
        <w:t>10</w:t>
      </w:r>
      <w:r w:rsidRPr="006A7A08">
        <w:t xml:space="preserve"> days after such change, in the manner required by that office.</w:t>
      </w:r>
    </w:p>
    <w:p w14:paraId="3C137BFE" w14:textId="77777777" w:rsidR="00BB740C" w:rsidRPr="006A7A08" w:rsidRDefault="00BB740C" w:rsidP="00BB740C">
      <w:pPr>
        <w:pStyle w:val="ListParagraph"/>
        <w:rPr>
          <w:b/>
        </w:rPr>
      </w:pPr>
    </w:p>
    <w:p w14:paraId="5B27D912" w14:textId="7621A2FA" w:rsidR="00BB740C" w:rsidRDefault="00BB740C" w:rsidP="000E2AA4">
      <w:pPr>
        <w:pStyle w:val="ListParagraph"/>
        <w:numPr>
          <w:ilvl w:val="0"/>
          <w:numId w:val="22"/>
        </w:numPr>
      </w:pPr>
      <w:r w:rsidRPr="006A7A08">
        <w:rPr>
          <w:b/>
        </w:rPr>
        <w:t>Meet and Cooperate with Office of Probation.</w:t>
      </w:r>
      <w:r>
        <w:rPr>
          <w:b/>
        </w:rPr>
        <w:t xml:space="preserve"> </w:t>
      </w:r>
      <w:r w:rsidRPr="006A7A08">
        <w:t xml:space="preserve"> Within 15 days after the effective date of the Supreme Court order imposing discipline in this matter, </w:t>
      </w:r>
      <w:r w:rsidR="000E2AA4">
        <w:rPr>
          <w:rFonts w:eastAsia="Times New Roman"/>
          <w:spacing w:val="-2"/>
          <w:szCs w:val="24"/>
        </w:rPr>
        <w:t>Shkolnikov</w:t>
      </w:r>
      <w:r w:rsidR="000E2AA4" w:rsidRPr="006A7A08">
        <w:t xml:space="preserve"> </w:t>
      </w:r>
      <w:r w:rsidRPr="006A7A08">
        <w:t xml:space="preserve">must schedule a meeting with </w:t>
      </w:r>
      <w:r w:rsidR="000E2AA4">
        <w:t xml:space="preserve">his </w:t>
      </w:r>
      <w:r w:rsidRPr="006A7A08">
        <w:t xml:space="preserve">assigned probation case specialist to discuss the terms and conditions of </w:t>
      </w:r>
      <w:r w:rsidR="000E2AA4">
        <w:t>his</w:t>
      </w:r>
      <w:r w:rsidRPr="006A7A08">
        <w:t xml:space="preserve"> discipline and, within 30 days after the effective date of the court’s order, must participate in such meeting.  Unless otherwise instructed by the Office of Probation, </w:t>
      </w:r>
      <w:r w:rsidR="000E2AA4">
        <w:rPr>
          <w:rFonts w:eastAsia="Times New Roman"/>
          <w:spacing w:val="-2"/>
          <w:szCs w:val="24"/>
        </w:rPr>
        <w:t>Shkolnikov</w:t>
      </w:r>
      <w:r w:rsidR="000E2AA4" w:rsidRPr="006A7A08">
        <w:t xml:space="preserve"> </w:t>
      </w:r>
      <w:r w:rsidRPr="006A7A08">
        <w:t xml:space="preserve">may meet with the probation case specialist in person or by telephone.  During the probation period, </w:t>
      </w:r>
      <w:r w:rsidR="000E2AA4">
        <w:rPr>
          <w:rFonts w:eastAsia="Times New Roman"/>
          <w:spacing w:val="-2"/>
          <w:szCs w:val="24"/>
        </w:rPr>
        <w:t>Shkolnikov</w:t>
      </w:r>
      <w:r w:rsidR="000E2AA4" w:rsidRPr="006A7A08">
        <w:t xml:space="preserve"> </w:t>
      </w:r>
      <w:r w:rsidRPr="006A7A08">
        <w:t>must promptly meet with representatives of the Office of Probation as requested by it and, subject to the assertion of applicable privileges, must fully, promptly, and truthfully answer any inquiries by it and provide to it any other information requested by it.</w:t>
      </w:r>
    </w:p>
    <w:p w14:paraId="03765AB1" w14:textId="77777777" w:rsidR="00B2422A" w:rsidRPr="00F71C57" w:rsidRDefault="00B2422A" w:rsidP="00B2422A">
      <w:pPr>
        <w:pStyle w:val="ListParagraph"/>
        <w:ind w:left="360"/>
      </w:pPr>
    </w:p>
    <w:p w14:paraId="22BF7383" w14:textId="1FF99B6D" w:rsidR="00BB740C" w:rsidRPr="006A7A08" w:rsidRDefault="00BB740C" w:rsidP="00BB740C">
      <w:pPr>
        <w:pStyle w:val="ListParagraph"/>
        <w:numPr>
          <w:ilvl w:val="0"/>
          <w:numId w:val="22"/>
        </w:numPr>
        <w:rPr>
          <w:b/>
        </w:rPr>
      </w:pPr>
      <w:r w:rsidRPr="006A7A08">
        <w:rPr>
          <w:b/>
        </w:rPr>
        <w:t>State Bar Court Retains Jurisdiction/Appear Before and Cooperate with State Bar Court.</w:t>
      </w:r>
      <w:r>
        <w:rPr>
          <w:b/>
        </w:rPr>
        <w:t xml:space="preserve"> </w:t>
      </w:r>
      <w:r w:rsidRPr="006A7A08">
        <w:t xml:space="preserve"> During </w:t>
      </w:r>
      <w:r w:rsidR="000E2AA4">
        <w:rPr>
          <w:rFonts w:eastAsia="Times New Roman"/>
          <w:spacing w:val="-2"/>
          <w:szCs w:val="24"/>
        </w:rPr>
        <w:t>Shkolnikov</w:t>
      </w:r>
      <w:r w:rsidR="000E2AA4">
        <w:t>’s</w:t>
      </w:r>
      <w:r w:rsidRPr="006A7A08">
        <w:t xml:space="preserve"> probation period, the State Bar Court retains jurisdiction over </w:t>
      </w:r>
      <w:r w:rsidR="000E2AA4">
        <w:lastRenderedPageBreak/>
        <w:t>him</w:t>
      </w:r>
      <w:r w:rsidRPr="006A7A08">
        <w:t xml:space="preserve"> to address issues concerning compliance with probation conditions.  During this period, </w:t>
      </w:r>
      <w:r w:rsidR="000E2AA4">
        <w:rPr>
          <w:rFonts w:eastAsia="Times New Roman"/>
          <w:spacing w:val="-2"/>
          <w:szCs w:val="24"/>
        </w:rPr>
        <w:t>Shkolnikov</w:t>
      </w:r>
      <w:r w:rsidR="000E2AA4" w:rsidRPr="006A7A08">
        <w:t xml:space="preserve"> </w:t>
      </w:r>
      <w:r w:rsidRPr="006A7A08">
        <w:t xml:space="preserve">must appear before the State Bar Court as required by the court or by the Office of Probation after written notice mailed to </w:t>
      </w:r>
      <w:r w:rsidR="000E2AA4">
        <w:t>his</w:t>
      </w:r>
      <w:r w:rsidRPr="006A7A08">
        <w:t xml:space="preserve"> official State Bar record address, as provided above.  Subject to the assertion of applicable privileges, </w:t>
      </w:r>
      <w:r w:rsidR="000E2AA4">
        <w:rPr>
          <w:rFonts w:eastAsia="Times New Roman"/>
          <w:spacing w:val="-2"/>
          <w:szCs w:val="24"/>
        </w:rPr>
        <w:t>Shkolnikov</w:t>
      </w:r>
      <w:r w:rsidR="000E2AA4" w:rsidRPr="006A7A08">
        <w:t xml:space="preserve"> </w:t>
      </w:r>
      <w:r w:rsidRPr="006A7A08">
        <w:t xml:space="preserve">must fully, promptly, and truthfully answer any inquiries by the court and must provide any other information the court requests. </w:t>
      </w:r>
    </w:p>
    <w:p w14:paraId="25BF389D" w14:textId="77777777" w:rsidR="00BB740C" w:rsidRPr="006A7A08" w:rsidRDefault="00BB740C" w:rsidP="00BB740C">
      <w:pPr>
        <w:pStyle w:val="ListParagraph"/>
        <w:rPr>
          <w:b/>
        </w:rPr>
      </w:pPr>
    </w:p>
    <w:p w14:paraId="33EBB893" w14:textId="77777777" w:rsidR="00BB740C" w:rsidRPr="006A7A08" w:rsidRDefault="00BB740C" w:rsidP="00BB740C">
      <w:pPr>
        <w:pStyle w:val="ListParagraph"/>
        <w:numPr>
          <w:ilvl w:val="0"/>
          <w:numId w:val="22"/>
        </w:numPr>
        <w:spacing w:after="200"/>
        <w:rPr>
          <w:b/>
        </w:rPr>
      </w:pPr>
      <w:r w:rsidRPr="006A7A08">
        <w:rPr>
          <w:b/>
        </w:rPr>
        <w:t>Quarterly and Final Reports</w:t>
      </w:r>
      <w:r>
        <w:rPr>
          <w:b/>
        </w:rPr>
        <w:t>.</w:t>
      </w:r>
    </w:p>
    <w:p w14:paraId="7514BB90" w14:textId="0202BEE6" w:rsidR="00BB740C" w:rsidRDefault="00BB740C" w:rsidP="00BB740C">
      <w:pPr>
        <w:ind w:left="1080" w:hanging="360"/>
      </w:pPr>
      <w:r w:rsidRPr="004D40BE">
        <w:rPr>
          <w:b/>
        </w:rPr>
        <w:t>a.</w:t>
      </w:r>
      <w:r w:rsidRPr="004D40BE">
        <w:t xml:space="preserve">  </w:t>
      </w:r>
      <w:r w:rsidRPr="004D40BE">
        <w:rPr>
          <w:b/>
        </w:rPr>
        <w:t>Deadlines for Reports</w:t>
      </w:r>
      <w:r w:rsidRPr="00111085">
        <w:rPr>
          <w:b/>
        </w:rPr>
        <w:t>.</w:t>
      </w:r>
      <w:r w:rsidRPr="004D40BE">
        <w:t xml:space="preserve">  </w:t>
      </w:r>
      <w:r w:rsidR="000E2AA4">
        <w:rPr>
          <w:rFonts w:eastAsia="Times New Roman"/>
          <w:spacing w:val="-2"/>
          <w:szCs w:val="24"/>
        </w:rPr>
        <w:t>Shkolnikov</w:t>
      </w:r>
      <w:r w:rsidRPr="004D40BE">
        <w:rPr>
          <w:b/>
        </w:rPr>
        <w:t xml:space="preserve"> </w:t>
      </w:r>
      <w:r w:rsidRPr="004D40BE">
        <w:t>must</w:t>
      </w:r>
      <w:r w:rsidRPr="004D40BE">
        <w:rPr>
          <w:b/>
        </w:rPr>
        <w:t xml:space="preserve"> </w:t>
      </w:r>
      <w:r w:rsidRPr="004D40BE">
        <w:t>submit</w:t>
      </w:r>
      <w:r w:rsidRPr="004D40BE">
        <w:rPr>
          <w:b/>
        </w:rPr>
        <w:t xml:space="preserve"> </w:t>
      </w:r>
      <w:r w:rsidRPr="004D40BE">
        <w:t>written quarterly reports to the Office of Probation no later than each January 10 (covering October 1 through December 31 of the prior year), April 10 (covering January 1 through March 31), July</w:t>
      </w:r>
      <w:r w:rsidR="005F2E1F">
        <w:t> </w:t>
      </w:r>
      <w:r w:rsidRPr="004D40BE">
        <w:t xml:space="preserve">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w:t>
      </w:r>
      <w:r w:rsidR="000E2AA4">
        <w:rPr>
          <w:rFonts w:eastAsia="Times New Roman"/>
          <w:spacing w:val="-2"/>
          <w:szCs w:val="24"/>
        </w:rPr>
        <w:t>Shkolnikov</w:t>
      </w:r>
      <w:r w:rsidRPr="004D40BE">
        <w:t xml:space="preserve"> must submit a final report no earlier than </w:t>
      </w:r>
      <w:r>
        <w:t>10</w:t>
      </w:r>
      <w:r w:rsidRPr="004D40BE">
        <w:t xml:space="preserve"> days before the last day of the probation period and no later than the last day of the probation period.  </w:t>
      </w:r>
    </w:p>
    <w:p w14:paraId="376C6D30" w14:textId="77777777" w:rsidR="00BB740C" w:rsidRPr="004D40BE" w:rsidRDefault="00BB740C" w:rsidP="00BB740C">
      <w:pPr>
        <w:ind w:firstLine="720"/>
      </w:pPr>
    </w:p>
    <w:p w14:paraId="55A5973D" w14:textId="5C907F5B" w:rsidR="00BB740C" w:rsidRPr="004D40BE" w:rsidRDefault="00BB740C" w:rsidP="00BB740C">
      <w:pPr>
        <w:ind w:left="1080" w:hanging="360"/>
      </w:pPr>
      <w:r w:rsidRPr="004D40BE">
        <w:rPr>
          <w:b/>
        </w:rPr>
        <w:t>b.</w:t>
      </w:r>
      <w:r w:rsidRPr="004D40BE">
        <w:t xml:space="preserve">  </w:t>
      </w:r>
      <w:r w:rsidRPr="004D40BE">
        <w:rPr>
          <w:b/>
        </w:rPr>
        <w:t>Contents of Reports</w:t>
      </w:r>
      <w:r w:rsidRPr="00111085">
        <w:rPr>
          <w:b/>
        </w:rPr>
        <w:t>.</w:t>
      </w:r>
      <w:r w:rsidRPr="004D40BE">
        <w:t xml:space="preserve">  </w:t>
      </w:r>
      <w:r w:rsidR="000E2AA4">
        <w:rPr>
          <w:rFonts w:eastAsia="Times New Roman"/>
          <w:spacing w:val="-2"/>
          <w:szCs w:val="24"/>
        </w:rPr>
        <w:t>Shkolnikov</w:t>
      </w:r>
      <w:r w:rsidR="000E2AA4" w:rsidRPr="004D40BE">
        <w:t xml:space="preserve"> </w:t>
      </w:r>
      <w:r w:rsidRPr="004D40BE">
        <w:t xml:space="preserve">must answer, under penalty of perjury, all inquiries contained in the quarterly report form provided by the Office of Probation, including stating whether </w:t>
      </w:r>
      <w:r w:rsidR="000E2AA4">
        <w:t>he</w:t>
      </w:r>
      <w:r w:rsidRPr="004D40BE">
        <w:t xml:space="preserve"> 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  </w:t>
      </w:r>
    </w:p>
    <w:p w14:paraId="4CA7DFF8" w14:textId="77777777" w:rsidR="00BB740C" w:rsidRDefault="00BB740C" w:rsidP="00BB740C">
      <w:pPr>
        <w:rPr>
          <w:b/>
        </w:rPr>
      </w:pPr>
    </w:p>
    <w:p w14:paraId="5F47FAA5" w14:textId="77777777" w:rsidR="00BB740C" w:rsidRPr="004D40BE" w:rsidRDefault="00BB740C" w:rsidP="00BB740C">
      <w:pPr>
        <w:ind w:left="990" w:hanging="270"/>
      </w:pPr>
      <w:r w:rsidRPr="004D40BE">
        <w:rPr>
          <w:b/>
        </w:rPr>
        <w:t>c.</w:t>
      </w:r>
      <w:r w:rsidRPr="004D40BE">
        <w:t xml:space="preserve">  </w:t>
      </w:r>
      <w:r w:rsidRPr="004D40BE">
        <w:rPr>
          <w:b/>
        </w:rPr>
        <w:t xml:space="preserve">Submission of Reports.  </w:t>
      </w:r>
      <w:r w:rsidRPr="004D40BE">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14:paraId="676765B4" w14:textId="77777777" w:rsidR="00BB740C" w:rsidRDefault="00BB740C" w:rsidP="00BB740C">
      <w:pPr>
        <w:rPr>
          <w:b/>
        </w:rPr>
      </w:pPr>
    </w:p>
    <w:p w14:paraId="04B59B76" w14:textId="6E81F42A" w:rsidR="00BB740C" w:rsidRDefault="00BB740C" w:rsidP="00BB740C">
      <w:pPr>
        <w:ind w:left="1080" w:hanging="360"/>
      </w:pPr>
      <w:r w:rsidRPr="004D40BE">
        <w:rPr>
          <w:b/>
        </w:rPr>
        <w:t xml:space="preserve">d.  Proof of Compliance.  </w:t>
      </w:r>
      <w:r w:rsidR="000E2AA4">
        <w:rPr>
          <w:rFonts w:eastAsia="Times New Roman"/>
          <w:spacing w:val="-2"/>
          <w:szCs w:val="24"/>
        </w:rPr>
        <w:t>Shkolnikov</w:t>
      </w:r>
      <w:r w:rsidR="000E2AA4" w:rsidRPr="004D40BE">
        <w:t xml:space="preserve"> </w:t>
      </w:r>
      <w:r w:rsidRPr="004D40BE">
        <w:t xml:space="preserve">is directed to maintain proof of compliance with the above requirements for each such report for a minimum of one year after either the period of probation or the period of actual suspension has ended, whichever is longer.  </w:t>
      </w:r>
      <w:r w:rsidR="000E2AA4">
        <w:rPr>
          <w:rFonts w:eastAsia="Times New Roman"/>
          <w:spacing w:val="-2"/>
          <w:szCs w:val="24"/>
        </w:rPr>
        <w:t>Shkolnikov</w:t>
      </w:r>
      <w:r w:rsidR="000E2AA4" w:rsidRPr="004D40BE">
        <w:t xml:space="preserve"> </w:t>
      </w:r>
      <w:r w:rsidRPr="004D40BE">
        <w:t xml:space="preserve">is required to present such proof upon request by the State Bar, the Office of Probation, or the State Bar Court.  </w:t>
      </w:r>
    </w:p>
    <w:p w14:paraId="0A80F47C" w14:textId="77777777" w:rsidR="00B2422A" w:rsidRPr="004D40BE" w:rsidRDefault="00B2422A" w:rsidP="00BB740C">
      <w:pPr>
        <w:ind w:left="1080" w:hanging="360"/>
      </w:pPr>
    </w:p>
    <w:p w14:paraId="6342284D" w14:textId="386C8C83" w:rsidR="00BB740C" w:rsidRDefault="00BB740C" w:rsidP="00BB740C">
      <w:pPr>
        <w:pStyle w:val="ListParagraph"/>
        <w:numPr>
          <w:ilvl w:val="0"/>
          <w:numId w:val="22"/>
        </w:numPr>
        <w:spacing w:after="200"/>
      </w:pPr>
      <w:r w:rsidRPr="00727553">
        <w:rPr>
          <w:b/>
        </w:rPr>
        <w:t>State Bar Ethics School.</w:t>
      </w:r>
      <w:r>
        <w:rPr>
          <w:b/>
        </w:rPr>
        <w:t xml:space="preserve"> </w:t>
      </w:r>
      <w:r w:rsidRPr="00727553">
        <w:t xml:space="preserve"> Within one year after the effective date of the Supreme Court order imposing discipline in this matter, </w:t>
      </w:r>
      <w:r w:rsidR="000E2AA4">
        <w:rPr>
          <w:rFonts w:eastAsia="Times New Roman"/>
          <w:spacing w:val="-2"/>
          <w:szCs w:val="24"/>
        </w:rPr>
        <w:t>Shkolnikov</w:t>
      </w:r>
      <w:r w:rsidR="000E2AA4" w:rsidRPr="00727553">
        <w:t xml:space="preserve"> </w:t>
      </w:r>
      <w:r w:rsidRPr="00727553">
        <w:t xml:space="preserve">must submit to the Office of Probation satisfactory evidence of completion of the State Bar Ethics School and passage of the test given at the end of that session.  This requirement is separate from any Minimum Continuing Legal Education (MCLE) requirement, and </w:t>
      </w:r>
      <w:r w:rsidR="000E2AA4">
        <w:t>he</w:t>
      </w:r>
      <w:r w:rsidRPr="00727553">
        <w:t xml:space="preserve"> will not receive MCLE credit for attending this session.  If </w:t>
      </w:r>
      <w:r w:rsidR="000E2AA4">
        <w:t xml:space="preserve">he </w:t>
      </w:r>
      <w:r w:rsidRPr="00727553">
        <w:t xml:space="preserve">provides satisfactory evidence of completion of the Ethics School after the date of this </w:t>
      </w:r>
      <w:r w:rsidR="000E2AA4">
        <w:t>opinion</w:t>
      </w:r>
      <w:r w:rsidRPr="00727553">
        <w:t xml:space="preserve"> but before the effective date of the Supreme Court’s order in this matter, </w:t>
      </w:r>
      <w:r w:rsidR="000E2AA4">
        <w:rPr>
          <w:rFonts w:eastAsia="Times New Roman"/>
          <w:spacing w:val="-2"/>
          <w:szCs w:val="24"/>
        </w:rPr>
        <w:lastRenderedPageBreak/>
        <w:t>Shkolnikov</w:t>
      </w:r>
      <w:r w:rsidRPr="00727553">
        <w:t xml:space="preserve"> will nonetheless receive credit for such evidence toward </w:t>
      </w:r>
      <w:r w:rsidR="000E2AA4">
        <w:t>his</w:t>
      </w:r>
      <w:r w:rsidRPr="00727553">
        <w:t xml:space="preserve"> duty to comply with this condition.</w:t>
      </w:r>
    </w:p>
    <w:p w14:paraId="7C11079B" w14:textId="77777777" w:rsidR="00BB740C" w:rsidRDefault="00BB740C" w:rsidP="00BB740C">
      <w:pPr>
        <w:pStyle w:val="ListParagraph"/>
        <w:ind w:left="360"/>
      </w:pPr>
    </w:p>
    <w:p w14:paraId="345DCC41" w14:textId="6AF5EA68" w:rsidR="00BB740C" w:rsidRDefault="00BB740C" w:rsidP="00BB740C">
      <w:pPr>
        <w:pStyle w:val="ListParagraph"/>
        <w:numPr>
          <w:ilvl w:val="0"/>
          <w:numId w:val="22"/>
        </w:numPr>
      </w:pPr>
      <w:r w:rsidRPr="00727553">
        <w:rPr>
          <w:b/>
        </w:rPr>
        <w:t>Commencement of Probation/Compliance with Probation Conditions.</w:t>
      </w:r>
      <w:r>
        <w:rPr>
          <w:b/>
        </w:rPr>
        <w:t xml:space="preserve"> </w:t>
      </w:r>
      <w:r w:rsidRPr="00727553">
        <w:t xml:space="preserve"> The period of probation will commence on the effective date of the Supreme Court order imposing discipline in this matter.  At the expiration of the probation period, if </w:t>
      </w:r>
      <w:r w:rsidR="000E2AA4">
        <w:rPr>
          <w:rFonts w:eastAsia="Times New Roman"/>
          <w:spacing w:val="-2"/>
          <w:szCs w:val="24"/>
        </w:rPr>
        <w:t>Shkolnikov</w:t>
      </w:r>
      <w:r w:rsidRPr="00727553">
        <w:t xml:space="preserve"> has complied with all conditions of probation, the period of stayed suspension will be satisfied and that suspension will be terminated.</w:t>
      </w:r>
    </w:p>
    <w:p w14:paraId="0D71B8B3" w14:textId="77777777" w:rsidR="00BB740C" w:rsidRPr="002C0706" w:rsidRDefault="00BB740C" w:rsidP="00BB740C">
      <w:pPr>
        <w:pStyle w:val="ListParagraph"/>
      </w:pPr>
    </w:p>
    <w:p w14:paraId="439EA2B2" w14:textId="4DFBC227" w:rsidR="00A13D85" w:rsidRDefault="00BB740C" w:rsidP="000E2AA4">
      <w:pPr>
        <w:pStyle w:val="ListParagraph"/>
        <w:numPr>
          <w:ilvl w:val="0"/>
          <w:numId w:val="22"/>
        </w:numPr>
      </w:pPr>
      <w:r w:rsidRPr="008316BB">
        <w:rPr>
          <w:b/>
        </w:rPr>
        <w:t>Proof of Compliance with Rule 9.20 Obligation.</w:t>
      </w:r>
      <w:r>
        <w:t xml:space="preserve">  </w:t>
      </w:r>
      <w:r w:rsidR="000E2AA4">
        <w:rPr>
          <w:rFonts w:eastAsia="Times New Roman"/>
          <w:spacing w:val="-2"/>
          <w:szCs w:val="24"/>
        </w:rPr>
        <w:t>Shkolnikov</w:t>
      </w:r>
      <w:r w:rsidR="000E2AA4" w:rsidRPr="008316BB">
        <w:t xml:space="preserve"> </w:t>
      </w:r>
      <w:r w:rsidRPr="008316BB">
        <w:t xml:space="preserve">is directed to maintain, for a minimum of one year after commencement of probation, proof of compliance with the Supreme Court’s order that </w:t>
      </w:r>
      <w:r w:rsidR="000E2AA4">
        <w:t xml:space="preserve">he </w:t>
      </w:r>
      <w:r w:rsidRPr="008316BB">
        <w:t>comply with the requirements of California Rules of Court, rule</w:t>
      </w:r>
      <w:r>
        <w:t> </w:t>
      </w:r>
      <w:r w:rsidRPr="008316BB">
        <w:t>9.20, subdivisions</w:t>
      </w:r>
      <w:r>
        <w:t> </w:t>
      </w:r>
      <w:r w:rsidRPr="008316BB">
        <w:t>(a) and (c)</w:t>
      </w:r>
      <w:r>
        <w:t>, as recommended below</w:t>
      </w:r>
      <w:r w:rsidRPr="008316BB">
        <w:t xml:space="preserve">.  Such proof must include: the names and addresses of all individuals and entities to whom </w:t>
      </w:r>
      <w:r w:rsidR="000E2AA4">
        <w:rPr>
          <w:rFonts w:eastAsia="Times New Roman"/>
          <w:spacing w:val="-2"/>
          <w:szCs w:val="24"/>
        </w:rPr>
        <w:t>Shkolnikov</w:t>
      </w:r>
      <w:r w:rsidR="000E2AA4" w:rsidRPr="008316BB">
        <w:t xml:space="preserve"> </w:t>
      </w:r>
      <w:r w:rsidRPr="008316BB">
        <w:t>sent notification pursuant to rule</w:t>
      </w:r>
      <w:r>
        <w:t> </w:t>
      </w:r>
      <w:r w:rsidRPr="008316BB">
        <w:t xml:space="preserve">9.20; a copy of each notification letter sent to each recipient; the original receipt or postal authority tracking document for each notification sent; the originals of all returned receipts and notifications of non-delivery; and a copy of the completed compliance affidavit filed by </w:t>
      </w:r>
      <w:r w:rsidR="000E2AA4">
        <w:t>him</w:t>
      </w:r>
      <w:r w:rsidRPr="008316BB">
        <w:t xml:space="preserve"> with the State Bar Court.  </w:t>
      </w:r>
      <w:r w:rsidR="000E2AA4">
        <w:t>He</w:t>
      </w:r>
      <w:r w:rsidRPr="008316BB">
        <w:t xml:space="preserve"> is required to present such proof upon request by the State Bar, the Office of Probation, or the State Bar Court.</w:t>
      </w:r>
    </w:p>
    <w:p w14:paraId="4E5428B6" w14:textId="37435F1D" w:rsidR="000E2AA4" w:rsidRDefault="000E2AA4" w:rsidP="000E2AA4">
      <w:pPr>
        <w:pStyle w:val="ListParagraph"/>
        <w:ind w:left="360"/>
      </w:pPr>
    </w:p>
    <w:p w14:paraId="37D456EA" w14:textId="2471341F" w:rsidR="00A13D85" w:rsidRPr="004D40BE" w:rsidRDefault="00A13D85" w:rsidP="00B2492A">
      <w:pPr>
        <w:jc w:val="center"/>
        <w:rPr>
          <w:b/>
        </w:rPr>
      </w:pPr>
      <w:r>
        <w:rPr>
          <w:b/>
        </w:rPr>
        <w:t xml:space="preserve">VII.  </w:t>
      </w:r>
      <w:r w:rsidRPr="004D40BE">
        <w:rPr>
          <w:b/>
        </w:rPr>
        <w:t>MULTISTATE PROFESSIONAL RESPONSIBILITY EXAMINATION</w:t>
      </w:r>
    </w:p>
    <w:p w14:paraId="68171716" w14:textId="77777777" w:rsidR="00A13D85" w:rsidRPr="004D40BE" w:rsidRDefault="00A13D85" w:rsidP="00A13D85">
      <w:pPr>
        <w:rPr>
          <w:b/>
        </w:rPr>
      </w:pPr>
    </w:p>
    <w:p w14:paraId="7ECD7EB6" w14:textId="00F04F4D" w:rsidR="00B2422A" w:rsidRDefault="008A319C" w:rsidP="00B2422A">
      <w:pPr>
        <w:spacing w:line="480" w:lineRule="auto"/>
        <w:ind w:firstLine="720"/>
      </w:pPr>
      <w:r>
        <w:t>We</w:t>
      </w:r>
      <w:r w:rsidR="00A13D85" w:rsidRPr="004D40BE">
        <w:t xml:space="preserve"> further recommend that </w:t>
      </w:r>
      <w:r w:rsidR="00BB7E5B">
        <w:rPr>
          <w:rFonts w:eastAsia="Times New Roman"/>
          <w:spacing w:val="-2"/>
          <w:szCs w:val="24"/>
        </w:rPr>
        <w:t>Shkolnikov</w:t>
      </w:r>
      <w:r w:rsidR="00BB7E5B" w:rsidRPr="008316BB">
        <w:t xml:space="preserve"> </w:t>
      </w:r>
      <w:r w:rsidR="00BB7E5B" w:rsidRPr="004D40BE">
        <w:t xml:space="preserve">be ordered to take and pass the Multistate Professional Responsibility Examination administered by the National Conference of Bar Examiners within one year after the effective date of the Supreme Court order imposing discipline in this matter and to provide satisfactory proof of such passage to the State Bar’s Office of Probation within the same period.  Failure to do so may result in suspension.  (Cal. Rules of Court, rule 9.10(b).)  If </w:t>
      </w:r>
      <w:r w:rsidR="00BB7E5B">
        <w:rPr>
          <w:rFonts w:eastAsia="Times New Roman"/>
          <w:spacing w:val="-2"/>
          <w:szCs w:val="24"/>
        </w:rPr>
        <w:t>Shkolnikov</w:t>
      </w:r>
      <w:r w:rsidR="00BB7E5B" w:rsidRPr="004D40BE">
        <w:t xml:space="preserve"> provides satisfactory evidence of the taking and passage of the above examination after the date of this </w:t>
      </w:r>
      <w:r w:rsidR="00BB7E5B">
        <w:t xml:space="preserve">opinion </w:t>
      </w:r>
      <w:r w:rsidR="00BB7E5B" w:rsidRPr="004D40BE">
        <w:t xml:space="preserve">but before the effective date of the Supreme Court’s order in this matter, </w:t>
      </w:r>
      <w:r w:rsidR="00BB7E5B">
        <w:t>he</w:t>
      </w:r>
      <w:r w:rsidR="00BB7E5B" w:rsidRPr="004D40BE">
        <w:t xml:space="preserve"> will nonetheless receive credit for such evidence toward</w:t>
      </w:r>
      <w:r w:rsidR="00BB7E5B">
        <w:t xml:space="preserve"> his</w:t>
      </w:r>
      <w:r w:rsidR="00BB7E5B" w:rsidRPr="004D40BE">
        <w:t xml:space="preserve"> duty to</w:t>
      </w:r>
      <w:r w:rsidR="00BB7E5B">
        <w:t xml:space="preserve"> comply with this requirement. </w:t>
      </w:r>
    </w:p>
    <w:p w14:paraId="3FBF4FC8" w14:textId="2C831AEF" w:rsidR="00A13D85" w:rsidRPr="00B2422A" w:rsidRDefault="00A13D85" w:rsidP="00B2422A">
      <w:pPr>
        <w:spacing w:line="480" w:lineRule="auto"/>
        <w:jc w:val="center"/>
      </w:pPr>
      <w:r>
        <w:rPr>
          <w:b/>
        </w:rPr>
        <w:t xml:space="preserve">VIII.  </w:t>
      </w:r>
      <w:r w:rsidRPr="00FB13E2">
        <w:rPr>
          <w:b/>
        </w:rPr>
        <w:t xml:space="preserve">CALIFORNIA RULES OF COURT, RULE </w:t>
      </w:r>
      <w:r w:rsidRPr="004D40BE">
        <w:rPr>
          <w:b/>
        </w:rPr>
        <w:t>9.20</w:t>
      </w:r>
    </w:p>
    <w:p w14:paraId="29649468" w14:textId="24651206" w:rsidR="00A13D85" w:rsidRDefault="008A319C" w:rsidP="00A536D6">
      <w:pPr>
        <w:spacing w:line="480" w:lineRule="auto"/>
        <w:ind w:right="-144" w:firstLine="720"/>
      </w:pPr>
      <w:r>
        <w:t>We</w:t>
      </w:r>
      <w:r w:rsidR="00A13D85" w:rsidRPr="004D40BE">
        <w:t xml:space="preserve"> further recommend that </w:t>
      </w:r>
      <w:r w:rsidR="00BB7E5B">
        <w:rPr>
          <w:rFonts w:eastAsia="Times New Roman"/>
          <w:spacing w:val="-2"/>
          <w:szCs w:val="24"/>
        </w:rPr>
        <w:t>Shkolnikov</w:t>
      </w:r>
      <w:r w:rsidR="00BB7E5B" w:rsidRPr="008316BB">
        <w:t xml:space="preserve"> </w:t>
      </w:r>
      <w:r w:rsidR="00A13D85" w:rsidRPr="004D40BE">
        <w:t>be ordered to comply with the requirements of California Rules of Court, rule 9.20, and to perform the acts specified in subdivisions</w:t>
      </w:r>
      <w:r w:rsidR="00A13D85">
        <w:t> </w:t>
      </w:r>
      <w:r w:rsidR="00A13D85" w:rsidRPr="004D40BE">
        <w:t xml:space="preserve">(a) and (c) </w:t>
      </w:r>
      <w:r w:rsidR="00A13D85" w:rsidRPr="004D40BE">
        <w:lastRenderedPageBreak/>
        <w:t>of that rule within 30 and 40 days, respectively, after the effective date of the Supreme Court order imposing discipline in this matter.</w:t>
      </w:r>
      <w:r w:rsidR="00A13D85" w:rsidRPr="004D40BE">
        <w:rPr>
          <w:vertAlign w:val="superscript"/>
        </w:rPr>
        <w:footnoteReference w:id="27"/>
      </w:r>
      <w:r w:rsidR="00A13D85" w:rsidRPr="004D40BE">
        <w:t xml:space="preserve">  Failure to do so may result in disbarment or suspension. </w:t>
      </w:r>
    </w:p>
    <w:p w14:paraId="129E3113" w14:textId="77777777" w:rsidR="00A13D85" w:rsidRPr="00AC5536" w:rsidRDefault="00A13D85" w:rsidP="00A13D85">
      <w:pPr>
        <w:spacing w:line="480" w:lineRule="auto"/>
        <w:jc w:val="center"/>
        <w:rPr>
          <w:b/>
          <w:bCs/>
        </w:rPr>
      </w:pPr>
      <w:bookmarkStart w:id="23" w:name="_Hlk87268786"/>
      <w:r w:rsidRPr="00AC5536">
        <w:rPr>
          <w:b/>
          <w:bCs/>
        </w:rPr>
        <w:t>IX.  MONETARY SANCTIONS</w:t>
      </w:r>
    </w:p>
    <w:p w14:paraId="7FCEFB6C" w14:textId="4B756FA1" w:rsidR="00A536D6" w:rsidRDefault="00A13D85" w:rsidP="00A13D85">
      <w:pPr>
        <w:tabs>
          <w:tab w:val="left" w:pos="720"/>
        </w:tabs>
        <w:spacing w:line="480" w:lineRule="auto"/>
        <w:ind w:right="-144" w:firstLine="720"/>
      </w:pPr>
      <w:r>
        <w:t>The court does not recommend the imposition of monetary sanctions in this matter</w:t>
      </w:r>
      <w:r w:rsidR="00421177">
        <w:t>, as this matter was submitted for decision</w:t>
      </w:r>
      <w:r>
        <w:t xml:space="preserve"> </w:t>
      </w:r>
      <w:r w:rsidR="00C3211D">
        <w:t xml:space="preserve">in the Hearing Department </w:t>
      </w:r>
      <w:r w:rsidR="004C4F62">
        <w:t xml:space="preserve">prior to </w:t>
      </w:r>
      <w:r w:rsidR="00421177">
        <w:t>March </w:t>
      </w:r>
      <w:r>
        <w:t>1, 2</w:t>
      </w:r>
      <w:r w:rsidR="004C4F62">
        <w:t>02</w:t>
      </w:r>
      <w:r w:rsidR="00421177">
        <w:t>1</w:t>
      </w:r>
      <w:r w:rsidR="004C4F62">
        <w:t xml:space="preserve">, the effective date of </w:t>
      </w:r>
      <w:r w:rsidR="00421177">
        <w:t xml:space="preserve">amended </w:t>
      </w:r>
      <w:r w:rsidR="004C4F62">
        <w:t>rule </w:t>
      </w:r>
      <w:r>
        <w:t>5.137</w:t>
      </w:r>
      <w:r w:rsidR="00421177">
        <w:t>(H)</w:t>
      </w:r>
      <w:r>
        <w:t xml:space="preserve"> of </w:t>
      </w:r>
      <w:r w:rsidR="00421177">
        <w:t xml:space="preserve">the </w:t>
      </w:r>
      <w:r>
        <w:t xml:space="preserve">Rules of Procedure of the State Bar, </w:t>
      </w:r>
      <w:r w:rsidR="00421177">
        <w:t>and all the misconduct in this matter occurred prior to April 1, 2020, the effective date of rule 5.137 of the Rules of Procedure of the State Bar</w:t>
      </w:r>
      <w:r>
        <w:t xml:space="preserve">.  (See </w:t>
      </w:r>
      <w:r>
        <w:rPr>
          <w:i/>
          <w:iCs/>
        </w:rPr>
        <w:t xml:space="preserve">In the Matter of Wu </w:t>
      </w:r>
      <w:r>
        <w:t xml:space="preserve">(Review Dept. 2001) 4 Cal. State Bar Ct. Rptr. 263, 267 [rules of statutory construction apply when interpreting Rules Proc. of State Bar]; </w:t>
      </w:r>
      <w:r>
        <w:rPr>
          <w:i/>
          <w:iCs/>
        </w:rPr>
        <w:t>Evangelatos v. Superior Court</w:t>
      </w:r>
      <w:r>
        <w:t xml:space="preserve"> (1988) 44 Cal.3d 1188, 1208–1209 [absent express retroactivity provision in statute or clear extrinsic sources of intended retroactive application, statute should not be retroactively applied]; </w:t>
      </w:r>
      <w:r>
        <w:rPr>
          <w:i/>
          <w:iCs/>
        </w:rPr>
        <w:t>Myers v. Philip Morris Companies, Inc.</w:t>
      </w:r>
      <w:r>
        <w:t xml:space="preserve"> (2002) 28 Cal.4th 828, 841 [where retroactive application of statute is ambiguous, statute should be construed to apply prospectively]; </w:t>
      </w:r>
      <w:r>
        <w:rPr>
          <w:i/>
          <w:iCs/>
        </w:rPr>
        <w:t>Fox v. Alexis</w:t>
      </w:r>
      <w:r>
        <w:t xml:space="preserve"> (1985) 38 Cal.3d 621, 630–631 [date of offense controls issue of retroactivity].)</w:t>
      </w:r>
    </w:p>
    <w:bookmarkEnd w:id="23"/>
    <w:p w14:paraId="396E676F" w14:textId="77777777" w:rsidR="00A13D85" w:rsidRPr="00AC5536" w:rsidRDefault="00A13D85" w:rsidP="00A13D85">
      <w:pPr>
        <w:tabs>
          <w:tab w:val="left" w:pos="720"/>
        </w:tabs>
        <w:spacing w:line="480" w:lineRule="auto"/>
        <w:ind w:right="-144"/>
        <w:jc w:val="center"/>
        <w:rPr>
          <w:b/>
          <w:bCs/>
        </w:rPr>
      </w:pPr>
      <w:r w:rsidRPr="00AC5536">
        <w:rPr>
          <w:b/>
          <w:bCs/>
        </w:rPr>
        <w:t>X.  COSTS</w:t>
      </w:r>
    </w:p>
    <w:p w14:paraId="5B82CECF" w14:textId="217C049E" w:rsidR="00A13D85" w:rsidRPr="00AC5536" w:rsidRDefault="00BB7E5B" w:rsidP="00A13D85">
      <w:pPr>
        <w:spacing w:line="480" w:lineRule="auto"/>
        <w:ind w:firstLine="720"/>
        <w:rPr>
          <w:b/>
        </w:rPr>
      </w:pPr>
      <w:r>
        <w:t>We</w:t>
      </w:r>
      <w:r w:rsidR="00A13D85" w:rsidRPr="004D40BE">
        <w:t xml:space="preserve"> further recommend that costs be awarded to the State Bar in accordance with Business and Professions Code section 6086.10, </w:t>
      </w:r>
      <w:r w:rsidR="00A13D85" w:rsidRPr="004D40BE">
        <w:rPr>
          <w:szCs w:val="24"/>
        </w:rPr>
        <w:t>and are enforceable both as provided in Business and Professions Code section 6140.7 and as a money judgment</w:t>
      </w:r>
      <w:r w:rsidR="00A13D85">
        <w:rPr>
          <w:szCs w:val="24"/>
        </w:rPr>
        <w:t xml:space="preserve">, and may be collected </w:t>
      </w:r>
      <w:r w:rsidR="00A13D85">
        <w:rPr>
          <w:szCs w:val="24"/>
        </w:rPr>
        <w:lastRenderedPageBreak/>
        <w:t>by the State Bar through any means permitted by law</w:t>
      </w:r>
      <w:r w:rsidR="00A13D85" w:rsidRPr="004D40BE">
        <w:rPr>
          <w:szCs w:val="24"/>
        </w:rPr>
        <w:t>.  Unless the time for payment of discipline costs is extended pursuant to subdivision</w:t>
      </w:r>
      <w:r w:rsidR="00A13D85">
        <w:rPr>
          <w:szCs w:val="24"/>
        </w:rPr>
        <w:t> </w:t>
      </w:r>
      <w:r w:rsidR="00A13D85" w:rsidRPr="004D40BE">
        <w:rPr>
          <w:szCs w:val="24"/>
        </w:rPr>
        <w:t>(c) of section</w:t>
      </w:r>
      <w:r w:rsidR="00A13D85">
        <w:rPr>
          <w:szCs w:val="24"/>
        </w:rPr>
        <w:t> </w:t>
      </w:r>
      <w:r w:rsidR="00A13D85" w:rsidRPr="004D40BE">
        <w:rPr>
          <w:szCs w:val="24"/>
        </w:rPr>
        <w:t>6086.10, costs assessed against an attorney who is actually suspended or disbarred must be paid as a condition of reinstatement or return to active status.</w:t>
      </w:r>
    </w:p>
    <w:p w14:paraId="4444D1F6" w14:textId="728F43F8" w:rsidR="00A13D85" w:rsidRDefault="00A13D85" w:rsidP="00A13D85">
      <w:pPr>
        <w:spacing w:line="480" w:lineRule="auto"/>
      </w:pPr>
      <w:r w:rsidRPr="007768C9">
        <w:tab/>
      </w:r>
      <w:r w:rsidRPr="007768C9">
        <w:tab/>
      </w:r>
      <w:r w:rsidRPr="007768C9">
        <w:tab/>
      </w:r>
      <w:r w:rsidRPr="007768C9">
        <w:tab/>
      </w:r>
      <w:r w:rsidRPr="007768C9">
        <w:tab/>
      </w:r>
      <w:r w:rsidRPr="007768C9">
        <w:tab/>
      </w:r>
      <w:r w:rsidRPr="007768C9">
        <w:tab/>
      </w:r>
      <w:bookmarkStart w:id="24" w:name="judge"/>
      <w:bookmarkEnd w:id="24"/>
      <w:r w:rsidR="004555C4">
        <w:t>HONN</w:t>
      </w:r>
      <w:r>
        <w:t>, J.</w:t>
      </w:r>
    </w:p>
    <w:p w14:paraId="1F37A063" w14:textId="77777777" w:rsidR="00A13D85" w:rsidRDefault="00A13D85" w:rsidP="00A13D85">
      <w:pPr>
        <w:spacing w:line="480" w:lineRule="auto"/>
      </w:pPr>
      <w:r>
        <w:t>WE CONCUR:</w:t>
      </w:r>
    </w:p>
    <w:p w14:paraId="3410BD86" w14:textId="77777777" w:rsidR="00A13D85" w:rsidRDefault="00A13D85" w:rsidP="00A13D85">
      <w:pPr>
        <w:spacing w:line="480" w:lineRule="auto"/>
      </w:pPr>
      <w:bookmarkStart w:id="25" w:name="multinames"/>
      <w:bookmarkEnd w:id="25"/>
      <w:r>
        <w:t>PURCELL, P. J.</w:t>
      </w:r>
    </w:p>
    <w:p w14:paraId="7C0DF103" w14:textId="6F088F4A" w:rsidR="00A13D85" w:rsidRDefault="004555C4" w:rsidP="00A13D85">
      <w:pPr>
        <w:spacing w:line="480" w:lineRule="auto"/>
      </w:pPr>
      <w:r>
        <w:t>McGILL</w:t>
      </w:r>
      <w:r w:rsidR="00A13D85">
        <w:t>, J</w:t>
      </w:r>
      <w:r w:rsidR="00B87781">
        <w:t>.</w:t>
      </w:r>
    </w:p>
    <w:p w14:paraId="366E0045" w14:textId="350D309B" w:rsidR="00197298" w:rsidRDefault="00197298" w:rsidP="00A13D85">
      <w:pPr>
        <w:spacing w:line="480" w:lineRule="auto"/>
      </w:pPr>
    </w:p>
    <w:p w14:paraId="560E8678" w14:textId="06499379" w:rsidR="00197298" w:rsidRDefault="00197298" w:rsidP="00A13D85">
      <w:pPr>
        <w:spacing w:line="480" w:lineRule="auto"/>
      </w:pPr>
    </w:p>
    <w:p w14:paraId="7ED07836" w14:textId="57E3659C" w:rsidR="00197298" w:rsidRPr="00197298" w:rsidRDefault="00197298" w:rsidP="00197298">
      <w:r>
        <w:br w:type="page"/>
      </w:r>
    </w:p>
    <w:p w14:paraId="6E0E4E6E" w14:textId="1FA641FC" w:rsidR="00197298" w:rsidRPr="006F4905" w:rsidRDefault="00197298" w:rsidP="00197298">
      <w:pPr>
        <w:jc w:val="center"/>
        <w:outlineLvl w:val="0"/>
        <w:rPr>
          <w:b/>
          <w:bCs/>
          <w:szCs w:val="34"/>
        </w:rPr>
      </w:pPr>
      <w:r>
        <w:rPr>
          <w:b/>
          <w:bCs/>
          <w:szCs w:val="34"/>
        </w:rPr>
        <w:lastRenderedPageBreak/>
        <w:t>No. SBC-20-O-30528</w:t>
      </w:r>
    </w:p>
    <w:p w14:paraId="35E3D47D" w14:textId="77777777" w:rsidR="00197298" w:rsidRDefault="00197298" w:rsidP="00197298">
      <w:pPr>
        <w:jc w:val="center"/>
        <w:outlineLvl w:val="0"/>
        <w:rPr>
          <w:szCs w:val="34"/>
        </w:rPr>
      </w:pPr>
    </w:p>
    <w:p w14:paraId="005B8313" w14:textId="77777777" w:rsidR="00197298" w:rsidRDefault="00197298" w:rsidP="00197298">
      <w:pPr>
        <w:jc w:val="center"/>
        <w:rPr>
          <w:b/>
          <w:bCs/>
          <w:i/>
          <w:iCs/>
          <w:szCs w:val="34"/>
        </w:rPr>
      </w:pPr>
    </w:p>
    <w:p w14:paraId="51C02434" w14:textId="77777777" w:rsidR="00197298" w:rsidRDefault="00197298" w:rsidP="00197298">
      <w:pPr>
        <w:jc w:val="center"/>
        <w:rPr>
          <w:b/>
          <w:bCs/>
          <w:i/>
          <w:iCs/>
          <w:szCs w:val="34"/>
        </w:rPr>
      </w:pPr>
      <w:r>
        <w:rPr>
          <w:b/>
          <w:bCs/>
          <w:i/>
          <w:iCs/>
          <w:szCs w:val="34"/>
        </w:rPr>
        <w:br/>
      </w:r>
    </w:p>
    <w:p w14:paraId="5339B07D" w14:textId="77777777" w:rsidR="00197298" w:rsidRDefault="00197298" w:rsidP="00197298">
      <w:pPr>
        <w:spacing w:line="360" w:lineRule="auto"/>
        <w:jc w:val="center"/>
        <w:outlineLvl w:val="0"/>
        <w:rPr>
          <w:b/>
          <w:bCs/>
          <w:i/>
          <w:iCs/>
          <w:szCs w:val="34"/>
        </w:rPr>
      </w:pPr>
      <w:r>
        <w:rPr>
          <w:b/>
          <w:bCs/>
          <w:i/>
          <w:iCs/>
          <w:szCs w:val="34"/>
        </w:rPr>
        <w:t xml:space="preserve">In the Matter of </w:t>
      </w:r>
    </w:p>
    <w:p w14:paraId="05166966" w14:textId="77777777" w:rsidR="00197298" w:rsidRPr="00197298" w:rsidRDefault="00197298" w:rsidP="00197298">
      <w:pPr>
        <w:spacing w:line="360" w:lineRule="auto"/>
        <w:jc w:val="center"/>
        <w:rPr>
          <w:b/>
          <w:bCs/>
          <w:szCs w:val="28"/>
        </w:rPr>
      </w:pPr>
      <w:r w:rsidRPr="00197298">
        <w:rPr>
          <w:b/>
          <w:bCs/>
          <w:szCs w:val="28"/>
        </w:rPr>
        <w:t>EDWARD SHKOLNIKOV</w:t>
      </w:r>
    </w:p>
    <w:p w14:paraId="65F40DE4" w14:textId="77777777" w:rsidR="00197298" w:rsidRDefault="00197298" w:rsidP="00197298">
      <w:pPr>
        <w:spacing w:line="360" w:lineRule="auto"/>
        <w:jc w:val="center"/>
        <w:rPr>
          <w:szCs w:val="28"/>
        </w:rPr>
      </w:pPr>
    </w:p>
    <w:p w14:paraId="5EC5E3F4" w14:textId="77777777" w:rsidR="00197298" w:rsidRDefault="00197298" w:rsidP="00197298">
      <w:pPr>
        <w:spacing w:line="360" w:lineRule="auto"/>
        <w:jc w:val="center"/>
        <w:rPr>
          <w:szCs w:val="28"/>
        </w:rPr>
      </w:pPr>
    </w:p>
    <w:p w14:paraId="68C6F8B5" w14:textId="77777777" w:rsidR="00197298" w:rsidRDefault="00197298" w:rsidP="00197298">
      <w:pPr>
        <w:spacing w:line="360" w:lineRule="auto"/>
        <w:jc w:val="center"/>
        <w:rPr>
          <w:szCs w:val="28"/>
        </w:rPr>
      </w:pPr>
    </w:p>
    <w:p w14:paraId="34401544" w14:textId="77777777" w:rsidR="00197298" w:rsidRDefault="00197298" w:rsidP="00197298">
      <w:pPr>
        <w:spacing w:line="360" w:lineRule="auto"/>
        <w:jc w:val="center"/>
        <w:rPr>
          <w:szCs w:val="28"/>
        </w:rPr>
      </w:pPr>
    </w:p>
    <w:p w14:paraId="197C9F8E" w14:textId="77777777" w:rsidR="00197298" w:rsidRDefault="00197298" w:rsidP="00197298">
      <w:pPr>
        <w:spacing w:line="360" w:lineRule="auto"/>
        <w:jc w:val="center"/>
        <w:rPr>
          <w:szCs w:val="28"/>
        </w:rPr>
      </w:pPr>
    </w:p>
    <w:p w14:paraId="5D01D9DC" w14:textId="77777777" w:rsidR="00197298" w:rsidRDefault="00197298" w:rsidP="00197298">
      <w:pPr>
        <w:jc w:val="center"/>
        <w:outlineLvl w:val="0"/>
        <w:rPr>
          <w:i/>
          <w:iCs/>
          <w:szCs w:val="28"/>
        </w:rPr>
      </w:pPr>
      <w:r>
        <w:rPr>
          <w:i/>
          <w:iCs/>
          <w:szCs w:val="28"/>
        </w:rPr>
        <w:t>Hearing Judge</w:t>
      </w:r>
    </w:p>
    <w:p w14:paraId="2B0FAD82" w14:textId="77777777" w:rsidR="00197298" w:rsidRDefault="00197298" w:rsidP="00197298">
      <w:pPr>
        <w:jc w:val="center"/>
        <w:outlineLvl w:val="0"/>
        <w:rPr>
          <w:i/>
          <w:iCs/>
          <w:szCs w:val="28"/>
        </w:rPr>
      </w:pPr>
    </w:p>
    <w:p w14:paraId="13800CE0" w14:textId="77777777" w:rsidR="00197298" w:rsidRDefault="00197298" w:rsidP="00197298">
      <w:pPr>
        <w:jc w:val="center"/>
        <w:outlineLvl w:val="0"/>
        <w:rPr>
          <w:szCs w:val="28"/>
        </w:rPr>
      </w:pPr>
      <w:r>
        <w:rPr>
          <w:b/>
          <w:bCs/>
          <w:szCs w:val="32"/>
        </w:rPr>
        <w:t>Hon. Dennis G. Saab</w:t>
      </w:r>
    </w:p>
    <w:p w14:paraId="327AAD24" w14:textId="77777777" w:rsidR="00197298" w:rsidRDefault="00197298" w:rsidP="00197298">
      <w:pPr>
        <w:jc w:val="center"/>
        <w:rPr>
          <w:szCs w:val="28"/>
        </w:rPr>
      </w:pPr>
    </w:p>
    <w:p w14:paraId="275107A9" w14:textId="77777777" w:rsidR="00197298" w:rsidRDefault="00197298" w:rsidP="00197298">
      <w:pPr>
        <w:jc w:val="center"/>
        <w:rPr>
          <w:szCs w:val="28"/>
        </w:rPr>
      </w:pPr>
    </w:p>
    <w:p w14:paraId="6A9FA01B" w14:textId="77777777" w:rsidR="00197298" w:rsidRDefault="00197298" w:rsidP="00197298">
      <w:pPr>
        <w:jc w:val="center"/>
        <w:rPr>
          <w:szCs w:val="28"/>
        </w:rPr>
      </w:pPr>
    </w:p>
    <w:p w14:paraId="08CE111E" w14:textId="77777777" w:rsidR="00197298" w:rsidRDefault="00197298" w:rsidP="00197298">
      <w:pPr>
        <w:jc w:val="center"/>
        <w:rPr>
          <w:szCs w:val="28"/>
        </w:rPr>
      </w:pPr>
    </w:p>
    <w:p w14:paraId="64734F30" w14:textId="77777777" w:rsidR="00197298" w:rsidRDefault="00197298" w:rsidP="00197298">
      <w:pPr>
        <w:jc w:val="center"/>
        <w:rPr>
          <w:szCs w:val="28"/>
        </w:rPr>
      </w:pPr>
    </w:p>
    <w:p w14:paraId="36B1D37B" w14:textId="77777777" w:rsidR="00197298" w:rsidRDefault="00197298" w:rsidP="00197298">
      <w:pPr>
        <w:jc w:val="center"/>
        <w:rPr>
          <w:szCs w:val="28"/>
        </w:rPr>
      </w:pPr>
    </w:p>
    <w:p w14:paraId="5F0AF6DD" w14:textId="77777777" w:rsidR="00197298" w:rsidRDefault="00197298" w:rsidP="00197298">
      <w:pPr>
        <w:jc w:val="center"/>
        <w:rPr>
          <w:szCs w:val="28"/>
        </w:rPr>
      </w:pPr>
    </w:p>
    <w:p w14:paraId="42AD6CAE" w14:textId="77777777" w:rsidR="00197298" w:rsidRDefault="00197298" w:rsidP="00197298">
      <w:pPr>
        <w:rPr>
          <w:szCs w:val="28"/>
        </w:rPr>
      </w:pPr>
    </w:p>
    <w:p w14:paraId="122F145F" w14:textId="77777777" w:rsidR="00197298" w:rsidRDefault="00197298" w:rsidP="00197298">
      <w:pPr>
        <w:jc w:val="center"/>
        <w:outlineLvl w:val="0"/>
        <w:rPr>
          <w:b/>
          <w:bCs/>
          <w:i/>
          <w:iCs/>
          <w:szCs w:val="28"/>
        </w:rPr>
      </w:pPr>
      <w:r>
        <w:rPr>
          <w:i/>
          <w:iCs/>
          <w:szCs w:val="28"/>
        </w:rPr>
        <w:t>Counsel for the Parties</w:t>
      </w:r>
    </w:p>
    <w:p w14:paraId="332D4D17" w14:textId="77777777" w:rsidR="00197298" w:rsidRDefault="00197298" w:rsidP="00197298">
      <w:pPr>
        <w:rPr>
          <w:b/>
          <w:bCs/>
          <w:szCs w:val="28"/>
        </w:rPr>
      </w:pPr>
    </w:p>
    <w:tbl>
      <w:tblPr>
        <w:tblW w:w="9450" w:type="dxa"/>
        <w:tblInd w:w="100" w:type="dxa"/>
        <w:tblLayout w:type="fixed"/>
        <w:tblCellMar>
          <w:left w:w="100" w:type="dxa"/>
          <w:right w:w="100" w:type="dxa"/>
        </w:tblCellMar>
        <w:tblLook w:val="0000" w:firstRow="0" w:lastRow="0" w:firstColumn="0" w:lastColumn="0" w:noHBand="0" w:noVBand="0"/>
      </w:tblPr>
      <w:tblGrid>
        <w:gridCol w:w="5030"/>
        <w:gridCol w:w="4420"/>
      </w:tblGrid>
      <w:tr w:rsidR="00197298" w14:paraId="4005DD58" w14:textId="77777777" w:rsidTr="00AA20F1">
        <w:trPr>
          <w:cantSplit/>
        </w:trPr>
        <w:tc>
          <w:tcPr>
            <w:tcW w:w="5030" w:type="dxa"/>
          </w:tcPr>
          <w:p w14:paraId="6BF33741" w14:textId="77777777" w:rsidR="00197298" w:rsidRDefault="00197298" w:rsidP="00AA20F1">
            <w:pPr>
              <w:spacing w:before="100" w:after="48"/>
              <w:rPr>
                <w:szCs w:val="28"/>
              </w:rPr>
            </w:pPr>
            <w:bookmarkStart w:id="26" w:name="_Hlk88570631"/>
            <w:r>
              <w:rPr>
                <w:b/>
                <w:bCs/>
                <w:szCs w:val="28"/>
              </w:rPr>
              <w:tab/>
            </w:r>
            <w:r>
              <w:rPr>
                <w:b/>
                <w:bCs/>
                <w:szCs w:val="28"/>
              </w:rPr>
              <w:tab/>
            </w:r>
            <w:r>
              <w:rPr>
                <w:szCs w:val="28"/>
              </w:rPr>
              <w:t>For State Bar of California:</w:t>
            </w:r>
          </w:p>
        </w:tc>
        <w:tc>
          <w:tcPr>
            <w:tcW w:w="4420" w:type="dxa"/>
          </w:tcPr>
          <w:p w14:paraId="6C9BB8E3" w14:textId="77777777" w:rsidR="00197298" w:rsidRDefault="00197298" w:rsidP="00AA20F1">
            <w:pPr>
              <w:spacing w:before="120"/>
              <w:rPr>
                <w:szCs w:val="28"/>
              </w:rPr>
            </w:pPr>
            <w:r>
              <w:rPr>
                <w:szCs w:val="28"/>
              </w:rPr>
              <w:t>Rachel Simone Grunberg, Esq.</w:t>
            </w:r>
          </w:p>
          <w:p w14:paraId="2D10DB78" w14:textId="77777777" w:rsidR="00197298" w:rsidRDefault="00197298" w:rsidP="00AA20F1">
            <w:pPr>
              <w:rPr>
                <w:szCs w:val="28"/>
              </w:rPr>
            </w:pPr>
            <w:r>
              <w:rPr>
                <w:szCs w:val="28"/>
              </w:rPr>
              <w:t>State Bar of CA/OCTC</w:t>
            </w:r>
          </w:p>
          <w:p w14:paraId="7AC05FEF" w14:textId="77777777" w:rsidR="00197298" w:rsidRDefault="00197298" w:rsidP="00AA20F1">
            <w:pPr>
              <w:rPr>
                <w:szCs w:val="28"/>
              </w:rPr>
            </w:pPr>
            <w:r>
              <w:rPr>
                <w:szCs w:val="28"/>
              </w:rPr>
              <w:t>180 Howard Street</w:t>
            </w:r>
          </w:p>
          <w:p w14:paraId="412D4FC2" w14:textId="77777777" w:rsidR="00197298" w:rsidRDefault="00197298" w:rsidP="00AA20F1">
            <w:pPr>
              <w:rPr>
                <w:szCs w:val="28"/>
              </w:rPr>
            </w:pPr>
            <w:r>
              <w:rPr>
                <w:szCs w:val="28"/>
              </w:rPr>
              <w:t>San Francisco, CA  94105</w:t>
            </w:r>
          </w:p>
          <w:p w14:paraId="025989BE" w14:textId="77777777" w:rsidR="00197298" w:rsidRDefault="00197298" w:rsidP="00AA20F1">
            <w:pPr>
              <w:rPr>
                <w:szCs w:val="28"/>
              </w:rPr>
            </w:pPr>
          </w:p>
        </w:tc>
      </w:tr>
      <w:bookmarkEnd w:id="26"/>
      <w:tr w:rsidR="00197298" w14:paraId="231D105E" w14:textId="77777777" w:rsidTr="00AA20F1">
        <w:trPr>
          <w:cantSplit/>
        </w:trPr>
        <w:tc>
          <w:tcPr>
            <w:tcW w:w="5030" w:type="dxa"/>
          </w:tcPr>
          <w:p w14:paraId="3C094FF7" w14:textId="77777777" w:rsidR="00197298" w:rsidRDefault="00197298" w:rsidP="00AA20F1">
            <w:pPr>
              <w:spacing w:before="100" w:after="48"/>
              <w:rPr>
                <w:szCs w:val="28"/>
              </w:rPr>
            </w:pPr>
            <w:r>
              <w:rPr>
                <w:b/>
                <w:bCs/>
                <w:szCs w:val="28"/>
              </w:rPr>
              <w:tab/>
            </w:r>
            <w:r>
              <w:rPr>
                <w:b/>
                <w:bCs/>
                <w:szCs w:val="28"/>
              </w:rPr>
              <w:tab/>
            </w:r>
            <w:r>
              <w:rPr>
                <w:szCs w:val="28"/>
              </w:rPr>
              <w:t>For Respondent:</w:t>
            </w:r>
          </w:p>
        </w:tc>
        <w:tc>
          <w:tcPr>
            <w:tcW w:w="4420" w:type="dxa"/>
          </w:tcPr>
          <w:p w14:paraId="4C4D7CCA" w14:textId="2AB3CC31" w:rsidR="00197298" w:rsidRDefault="00197298" w:rsidP="00AA20F1">
            <w:pPr>
              <w:spacing w:before="120"/>
              <w:rPr>
                <w:szCs w:val="28"/>
              </w:rPr>
            </w:pPr>
            <w:r>
              <w:rPr>
                <w:szCs w:val="28"/>
              </w:rPr>
              <w:t>Robert Gordon Berke, Esq.</w:t>
            </w:r>
          </w:p>
          <w:p w14:paraId="17BA5223" w14:textId="77777777" w:rsidR="00197298" w:rsidRDefault="00197298" w:rsidP="00197298">
            <w:pPr>
              <w:rPr>
                <w:szCs w:val="28"/>
              </w:rPr>
            </w:pPr>
            <w:r>
              <w:rPr>
                <w:szCs w:val="28"/>
              </w:rPr>
              <w:t>Berke Law Offices, Inc.</w:t>
            </w:r>
          </w:p>
          <w:p w14:paraId="7FD87A11" w14:textId="77777777" w:rsidR="00197298" w:rsidRDefault="00197298" w:rsidP="00197298">
            <w:pPr>
              <w:rPr>
                <w:szCs w:val="28"/>
              </w:rPr>
            </w:pPr>
            <w:r>
              <w:rPr>
                <w:szCs w:val="28"/>
              </w:rPr>
              <w:t>21911 Sherman Way</w:t>
            </w:r>
          </w:p>
          <w:p w14:paraId="6FFAC780" w14:textId="77777777" w:rsidR="00197298" w:rsidRDefault="00197298" w:rsidP="00197298">
            <w:pPr>
              <w:rPr>
                <w:szCs w:val="28"/>
              </w:rPr>
            </w:pPr>
            <w:r>
              <w:rPr>
                <w:szCs w:val="28"/>
              </w:rPr>
              <w:t>Canoga Park, CA  91303-1944</w:t>
            </w:r>
          </w:p>
          <w:p w14:paraId="5633FA7A" w14:textId="66CA0A52" w:rsidR="00197298" w:rsidRDefault="00197298" w:rsidP="00197298">
            <w:pPr>
              <w:rPr>
                <w:szCs w:val="28"/>
              </w:rPr>
            </w:pPr>
          </w:p>
        </w:tc>
      </w:tr>
    </w:tbl>
    <w:p w14:paraId="2D09ABE8" w14:textId="77777777" w:rsidR="00197298" w:rsidRDefault="00197298" w:rsidP="00197298"/>
    <w:p w14:paraId="6714C13D" w14:textId="77777777" w:rsidR="00197298" w:rsidRPr="00E26B8A" w:rsidRDefault="00197298" w:rsidP="00197298"/>
    <w:p w14:paraId="224638D3" w14:textId="77777777" w:rsidR="00197298" w:rsidRPr="0052724F" w:rsidRDefault="00197298" w:rsidP="00197298"/>
    <w:p w14:paraId="2E939029" w14:textId="77777777" w:rsidR="00197298" w:rsidRPr="00B87781" w:rsidRDefault="00197298" w:rsidP="00A13D85">
      <w:pPr>
        <w:spacing w:line="480" w:lineRule="auto"/>
      </w:pPr>
    </w:p>
    <w:sectPr w:rsidR="00197298" w:rsidRPr="00B87781" w:rsidSect="002A535A">
      <w:footerReference w:type="default" r:id="rId8"/>
      <w:footerReference w:type="firs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F27C" w14:textId="77777777" w:rsidR="00330961" w:rsidRDefault="00330961" w:rsidP="00055C8A">
      <w:r>
        <w:separator/>
      </w:r>
    </w:p>
  </w:endnote>
  <w:endnote w:type="continuationSeparator" w:id="0">
    <w:p w14:paraId="752BC2B2" w14:textId="77777777" w:rsidR="00330961" w:rsidRDefault="00330961"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60EC15E5" w14:textId="77777777" w:rsidR="00D738CF" w:rsidRDefault="00D738CF" w:rsidP="0099101B">
        <w:pPr>
          <w:pStyle w:val="Footer"/>
          <w:spacing w:before="120"/>
          <w:jc w:val="center"/>
        </w:pPr>
        <w:r>
          <w:t>-</w:t>
        </w:r>
        <w:r>
          <w:fldChar w:fldCharType="begin"/>
        </w:r>
        <w:r>
          <w:instrText xml:space="preserve"> PAGE   \* MERGEFORMAT </w:instrText>
        </w:r>
        <w:r>
          <w:fldChar w:fldCharType="separate"/>
        </w:r>
        <w:r w:rsidR="00DE4934">
          <w:rPr>
            <w:noProof/>
          </w:rPr>
          <w:t>38</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61E0" w14:textId="77777777" w:rsidR="00D738CF" w:rsidRPr="005F17DC" w:rsidRDefault="00D738CF" w:rsidP="001A6CD9">
    <w:pPr>
      <w:pStyle w:val="Footer"/>
      <w:rPr>
        <w:rFonts w:ascii="Arial" w:hAnsi="Arial"/>
        <w:color w:val="FFFFFF" w:themeColor="background1"/>
        <w:sz w:val="14"/>
        <w:szCs w:val="14"/>
      </w:rPr>
    </w:pPr>
    <w:r w:rsidRPr="005F17DC">
      <w:rPr>
        <w:rFonts w:ascii="Arial" w:hAnsi="Arial"/>
        <w:color w:val="FFFFFF" w:themeColor="background1"/>
        <w:sz w:val="14"/>
        <w:szCs w:val="14"/>
      </w:rPr>
      <w:t>Opinion Frm (20190813)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2CA9" w14:textId="77777777" w:rsidR="00330961" w:rsidRDefault="00330961" w:rsidP="00055C8A">
      <w:r>
        <w:separator/>
      </w:r>
    </w:p>
  </w:footnote>
  <w:footnote w:type="continuationSeparator" w:id="0">
    <w:p w14:paraId="0360A0E4" w14:textId="77777777" w:rsidR="00330961" w:rsidRDefault="00330961" w:rsidP="00055C8A">
      <w:r>
        <w:continuationSeparator/>
      </w:r>
    </w:p>
  </w:footnote>
  <w:footnote w:id="1">
    <w:p w14:paraId="2BA22D78" w14:textId="11EE367A" w:rsidR="00D738CF" w:rsidRPr="007D1C25" w:rsidRDefault="00D738CF" w:rsidP="007D1C25">
      <w:pPr>
        <w:pStyle w:val="FootnoteText"/>
        <w:spacing w:after="120"/>
        <w:rPr>
          <w:szCs w:val="24"/>
        </w:rPr>
      </w:pPr>
      <w:r>
        <w:rPr>
          <w:rStyle w:val="FootnoteReference"/>
        </w:rPr>
        <w:footnoteRef/>
      </w:r>
      <w:r>
        <w:t xml:space="preserve"> </w:t>
      </w:r>
      <w:r w:rsidRPr="00D55103">
        <w:rPr>
          <w:szCs w:val="24"/>
        </w:rPr>
        <w:t xml:space="preserve">The facts </w:t>
      </w:r>
      <w:r>
        <w:rPr>
          <w:szCs w:val="24"/>
        </w:rPr>
        <w:t>are based on</w:t>
      </w:r>
      <w:r w:rsidR="000573E7">
        <w:rPr>
          <w:szCs w:val="24"/>
        </w:rPr>
        <w:t xml:space="preserve"> the </w:t>
      </w:r>
      <w:r w:rsidR="005F2E1F">
        <w:rPr>
          <w:szCs w:val="24"/>
        </w:rPr>
        <w:t>S</w:t>
      </w:r>
      <w:r w:rsidR="000573E7">
        <w:rPr>
          <w:szCs w:val="24"/>
        </w:rPr>
        <w:t>tipulation,</w:t>
      </w:r>
      <w:r>
        <w:rPr>
          <w:szCs w:val="24"/>
        </w:rPr>
        <w:t xml:space="preserve"> </w:t>
      </w:r>
      <w:r w:rsidRPr="00D55103">
        <w:rPr>
          <w:szCs w:val="24"/>
        </w:rPr>
        <w:t>trial testimony, documentary evidence,</w:t>
      </w:r>
      <w:r w:rsidR="007D1C25">
        <w:rPr>
          <w:szCs w:val="24"/>
        </w:rPr>
        <w:t xml:space="preserve"> and </w:t>
      </w:r>
      <w:r w:rsidRPr="00D55103">
        <w:rPr>
          <w:szCs w:val="24"/>
        </w:rPr>
        <w:t>the hearing judge’s factual</w:t>
      </w:r>
      <w:r w:rsidR="007D1C25">
        <w:rPr>
          <w:szCs w:val="24"/>
        </w:rPr>
        <w:t xml:space="preserve"> and credibility</w:t>
      </w:r>
      <w:r w:rsidRPr="00D55103">
        <w:rPr>
          <w:szCs w:val="24"/>
        </w:rPr>
        <w:t xml:space="preserve"> findings, which are entitled to great weight</w:t>
      </w:r>
      <w:r w:rsidR="007D1C25">
        <w:rPr>
          <w:szCs w:val="24"/>
        </w:rPr>
        <w:t>, unless we have found differently based on the record</w:t>
      </w:r>
      <w:r w:rsidRPr="00D55103">
        <w:rPr>
          <w:szCs w:val="24"/>
        </w:rPr>
        <w:t>.  (</w:t>
      </w:r>
      <w:bookmarkStart w:id="9" w:name="_Hlk86923967"/>
      <w:r w:rsidRPr="00D55103">
        <w:rPr>
          <w:szCs w:val="24"/>
        </w:rPr>
        <w:t>Rules Proc. of State Bar, rule 5.155</w:t>
      </w:r>
      <w:bookmarkEnd w:id="9"/>
      <w:r w:rsidRPr="00D55103">
        <w:rPr>
          <w:szCs w:val="24"/>
        </w:rPr>
        <w:t>(A</w:t>
      </w:r>
      <w:r w:rsidR="007D1C25">
        <w:rPr>
          <w:szCs w:val="24"/>
        </w:rPr>
        <w:t xml:space="preserve">); </w:t>
      </w:r>
      <w:bookmarkStart w:id="10" w:name="_Hlk84263926"/>
      <w:r w:rsidR="007D1C25">
        <w:rPr>
          <w:i/>
          <w:szCs w:val="24"/>
        </w:rPr>
        <w:t>In the Matter of DeMassa</w:t>
      </w:r>
      <w:r w:rsidR="007D1C25">
        <w:rPr>
          <w:szCs w:val="24"/>
        </w:rPr>
        <w:t xml:space="preserve"> (Review Dept. 1991) 1 Cal. State Bar Ct. Rptr. 737, 748 [Review Department may decline to adopt hearing judge’s findings if insufficient evidence exists in record to support them].)</w:t>
      </w:r>
    </w:p>
    <w:bookmarkEnd w:id="10"/>
  </w:footnote>
  <w:footnote w:id="2">
    <w:p w14:paraId="55AEFFD0" w14:textId="094B9909" w:rsidR="00ED33A1" w:rsidRDefault="00ED33A1" w:rsidP="007D1C25">
      <w:pPr>
        <w:pStyle w:val="FootnoteText"/>
        <w:spacing w:after="120"/>
      </w:pPr>
      <w:r>
        <w:rPr>
          <w:rStyle w:val="FootnoteReference"/>
        </w:rPr>
        <w:footnoteRef/>
      </w:r>
      <w:r>
        <w:t xml:space="preserve"> </w:t>
      </w:r>
      <w:r w:rsidR="00CE7175">
        <w:t xml:space="preserve">The </w:t>
      </w:r>
      <w:r w:rsidR="005F2E1F">
        <w:t>S</w:t>
      </w:r>
      <w:r w:rsidR="00CE7175">
        <w:t>tipulation stated that the complaint was filed on May 3, 2014.  However, the record indicates that the complaint was filed on March 3.</w:t>
      </w:r>
    </w:p>
  </w:footnote>
  <w:footnote w:id="3">
    <w:p w14:paraId="6E2E8A6A" w14:textId="4BC54497" w:rsidR="00DA2BFF" w:rsidRDefault="00DA2BFF" w:rsidP="006046E4">
      <w:pPr>
        <w:pStyle w:val="FootnoteText"/>
        <w:spacing w:after="120"/>
      </w:pPr>
      <w:r>
        <w:rPr>
          <w:rStyle w:val="FootnoteReference"/>
        </w:rPr>
        <w:footnoteRef/>
      </w:r>
      <w:r>
        <w:t xml:space="preserve"> The record does not indicate why the OSC hearing was not held until 2017.</w:t>
      </w:r>
    </w:p>
  </w:footnote>
  <w:footnote w:id="4">
    <w:p w14:paraId="18021DF1" w14:textId="17FE7B63" w:rsidR="006046E4" w:rsidRDefault="006046E4" w:rsidP="006046E4">
      <w:pPr>
        <w:pStyle w:val="FootnoteText"/>
        <w:spacing w:after="120"/>
      </w:pPr>
      <w:r>
        <w:rPr>
          <w:rStyle w:val="FootnoteReference"/>
        </w:rPr>
        <w:footnoteRef/>
      </w:r>
      <w:r>
        <w:t xml:space="preserve"> The texts are quoted from the record as styled in the original messages unless indicated in brackets. </w:t>
      </w:r>
    </w:p>
  </w:footnote>
  <w:footnote w:id="5">
    <w:p w14:paraId="30C5E8E9" w14:textId="641F255D" w:rsidR="00C972B2" w:rsidRDefault="00C972B2" w:rsidP="006E3964">
      <w:pPr>
        <w:pStyle w:val="FootnoteText"/>
        <w:spacing w:after="120"/>
      </w:pPr>
      <w:r>
        <w:rPr>
          <w:rStyle w:val="FootnoteReference"/>
        </w:rPr>
        <w:footnoteRef/>
      </w:r>
      <w:r>
        <w:t xml:space="preserve"> Shkolnikov testified that the message he sent to Herrera informing her that her case had settled for $40,000 was not meant for her but for someone else.  The hearing judge found</w:t>
      </w:r>
      <w:r w:rsidR="00E02879">
        <w:t xml:space="preserve"> that</w:t>
      </w:r>
      <w:r>
        <w:t xml:space="preserve"> this portion of Shkolnikov’s testimony </w:t>
      </w:r>
      <w:r w:rsidR="00E02879">
        <w:t>was not credible.</w:t>
      </w:r>
      <w:r w:rsidR="004B2098">
        <w:t xml:space="preserve">  We adopt this finding.</w:t>
      </w:r>
      <w:r>
        <w:t xml:space="preserve"> </w:t>
      </w:r>
    </w:p>
  </w:footnote>
  <w:footnote w:id="6">
    <w:p w14:paraId="6CEF539C" w14:textId="417061AC" w:rsidR="00DB3310" w:rsidRDefault="00DB3310" w:rsidP="006E3964">
      <w:pPr>
        <w:pStyle w:val="FootnoteText"/>
        <w:spacing w:after="120"/>
      </w:pPr>
      <w:r>
        <w:rPr>
          <w:rStyle w:val="FootnoteReference"/>
        </w:rPr>
        <w:footnoteRef/>
      </w:r>
      <w:r>
        <w:t xml:space="preserve"> Herrera testified that</w:t>
      </w:r>
      <w:r w:rsidR="00363EE8">
        <w:t xml:space="preserve"> she told Shkolnikov that she would report him to the State Bar and afterwards he sent her the case file and </w:t>
      </w:r>
      <w:r>
        <w:t>told her that he could no longer talk to her because she could sue him.</w:t>
      </w:r>
      <w:r w:rsidR="00CB6AAD">
        <w:t xml:space="preserve">  Shkolnikov told her that Robert Berke was representing him if she wanted to talk to him.  </w:t>
      </w:r>
      <w:r w:rsidR="001108D5">
        <w:t xml:space="preserve">Herrera could not recall if Shkolnikov offered his insurance information to her.  </w:t>
      </w:r>
      <w:r>
        <w:t>She stated she discussed her case with another attorney</w:t>
      </w:r>
      <w:r w:rsidR="00363EE8">
        <w:t>,</w:t>
      </w:r>
      <w:r>
        <w:t xml:space="preserve"> but the</w:t>
      </w:r>
      <w:r w:rsidR="001108D5">
        <w:t xml:space="preserve"> attorney said there was nothing to be done on her injury case due to the passage of time.</w:t>
      </w:r>
    </w:p>
  </w:footnote>
  <w:footnote w:id="7">
    <w:p w14:paraId="1FA9F043" w14:textId="62F32B4D" w:rsidR="00CB6AAD" w:rsidRPr="00D816E7" w:rsidRDefault="00CB6AAD" w:rsidP="006E3964">
      <w:pPr>
        <w:pStyle w:val="FootnoteText"/>
        <w:spacing w:after="120"/>
      </w:pPr>
      <w:r>
        <w:rPr>
          <w:rStyle w:val="FootnoteReference"/>
        </w:rPr>
        <w:footnoteRef/>
      </w:r>
      <w:r>
        <w:t xml:space="preserve"> Based on the record, we decline to adopt the hearing judge’s finding that Herrera heard from Shkolnikov and the court at the </w:t>
      </w:r>
      <w:r w:rsidR="00BF4877">
        <w:t xml:space="preserve">OSC </w:t>
      </w:r>
      <w:r>
        <w:t xml:space="preserve">hearing that her case was dismissed.  </w:t>
      </w:r>
    </w:p>
  </w:footnote>
  <w:footnote w:id="8">
    <w:p w14:paraId="7DBE065E" w14:textId="71ABDAE2" w:rsidR="003A3D60" w:rsidRDefault="003A3D60" w:rsidP="003A3D60">
      <w:pPr>
        <w:pStyle w:val="FootnoteText"/>
        <w:spacing w:after="120"/>
      </w:pPr>
      <w:r>
        <w:rPr>
          <w:rStyle w:val="FootnoteReference"/>
        </w:rPr>
        <w:footnoteRef/>
      </w:r>
      <w:r>
        <w:t xml:space="preserve"> Government Code section 945</w:t>
      </w:r>
      <w:r w:rsidR="000E1210">
        <w:t>, subdivision (a)(1)</w:t>
      </w:r>
      <w:r>
        <w:t xml:space="preserve"> generally provides that a suit brought against a public entity must be commenced not more than six months after written notice of the action is given. </w:t>
      </w:r>
    </w:p>
  </w:footnote>
  <w:footnote w:id="9">
    <w:p w14:paraId="0C8AD7E0" w14:textId="3B5100EB" w:rsidR="00CF6836" w:rsidRDefault="00CF6836" w:rsidP="003B360E">
      <w:pPr>
        <w:pStyle w:val="FootnoteText"/>
        <w:spacing w:after="120"/>
      </w:pPr>
      <w:r>
        <w:rPr>
          <w:rStyle w:val="FootnoteReference"/>
        </w:rPr>
        <w:footnoteRef/>
      </w:r>
      <w:r>
        <w:t xml:space="preserve"> All further references to sections are to this source, unless otherwise noted.</w:t>
      </w:r>
    </w:p>
  </w:footnote>
  <w:footnote w:id="10">
    <w:p w14:paraId="542D300F" w14:textId="6622D1A4" w:rsidR="003B360E" w:rsidRDefault="003B360E" w:rsidP="003B360E">
      <w:pPr>
        <w:pStyle w:val="FootnoteText"/>
        <w:spacing w:after="120"/>
      </w:pPr>
      <w:r>
        <w:rPr>
          <w:rStyle w:val="FootnoteReference"/>
        </w:rPr>
        <w:footnoteRef/>
      </w:r>
      <w:r>
        <w:t xml:space="preserve"> </w:t>
      </w:r>
      <w:r w:rsidRPr="006C2B4F">
        <w:t>Clear and convincing evidence leaves no substantial doubt and is sufficiently strong to command the unhesitating assent of every reasonable mind.  (</w:t>
      </w:r>
      <w:r w:rsidRPr="006C2B4F">
        <w:rPr>
          <w:i/>
        </w:rPr>
        <w:t>Conservatorship of Wendland</w:t>
      </w:r>
      <w:r w:rsidRPr="006C2B4F">
        <w:t xml:space="preserve"> (2001) 26</w:t>
      </w:r>
      <w:r>
        <w:t> </w:t>
      </w:r>
      <w:r w:rsidRPr="006C2B4F">
        <w:t>Cal.4th 519, 552.)</w:t>
      </w:r>
    </w:p>
  </w:footnote>
  <w:footnote w:id="11">
    <w:p w14:paraId="40C27B0D" w14:textId="0045A100" w:rsidR="00BF70FF" w:rsidRDefault="00BF70FF" w:rsidP="00BF70FF">
      <w:pPr>
        <w:pStyle w:val="FootnoteText"/>
        <w:spacing w:after="120"/>
      </w:pPr>
      <w:r>
        <w:rPr>
          <w:rStyle w:val="FootnoteReference"/>
        </w:rPr>
        <w:footnoteRef/>
      </w:r>
      <w:r>
        <w:t xml:space="preserve"> All further references to rules are to the former California Rules of Professional Conduct that were in effect until November 1, 2018, unless otherwise noted.</w:t>
      </w:r>
    </w:p>
  </w:footnote>
  <w:footnote w:id="12">
    <w:p w14:paraId="4B126206" w14:textId="77777777" w:rsidR="00AB4F75" w:rsidRDefault="00AB4F75" w:rsidP="00AB4F75">
      <w:pPr>
        <w:pStyle w:val="FootnoteText"/>
        <w:spacing w:after="120"/>
      </w:pPr>
      <w:r>
        <w:rPr>
          <w:rStyle w:val="FootnoteReference"/>
        </w:rPr>
        <w:footnoteRef/>
      </w:r>
      <w:r>
        <w:t xml:space="preserve"> Herrera testified that she appeared at only one court hearing.  However, she could not recall the date of the hearing, only that it was “late in the case” and “[m]aybe two years after” the case started.  Herrera testified that the judge at the hearing where she was present told Shkolnikov to “do a writing, a report.”  She then asked Shkolnikov whether he would do the writing and he stated that he would.  She stated that the judge did not say the case was dismissed. </w:t>
      </w:r>
    </w:p>
  </w:footnote>
  <w:footnote w:id="13">
    <w:p w14:paraId="7CC0B309" w14:textId="529CB87E" w:rsidR="00FD139E" w:rsidRDefault="00FD139E" w:rsidP="007B7556">
      <w:pPr>
        <w:pStyle w:val="FootnoteText"/>
        <w:spacing w:after="120"/>
      </w:pPr>
      <w:r>
        <w:rPr>
          <w:rStyle w:val="FootnoteReference"/>
        </w:rPr>
        <w:footnoteRef/>
      </w:r>
      <w:r>
        <w:t xml:space="preserve"> We disagree with Shkolnikov that only Herrera’s testimony supports culpability under count three.  </w:t>
      </w:r>
      <w:r w:rsidR="00E472F8">
        <w:t>Rather, t</w:t>
      </w:r>
      <w:r>
        <w:t>he text messages are strong evidence that he did not tell her of the dismissal.</w:t>
      </w:r>
    </w:p>
  </w:footnote>
  <w:footnote w:id="14">
    <w:p w14:paraId="082BB35A" w14:textId="01196957" w:rsidR="00D25EE4" w:rsidRDefault="00D25EE4" w:rsidP="007B7556">
      <w:pPr>
        <w:pStyle w:val="FootnoteText"/>
        <w:spacing w:after="120"/>
      </w:pPr>
      <w:r>
        <w:rPr>
          <w:rStyle w:val="FootnoteReference"/>
        </w:rPr>
        <w:footnoteRef/>
      </w:r>
      <w:r>
        <w:t xml:space="preserve"> Shkolnikov’s testimony was uncorroborated, and he failed to produce other text messages or other documentary evidence to support his testimony.  (See </w:t>
      </w:r>
      <w:r>
        <w:rPr>
          <w:i/>
        </w:rPr>
        <w:t>In the Matter of Bleecker</w:t>
      </w:r>
      <w:r>
        <w:t xml:space="preserve"> (Review Dept. 1990) 1 Cal. State Bar Ct. Rptr. 113, 122 [appropriate to consider respondent’s failure to produce corroborating evidence as indication that his testimony was not credible].)</w:t>
      </w:r>
    </w:p>
  </w:footnote>
  <w:footnote w:id="15">
    <w:p w14:paraId="72463B60" w14:textId="612D0F4A" w:rsidR="00A536D6" w:rsidRDefault="00A536D6" w:rsidP="00144C4E">
      <w:pPr>
        <w:pStyle w:val="FootnoteText"/>
        <w:spacing w:after="120"/>
      </w:pPr>
      <w:r>
        <w:rPr>
          <w:rStyle w:val="FootnoteReference"/>
        </w:rPr>
        <w:footnoteRef/>
      </w:r>
      <w:r>
        <w:t xml:space="preserve"> We reject Shkolnikov’s argument that we must review the record under Rules of Procedure of the State Bar, rule 5.150(K), as that rule applies to petitions for interlocutory review, not review of a Hearing Department decision.</w:t>
      </w:r>
    </w:p>
  </w:footnote>
  <w:footnote w:id="16">
    <w:p w14:paraId="52477F88" w14:textId="4469FD6C" w:rsidR="004210CE" w:rsidRDefault="004210CE" w:rsidP="003D305E">
      <w:pPr>
        <w:pStyle w:val="FootnoteText"/>
        <w:spacing w:after="120"/>
      </w:pPr>
      <w:r>
        <w:rPr>
          <w:rStyle w:val="FootnoteReference"/>
        </w:rPr>
        <w:footnoteRef/>
      </w:r>
      <w:r>
        <w:t xml:space="preserve"> </w:t>
      </w:r>
      <w:r w:rsidR="00FD139E">
        <w:t xml:space="preserve">OCTC and Shkolnikov make arguments regarding which hearing Herrera attended.  </w:t>
      </w:r>
      <w:r>
        <w:t xml:space="preserve">We find it unnecessary to make </w:t>
      </w:r>
      <w:r w:rsidR="00FD139E">
        <w:t xml:space="preserve">such </w:t>
      </w:r>
      <w:r>
        <w:t>a finding</w:t>
      </w:r>
      <w:r w:rsidR="00FD139E">
        <w:t xml:space="preserve">.  Even if she was at the hearing where the case was dismissed, it is clear from the record that she did not understand the court’s ruling and that she </w:t>
      </w:r>
      <w:r w:rsidR="004D79C2">
        <w:t xml:space="preserve">justifiably </w:t>
      </w:r>
      <w:r w:rsidR="00FD139E">
        <w:t>believed Shkolnikov was still working on her case.</w:t>
      </w:r>
    </w:p>
  </w:footnote>
  <w:footnote w:id="17">
    <w:p w14:paraId="7CCEEDE0" w14:textId="1DE80C0C" w:rsidR="00411BC2" w:rsidRDefault="00411BC2" w:rsidP="003D305E">
      <w:pPr>
        <w:pStyle w:val="FootnoteText"/>
        <w:spacing w:after="120"/>
      </w:pPr>
      <w:r>
        <w:rPr>
          <w:rStyle w:val="FootnoteReference"/>
        </w:rPr>
        <w:footnoteRef/>
      </w:r>
      <w:r>
        <w:t xml:space="preserve"> We disagree with OCTC that the acts under counts one and three are discrete.  </w:t>
      </w:r>
      <w:r w:rsidR="00E55708">
        <w:t xml:space="preserve">Shkolnikov misrepresented that the case had settled when it had actually been dismissed.  His failure to inform Herrera about that development—the dismissal—is </w:t>
      </w:r>
      <w:r w:rsidR="00083854">
        <w:t xml:space="preserve">factually </w:t>
      </w:r>
      <w:r w:rsidR="00E55708">
        <w:t>joined with the misrepresentation that he was working on her case and getting her the settlement money.</w:t>
      </w:r>
    </w:p>
  </w:footnote>
  <w:footnote w:id="18">
    <w:p w14:paraId="6266EA1D" w14:textId="77777777" w:rsidR="00D738CF" w:rsidRDefault="00D738CF" w:rsidP="00A13D85">
      <w:pPr>
        <w:pStyle w:val="FootnoteText"/>
        <w:spacing w:after="120"/>
      </w:pPr>
      <w:r>
        <w:rPr>
          <w:rStyle w:val="FootnoteReference"/>
        </w:rPr>
        <w:footnoteRef/>
      </w:r>
      <w:r>
        <w:t xml:space="preserve"> All further references to standards are to this source.</w:t>
      </w:r>
    </w:p>
  </w:footnote>
  <w:footnote w:id="19">
    <w:p w14:paraId="7EE45009" w14:textId="1A3CA8AC" w:rsidR="00A93842" w:rsidRDefault="00A93842" w:rsidP="00A93842">
      <w:pPr>
        <w:pStyle w:val="FootnoteText"/>
        <w:spacing w:after="120"/>
      </w:pPr>
      <w:r>
        <w:rPr>
          <w:rStyle w:val="FootnoteReference"/>
        </w:rPr>
        <w:footnoteRef/>
      </w:r>
      <w:r>
        <w:t xml:space="preserve"> As explained above, we found Shkolnikov culpable of </w:t>
      </w:r>
      <w:r w:rsidR="004D79C2">
        <w:t>one</w:t>
      </w:r>
      <w:r>
        <w:t xml:space="preserve"> additional count</w:t>
      </w:r>
      <w:r w:rsidR="00B2422A">
        <w:t xml:space="preserve"> </w:t>
      </w:r>
      <w:r w:rsidR="004D79C2">
        <w:t xml:space="preserve">more </w:t>
      </w:r>
      <w:r w:rsidR="00B2422A">
        <w:t>than the hearing judge</w:t>
      </w:r>
      <w:r>
        <w:t>.  However, we do not count it as an additional act under this standard as two of the counts involved the same misconduct.</w:t>
      </w:r>
    </w:p>
  </w:footnote>
  <w:footnote w:id="20">
    <w:p w14:paraId="5EEDD716" w14:textId="52D6D9A6" w:rsidR="00946749" w:rsidRDefault="00946749" w:rsidP="00946749">
      <w:pPr>
        <w:pStyle w:val="FootnoteText"/>
        <w:spacing w:after="120"/>
      </w:pPr>
      <w:r>
        <w:rPr>
          <w:rStyle w:val="FootnoteReference"/>
        </w:rPr>
        <w:footnoteRef/>
      </w:r>
      <w:r>
        <w:t xml:space="preserve"> Prior to becoming an attorney, Shkolnikov was a registered nurse for 10 years.</w:t>
      </w:r>
    </w:p>
  </w:footnote>
  <w:footnote w:id="21">
    <w:p w14:paraId="784C0304" w14:textId="3DECD68F" w:rsidR="00276A86" w:rsidRPr="00A4686A" w:rsidRDefault="00276A86" w:rsidP="00011164">
      <w:pPr>
        <w:pStyle w:val="FootnoteText"/>
        <w:spacing w:after="120"/>
      </w:pPr>
      <w:r>
        <w:rPr>
          <w:rStyle w:val="FootnoteReference"/>
        </w:rPr>
        <w:footnoteRef/>
      </w:r>
      <w:r>
        <w:t xml:space="preserve"> OCTC also argued that we should not consider his emotional </w:t>
      </w:r>
      <w:r w:rsidR="001370F8">
        <w:t xml:space="preserve">difficulties </w:t>
      </w:r>
      <w:r>
        <w:t xml:space="preserve">mitigating because they were not supported by expert testimony.  As noted above, there is precedent for this type of mitigation </w:t>
      </w:r>
      <w:r w:rsidR="00A4686A">
        <w:t xml:space="preserve">even without expert witness testimony.  (See </w:t>
      </w:r>
      <w:r w:rsidR="00A4686A">
        <w:rPr>
          <w:i/>
        </w:rPr>
        <w:t>In re Brown</w:t>
      </w:r>
      <w:r w:rsidR="00A4686A">
        <w:t xml:space="preserve"> (1995) 12 Cal.4th 205, 222 [some mitigation for illness even though no expert testimony establishing illness directly responsible for misconduct]; </w:t>
      </w:r>
      <w:r w:rsidR="00A4686A">
        <w:rPr>
          <w:i/>
        </w:rPr>
        <w:t>In the Matter of Ward</w:t>
      </w:r>
      <w:r w:rsidR="00A4686A">
        <w:t xml:space="preserve"> (Review Dept. 1992) 2 Cal. State Bar Ct. Rptr. 47, 60 [some mitigation assigned to personal stress factors established by lay testimony].)</w:t>
      </w:r>
      <w:r w:rsidR="00A22925">
        <w:t xml:space="preserve">  While there was no expert testimony, Shkolnikov did present evidence on the matter.  He testified about his emotional difficulties and a friend corroborated that Shkolnikov was very distraught after the death of his mother.  Shkolnikov also submitted medical records </w:t>
      </w:r>
      <w:r w:rsidR="00731BB9">
        <w:t xml:space="preserve">documenting </w:t>
      </w:r>
      <w:r w:rsidR="00A22925">
        <w:t xml:space="preserve">his family members’ diagnoses.  </w:t>
      </w:r>
    </w:p>
  </w:footnote>
  <w:footnote w:id="22">
    <w:p w14:paraId="6D427559" w14:textId="11DF206C" w:rsidR="00731BB9" w:rsidRDefault="00731BB9" w:rsidP="00011164">
      <w:pPr>
        <w:pStyle w:val="FootnoteText"/>
        <w:spacing w:after="120"/>
      </w:pPr>
      <w:r>
        <w:rPr>
          <w:rStyle w:val="FootnoteReference"/>
        </w:rPr>
        <w:footnoteRef/>
      </w:r>
      <w:r>
        <w:t xml:space="preserve"> Shkolnikov testified that he was never diagnosed with depression, but when looking back at the time of his difficulties, he stated it was “like a blur.”  He presented no evidence regarding how he would deal with future difficulties.  </w:t>
      </w:r>
    </w:p>
  </w:footnote>
  <w:footnote w:id="23">
    <w:p w14:paraId="5E03A3BC" w14:textId="672954AA" w:rsidR="0043235A" w:rsidRDefault="0043235A">
      <w:pPr>
        <w:pStyle w:val="FootnoteText"/>
      </w:pPr>
      <w:r>
        <w:rPr>
          <w:rStyle w:val="FootnoteReference"/>
        </w:rPr>
        <w:footnoteRef/>
      </w:r>
      <w:r>
        <w:t xml:space="preserve"> Standards 2.7(b) and 2.19 are also applicable and provide for actual suspension.  </w:t>
      </w:r>
    </w:p>
  </w:footnote>
  <w:footnote w:id="24">
    <w:p w14:paraId="625A535D" w14:textId="388DE97E" w:rsidR="007534AA" w:rsidRPr="00DD2673" w:rsidRDefault="007534AA" w:rsidP="00946749">
      <w:pPr>
        <w:pStyle w:val="FootnoteText"/>
        <w:spacing w:after="120"/>
      </w:pPr>
      <w:r>
        <w:rPr>
          <w:rStyle w:val="FootnoteReference"/>
        </w:rPr>
        <w:footnoteRef/>
      </w:r>
      <w:r>
        <w:t xml:space="preserve"> </w:t>
      </w:r>
      <w:r w:rsidR="00DD2673">
        <w:t xml:space="preserve">When responding to OCTC’s discipline analysis, Shkolnikov stated that he apologized or otherwise admitted liability for his misconduct to his clients.  Any apology or admission to his clients, which came years after his misconduct, is not entitled to any special consideration in determining discipline.  (See </w:t>
      </w:r>
      <w:r w:rsidR="00DD2673">
        <w:rPr>
          <w:i/>
        </w:rPr>
        <w:t>Hipolito v. State Bar</w:t>
      </w:r>
      <w:r w:rsidR="00DD2673">
        <w:t xml:space="preserve"> (1989) 48 Cal.3d 621, 627, fn. 2 [“expressing remorse for one’s misconduct is an elementary moral precept”]</w:t>
      </w:r>
      <w:r w:rsidR="00B72189">
        <w:t>.)</w:t>
      </w:r>
    </w:p>
  </w:footnote>
  <w:footnote w:id="25">
    <w:p w14:paraId="6CC5D628" w14:textId="78D90A37" w:rsidR="00B2492A" w:rsidRPr="00B2492A" w:rsidRDefault="00B2492A" w:rsidP="00F94BB0">
      <w:pPr>
        <w:pStyle w:val="FootnoteText"/>
        <w:spacing w:after="120"/>
      </w:pPr>
      <w:r>
        <w:rPr>
          <w:rStyle w:val="FootnoteReference"/>
        </w:rPr>
        <w:footnoteRef/>
      </w:r>
      <w:r>
        <w:t xml:space="preserve"> Our finding of a lack of credibility in Shkolnikov’s testimony does not equate to clear and convincing evidence that he lied in the disciplinary proceedings.  (See </w:t>
      </w:r>
      <w:r>
        <w:rPr>
          <w:i/>
        </w:rPr>
        <w:t>In the Matter of Dahlz</w:t>
      </w:r>
      <w:r>
        <w:t xml:space="preserve">, </w:t>
      </w:r>
      <w:r w:rsidRPr="00B2492A">
        <w:rPr>
          <w:i/>
          <w:iCs/>
        </w:rPr>
        <w:t>supra</w:t>
      </w:r>
      <w:r>
        <w:t>, 4 Cal. State Bar Ct. Rptr. at p. 282 [discussing distinction between credibility and candor].)</w:t>
      </w:r>
    </w:p>
  </w:footnote>
  <w:footnote w:id="26">
    <w:p w14:paraId="326AF210" w14:textId="4D091833" w:rsidR="00F94BB0" w:rsidRDefault="00F94BB0" w:rsidP="00F94BB0">
      <w:pPr>
        <w:pStyle w:val="FootnoteText"/>
        <w:spacing w:after="120"/>
      </w:pPr>
      <w:r>
        <w:rPr>
          <w:rStyle w:val="FootnoteReference"/>
        </w:rPr>
        <w:footnoteRef/>
      </w:r>
      <w:r>
        <w:t xml:space="preserve"> In relevant part, standard 1.2(c)(1) states, “Actual suspension is generally for a period of thirty days, sixty days, ninety days, six months, one year, eighteen months, two years, three years, or until specific conditions are met.”</w:t>
      </w:r>
    </w:p>
  </w:footnote>
  <w:footnote w:id="27">
    <w:p w14:paraId="451C9D58" w14:textId="7808066E" w:rsidR="00D738CF" w:rsidRPr="00E02158" w:rsidRDefault="00D738CF" w:rsidP="00A13D85">
      <w:pPr>
        <w:pStyle w:val="FootnoteText"/>
        <w:spacing w:after="120"/>
        <w:rPr>
          <w:szCs w:val="24"/>
        </w:rPr>
      </w:pPr>
      <w:r w:rsidRPr="00E02158">
        <w:rPr>
          <w:rStyle w:val="FootnoteReference"/>
          <w:szCs w:val="24"/>
        </w:rPr>
        <w:footnoteRef/>
      </w:r>
      <w:r w:rsidRPr="00E02158">
        <w:rPr>
          <w:szCs w:val="24"/>
        </w:rPr>
        <w:t xml:space="preserve"> For purposes of compliance with rule 9.20(a), the operative date for identification of “clients being represented in pending matters” and others to be notified is the filing date of the Supreme Court order, not any later “effective” date of the order.  (</w:t>
      </w:r>
      <w:r w:rsidRPr="00E02158">
        <w:rPr>
          <w:i/>
          <w:szCs w:val="24"/>
        </w:rPr>
        <w:t>Athearn v. State Bar</w:t>
      </w:r>
      <w:r w:rsidRPr="00E02158">
        <w:rPr>
          <w:szCs w:val="24"/>
        </w:rPr>
        <w:t xml:space="preserve"> (1982) 32</w:t>
      </w:r>
      <w:r>
        <w:rPr>
          <w:szCs w:val="24"/>
        </w:rPr>
        <w:t> </w:t>
      </w:r>
      <w:r w:rsidRPr="00E02158">
        <w:rPr>
          <w:szCs w:val="24"/>
        </w:rPr>
        <w:t xml:space="preserve">Cal.3d 38, 45.)  Further, </w:t>
      </w:r>
      <w:r>
        <w:rPr>
          <w:szCs w:val="24"/>
        </w:rPr>
        <w:t>S</w:t>
      </w:r>
      <w:r w:rsidR="005F2E1F">
        <w:rPr>
          <w:szCs w:val="24"/>
        </w:rPr>
        <w:t>hkolnikov</w:t>
      </w:r>
      <w:r w:rsidRPr="00E02158">
        <w:rPr>
          <w:i/>
          <w:szCs w:val="24"/>
        </w:rPr>
        <w:t xml:space="preserve"> </w:t>
      </w:r>
      <w:r w:rsidRPr="00E02158">
        <w:rPr>
          <w:szCs w:val="24"/>
        </w:rPr>
        <w:t xml:space="preserve">is required to file a rule 9.20(c) affidavit even if </w:t>
      </w:r>
      <w:r>
        <w:rPr>
          <w:szCs w:val="24"/>
        </w:rPr>
        <w:t xml:space="preserve">he </w:t>
      </w:r>
      <w:r w:rsidRPr="00E02158">
        <w:rPr>
          <w:szCs w:val="24"/>
        </w:rPr>
        <w:t>has no clients to notify on the date the Supreme Court filed its order in this proceeding.  (</w:t>
      </w:r>
      <w:r w:rsidRPr="00E02158">
        <w:rPr>
          <w:i/>
          <w:szCs w:val="24"/>
        </w:rPr>
        <w:t>Powers v. State Bar</w:t>
      </w:r>
      <w:r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Pr>
          <w:szCs w:val="24"/>
        </w:rPr>
        <w:t xml:space="preserve"> </w:t>
      </w:r>
      <w:r w:rsidRPr="00E02158">
        <w:rPr>
          <w:szCs w:val="24"/>
        </w:rPr>
        <w:t xml:space="preserve"> (Cal. Rules of Court, rule 9.20(d).)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4927"/>
    <w:multiLevelType w:val="hybridMultilevel"/>
    <w:tmpl w:val="9814DA2A"/>
    <w:lvl w:ilvl="0" w:tplc="0409000F">
      <w:start w:val="1"/>
      <w:numFmt w:val="decimal"/>
      <w:lvlText w:val="%1."/>
      <w:lvlJc w:val="left"/>
      <w:pPr>
        <w:ind w:left="720" w:hanging="360"/>
      </w:pPr>
    </w:lvl>
    <w:lvl w:ilvl="1" w:tplc="01C2D3D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23DF4"/>
    <w:multiLevelType w:val="hybridMultilevel"/>
    <w:tmpl w:val="32B0EDB6"/>
    <w:lvl w:ilvl="0" w:tplc="0A5486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5"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91C4D"/>
    <w:multiLevelType w:val="hybridMultilevel"/>
    <w:tmpl w:val="1E9A684C"/>
    <w:lvl w:ilvl="0" w:tplc="8220A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9"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15:restartNumberingAfterBreak="0">
    <w:nsid w:val="386069DF"/>
    <w:multiLevelType w:val="hybridMultilevel"/>
    <w:tmpl w:val="F95492EA"/>
    <w:lvl w:ilvl="0" w:tplc="07C69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810AC"/>
    <w:multiLevelType w:val="hybridMultilevel"/>
    <w:tmpl w:val="CEAAEE08"/>
    <w:lvl w:ilvl="0" w:tplc="60086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9"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468381B"/>
    <w:multiLevelType w:val="hybridMultilevel"/>
    <w:tmpl w:val="753CFDA2"/>
    <w:lvl w:ilvl="0" w:tplc="3BA46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74183"/>
    <w:multiLevelType w:val="multilevel"/>
    <w:tmpl w:val="CCD6E2B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5"/>
  </w:num>
  <w:num w:numId="2">
    <w:abstractNumId w:val="14"/>
  </w:num>
  <w:num w:numId="3">
    <w:abstractNumId w:val="6"/>
  </w:num>
  <w:num w:numId="4">
    <w:abstractNumId w:val="22"/>
  </w:num>
  <w:num w:numId="5">
    <w:abstractNumId w:val="5"/>
  </w:num>
  <w:num w:numId="6">
    <w:abstractNumId w:val="16"/>
  </w:num>
  <w:num w:numId="7">
    <w:abstractNumId w:val="10"/>
  </w:num>
  <w:num w:numId="8">
    <w:abstractNumId w:val="9"/>
  </w:num>
  <w:num w:numId="9">
    <w:abstractNumId w:val="19"/>
  </w:num>
  <w:num w:numId="10">
    <w:abstractNumId w:val="18"/>
  </w:num>
  <w:num w:numId="11">
    <w:abstractNumId w:val="13"/>
  </w:num>
  <w:num w:numId="12">
    <w:abstractNumId w:val="8"/>
  </w:num>
  <w:num w:numId="13">
    <w:abstractNumId w:val="26"/>
  </w:num>
  <w:num w:numId="14">
    <w:abstractNumId w:val="20"/>
  </w:num>
  <w:num w:numId="15">
    <w:abstractNumId w:val="11"/>
  </w:num>
  <w:num w:numId="16">
    <w:abstractNumId w:val="4"/>
  </w:num>
  <w:num w:numId="17">
    <w:abstractNumId w:val="0"/>
  </w:num>
  <w:num w:numId="18">
    <w:abstractNumId w:val="25"/>
  </w:num>
  <w:num w:numId="19">
    <w:abstractNumId w:val="1"/>
  </w:num>
  <w:num w:numId="20">
    <w:abstractNumId w:val="2"/>
  </w:num>
  <w:num w:numId="21">
    <w:abstractNumId w:val="23"/>
  </w:num>
  <w:num w:numId="22">
    <w:abstractNumId w:val="24"/>
  </w:num>
  <w:num w:numId="23">
    <w:abstractNumId w:val="7"/>
  </w:num>
  <w:num w:numId="24">
    <w:abstractNumId w:val="3"/>
  </w:num>
  <w:num w:numId="25">
    <w:abstractNumId w:val="21"/>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D3"/>
    <w:rsid w:val="00000B4B"/>
    <w:rsid w:val="000011D1"/>
    <w:rsid w:val="00005346"/>
    <w:rsid w:val="00005607"/>
    <w:rsid w:val="00006027"/>
    <w:rsid w:val="00006124"/>
    <w:rsid w:val="000074D5"/>
    <w:rsid w:val="000075F0"/>
    <w:rsid w:val="00007AC5"/>
    <w:rsid w:val="00010973"/>
    <w:rsid w:val="00010CF1"/>
    <w:rsid w:val="00011164"/>
    <w:rsid w:val="00013841"/>
    <w:rsid w:val="00014B46"/>
    <w:rsid w:val="000152D9"/>
    <w:rsid w:val="00015DB2"/>
    <w:rsid w:val="000161FD"/>
    <w:rsid w:val="00016D67"/>
    <w:rsid w:val="00017BBB"/>
    <w:rsid w:val="00020419"/>
    <w:rsid w:val="00020D3F"/>
    <w:rsid w:val="00021561"/>
    <w:rsid w:val="000228AF"/>
    <w:rsid w:val="00024BDE"/>
    <w:rsid w:val="00026672"/>
    <w:rsid w:val="000270AE"/>
    <w:rsid w:val="00027125"/>
    <w:rsid w:val="00027DED"/>
    <w:rsid w:val="0003150B"/>
    <w:rsid w:val="00031A3B"/>
    <w:rsid w:val="00032238"/>
    <w:rsid w:val="00032268"/>
    <w:rsid w:val="00032694"/>
    <w:rsid w:val="0003339E"/>
    <w:rsid w:val="000336BE"/>
    <w:rsid w:val="0003446C"/>
    <w:rsid w:val="00034BD7"/>
    <w:rsid w:val="000356E3"/>
    <w:rsid w:val="000366E2"/>
    <w:rsid w:val="00037ED6"/>
    <w:rsid w:val="000416C0"/>
    <w:rsid w:val="00041E5A"/>
    <w:rsid w:val="00042F28"/>
    <w:rsid w:val="000432A2"/>
    <w:rsid w:val="00043853"/>
    <w:rsid w:val="00044930"/>
    <w:rsid w:val="00046F24"/>
    <w:rsid w:val="00047213"/>
    <w:rsid w:val="00047B5A"/>
    <w:rsid w:val="00047FAF"/>
    <w:rsid w:val="000506BE"/>
    <w:rsid w:val="000513C2"/>
    <w:rsid w:val="00051F40"/>
    <w:rsid w:val="00052469"/>
    <w:rsid w:val="000528AB"/>
    <w:rsid w:val="00052E0A"/>
    <w:rsid w:val="00052EDB"/>
    <w:rsid w:val="00055C8A"/>
    <w:rsid w:val="000573E7"/>
    <w:rsid w:val="0006042E"/>
    <w:rsid w:val="00061FC8"/>
    <w:rsid w:val="00064096"/>
    <w:rsid w:val="000655C1"/>
    <w:rsid w:val="00065655"/>
    <w:rsid w:val="00065A44"/>
    <w:rsid w:val="00066680"/>
    <w:rsid w:val="000702A9"/>
    <w:rsid w:val="000720EB"/>
    <w:rsid w:val="000726E2"/>
    <w:rsid w:val="000729E4"/>
    <w:rsid w:val="00072AE3"/>
    <w:rsid w:val="0007389B"/>
    <w:rsid w:val="00073E72"/>
    <w:rsid w:val="000743ED"/>
    <w:rsid w:val="00074859"/>
    <w:rsid w:val="00074F44"/>
    <w:rsid w:val="0007552A"/>
    <w:rsid w:val="00075D4F"/>
    <w:rsid w:val="00076800"/>
    <w:rsid w:val="00076FB9"/>
    <w:rsid w:val="00081150"/>
    <w:rsid w:val="00083854"/>
    <w:rsid w:val="000848A3"/>
    <w:rsid w:val="00084C62"/>
    <w:rsid w:val="00085A5E"/>
    <w:rsid w:val="00086352"/>
    <w:rsid w:val="00087BD6"/>
    <w:rsid w:val="000900F9"/>
    <w:rsid w:val="000910D3"/>
    <w:rsid w:val="00092189"/>
    <w:rsid w:val="00092DB1"/>
    <w:rsid w:val="00093205"/>
    <w:rsid w:val="00095151"/>
    <w:rsid w:val="000955C6"/>
    <w:rsid w:val="0009562D"/>
    <w:rsid w:val="000957C2"/>
    <w:rsid w:val="00096744"/>
    <w:rsid w:val="00097D80"/>
    <w:rsid w:val="000A307F"/>
    <w:rsid w:val="000A50D7"/>
    <w:rsid w:val="000A5822"/>
    <w:rsid w:val="000A608C"/>
    <w:rsid w:val="000A6270"/>
    <w:rsid w:val="000A6A7E"/>
    <w:rsid w:val="000A6DB0"/>
    <w:rsid w:val="000B18AF"/>
    <w:rsid w:val="000B1C00"/>
    <w:rsid w:val="000B3415"/>
    <w:rsid w:val="000B3863"/>
    <w:rsid w:val="000B3BA7"/>
    <w:rsid w:val="000B423D"/>
    <w:rsid w:val="000B48EF"/>
    <w:rsid w:val="000B6717"/>
    <w:rsid w:val="000B6AD2"/>
    <w:rsid w:val="000C1185"/>
    <w:rsid w:val="000C2265"/>
    <w:rsid w:val="000C4D16"/>
    <w:rsid w:val="000C4F3D"/>
    <w:rsid w:val="000C56C6"/>
    <w:rsid w:val="000C5A97"/>
    <w:rsid w:val="000C5AE9"/>
    <w:rsid w:val="000C6554"/>
    <w:rsid w:val="000C7653"/>
    <w:rsid w:val="000D034B"/>
    <w:rsid w:val="000D0794"/>
    <w:rsid w:val="000D1B40"/>
    <w:rsid w:val="000D1C5F"/>
    <w:rsid w:val="000D279F"/>
    <w:rsid w:val="000D33DA"/>
    <w:rsid w:val="000D38CE"/>
    <w:rsid w:val="000D53EE"/>
    <w:rsid w:val="000D659A"/>
    <w:rsid w:val="000D721E"/>
    <w:rsid w:val="000E0A7C"/>
    <w:rsid w:val="000E0EC9"/>
    <w:rsid w:val="000E0FD0"/>
    <w:rsid w:val="000E1210"/>
    <w:rsid w:val="000E16A5"/>
    <w:rsid w:val="000E1B79"/>
    <w:rsid w:val="000E23F8"/>
    <w:rsid w:val="000E2AA4"/>
    <w:rsid w:val="000E37CE"/>
    <w:rsid w:val="000E7A54"/>
    <w:rsid w:val="000F054F"/>
    <w:rsid w:val="000F14DD"/>
    <w:rsid w:val="000F1EBC"/>
    <w:rsid w:val="000F20C2"/>
    <w:rsid w:val="000F3F5A"/>
    <w:rsid w:val="000F40DC"/>
    <w:rsid w:val="000F549A"/>
    <w:rsid w:val="000F7311"/>
    <w:rsid w:val="00100B12"/>
    <w:rsid w:val="00100DBA"/>
    <w:rsid w:val="00101319"/>
    <w:rsid w:val="00102F57"/>
    <w:rsid w:val="00102FC8"/>
    <w:rsid w:val="00104B08"/>
    <w:rsid w:val="00104C0D"/>
    <w:rsid w:val="001057E4"/>
    <w:rsid w:val="00106307"/>
    <w:rsid w:val="001108D5"/>
    <w:rsid w:val="00110A58"/>
    <w:rsid w:val="00111D10"/>
    <w:rsid w:val="00111E76"/>
    <w:rsid w:val="001174A5"/>
    <w:rsid w:val="00121802"/>
    <w:rsid w:val="00121E98"/>
    <w:rsid w:val="00122EBE"/>
    <w:rsid w:val="00123868"/>
    <w:rsid w:val="00124CDC"/>
    <w:rsid w:val="00125793"/>
    <w:rsid w:val="00125FF4"/>
    <w:rsid w:val="0013492E"/>
    <w:rsid w:val="00135DF3"/>
    <w:rsid w:val="00135E23"/>
    <w:rsid w:val="001370F8"/>
    <w:rsid w:val="00140111"/>
    <w:rsid w:val="00140511"/>
    <w:rsid w:val="00140EE6"/>
    <w:rsid w:val="00141861"/>
    <w:rsid w:val="00141BE5"/>
    <w:rsid w:val="00142B7C"/>
    <w:rsid w:val="00143166"/>
    <w:rsid w:val="0014391B"/>
    <w:rsid w:val="00144C4E"/>
    <w:rsid w:val="00145347"/>
    <w:rsid w:val="00147241"/>
    <w:rsid w:val="00147529"/>
    <w:rsid w:val="001477F4"/>
    <w:rsid w:val="00147E7E"/>
    <w:rsid w:val="0015182E"/>
    <w:rsid w:val="00151894"/>
    <w:rsid w:val="0015274F"/>
    <w:rsid w:val="00154118"/>
    <w:rsid w:val="00154267"/>
    <w:rsid w:val="0015497C"/>
    <w:rsid w:val="001550EE"/>
    <w:rsid w:val="0015571D"/>
    <w:rsid w:val="001572B9"/>
    <w:rsid w:val="00160894"/>
    <w:rsid w:val="001614BF"/>
    <w:rsid w:val="001628BC"/>
    <w:rsid w:val="00163298"/>
    <w:rsid w:val="00163398"/>
    <w:rsid w:val="001633B2"/>
    <w:rsid w:val="00163C22"/>
    <w:rsid w:val="00163EE4"/>
    <w:rsid w:val="00166278"/>
    <w:rsid w:val="00166A5F"/>
    <w:rsid w:val="00167C8B"/>
    <w:rsid w:val="00171ECF"/>
    <w:rsid w:val="001727D8"/>
    <w:rsid w:val="001806E1"/>
    <w:rsid w:val="00181512"/>
    <w:rsid w:val="00181957"/>
    <w:rsid w:val="0018345B"/>
    <w:rsid w:val="00184567"/>
    <w:rsid w:val="00185059"/>
    <w:rsid w:val="00187CD9"/>
    <w:rsid w:val="00187F04"/>
    <w:rsid w:val="00190264"/>
    <w:rsid w:val="0019236E"/>
    <w:rsid w:val="001940FE"/>
    <w:rsid w:val="00194895"/>
    <w:rsid w:val="00197298"/>
    <w:rsid w:val="00197D7D"/>
    <w:rsid w:val="001A04E5"/>
    <w:rsid w:val="001A0DBB"/>
    <w:rsid w:val="001A0F3D"/>
    <w:rsid w:val="001A1378"/>
    <w:rsid w:val="001A166D"/>
    <w:rsid w:val="001A17D8"/>
    <w:rsid w:val="001A2D9B"/>
    <w:rsid w:val="001A3075"/>
    <w:rsid w:val="001A3082"/>
    <w:rsid w:val="001A3802"/>
    <w:rsid w:val="001A4BF1"/>
    <w:rsid w:val="001A68D7"/>
    <w:rsid w:val="001A6CD9"/>
    <w:rsid w:val="001A72A5"/>
    <w:rsid w:val="001A746E"/>
    <w:rsid w:val="001A7BAE"/>
    <w:rsid w:val="001B0733"/>
    <w:rsid w:val="001B0CD7"/>
    <w:rsid w:val="001B12A4"/>
    <w:rsid w:val="001B208B"/>
    <w:rsid w:val="001B21E7"/>
    <w:rsid w:val="001B2E5C"/>
    <w:rsid w:val="001B2F99"/>
    <w:rsid w:val="001B3724"/>
    <w:rsid w:val="001B38BE"/>
    <w:rsid w:val="001B3B9E"/>
    <w:rsid w:val="001B457D"/>
    <w:rsid w:val="001B4DF7"/>
    <w:rsid w:val="001B66A0"/>
    <w:rsid w:val="001B66F1"/>
    <w:rsid w:val="001B70B0"/>
    <w:rsid w:val="001B7373"/>
    <w:rsid w:val="001B74EF"/>
    <w:rsid w:val="001B7901"/>
    <w:rsid w:val="001B797F"/>
    <w:rsid w:val="001C0964"/>
    <w:rsid w:val="001C0A75"/>
    <w:rsid w:val="001C1422"/>
    <w:rsid w:val="001C176E"/>
    <w:rsid w:val="001C35F5"/>
    <w:rsid w:val="001C4593"/>
    <w:rsid w:val="001C5071"/>
    <w:rsid w:val="001C6FE5"/>
    <w:rsid w:val="001D00AC"/>
    <w:rsid w:val="001D0218"/>
    <w:rsid w:val="001D073B"/>
    <w:rsid w:val="001D2C0E"/>
    <w:rsid w:val="001D2C21"/>
    <w:rsid w:val="001D3A28"/>
    <w:rsid w:val="001D47D8"/>
    <w:rsid w:val="001D50E0"/>
    <w:rsid w:val="001D5869"/>
    <w:rsid w:val="001D69C0"/>
    <w:rsid w:val="001D7788"/>
    <w:rsid w:val="001D7AF8"/>
    <w:rsid w:val="001D7B39"/>
    <w:rsid w:val="001D7DD0"/>
    <w:rsid w:val="001D7FEE"/>
    <w:rsid w:val="001E0B63"/>
    <w:rsid w:val="001E159B"/>
    <w:rsid w:val="001E3C9F"/>
    <w:rsid w:val="001E4150"/>
    <w:rsid w:val="001E5037"/>
    <w:rsid w:val="001E55D3"/>
    <w:rsid w:val="001E595A"/>
    <w:rsid w:val="001E5A9B"/>
    <w:rsid w:val="001E64A0"/>
    <w:rsid w:val="001F117F"/>
    <w:rsid w:val="001F3042"/>
    <w:rsid w:val="001F4D4F"/>
    <w:rsid w:val="001F5051"/>
    <w:rsid w:val="001F7F92"/>
    <w:rsid w:val="002006FE"/>
    <w:rsid w:val="0020134D"/>
    <w:rsid w:val="00201E6F"/>
    <w:rsid w:val="002022B6"/>
    <w:rsid w:val="0020252C"/>
    <w:rsid w:val="00202A36"/>
    <w:rsid w:val="00203644"/>
    <w:rsid w:val="00206192"/>
    <w:rsid w:val="00206A5A"/>
    <w:rsid w:val="00210B86"/>
    <w:rsid w:val="00211403"/>
    <w:rsid w:val="00213296"/>
    <w:rsid w:val="002150B6"/>
    <w:rsid w:val="002153E3"/>
    <w:rsid w:val="00215B0E"/>
    <w:rsid w:val="0021611C"/>
    <w:rsid w:val="00216D8A"/>
    <w:rsid w:val="00217F83"/>
    <w:rsid w:val="00220AB2"/>
    <w:rsid w:val="00220F25"/>
    <w:rsid w:val="00220F85"/>
    <w:rsid w:val="0022180D"/>
    <w:rsid w:val="00222065"/>
    <w:rsid w:val="00223504"/>
    <w:rsid w:val="00223BF0"/>
    <w:rsid w:val="0022432C"/>
    <w:rsid w:val="00224D19"/>
    <w:rsid w:val="00225790"/>
    <w:rsid w:val="00225855"/>
    <w:rsid w:val="00225B62"/>
    <w:rsid w:val="002268DF"/>
    <w:rsid w:val="00227D0F"/>
    <w:rsid w:val="00227F66"/>
    <w:rsid w:val="00227FD5"/>
    <w:rsid w:val="00227FE6"/>
    <w:rsid w:val="00233041"/>
    <w:rsid w:val="002335C1"/>
    <w:rsid w:val="00233A6B"/>
    <w:rsid w:val="00233CDE"/>
    <w:rsid w:val="00234D03"/>
    <w:rsid w:val="00235662"/>
    <w:rsid w:val="00236E49"/>
    <w:rsid w:val="00237247"/>
    <w:rsid w:val="0023766E"/>
    <w:rsid w:val="00241132"/>
    <w:rsid w:val="00241252"/>
    <w:rsid w:val="00241FAA"/>
    <w:rsid w:val="0024299E"/>
    <w:rsid w:val="00243A9D"/>
    <w:rsid w:val="00244A80"/>
    <w:rsid w:val="00244D60"/>
    <w:rsid w:val="002464C0"/>
    <w:rsid w:val="002504BE"/>
    <w:rsid w:val="002508B4"/>
    <w:rsid w:val="002518C1"/>
    <w:rsid w:val="00251EAD"/>
    <w:rsid w:val="00252C67"/>
    <w:rsid w:val="00253E5A"/>
    <w:rsid w:val="00254A4E"/>
    <w:rsid w:val="002579ED"/>
    <w:rsid w:val="00261068"/>
    <w:rsid w:val="00262AB5"/>
    <w:rsid w:val="00264220"/>
    <w:rsid w:val="00264CA8"/>
    <w:rsid w:val="002655A7"/>
    <w:rsid w:val="002666EA"/>
    <w:rsid w:val="00267252"/>
    <w:rsid w:val="002672C8"/>
    <w:rsid w:val="00270925"/>
    <w:rsid w:val="0027095D"/>
    <w:rsid w:val="00271084"/>
    <w:rsid w:val="002715BD"/>
    <w:rsid w:val="00272555"/>
    <w:rsid w:val="00272839"/>
    <w:rsid w:val="00272969"/>
    <w:rsid w:val="00274082"/>
    <w:rsid w:val="00274BA5"/>
    <w:rsid w:val="00274C56"/>
    <w:rsid w:val="00276A86"/>
    <w:rsid w:val="002810D2"/>
    <w:rsid w:val="00281BCC"/>
    <w:rsid w:val="00282086"/>
    <w:rsid w:val="002822BC"/>
    <w:rsid w:val="00283CD2"/>
    <w:rsid w:val="00283ECF"/>
    <w:rsid w:val="00285674"/>
    <w:rsid w:val="0028625D"/>
    <w:rsid w:val="002879F5"/>
    <w:rsid w:val="00292A05"/>
    <w:rsid w:val="00293201"/>
    <w:rsid w:val="00293579"/>
    <w:rsid w:val="0029379C"/>
    <w:rsid w:val="00293AD1"/>
    <w:rsid w:val="0029516C"/>
    <w:rsid w:val="00296227"/>
    <w:rsid w:val="00296349"/>
    <w:rsid w:val="00296A4A"/>
    <w:rsid w:val="00296CE7"/>
    <w:rsid w:val="00297130"/>
    <w:rsid w:val="002A010C"/>
    <w:rsid w:val="002A08C3"/>
    <w:rsid w:val="002A0C0D"/>
    <w:rsid w:val="002A0DBF"/>
    <w:rsid w:val="002A1129"/>
    <w:rsid w:val="002A2145"/>
    <w:rsid w:val="002A24C7"/>
    <w:rsid w:val="002A32B9"/>
    <w:rsid w:val="002A3DC4"/>
    <w:rsid w:val="002A535A"/>
    <w:rsid w:val="002B04E3"/>
    <w:rsid w:val="002B3158"/>
    <w:rsid w:val="002B4C22"/>
    <w:rsid w:val="002B635D"/>
    <w:rsid w:val="002B6614"/>
    <w:rsid w:val="002B79BA"/>
    <w:rsid w:val="002B7A59"/>
    <w:rsid w:val="002C01AA"/>
    <w:rsid w:val="002C1DF8"/>
    <w:rsid w:val="002C2F03"/>
    <w:rsid w:val="002C3FA1"/>
    <w:rsid w:val="002C4B80"/>
    <w:rsid w:val="002C5C3D"/>
    <w:rsid w:val="002C6E8B"/>
    <w:rsid w:val="002C70FC"/>
    <w:rsid w:val="002C790E"/>
    <w:rsid w:val="002D139A"/>
    <w:rsid w:val="002D1875"/>
    <w:rsid w:val="002D1A0A"/>
    <w:rsid w:val="002D235E"/>
    <w:rsid w:val="002D3962"/>
    <w:rsid w:val="002D3E6B"/>
    <w:rsid w:val="002D3F78"/>
    <w:rsid w:val="002E074B"/>
    <w:rsid w:val="002E0CFD"/>
    <w:rsid w:val="002E11C8"/>
    <w:rsid w:val="002E2F08"/>
    <w:rsid w:val="002E49D8"/>
    <w:rsid w:val="002E57F2"/>
    <w:rsid w:val="002E5CF1"/>
    <w:rsid w:val="002E62E0"/>
    <w:rsid w:val="002E6758"/>
    <w:rsid w:val="002E7F2D"/>
    <w:rsid w:val="002F2BF1"/>
    <w:rsid w:val="002F3BFA"/>
    <w:rsid w:val="002F4031"/>
    <w:rsid w:val="002F45AA"/>
    <w:rsid w:val="002F64BE"/>
    <w:rsid w:val="002F7CAA"/>
    <w:rsid w:val="00300C34"/>
    <w:rsid w:val="00301BC6"/>
    <w:rsid w:val="00301C3E"/>
    <w:rsid w:val="00301F7C"/>
    <w:rsid w:val="00301FDA"/>
    <w:rsid w:val="0030371D"/>
    <w:rsid w:val="00304690"/>
    <w:rsid w:val="003052E4"/>
    <w:rsid w:val="00305572"/>
    <w:rsid w:val="00305D11"/>
    <w:rsid w:val="0030601B"/>
    <w:rsid w:val="003072BE"/>
    <w:rsid w:val="00307456"/>
    <w:rsid w:val="0031034B"/>
    <w:rsid w:val="00311270"/>
    <w:rsid w:val="0031224C"/>
    <w:rsid w:val="003127F6"/>
    <w:rsid w:val="00315500"/>
    <w:rsid w:val="00315D40"/>
    <w:rsid w:val="003209BE"/>
    <w:rsid w:val="00321B85"/>
    <w:rsid w:val="00322521"/>
    <w:rsid w:val="00322907"/>
    <w:rsid w:val="00322DD1"/>
    <w:rsid w:val="00323686"/>
    <w:rsid w:val="00323F51"/>
    <w:rsid w:val="0032440C"/>
    <w:rsid w:val="00325A7D"/>
    <w:rsid w:val="00326ACF"/>
    <w:rsid w:val="00327710"/>
    <w:rsid w:val="00330961"/>
    <w:rsid w:val="003313E4"/>
    <w:rsid w:val="00331BE9"/>
    <w:rsid w:val="00331C7A"/>
    <w:rsid w:val="00331CC2"/>
    <w:rsid w:val="00331DCF"/>
    <w:rsid w:val="00332731"/>
    <w:rsid w:val="00332B12"/>
    <w:rsid w:val="0033337D"/>
    <w:rsid w:val="0033414C"/>
    <w:rsid w:val="00334F28"/>
    <w:rsid w:val="0033771D"/>
    <w:rsid w:val="003379AF"/>
    <w:rsid w:val="00337A6B"/>
    <w:rsid w:val="003416D1"/>
    <w:rsid w:val="00341F22"/>
    <w:rsid w:val="003427DA"/>
    <w:rsid w:val="00342A28"/>
    <w:rsid w:val="00343CED"/>
    <w:rsid w:val="00345541"/>
    <w:rsid w:val="00345C13"/>
    <w:rsid w:val="00346A42"/>
    <w:rsid w:val="00350206"/>
    <w:rsid w:val="00350CF3"/>
    <w:rsid w:val="00351607"/>
    <w:rsid w:val="00352AA1"/>
    <w:rsid w:val="003537B3"/>
    <w:rsid w:val="0035432F"/>
    <w:rsid w:val="00356CFA"/>
    <w:rsid w:val="00357051"/>
    <w:rsid w:val="003576F1"/>
    <w:rsid w:val="0035793A"/>
    <w:rsid w:val="00360237"/>
    <w:rsid w:val="003619FE"/>
    <w:rsid w:val="00362350"/>
    <w:rsid w:val="00363EE8"/>
    <w:rsid w:val="00364889"/>
    <w:rsid w:val="00364FE0"/>
    <w:rsid w:val="003650E4"/>
    <w:rsid w:val="003658AC"/>
    <w:rsid w:val="00366314"/>
    <w:rsid w:val="00367461"/>
    <w:rsid w:val="00367598"/>
    <w:rsid w:val="00367CD7"/>
    <w:rsid w:val="003710BA"/>
    <w:rsid w:val="003732B8"/>
    <w:rsid w:val="00374340"/>
    <w:rsid w:val="0037480A"/>
    <w:rsid w:val="00376476"/>
    <w:rsid w:val="00376A30"/>
    <w:rsid w:val="00376EC7"/>
    <w:rsid w:val="00377451"/>
    <w:rsid w:val="003825AC"/>
    <w:rsid w:val="003825B4"/>
    <w:rsid w:val="00382790"/>
    <w:rsid w:val="00383041"/>
    <w:rsid w:val="00383266"/>
    <w:rsid w:val="00385BC2"/>
    <w:rsid w:val="003879B7"/>
    <w:rsid w:val="003879F5"/>
    <w:rsid w:val="00390B7C"/>
    <w:rsid w:val="003922DA"/>
    <w:rsid w:val="003924FC"/>
    <w:rsid w:val="00393228"/>
    <w:rsid w:val="00393BF3"/>
    <w:rsid w:val="00393C3F"/>
    <w:rsid w:val="00394C4D"/>
    <w:rsid w:val="00395898"/>
    <w:rsid w:val="00396661"/>
    <w:rsid w:val="00396E25"/>
    <w:rsid w:val="0039720E"/>
    <w:rsid w:val="0039774A"/>
    <w:rsid w:val="003A023F"/>
    <w:rsid w:val="003A0700"/>
    <w:rsid w:val="003A16BA"/>
    <w:rsid w:val="003A247B"/>
    <w:rsid w:val="003A372C"/>
    <w:rsid w:val="003A3D60"/>
    <w:rsid w:val="003A5E0E"/>
    <w:rsid w:val="003A5F40"/>
    <w:rsid w:val="003A75F3"/>
    <w:rsid w:val="003B0002"/>
    <w:rsid w:val="003B026A"/>
    <w:rsid w:val="003B09C5"/>
    <w:rsid w:val="003B0E05"/>
    <w:rsid w:val="003B1B85"/>
    <w:rsid w:val="003B215A"/>
    <w:rsid w:val="003B22C9"/>
    <w:rsid w:val="003B360E"/>
    <w:rsid w:val="003B3719"/>
    <w:rsid w:val="003B3807"/>
    <w:rsid w:val="003B677C"/>
    <w:rsid w:val="003B70A2"/>
    <w:rsid w:val="003B7BB8"/>
    <w:rsid w:val="003C0BFA"/>
    <w:rsid w:val="003C1B4C"/>
    <w:rsid w:val="003C1B87"/>
    <w:rsid w:val="003C358D"/>
    <w:rsid w:val="003C6D19"/>
    <w:rsid w:val="003C7BA3"/>
    <w:rsid w:val="003D0131"/>
    <w:rsid w:val="003D09FD"/>
    <w:rsid w:val="003D0ED1"/>
    <w:rsid w:val="003D305E"/>
    <w:rsid w:val="003D3343"/>
    <w:rsid w:val="003D3E85"/>
    <w:rsid w:val="003D41D0"/>
    <w:rsid w:val="003D4DBB"/>
    <w:rsid w:val="003D56F4"/>
    <w:rsid w:val="003D7D88"/>
    <w:rsid w:val="003E1630"/>
    <w:rsid w:val="003E1F10"/>
    <w:rsid w:val="003E2BE1"/>
    <w:rsid w:val="003E30F9"/>
    <w:rsid w:val="003E38F9"/>
    <w:rsid w:val="003E3EE0"/>
    <w:rsid w:val="003E78B8"/>
    <w:rsid w:val="003E7F72"/>
    <w:rsid w:val="003F06DF"/>
    <w:rsid w:val="003F2B3E"/>
    <w:rsid w:val="003F41D2"/>
    <w:rsid w:val="003F44A3"/>
    <w:rsid w:val="003F4627"/>
    <w:rsid w:val="003F5A0E"/>
    <w:rsid w:val="003F76A5"/>
    <w:rsid w:val="003F7DCD"/>
    <w:rsid w:val="00400C2B"/>
    <w:rsid w:val="00401078"/>
    <w:rsid w:val="0040272B"/>
    <w:rsid w:val="0040431B"/>
    <w:rsid w:val="004079E2"/>
    <w:rsid w:val="00407A4C"/>
    <w:rsid w:val="00410DB9"/>
    <w:rsid w:val="00411BC2"/>
    <w:rsid w:val="00411D2E"/>
    <w:rsid w:val="00414D37"/>
    <w:rsid w:val="00415A9C"/>
    <w:rsid w:val="00416763"/>
    <w:rsid w:val="004210CE"/>
    <w:rsid w:val="00421177"/>
    <w:rsid w:val="00422A55"/>
    <w:rsid w:val="00423009"/>
    <w:rsid w:val="0042322B"/>
    <w:rsid w:val="00426015"/>
    <w:rsid w:val="004277AB"/>
    <w:rsid w:val="00430CC3"/>
    <w:rsid w:val="0043102F"/>
    <w:rsid w:val="00431566"/>
    <w:rsid w:val="00431D19"/>
    <w:rsid w:val="0043235A"/>
    <w:rsid w:val="0043304F"/>
    <w:rsid w:val="004330DE"/>
    <w:rsid w:val="00434FA7"/>
    <w:rsid w:val="00435616"/>
    <w:rsid w:val="00435998"/>
    <w:rsid w:val="00436E56"/>
    <w:rsid w:val="00437745"/>
    <w:rsid w:val="004404BF"/>
    <w:rsid w:val="00440FEA"/>
    <w:rsid w:val="00441F7B"/>
    <w:rsid w:val="0044334D"/>
    <w:rsid w:val="0044450C"/>
    <w:rsid w:val="0044470F"/>
    <w:rsid w:val="00444B01"/>
    <w:rsid w:val="004450E9"/>
    <w:rsid w:val="00445BF4"/>
    <w:rsid w:val="00446EA2"/>
    <w:rsid w:val="00451CC4"/>
    <w:rsid w:val="004521B3"/>
    <w:rsid w:val="00452557"/>
    <w:rsid w:val="00452EF2"/>
    <w:rsid w:val="00453603"/>
    <w:rsid w:val="004539A2"/>
    <w:rsid w:val="0045542B"/>
    <w:rsid w:val="004555C4"/>
    <w:rsid w:val="004565B8"/>
    <w:rsid w:val="00456CBE"/>
    <w:rsid w:val="0046000D"/>
    <w:rsid w:val="00460F34"/>
    <w:rsid w:val="004622CD"/>
    <w:rsid w:val="0046282B"/>
    <w:rsid w:val="00462E59"/>
    <w:rsid w:val="00463953"/>
    <w:rsid w:val="0046403B"/>
    <w:rsid w:val="0046496B"/>
    <w:rsid w:val="00465329"/>
    <w:rsid w:val="004659B4"/>
    <w:rsid w:val="004672D3"/>
    <w:rsid w:val="00467D9F"/>
    <w:rsid w:val="00470205"/>
    <w:rsid w:val="00472C16"/>
    <w:rsid w:val="004735F5"/>
    <w:rsid w:val="004738F0"/>
    <w:rsid w:val="004748D9"/>
    <w:rsid w:val="00474987"/>
    <w:rsid w:val="00475BF2"/>
    <w:rsid w:val="00476656"/>
    <w:rsid w:val="004770E9"/>
    <w:rsid w:val="004772A2"/>
    <w:rsid w:val="00477F6D"/>
    <w:rsid w:val="004800DA"/>
    <w:rsid w:val="00481CE3"/>
    <w:rsid w:val="004848F8"/>
    <w:rsid w:val="00484D46"/>
    <w:rsid w:val="004851DA"/>
    <w:rsid w:val="00485E5A"/>
    <w:rsid w:val="00486056"/>
    <w:rsid w:val="004862C6"/>
    <w:rsid w:val="004865A3"/>
    <w:rsid w:val="00487266"/>
    <w:rsid w:val="00490BEB"/>
    <w:rsid w:val="0049162A"/>
    <w:rsid w:val="0049236D"/>
    <w:rsid w:val="004929B4"/>
    <w:rsid w:val="00494171"/>
    <w:rsid w:val="004945B8"/>
    <w:rsid w:val="004A0CF1"/>
    <w:rsid w:val="004A129C"/>
    <w:rsid w:val="004A13AB"/>
    <w:rsid w:val="004A1B8F"/>
    <w:rsid w:val="004A2908"/>
    <w:rsid w:val="004A3E11"/>
    <w:rsid w:val="004A6E85"/>
    <w:rsid w:val="004A73D5"/>
    <w:rsid w:val="004A74B9"/>
    <w:rsid w:val="004A7F49"/>
    <w:rsid w:val="004B1FD2"/>
    <w:rsid w:val="004B2098"/>
    <w:rsid w:val="004B40FC"/>
    <w:rsid w:val="004B6677"/>
    <w:rsid w:val="004C3C23"/>
    <w:rsid w:val="004C4F62"/>
    <w:rsid w:val="004C5DE3"/>
    <w:rsid w:val="004C6687"/>
    <w:rsid w:val="004C6A45"/>
    <w:rsid w:val="004C717B"/>
    <w:rsid w:val="004C7EC0"/>
    <w:rsid w:val="004D22E1"/>
    <w:rsid w:val="004D2C1F"/>
    <w:rsid w:val="004D32E9"/>
    <w:rsid w:val="004D3799"/>
    <w:rsid w:val="004D6246"/>
    <w:rsid w:val="004D681E"/>
    <w:rsid w:val="004D6EFC"/>
    <w:rsid w:val="004D79C2"/>
    <w:rsid w:val="004E0D84"/>
    <w:rsid w:val="004E0EF5"/>
    <w:rsid w:val="004E16AE"/>
    <w:rsid w:val="004E1EC9"/>
    <w:rsid w:val="004E20D2"/>
    <w:rsid w:val="004E303D"/>
    <w:rsid w:val="004E304F"/>
    <w:rsid w:val="004E34D7"/>
    <w:rsid w:val="004E4ECB"/>
    <w:rsid w:val="004E52DA"/>
    <w:rsid w:val="004E5890"/>
    <w:rsid w:val="004E62D7"/>
    <w:rsid w:val="004F12F4"/>
    <w:rsid w:val="004F1FD8"/>
    <w:rsid w:val="004F2245"/>
    <w:rsid w:val="004F4122"/>
    <w:rsid w:val="004F4273"/>
    <w:rsid w:val="004F4322"/>
    <w:rsid w:val="004F453C"/>
    <w:rsid w:val="004F589A"/>
    <w:rsid w:val="004F622B"/>
    <w:rsid w:val="004F6AD8"/>
    <w:rsid w:val="004F7638"/>
    <w:rsid w:val="00500B79"/>
    <w:rsid w:val="00502085"/>
    <w:rsid w:val="0050221B"/>
    <w:rsid w:val="005028CD"/>
    <w:rsid w:val="00502D95"/>
    <w:rsid w:val="00505417"/>
    <w:rsid w:val="00505B0F"/>
    <w:rsid w:val="005069A7"/>
    <w:rsid w:val="005101F4"/>
    <w:rsid w:val="0051057C"/>
    <w:rsid w:val="0051341B"/>
    <w:rsid w:val="005135B0"/>
    <w:rsid w:val="00514D79"/>
    <w:rsid w:val="005179F5"/>
    <w:rsid w:val="0052138F"/>
    <w:rsid w:val="00521DBB"/>
    <w:rsid w:val="00522747"/>
    <w:rsid w:val="005228A3"/>
    <w:rsid w:val="005235B3"/>
    <w:rsid w:val="005238F0"/>
    <w:rsid w:val="00525D70"/>
    <w:rsid w:val="0052783E"/>
    <w:rsid w:val="005304C8"/>
    <w:rsid w:val="00531B9D"/>
    <w:rsid w:val="005329D5"/>
    <w:rsid w:val="00532F34"/>
    <w:rsid w:val="0053381A"/>
    <w:rsid w:val="005356D3"/>
    <w:rsid w:val="00535796"/>
    <w:rsid w:val="005361AF"/>
    <w:rsid w:val="005371BD"/>
    <w:rsid w:val="0053776D"/>
    <w:rsid w:val="0054020E"/>
    <w:rsid w:val="00541F06"/>
    <w:rsid w:val="00543A80"/>
    <w:rsid w:val="005445D8"/>
    <w:rsid w:val="00544C3E"/>
    <w:rsid w:val="00544C74"/>
    <w:rsid w:val="00545063"/>
    <w:rsid w:val="005466C5"/>
    <w:rsid w:val="00546CD9"/>
    <w:rsid w:val="00550865"/>
    <w:rsid w:val="005522A1"/>
    <w:rsid w:val="005535AE"/>
    <w:rsid w:val="005539CE"/>
    <w:rsid w:val="00555A8F"/>
    <w:rsid w:val="005562E3"/>
    <w:rsid w:val="0055688A"/>
    <w:rsid w:val="00556D7B"/>
    <w:rsid w:val="00557FA2"/>
    <w:rsid w:val="00560ED4"/>
    <w:rsid w:val="0056119B"/>
    <w:rsid w:val="0056168A"/>
    <w:rsid w:val="00561F5D"/>
    <w:rsid w:val="00563087"/>
    <w:rsid w:val="005630BE"/>
    <w:rsid w:val="00563FF6"/>
    <w:rsid w:val="00566F57"/>
    <w:rsid w:val="00567447"/>
    <w:rsid w:val="00567D95"/>
    <w:rsid w:val="00567E4B"/>
    <w:rsid w:val="00570C3E"/>
    <w:rsid w:val="00571662"/>
    <w:rsid w:val="0057221B"/>
    <w:rsid w:val="005722F8"/>
    <w:rsid w:val="005725C7"/>
    <w:rsid w:val="00573F7B"/>
    <w:rsid w:val="00574710"/>
    <w:rsid w:val="00574D5A"/>
    <w:rsid w:val="005759FF"/>
    <w:rsid w:val="00575A41"/>
    <w:rsid w:val="00575E11"/>
    <w:rsid w:val="00576032"/>
    <w:rsid w:val="00577361"/>
    <w:rsid w:val="00577BD5"/>
    <w:rsid w:val="00580DD9"/>
    <w:rsid w:val="00581B64"/>
    <w:rsid w:val="00583059"/>
    <w:rsid w:val="00583B4C"/>
    <w:rsid w:val="0058400E"/>
    <w:rsid w:val="005851DF"/>
    <w:rsid w:val="005862D5"/>
    <w:rsid w:val="00587CE0"/>
    <w:rsid w:val="00592934"/>
    <w:rsid w:val="005929B8"/>
    <w:rsid w:val="00595735"/>
    <w:rsid w:val="00595D72"/>
    <w:rsid w:val="005965E7"/>
    <w:rsid w:val="005A0252"/>
    <w:rsid w:val="005A1F4F"/>
    <w:rsid w:val="005A3109"/>
    <w:rsid w:val="005A36F6"/>
    <w:rsid w:val="005A3ADE"/>
    <w:rsid w:val="005A4D16"/>
    <w:rsid w:val="005A6132"/>
    <w:rsid w:val="005A7F33"/>
    <w:rsid w:val="005A7FAD"/>
    <w:rsid w:val="005B07A8"/>
    <w:rsid w:val="005B09A1"/>
    <w:rsid w:val="005B1647"/>
    <w:rsid w:val="005B3360"/>
    <w:rsid w:val="005B3CE7"/>
    <w:rsid w:val="005B5A58"/>
    <w:rsid w:val="005B6505"/>
    <w:rsid w:val="005B6578"/>
    <w:rsid w:val="005C091E"/>
    <w:rsid w:val="005C118D"/>
    <w:rsid w:val="005C13D7"/>
    <w:rsid w:val="005C1620"/>
    <w:rsid w:val="005C17BF"/>
    <w:rsid w:val="005C1B7C"/>
    <w:rsid w:val="005C1E02"/>
    <w:rsid w:val="005C30A5"/>
    <w:rsid w:val="005C3329"/>
    <w:rsid w:val="005C3A2E"/>
    <w:rsid w:val="005C475E"/>
    <w:rsid w:val="005C57A4"/>
    <w:rsid w:val="005D10CB"/>
    <w:rsid w:val="005D1943"/>
    <w:rsid w:val="005D1C8D"/>
    <w:rsid w:val="005D22A6"/>
    <w:rsid w:val="005D22C1"/>
    <w:rsid w:val="005D39D7"/>
    <w:rsid w:val="005D767C"/>
    <w:rsid w:val="005D7DB3"/>
    <w:rsid w:val="005E0349"/>
    <w:rsid w:val="005E11FA"/>
    <w:rsid w:val="005E1D39"/>
    <w:rsid w:val="005E4210"/>
    <w:rsid w:val="005E4BB9"/>
    <w:rsid w:val="005E5C3B"/>
    <w:rsid w:val="005F1226"/>
    <w:rsid w:val="005F17DC"/>
    <w:rsid w:val="005F235C"/>
    <w:rsid w:val="005F2E1F"/>
    <w:rsid w:val="005F31AA"/>
    <w:rsid w:val="005F3CDB"/>
    <w:rsid w:val="005F505E"/>
    <w:rsid w:val="005F58B7"/>
    <w:rsid w:val="005F5A9E"/>
    <w:rsid w:val="005F673B"/>
    <w:rsid w:val="005F6803"/>
    <w:rsid w:val="005F6C73"/>
    <w:rsid w:val="005F778C"/>
    <w:rsid w:val="006002F5"/>
    <w:rsid w:val="00600522"/>
    <w:rsid w:val="00602CEA"/>
    <w:rsid w:val="00602D27"/>
    <w:rsid w:val="00603095"/>
    <w:rsid w:val="006046E4"/>
    <w:rsid w:val="00605473"/>
    <w:rsid w:val="00606315"/>
    <w:rsid w:val="006102C0"/>
    <w:rsid w:val="006115A2"/>
    <w:rsid w:val="0061274E"/>
    <w:rsid w:val="0061367E"/>
    <w:rsid w:val="006138F4"/>
    <w:rsid w:val="00615F20"/>
    <w:rsid w:val="00616293"/>
    <w:rsid w:val="00616B5D"/>
    <w:rsid w:val="00617445"/>
    <w:rsid w:val="006178C8"/>
    <w:rsid w:val="006179A6"/>
    <w:rsid w:val="00617EB4"/>
    <w:rsid w:val="0062094A"/>
    <w:rsid w:val="00621CF5"/>
    <w:rsid w:val="00621CFE"/>
    <w:rsid w:val="006238E6"/>
    <w:rsid w:val="006248D0"/>
    <w:rsid w:val="00624D32"/>
    <w:rsid w:val="0062505B"/>
    <w:rsid w:val="0062593C"/>
    <w:rsid w:val="00625BF1"/>
    <w:rsid w:val="00626164"/>
    <w:rsid w:val="00633F63"/>
    <w:rsid w:val="006344C8"/>
    <w:rsid w:val="00634DDE"/>
    <w:rsid w:val="00636746"/>
    <w:rsid w:val="00637CD8"/>
    <w:rsid w:val="00642191"/>
    <w:rsid w:val="00643332"/>
    <w:rsid w:val="00643B20"/>
    <w:rsid w:val="00643D31"/>
    <w:rsid w:val="00644A9C"/>
    <w:rsid w:val="00645044"/>
    <w:rsid w:val="00646E70"/>
    <w:rsid w:val="00647642"/>
    <w:rsid w:val="006476AD"/>
    <w:rsid w:val="0065009F"/>
    <w:rsid w:val="0065066E"/>
    <w:rsid w:val="00650E13"/>
    <w:rsid w:val="00651222"/>
    <w:rsid w:val="00651EB4"/>
    <w:rsid w:val="0065268F"/>
    <w:rsid w:val="0065407F"/>
    <w:rsid w:val="006540DC"/>
    <w:rsid w:val="00655612"/>
    <w:rsid w:val="00655655"/>
    <w:rsid w:val="00656AD0"/>
    <w:rsid w:val="00657EAC"/>
    <w:rsid w:val="00660A36"/>
    <w:rsid w:val="00661BDE"/>
    <w:rsid w:val="00661C97"/>
    <w:rsid w:val="00664760"/>
    <w:rsid w:val="00667F50"/>
    <w:rsid w:val="006722B8"/>
    <w:rsid w:val="0067247A"/>
    <w:rsid w:val="006725D1"/>
    <w:rsid w:val="00672C77"/>
    <w:rsid w:val="00673F29"/>
    <w:rsid w:val="00674101"/>
    <w:rsid w:val="00674FDB"/>
    <w:rsid w:val="00675177"/>
    <w:rsid w:val="00676077"/>
    <w:rsid w:val="00677E8F"/>
    <w:rsid w:val="006809D5"/>
    <w:rsid w:val="006822E3"/>
    <w:rsid w:val="00682BB1"/>
    <w:rsid w:val="00683787"/>
    <w:rsid w:val="006840B4"/>
    <w:rsid w:val="00684DFD"/>
    <w:rsid w:val="0069027B"/>
    <w:rsid w:val="006916BF"/>
    <w:rsid w:val="00692BEA"/>
    <w:rsid w:val="006934D8"/>
    <w:rsid w:val="0069443B"/>
    <w:rsid w:val="00694921"/>
    <w:rsid w:val="00694ECC"/>
    <w:rsid w:val="006A060E"/>
    <w:rsid w:val="006A31ED"/>
    <w:rsid w:val="006A3201"/>
    <w:rsid w:val="006A329E"/>
    <w:rsid w:val="006A400A"/>
    <w:rsid w:val="006A4E68"/>
    <w:rsid w:val="006A6409"/>
    <w:rsid w:val="006A6ABD"/>
    <w:rsid w:val="006A737E"/>
    <w:rsid w:val="006A73A1"/>
    <w:rsid w:val="006B033A"/>
    <w:rsid w:val="006B0838"/>
    <w:rsid w:val="006B0A60"/>
    <w:rsid w:val="006B0A93"/>
    <w:rsid w:val="006B1C99"/>
    <w:rsid w:val="006B1E21"/>
    <w:rsid w:val="006B250D"/>
    <w:rsid w:val="006B269E"/>
    <w:rsid w:val="006B3087"/>
    <w:rsid w:val="006B3460"/>
    <w:rsid w:val="006B3D0C"/>
    <w:rsid w:val="006B467B"/>
    <w:rsid w:val="006B5841"/>
    <w:rsid w:val="006B5D5A"/>
    <w:rsid w:val="006B7FEA"/>
    <w:rsid w:val="006C0CC8"/>
    <w:rsid w:val="006C127C"/>
    <w:rsid w:val="006C3FB6"/>
    <w:rsid w:val="006C7E07"/>
    <w:rsid w:val="006D0B8B"/>
    <w:rsid w:val="006D30C2"/>
    <w:rsid w:val="006D3A12"/>
    <w:rsid w:val="006D4313"/>
    <w:rsid w:val="006D4A66"/>
    <w:rsid w:val="006D59C6"/>
    <w:rsid w:val="006D6426"/>
    <w:rsid w:val="006E0869"/>
    <w:rsid w:val="006E0A41"/>
    <w:rsid w:val="006E15B7"/>
    <w:rsid w:val="006E302B"/>
    <w:rsid w:val="006E380E"/>
    <w:rsid w:val="006E3964"/>
    <w:rsid w:val="006E4FC9"/>
    <w:rsid w:val="006E528D"/>
    <w:rsid w:val="006E7FB2"/>
    <w:rsid w:val="006F0CBC"/>
    <w:rsid w:val="006F18BC"/>
    <w:rsid w:val="006F2065"/>
    <w:rsid w:val="006F2201"/>
    <w:rsid w:val="006F33A4"/>
    <w:rsid w:val="006F3E79"/>
    <w:rsid w:val="006F43D6"/>
    <w:rsid w:val="006F4667"/>
    <w:rsid w:val="006F5CB4"/>
    <w:rsid w:val="006F6122"/>
    <w:rsid w:val="006F65C9"/>
    <w:rsid w:val="007002B9"/>
    <w:rsid w:val="00701760"/>
    <w:rsid w:val="00702FE3"/>
    <w:rsid w:val="00704D7F"/>
    <w:rsid w:val="00704EC0"/>
    <w:rsid w:val="00705CA6"/>
    <w:rsid w:val="00710574"/>
    <w:rsid w:val="00713360"/>
    <w:rsid w:val="007152B1"/>
    <w:rsid w:val="007163C7"/>
    <w:rsid w:val="00716B11"/>
    <w:rsid w:val="00717F75"/>
    <w:rsid w:val="00721542"/>
    <w:rsid w:val="00722028"/>
    <w:rsid w:val="00722666"/>
    <w:rsid w:val="007241B5"/>
    <w:rsid w:val="00730B4C"/>
    <w:rsid w:val="007314DC"/>
    <w:rsid w:val="00731BB9"/>
    <w:rsid w:val="007324AD"/>
    <w:rsid w:val="007346F8"/>
    <w:rsid w:val="007349D9"/>
    <w:rsid w:val="00734CAF"/>
    <w:rsid w:val="007356EC"/>
    <w:rsid w:val="00735FF8"/>
    <w:rsid w:val="00737B99"/>
    <w:rsid w:val="007404E1"/>
    <w:rsid w:val="00740CC8"/>
    <w:rsid w:val="00741A6C"/>
    <w:rsid w:val="00741B93"/>
    <w:rsid w:val="00741EB4"/>
    <w:rsid w:val="007428B8"/>
    <w:rsid w:val="0074426B"/>
    <w:rsid w:val="00745F3C"/>
    <w:rsid w:val="007466EE"/>
    <w:rsid w:val="00750632"/>
    <w:rsid w:val="00750931"/>
    <w:rsid w:val="00750F1F"/>
    <w:rsid w:val="007514A8"/>
    <w:rsid w:val="007520BA"/>
    <w:rsid w:val="00752D06"/>
    <w:rsid w:val="0075340A"/>
    <w:rsid w:val="0075340D"/>
    <w:rsid w:val="007534AA"/>
    <w:rsid w:val="00755801"/>
    <w:rsid w:val="00760530"/>
    <w:rsid w:val="00760C07"/>
    <w:rsid w:val="00761DC8"/>
    <w:rsid w:val="00763312"/>
    <w:rsid w:val="00763C05"/>
    <w:rsid w:val="00764E6B"/>
    <w:rsid w:val="00765C20"/>
    <w:rsid w:val="00766B55"/>
    <w:rsid w:val="00767423"/>
    <w:rsid w:val="00767BC0"/>
    <w:rsid w:val="00767C07"/>
    <w:rsid w:val="00771DAA"/>
    <w:rsid w:val="00771E4F"/>
    <w:rsid w:val="00772BD5"/>
    <w:rsid w:val="00773891"/>
    <w:rsid w:val="0077443A"/>
    <w:rsid w:val="0077468A"/>
    <w:rsid w:val="0077538A"/>
    <w:rsid w:val="00776B44"/>
    <w:rsid w:val="0077705D"/>
    <w:rsid w:val="00777DA2"/>
    <w:rsid w:val="00780140"/>
    <w:rsid w:val="007807FD"/>
    <w:rsid w:val="00780E33"/>
    <w:rsid w:val="00781248"/>
    <w:rsid w:val="00782DDB"/>
    <w:rsid w:val="00783040"/>
    <w:rsid w:val="0078319E"/>
    <w:rsid w:val="0078429A"/>
    <w:rsid w:val="00785387"/>
    <w:rsid w:val="00785A75"/>
    <w:rsid w:val="00786898"/>
    <w:rsid w:val="007905EA"/>
    <w:rsid w:val="00790BAD"/>
    <w:rsid w:val="00790C20"/>
    <w:rsid w:val="0079138C"/>
    <w:rsid w:val="007914C9"/>
    <w:rsid w:val="0079450C"/>
    <w:rsid w:val="00794622"/>
    <w:rsid w:val="00794D8A"/>
    <w:rsid w:val="0079550C"/>
    <w:rsid w:val="00795963"/>
    <w:rsid w:val="0079646B"/>
    <w:rsid w:val="00796F2E"/>
    <w:rsid w:val="007979CF"/>
    <w:rsid w:val="007A1770"/>
    <w:rsid w:val="007A24C4"/>
    <w:rsid w:val="007A4685"/>
    <w:rsid w:val="007A47AB"/>
    <w:rsid w:val="007A5FAE"/>
    <w:rsid w:val="007A6953"/>
    <w:rsid w:val="007A6B16"/>
    <w:rsid w:val="007A73FC"/>
    <w:rsid w:val="007B0E66"/>
    <w:rsid w:val="007B16A7"/>
    <w:rsid w:val="007B1C28"/>
    <w:rsid w:val="007B2865"/>
    <w:rsid w:val="007B3781"/>
    <w:rsid w:val="007B3BC3"/>
    <w:rsid w:val="007B5B32"/>
    <w:rsid w:val="007B7556"/>
    <w:rsid w:val="007C0B0D"/>
    <w:rsid w:val="007C1888"/>
    <w:rsid w:val="007C26E8"/>
    <w:rsid w:val="007C2BB1"/>
    <w:rsid w:val="007C316E"/>
    <w:rsid w:val="007C5279"/>
    <w:rsid w:val="007C63B3"/>
    <w:rsid w:val="007C74D8"/>
    <w:rsid w:val="007D0330"/>
    <w:rsid w:val="007D1577"/>
    <w:rsid w:val="007D16EB"/>
    <w:rsid w:val="007D1A82"/>
    <w:rsid w:val="007D1C25"/>
    <w:rsid w:val="007D1EE8"/>
    <w:rsid w:val="007D34AA"/>
    <w:rsid w:val="007D3C5E"/>
    <w:rsid w:val="007D50B5"/>
    <w:rsid w:val="007D768A"/>
    <w:rsid w:val="007D7F66"/>
    <w:rsid w:val="007E0229"/>
    <w:rsid w:val="007E1C4E"/>
    <w:rsid w:val="007E3ABD"/>
    <w:rsid w:val="007E3EB6"/>
    <w:rsid w:val="007E5547"/>
    <w:rsid w:val="007E61D0"/>
    <w:rsid w:val="007E761D"/>
    <w:rsid w:val="007E7C61"/>
    <w:rsid w:val="007F0E84"/>
    <w:rsid w:val="007F1BBA"/>
    <w:rsid w:val="007F53EA"/>
    <w:rsid w:val="007F5948"/>
    <w:rsid w:val="00800373"/>
    <w:rsid w:val="00800A01"/>
    <w:rsid w:val="0080100E"/>
    <w:rsid w:val="00801493"/>
    <w:rsid w:val="00803C69"/>
    <w:rsid w:val="00804546"/>
    <w:rsid w:val="00806F6B"/>
    <w:rsid w:val="00812E41"/>
    <w:rsid w:val="00813125"/>
    <w:rsid w:val="00814087"/>
    <w:rsid w:val="00814EC6"/>
    <w:rsid w:val="00815347"/>
    <w:rsid w:val="00816AA9"/>
    <w:rsid w:val="00817E0F"/>
    <w:rsid w:val="00820833"/>
    <w:rsid w:val="00820D80"/>
    <w:rsid w:val="00822CB7"/>
    <w:rsid w:val="0082400D"/>
    <w:rsid w:val="00824B96"/>
    <w:rsid w:val="00824E47"/>
    <w:rsid w:val="00824FF5"/>
    <w:rsid w:val="00825107"/>
    <w:rsid w:val="00826DBF"/>
    <w:rsid w:val="00826E17"/>
    <w:rsid w:val="00827859"/>
    <w:rsid w:val="008278B7"/>
    <w:rsid w:val="00827CD9"/>
    <w:rsid w:val="00830F5E"/>
    <w:rsid w:val="00832223"/>
    <w:rsid w:val="0083340C"/>
    <w:rsid w:val="00833CA6"/>
    <w:rsid w:val="00834CEE"/>
    <w:rsid w:val="008351B0"/>
    <w:rsid w:val="008352A0"/>
    <w:rsid w:val="008410D9"/>
    <w:rsid w:val="008423CE"/>
    <w:rsid w:val="008428BA"/>
    <w:rsid w:val="00842929"/>
    <w:rsid w:val="0084324A"/>
    <w:rsid w:val="00843938"/>
    <w:rsid w:val="00844467"/>
    <w:rsid w:val="008461A1"/>
    <w:rsid w:val="00846254"/>
    <w:rsid w:val="00847EB4"/>
    <w:rsid w:val="00851564"/>
    <w:rsid w:val="00853954"/>
    <w:rsid w:val="00853CF6"/>
    <w:rsid w:val="008563A6"/>
    <w:rsid w:val="00860A44"/>
    <w:rsid w:val="00860FE4"/>
    <w:rsid w:val="00861EA7"/>
    <w:rsid w:val="0086258E"/>
    <w:rsid w:val="00863A61"/>
    <w:rsid w:val="00864207"/>
    <w:rsid w:val="00864253"/>
    <w:rsid w:val="00865F67"/>
    <w:rsid w:val="00866075"/>
    <w:rsid w:val="008663A9"/>
    <w:rsid w:val="00866746"/>
    <w:rsid w:val="008675AD"/>
    <w:rsid w:val="00867B8B"/>
    <w:rsid w:val="008726CB"/>
    <w:rsid w:val="008743FF"/>
    <w:rsid w:val="008747EF"/>
    <w:rsid w:val="00874A2A"/>
    <w:rsid w:val="00874E40"/>
    <w:rsid w:val="00875C1A"/>
    <w:rsid w:val="00876040"/>
    <w:rsid w:val="008770CC"/>
    <w:rsid w:val="00877C28"/>
    <w:rsid w:val="008806E3"/>
    <w:rsid w:val="00882E39"/>
    <w:rsid w:val="00882FEB"/>
    <w:rsid w:val="00883F12"/>
    <w:rsid w:val="00885AFB"/>
    <w:rsid w:val="00885EA7"/>
    <w:rsid w:val="008875C5"/>
    <w:rsid w:val="008878F9"/>
    <w:rsid w:val="00887D3D"/>
    <w:rsid w:val="0089099D"/>
    <w:rsid w:val="00893065"/>
    <w:rsid w:val="008932C2"/>
    <w:rsid w:val="00895955"/>
    <w:rsid w:val="00895C41"/>
    <w:rsid w:val="00896FF0"/>
    <w:rsid w:val="008A17EB"/>
    <w:rsid w:val="008A27B7"/>
    <w:rsid w:val="008A2CCA"/>
    <w:rsid w:val="008A319C"/>
    <w:rsid w:val="008A32AE"/>
    <w:rsid w:val="008A4110"/>
    <w:rsid w:val="008A44C7"/>
    <w:rsid w:val="008A4E13"/>
    <w:rsid w:val="008A4E23"/>
    <w:rsid w:val="008A58CB"/>
    <w:rsid w:val="008A71E9"/>
    <w:rsid w:val="008A7B17"/>
    <w:rsid w:val="008B02F1"/>
    <w:rsid w:val="008B2A43"/>
    <w:rsid w:val="008B4B38"/>
    <w:rsid w:val="008B522C"/>
    <w:rsid w:val="008B678F"/>
    <w:rsid w:val="008B74CC"/>
    <w:rsid w:val="008B78B5"/>
    <w:rsid w:val="008B7FD7"/>
    <w:rsid w:val="008C0678"/>
    <w:rsid w:val="008C0D1B"/>
    <w:rsid w:val="008C0F0D"/>
    <w:rsid w:val="008C14F8"/>
    <w:rsid w:val="008C1F09"/>
    <w:rsid w:val="008C2C2D"/>
    <w:rsid w:val="008C3BFB"/>
    <w:rsid w:val="008C66F1"/>
    <w:rsid w:val="008C700F"/>
    <w:rsid w:val="008C737B"/>
    <w:rsid w:val="008D0265"/>
    <w:rsid w:val="008D02D8"/>
    <w:rsid w:val="008D220B"/>
    <w:rsid w:val="008D285E"/>
    <w:rsid w:val="008D291B"/>
    <w:rsid w:val="008D4B0E"/>
    <w:rsid w:val="008D6952"/>
    <w:rsid w:val="008D6BED"/>
    <w:rsid w:val="008D7FBA"/>
    <w:rsid w:val="008E083B"/>
    <w:rsid w:val="008E15BB"/>
    <w:rsid w:val="008E21C0"/>
    <w:rsid w:val="008E242C"/>
    <w:rsid w:val="008E2C3A"/>
    <w:rsid w:val="008E2D82"/>
    <w:rsid w:val="008E33D3"/>
    <w:rsid w:val="008E3620"/>
    <w:rsid w:val="008E36E5"/>
    <w:rsid w:val="008E43B9"/>
    <w:rsid w:val="008E4D2C"/>
    <w:rsid w:val="008E5259"/>
    <w:rsid w:val="008E5DA0"/>
    <w:rsid w:val="008E5DCF"/>
    <w:rsid w:val="008E6871"/>
    <w:rsid w:val="008F2832"/>
    <w:rsid w:val="008F2C9B"/>
    <w:rsid w:val="008F3047"/>
    <w:rsid w:val="008F3482"/>
    <w:rsid w:val="008F3FDA"/>
    <w:rsid w:val="008F47A5"/>
    <w:rsid w:val="008F4E4C"/>
    <w:rsid w:val="008F4E53"/>
    <w:rsid w:val="008F5559"/>
    <w:rsid w:val="008F6B3F"/>
    <w:rsid w:val="008F6D3D"/>
    <w:rsid w:val="00901913"/>
    <w:rsid w:val="0090267D"/>
    <w:rsid w:val="00902852"/>
    <w:rsid w:val="009033E7"/>
    <w:rsid w:val="00903A40"/>
    <w:rsid w:val="009042EF"/>
    <w:rsid w:val="00904F4D"/>
    <w:rsid w:val="00906972"/>
    <w:rsid w:val="0090703E"/>
    <w:rsid w:val="00907EF6"/>
    <w:rsid w:val="00910128"/>
    <w:rsid w:val="00910A59"/>
    <w:rsid w:val="00911F1C"/>
    <w:rsid w:val="00912659"/>
    <w:rsid w:val="00912B03"/>
    <w:rsid w:val="00913027"/>
    <w:rsid w:val="0091325D"/>
    <w:rsid w:val="009142FF"/>
    <w:rsid w:val="00915AE7"/>
    <w:rsid w:val="00916C9C"/>
    <w:rsid w:val="00917BE6"/>
    <w:rsid w:val="00917C70"/>
    <w:rsid w:val="0092002B"/>
    <w:rsid w:val="00920E4E"/>
    <w:rsid w:val="0092129B"/>
    <w:rsid w:val="00921350"/>
    <w:rsid w:val="0092327E"/>
    <w:rsid w:val="009234E5"/>
    <w:rsid w:val="009247FA"/>
    <w:rsid w:val="009263B5"/>
    <w:rsid w:val="00927234"/>
    <w:rsid w:val="00930462"/>
    <w:rsid w:val="00930C89"/>
    <w:rsid w:val="00932064"/>
    <w:rsid w:val="0093361D"/>
    <w:rsid w:val="00933C89"/>
    <w:rsid w:val="009373D2"/>
    <w:rsid w:val="009422FE"/>
    <w:rsid w:val="0094303B"/>
    <w:rsid w:val="00944222"/>
    <w:rsid w:val="0094519A"/>
    <w:rsid w:val="0094524D"/>
    <w:rsid w:val="0094598B"/>
    <w:rsid w:val="00946749"/>
    <w:rsid w:val="00950654"/>
    <w:rsid w:val="00951A4E"/>
    <w:rsid w:val="009521B1"/>
    <w:rsid w:val="00954303"/>
    <w:rsid w:val="00954429"/>
    <w:rsid w:val="0095579D"/>
    <w:rsid w:val="0095655E"/>
    <w:rsid w:val="0095748C"/>
    <w:rsid w:val="0095767C"/>
    <w:rsid w:val="009605F7"/>
    <w:rsid w:val="00962328"/>
    <w:rsid w:val="00962914"/>
    <w:rsid w:val="009643B8"/>
    <w:rsid w:val="00965E5F"/>
    <w:rsid w:val="0097183C"/>
    <w:rsid w:val="009724C4"/>
    <w:rsid w:val="009742D2"/>
    <w:rsid w:val="009749A9"/>
    <w:rsid w:val="00974B57"/>
    <w:rsid w:val="00975859"/>
    <w:rsid w:val="0097585D"/>
    <w:rsid w:val="00977030"/>
    <w:rsid w:val="009778D4"/>
    <w:rsid w:val="00980334"/>
    <w:rsid w:val="009810A8"/>
    <w:rsid w:val="00981A76"/>
    <w:rsid w:val="00983ADA"/>
    <w:rsid w:val="00984177"/>
    <w:rsid w:val="00984788"/>
    <w:rsid w:val="00984C7A"/>
    <w:rsid w:val="00985817"/>
    <w:rsid w:val="00985874"/>
    <w:rsid w:val="00987DBD"/>
    <w:rsid w:val="0099101B"/>
    <w:rsid w:val="0099155E"/>
    <w:rsid w:val="0099275E"/>
    <w:rsid w:val="009936AB"/>
    <w:rsid w:val="00994ADA"/>
    <w:rsid w:val="00996D85"/>
    <w:rsid w:val="00996DDE"/>
    <w:rsid w:val="0099737B"/>
    <w:rsid w:val="00997922"/>
    <w:rsid w:val="009A0646"/>
    <w:rsid w:val="009A1245"/>
    <w:rsid w:val="009A1454"/>
    <w:rsid w:val="009A51D9"/>
    <w:rsid w:val="009A5998"/>
    <w:rsid w:val="009A5CB7"/>
    <w:rsid w:val="009A6ABE"/>
    <w:rsid w:val="009A77A8"/>
    <w:rsid w:val="009A7B29"/>
    <w:rsid w:val="009B1302"/>
    <w:rsid w:val="009B3238"/>
    <w:rsid w:val="009B3535"/>
    <w:rsid w:val="009B37FA"/>
    <w:rsid w:val="009B454E"/>
    <w:rsid w:val="009B4736"/>
    <w:rsid w:val="009B4F88"/>
    <w:rsid w:val="009C0B69"/>
    <w:rsid w:val="009C3229"/>
    <w:rsid w:val="009C322E"/>
    <w:rsid w:val="009C411D"/>
    <w:rsid w:val="009C41E0"/>
    <w:rsid w:val="009C62D9"/>
    <w:rsid w:val="009C6992"/>
    <w:rsid w:val="009C6EB7"/>
    <w:rsid w:val="009C6EF9"/>
    <w:rsid w:val="009C6F4E"/>
    <w:rsid w:val="009C742F"/>
    <w:rsid w:val="009C7805"/>
    <w:rsid w:val="009D1BB3"/>
    <w:rsid w:val="009D222E"/>
    <w:rsid w:val="009D317F"/>
    <w:rsid w:val="009D337D"/>
    <w:rsid w:val="009D38E9"/>
    <w:rsid w:val="009D3C20"/>
    <w:rsid w:val="009D43E8"/>
    <w:rsid w:val="009D508F"/>
    <w:rsid w:val="009D5DF8"/>
    <w:rsid w:val="009D6D43"/>
    <w:rsid w:val="009E10B5"/>
    <w:rsid w:val="009E1CFC"/>
    <w:rsid w:val="009E2486"/>
    <w:rsid w:val="009E3182"/>
    <w:rsid w:val="009E31BC"/>
    <w:rsid w:val="009E37E5"/>
    <w:rsid w:val="009E3B5E"/>
    <w:rsid w:val="009E4967"/>
    <w:rsid w:val="009E7736"/>
    <w:rsid w:val="009F0CE9"/>
    <w:rsid w:val="009F19E2"/>
    <w:rsid w:val="009F1BCD"/>
    <w:rsid w:val="009F275F"/>
    <w:rsid w:val="009F2D7D"/>
    <w:rsid w:val="009F3626"/>
    <w:rsid w:val="009F4716"/>
    <w:rsid w:val="009F4DF3"/>
    <w:rsid w:val="00A0002B"/>
    <w:rsid w:val="00A0310E"/>
    <w:rsid w:val="00A03A04"/>
    <w:rsid w:val="00A064C8"/>
    <w:rsid w:val="00A07F5F"/>
    <w:rsid w:val="00A07FEA"/>
    <w:rsid w:val="00A10B74"/>
    <w:rsid w:val="00A11DE0"/>
    <w:rsid w:val="00A11E97"/>
    <w:rsid w:val="00A137C1"/>
    <w:rsid w:val="00A13D85"/>
    <w:rsid w:val="00A13D94"/>
    <w:rsid w:val="00A15EFA"/>
    <w:rsid w:val="00A165B7"/>
    <w:rsid w:val="00A2032B"/>
    <w:rsid w:val="00A21C4E"/>
    <w:rsid w:val="00A22169"/>
    <w:rsid w:val="00A221E1"/>
    <w:rsid w:val="00A22925"/>
    <w:rsid w:val="00A22AD8"/>
    <w:rsid w:val="00A240B5"/>
    <w:rsid w:val="00A24283"/>
    <w:rsid w:val="00A26E41"/>
    <w:rsid w:val="00A27DB3"/>
    <w:rsid w:val="00A30789"/>
    <w:rsid w:val="00A31170"/>
    <w:rsid w:val="00A31E96"/>
    <w:rsid w:val="00A327A9"/>
    <w:rsid w:val="00A40B53"/>
    <w:rsid w:val="00A4210D"/>
    <w:rsid w:val="00A44920"/>
    <w:rsid w:val="00A45A89"/>
    <w:rsid w:val="00A4686A"/>
    <w:rsid w:val="00A50895"/>
    <w:rsid w:val="00A536D6"/>
    <w:rsid w:val="00A54B86"/>
    <w:rsid w:val="00A60072"/>
    <w:rsid w:val="00A60318"/>
    <w:rsid w:val="00A605C8"/>
    <w:rsid w:val="00A621B0"/>
    <w:rsid w:val="00A62225"/>
    <w:rsid w:val="00A6230B"/>
    <w:rsid w:val="00A63628"/>
    <w:rsid w:val="00A649AA"/>
    <w:rsid w:val="00A65063"/>
    <w:rsid w:val="00A65123"/>
    <w:rsid w:val="00A653E0"/>
    <w:rsid w:val="00A657E2"/>
    <w:rsid w:val="00A66153"/>
    <w:rsid w:val="00A66368"/>
    <w:rsid w:val="00A717BF"/>
    <w:rsid w:val="00A71CEA"/>
    <w:rsid w:val="00A726EB"/>
    <w:rsid w:val="00A727EB"/>
    <w:rsid w:val="00A72FB5"/>
    <w:rsid w:val="00A7597C"/>
    <w:rsid w:val="00A75AB7"/>
    <w:rsid w:val="00A8195A"/>
    <w:rsid w:val="00A82144"/>
    <w:rsid w:val="00A821D1"/>
    <w:rsid w:val="00A8360E"/>
    <w:rsid w:val="00A8374E"/>
    <w:rsid w:val="00A85BED"/>
    <w:rsid w:val="00A87508"/>
    <w:rsid w:val="00A87972"/>
    <w:rsid w:val="00A87BCE"/>
    <w:rsid w:val="00A87E24"/>
    <w:rsid w:val="00A905BB"/>
    <w:rsid w:val="00A90CA2"/>
    <w:rsid w:val="00A92429"/>
    <w:rsid w:val="00A93842"/>
    <w:rsid w:val="00A93E3F"/>
    <w:rsid w:val="00A945AA"/>
    <w:rsid w:val="00A94B9A"/>
    <w:rsid w:val="00AA06BB"/>
    <w:rsid w:val="00AA07F3"/>
    <w:rsid w:val="00AA294B"/>
    <w:rsid w:val="00AA2F0E"/>
    <w:rsid w:val="00AA59D5"/>
    <w:rsid w:val="00AA68E9"/>
    <w:rsid w:val="00AA6DF7"/>
    <w:rsid w:val="00AA7867"/>
    <w:rsid w:val="00AB1CD0"/>
    <w:rsid w:val="00AB2A01"/>
    <w:rsid w:val="00AB48F6"/>
    <w:rsid w:val="00AB4A06"/>
    <w:rsid w:val="00AB4CA1"/>
    <w:rsid w:val="00AB4F75"/>
    <w:rsid w:val="00AB58C8"/>
    <w:rsid w:val="00AB7A06"/>
    <w:rsid w:val="00AB7DE7"/>
    <w:rsid w:val="00AC112F"/>
    <w:rsid w:val="00AC260F"/>
    <w:rsid w:val="00AC3D27"/>
    <w:rsid w:val="00AC4526"/>
    <w:rsid w:val="00AC4CBB"/>
    <w:rsid w:val="00AC5E24"/>
    <w:rsid w:val="00AC7812"/>
    <w:rsid w:val="00AD0419"/>
    <w:rsid w:val="00AD116A"/>
    <w:rsid w:val="00AD1463"/>
    <w:rsid w:val="00AD30C4"/>
    <w:rsid w:val="00AD386F"/>
    <w:rsid w:val="00AD3A84"/>
    <w:rsid w:val="00AD4DBD"/>
    <w:rsid w:val="00AD5C4C"/>
    <w:rsid w:val="00AD5C84"/>
    <w:rsid w:val="00AD6410"/>
    <w:rsid w:val="00AD7B09"/>
    <w:rsid w:val="00AE0A0F"/>
    <w:rsid w:val="00AE1F03"/>
    <w:rsid w:val="00AE3AF5"/>
    <w:rsid w:val="00AE65C4"/>
    <w:rsid w:val="00AE768B"/>
    <w:rsid w:val="00AF0D46"/>
    <w:rsid w:val="00AF1907"/>
    <w:rsid w:val="00AF3721"/>
    <w:rsid w:val="00AF39F6"/>
    <w:rsid w:val="00AF60C5"/>
    <w:rsid w:val="00AF7121"/>
    <w:rsid w:val="00AF775D"/>
    <w:rsid w:val="00B00284"/>
    <w:rsid w:val="00B01CBD"/>
    <w:rsid w:val="00B02493"/>
    <w:rsid w:val="00B057EA"/>
    <w:rsid w:val="00B05826"/>
    <w:rsid w:val="00B05A93"/>
    <w:rsid w:val="00B07E2B"/>
    <w:rsid w:val="00B112CC"/>
    <w:rsid w:val="00B1226A"/>
    <w:rsid w:val="00B12BEF"/>
    <w:rsid w:val="00B1334B"/>
    <w:rsid w:val="00B1549D"/>
    <w:rsid w:val="00B15BDD"/>
    <w:rsid w:val="00B16104"/>
    <w:rsid w:val="00B162C7"/>
    <w:rsid w:val="00B1705D"/>
    <w:rsid w:val="00B1753E"/>
    <w:rsid w:val="00B214F7"/>
    <w:rsid w:val="00B22BA7"/>
    <w:rsid w:val="00B231E1"/>
    <w:rsid w:val="00B233EA"/>
    <w:rsid w:val="00B238C6"/>
    <w:rsid w:val="00B2422A"/>
    <w:rsid w:val="00B2492A"/>
    <w:rsid w:val="00B2507A"/>
    <w:rsid w:val="00B25AA1"/>
    <w:rsid w:val="00B26624"/>
    <w:rsid w:val="00B310FD"/>
    <w:rsid w:val="00B322E1"/>
    <w:rsid w:val="00B330BF"/>
    <w:rsid w:val="00B3354D"/>
    <w:rsid w:val="00B3423C"/>
    <w:rsid w:val="00B34987"/>
    <w:rsid w:val="00B34CF6"/>
    <w:rsid w:val="00B35625"/>
    <w:rsid w:val="00B35C31"/>
    <w:rsid w:val="00B36D8C"/>
    <w:rsid w:val="00B36E93"/>
    <w:rsid w:val="00B3705D"/>
    <w:rsid w:val="00B447F6"/>
    <w:rsid w:val="00B45532"/>
    <w:rsid w:val="00B464A1"/>
    <w:rsid w:val="00B502BE"/>
    <w:rsid w:val="00B51AE9"/>
    <w:rsid w:val="00B52114"/>
    <w:rsid w:val="00B5277B"/>
    <w:rsid w:val="00B52F68"/>
    <w:rsid w:val="00B53171"/>
    <w:rsid w:val="00B53391"/>
    <w:rsid w:val="00B540D8"/>
    <w:rsid w:val="00B54214"/>
    <w:rsid w:val="00B54EB6"/>
    <w:rsid w:val="00B55457"/>
    <w:rsid w:val="00B56527"/>
    <w:rsid w:val="00B56B2B"/>
    <w:rsid w:val="00B56C57"/>
    <w:rsid w:val="00B57A10"/>
    <w:rsid w:val="00B6024A"/>
    <w:rsid w:val="00B616EE"/>
    <w:rsid w:val="00B61FC8"/>
    <w:rsid w:val="00B63567"/>
    <w:rsid w:val="00B65287"/>
    <w:rsid w:val="00B66335"/>
    <w:rsid w:val="00B66736"/>
    <w:rsid w:val="00B67FEC"/>
    <w:rsid w:val="00B70006"/>
    <w:rsid w:val="00B70404"/>
    <w:rsid w:val="00B705D6"/>
    <w:rsid w:val="00B710F1"/>
    <w:rsid w:val="00B713B2"/>
    <w:rsid w:val="00B71517"/>
    <w:rsid w:val="00B71D03"/>
    <w:rsid w:val="00B71F41"/>
    <w:rsid w:val="00B72189"/>
    <w:rsid w:val="00B72936"/>
    <w:rsid w:val="00B735F8"/>
    <w:rsid w:val="00B73DC0"/>
    <w:rsid w:val="00B73EC9"/>
    <w:rsid w:val="00B745C0"/>
    <w:rsid w:val="00B7580B"/>
    <w:rsid w:val="00B7649F"/>
    <w:rsid w:val="00B767C8"/>
    <w:rsid w:val="00B76F6A"/>
    <w:rsid w:val="00B779B0"/>
    <w:rsid w:val="00B81189"/>
    <w:rsid w:val="00B8270F"/>
    <w:rsid w:val="00B83B37"/>
    <w:rsid w:val="00B853D8"/>
    <w:rsid w:val="00B87781"/>
    <w:rsid w:val="00B87B3C"/>
    <w:rsid w:val="00B900E4"/>
    <w:rsid w:val="00B90A42"/>
    <w:rsid w:val="00B91CAA"/>
    <w:rsid w:val="00B92105"/>
    <w:rsid w:val="00B921BC"/>
    <w:rsid w:val="00B925B0"/>
    <w:rsid w:val="00B931BE"/>
    <w:rsid w:val="00B94923"/>
    <w:rsid w:val="00B94BA3"/>
    <w:rsid w:val="00B94BB5"/>
    <w:rsid w:val="00B951D4"/>
    <w:rsid w:val="00B95D84"/>
    <w:rsid w:val="00B96754"/>
    <w:rsid w:val="00BA1199"/>
    <w:rsid w:val="00BA22DC"/>
    <w:rsid w:val="00BA2834"/>
    <w:rsid w:val="00BA2854"/>
    <w:rsid w:val="00BA7896"/>
    <w:rsid w:val="00BA7A01"/>
    <w:rsid w:val="00BA7C50"/>
    <w:rsid w:val="00BB014D"/>
    <w:rsid w:val="00BB29B0"/>
    <w:rsid w:val="00BB31E3"/>
    <w:rsid w:val="00BB33BE"/>
    <w:rsid w:val="00BB4F29"/>
    <w:rsid w:val="00BB526E"/>
    <w:rsid w:val="00BB62BA"/>
    <w:rsid w:val="00BB62C6"/>
    <w:rsid w:val="00BB6EE0"/>
    <w:rsid w:val="00BB740C"/>
    <w:rsid w:val="00BB7E5B"/>
    <w:rsid w:val="00BC1759"/>
    <w:rsid w:val="00BC302E"/>
    <w:rsid w:val="00BC401B"/>
    <w:rsid w:val="00BC4CF7"/>
    <w:rsid w:val="00BC53C2"/>
    <w:rsid w:val="00BC6123"/>
    <w:rsid w:val="00BC63C7"/>
    <w:rsid w:val="00BC6C9E"/>
    <w:rsid w:val="00BD0653"/>
    <w:rsid w:val="00BD0F67"/>
    <w:rsid w:val="00BD1235"/>
    <w:rsid w:val="00BD26BA"/>
    <w:rsid w:val="00BD29D1"/>
    <w:rsid w:val="00BD3390"/>
    <w:rsid w:val="00BD3EC4"/>
    <w:rsid w:val="00BD430D"/>
    <w:rsid w:val="00BD4777"/>
    <w:rsid w:val="00BD4A3E"/>
    <w:rsid w:val="00BD5D82"/>
    <w:rsid w:val="00BD6B53"/>
    <w:rsid w:val="00BD7809"/>
    <w:rsid w:val="00BE1448"/>
    <w:rsid w:val="00BE3B56"/>
    <w:rsid w:val="00BE616C"/>
    <w:rsid w:val="00BE7928"/>
    <w:rsid w:val="00BF098A"/>
    <w:rsid w:val="00BF0DE5"/>
    <w:rsid w:val="00BF1183"/>
    <w:rsid w:val="00BF1DC9"/>
    <w:rsid w:val="00BF2AC3"/>
    <w:rsid w:val="00BF2BDD"/>
    <w:rsid w:val="00BF3217"/>
    <w:rsid w:val="00BF33BD"/>
    <w:rsid w:val="00BF38AA"/>
    <w:rsid w:val="00BF4877"/>
    <w:rsid w:val="00BF562D"/>
    <w:rsid w:val="00BF5F07"/>
    <w:rsid w:val="00BF70FF"/>
    <w:rsid w:val="00BF7178"/>
    <w:rsid w:val="00BF7340"/>
    <w:rsid w:val="00C0079B"/>
    <w:rsid w:val="00C0098A"/>
    <w:rsid w:val="00C01810"/>
    <w:rsid w:val="00C020E1"/>
    <w:rsid w:val="00C02EC0"/>
    <w:rsid w:val="00C03773"/>
    <w:rsid w:val="00C04B16"/>
    <w:rsid w:val="00C04B6F"/>
    <w:rsid w:val="00C0530B"/>
    <w:rsid w:val="00C05A68"/>
    <w:rsid w:val="00C05FD2"/>
    <w:rsid w:val="00C07DE2"/>
    <w:rsid w:val="00C1079B"/>
    <w:rsid w:val="00C10C81"/>
    <w:rsid w:val="00C12336"/>
    <w:rsid w:val="00C12B1F"/>
    <w:rsid w:val="00C135F9"/>
    <w:rsid w:val="00C13F27"/>
    <w:rsid w:val="00C15533"/>
    <w:rsid w:val="00C15B49"/>
    <w:rsid w:val="00C161F4"/>
    <w:rsid w:val="00C20418"/>
    <w:rsid w:val="00C20DE3"/>
    <w:rsid w:val="00C211D2"/>
    <w:rsid w:val="00C21314"/>
    <w:rsid w:val="00C213E2"/>
    <w:rsid w:val="00C21652"/>
    <w:rsid w:val="00C21CD1"/>
    <w:rsid w:val="00C23E33"/>
    <w:rsid w:val="00C2496B"/>
    <w:rsid w:val="00C24EBE"/>
    <w:rsid w:val="00C256B0"/>
    <w:rsid w:val="00C25FC7"/>
    <w:rsid w:val="00C3105B"/>
    <w:rsid w:val="00C31C7F"/>
    <w:rsid w:val="00C3211D"/>
    <w:rsid w:val="00C326D8"/>
    <w:rsid w:val="00C33170"/>
    <w:rsid w:val="00C331E8"/>
    <w:rsid w:val="00C35CE5"/>
    <w:rsid w:val="00C36595"/>
    <w:rsid w:val="00C403AD"/>
    <w:rsid w:val="00C407EE"/>
    <w:rsid w:val="00C4111A"/>
    <w:rsid w:val="00C41757"/>
    <w:rsid w:val="00C41ADB"/>
    <w:rsid w:val="00C41EDB"/>
    <w:rsid w:val="00C42F9E"/>
    <w:rsid w:val="00C4327F"/>
    <w:rsid w:val="00C44935"/>
    <w:rsid w:val="00C44D74"/>
    <w:rsid w:val="00C44FF1"/>
    <w:rsid w:val="00C451F3"/>
    <w:rsid w:val="00C504FD"/>
    <w:rsid w:val="00C52E88"/>
    <w:rsid w:val="00C53024"/>
    <w:rsid w:val="00C5327C"/>
    <w:rsid w:val="00C54851"/>
    <w:rsid w:val="00C5555B"/>
    <w:rsid w:val="00C56889"/>
    <w:rsid w:val="00C56E6A"/>
    <w:rsid w:val="00C57C6A"/>
    <w:rsid w:val="00C60F18"/>
    <w:rsid w:val="00C60F30"/>
    <w:rsid w:val="00C61856"/>
    <w:rsid w:val="00C62F9C"/>
    <w:rsid w:val="00C640E8"/>
    <w:rsid w:val="00C65507"/>
    <w:rsid w:val="00C65CA7"/>
    <w:rsid w:val="00C65E90"/>
    <w:rsid w:val="00C66750"/>
    <w:rsid w:val="00C674CD"/>
    <w:rsid w:val="00C67B0A"/>
    <w:rsid w:val="00C708FB"/>
    <w:rsid w:val="00C725D2"/>
    <w:rsid w:val="00C740F9"/>
    <w:rsid w:val="00C7624E"/>
    <w:rsid w:val="00C76EA8"/>
    <w:rsid w:val="00C77164"/>
    <w:rsid w:val="00C77240"/>
    <w:rsid w:val="00C77CF0"/>
    <w:rsid w:val="00C77DC5"/>
    <w:rsid w:val="00C80B2D"/>
    <w:rsid w:val="00C81976"/>
    <w:rsid w:val="00C83750"/>
    <w:rsid w:val="00C83B73"/>
    <w:rsid w:val="00C85F80"/>
    <w:rsid w:val="00C8787E"/>
    <w:rsid w:val="00C90983"/>
    <w:rsid w:val="00C90C9F"/>
    <w:rsid w:val="00C9284C"/>
    <w:rsid w:val="00C95DD2"/>
    <w:rsid w:val="00C972B2"/>
    <w:rsid w:val="00C9774C"/>
    <w:rsid w:val="00CA0073"/>
    <w:rsid w:val="00CA0554"/>
    <w:rsid w:val="00CA11A1"/>
    <w:rsid w:val="00CA1595"/>
    <w:rsid w:val="00CA1E6F"/>
    <w:rsid w:val="00CA2497"/>
    <w:rsid w:val="00CA32D8"/>
    <w:rsid w:val="00CA3FC5"/>
    <w:rsid w:val="00CA4827"/>
    <w:rsid w:val="00CA556C"/>
    <w:rsid w:val="00CA6265"/>
    <w:rsid w:val="00CA6339"/>
    <w:rsid w:val="00CB0D9C"/>
    <w:rsid w:val="00CB160E"/>
    <w:rsid w:val="00CB1F9D"/>
    <w:rsid w:val="00CB23F7"/>
    <w:rsid w:val="00CB2DF9"/>
    <w:rsid w:val="00CB37DF"/>
    <w:rsid w:val="00CB4820"/>
    <w:rsid w:val="00CB5D1C"/>
    <w:rsid w:val="00CB5DD6"/>
    <w:rsid w:val="00CB653E"/>
    <w:rsid w:val="00CB6AAD"/>
    <w:rsid w:val="00CB7057"/>
    <w:rsid w:val="00CB7A4E"/>
    <w:rsid w:val="00CB7D2E"/>
    <w:rsid w:val="00CB7E01"/>
    <w:rsid w:val="00CC04B4"/>
    <w:rsid w:val="00CC23F6"/>
    <w:rsid w:val="00CC2C74"/>
    <w:rsid w:val="00CC3897"/>
    <w:rsid w:val="00CC4DD3"/>
    <w:rsid w:val="00CC4F36"/>
    <w:rsid w:val="00CC6E4C"/>
    <w:rsid w:val="00CC7393"/>
    <w:rsid w:val="00CC7A29"/>
    <w:rsid w:val="00CD0A94"/>
    <w:rsid w:val="00CD10C6"/>
    <w:rsid w:val="00CD150E"/>
    <w:rsid w:val="00CD1E24"/>
    <w:rsid w:val="00CD297C"/>
    <w:rsid w:val="00CD3BEC"/>
    <w:rsid w:val="00CD6CCB"/>
    <w:rsid w:val="00CD7023"/>
    <w:rsid w:val="00CE007E"/>
    <w:rsid w:val="00CE0675"/>
    <w:rsid w:val="00CE0936"/>
    <w:rsid w:val="00CE12CC"/>
    <w:rsid w:val="00CE304A"/>
    <w:rsid w:val="00CE30C5"/>
    <w:rsid w:val="00CE4699"/>
    <w:rsid w:val="00CE5C32"/>
    <w:rsid w:val="00CE5CA0"/>
    <w:rsid w:val="00CE698B"/>
    <w:rsid w:val="00CE7175"/>
    <w:rsid w:val="00CF045E"/>
    <w:rsid w:val="00CF1DDC"/>
    <w:rsid w:val="00CF318E"/>
    <w:rsid w:val="00CF334D"/>
    <w:rsid w:val="00CF3379"/>
    <w:rsid w:val="00CF3CFA"/>
    <w:rsid w:val="00CF444A"/>
    <w:rsid w:val="00CF4D04"/>
    <w:rsid w:val="00CF519F"/>
    <w:rsid w:val="00CF5DE8"/>
    <w:rsid w:val="00CF6836"/>
    <w:rsid w:val="00CF7727"/>
    <w:rsid w:val="00D00EFC"/>
    <w:rsid w:val="00D01212"/>
    <w:rsid w:val="00D024DE"/>
    <w:rsid w:val="00D02F6F"/>
    <w:rsid w:val="00D03554"/>
    <w:rsid w:val="00D048B7"/>
    <w:rsid w:val="00D04CAD"/>
    <w:rsid w:val="00D05087"/>
    <w:rsid w:val="00D05B66"/>
    <w:rsid w:val="00D06CA9"/>
    <w:rsid w:val="00D071DE"/>
    <w:rsid w:val="00D07D75"/>
    <w:rsid w:val="00D116C0"/>
    <w:rsid w:val="00D116CC"/>
    <w:rsid w:val="00D11E73"/>
    <w:rsid w:val="00D138AE"/>
    <w:rsid w:val="00D150DB"/>
    <w:rsid w:val="00D17335"/>
    <w:rsid w:val="00D17516"/>
    <w:rsid w:val="00D21538"/>
    <w:rsid w:val="00D21E1A"/>
    <w:rsid w:val="00D2281D"/>
    <w:rsid w:val="00D238EC"/>
    <w:rsid w:val="00D24585"/>
    <w:rsid w:val="00D25EE4"/>
    <w:rsid w:val="00D26216"/>
    <w:rsid w:val="00D26510"/>
    <w:rsid w:val="00D26570"/>
    <w:rsid w:val="00D266CD"/>
    <w:rsid w:val="00D27D0C"/>
    <w:rsid w:val="00D30CA2"/>
    <w:rsid w:val="00D30FE4"/>
    <w:rsid w:val="00D31700"/>
    <w:rsid w:val="00D331C0"/>
    <w:rsid w:val="00D3348C"/>
    <w:rsid w:val="00D33E57"/>
    <w:rsid w:val="00D3493F"/>
    <w:rsid w:val="00D35B0E"/>
    <w:rsid w:val="00D3651D"/>
    <w:rsid w:val="00D36884"/>
    <w:rsid w:val="00D36A33"/>
    <w:rsid w:val="00D36F41"/>
    <w:rsid w:val="00D4173D"/>
    <w:rsid w:val="00D424A5"/>
    <w:rsid w:val="00D4348A"/>
    <w:rsid w:val="00D44653"/>
    <w:rsid w:val="00D44B5C"/>
    <w:rsid w:val="00D45A0E"/>
    <w:rsid w:val="00D45EEF"/>
    <w:rsid w:val="00D460CD"/>
    <w:rsid w:val="00D467A6"/>
    <w:rsid w:val="00D471CC"/>
    <w:rsid w:val="00D47B64"/>
    <w:rsid w:val="00D51788"/>
    <w:rsid w:val="00D52E35"/>
    <w:rsid w:val="00D53171"/>
    <w:rsid w:val="00D54846"/>
    <w:rsid w:val="00D573E6"/>
    <w:rsid w:val="00D601A2"/>
    <w:rsid w:val="00D622F2"/>
    <w:rsid w:val="00D629C0"/>
    <w:rsid w:val="00D6363C"/>
    <w:rsid w:val="00D6411F"/>
    <w:rsid w:val="00D64265"/>
    <w:rsid w:val="00D64570"/>
    <w:rsid w:val="00D654DB"/>
    <w:rsid w:val="00D66666"/>
    <w:rsid w:val="00D671A7"/>
    <w:rsid w:val="00D67904"/>
    <w:rsid w:val="00D701B8"/>
    <w:rsid w:val="00D70DAF"/>
    <w:rsid w:val="00D73246"/>
    <w:rsid w:val="00D7370D"/>
    <w:rsid w:val="00D738CF"/>
    <w:rsid w:val="00D7555F"/>
    <w:rsid w:val="00D7581D"/>
    <w:rsid w:val="00D759E7"/>
    <w:rsid w:val="00D75B3F"/>
    <w:rsid w:val="00D76EB9"/>
    <w:rsid w:val="00D776EA"/>
    <w:rsid w:val="00D80AAA"/>
    <w:rsid w:val="00D816E7"/>
    <w:rsid w:val="00D81782"/>
    <w:rsid w:val="00D8201C"/>
    <w:rsid w:val="00D82D07"/>
    <w:rsid w:val="00D83378"/>
    <w:rsid w:val="00D838DF"/>
    <w:rsid w:val="00D846E7"/>
    <w:rsid w:val="00D85B7F"/>
    <w:rsid w:val="00D85C88"/>
    <w:rsid w:val="00D90505"/>
    <w:rsid w:val="00D91163"/>
    <w:rsid w:val="00D91868"/>
    <w:rsid w:val="00D920D5"/>
    <w:rsid w:val="00D9252A"/>
    <w:rsid w:val="00D93481"/>
    <w:rsid w:val="00D94B1E"/>
    <w:rsid w:val="00D94F6C"/>
    <w:rsid w:val="00D95274"/>
    <w:rsid w:val="00D95CB8"/>
    <w:rsid w:val="00D9613D"/>
    <w:rsid w:val="00DA2598"/>
    <w:rsid w:val="00DA269B"/>
    <w:rsid w:val="00DA2BFF"/>
    <w:rsid w:val="00DA2C62"/>
    <w:rsid w:val="00DA3375"/>
    <w:rsid w:val="00DA3709"/>
    <w:rsid w:val="00DA6056"/>
    <w:rsid w:val="00DA6874"/>
    <w:rsid w:val="00DA6B33"/>
    <w:rsid w:val="00DB07EE"/>
    <w:rsid w:val="00DB14F0"/>
    <w:rsid w:val="00DB1D4F"/>
    <w:rsid w:val="00DB2537"/>
    <w:rsid w:val="00DB2CBD"/>
    <w:rsid w:val="00DB3310"/>
    <w:rsid w:val="00DB543E"/>
    <w:rsid w:val="00DB5827"/>
    <w:rsid w:val="00DB5E54"/>
    <w:rsid w:val="00DB64F2"/>
    <w:rsid w:val="00DB65B6"/>
    <w:rsid w:val="00DB6C87"/>
    <w:rsid w:val="00DB6FE1"/>
    <w:rsid w:val="00DC15F3"/>
    <w:rsid w:val="00DC1FFA"/>
    <w:rsid w:val="00DC2D12"/>
    <w:rsid w:val="00DC3587"/>
    <w:rsid w:val="00DC413E"/>
    <w:rsid w:val="00DC501D"/>
    <w:rsid w:val="00DC5479"/>
    <w:rsid w:val="00DC5622"/>
    <w:rsid w:val="00DC69B5"/>
    <w:rsid w:val="00DD2673"/>
    <w:rsid w:val="00DD356B"/>
    <w:rsid w:val="00DD4DAF"/>
    <w:rsid w:val="00DD52A2"/>
    <w:rsid w:val="00DD68AA"/>
    <w:rsid w:val="00DE0880"/>
    <w:rsid w:val="00DE2599"/>
    <w:rsid w:val="00DE31D5"/>
    <w:rsid w:val="00DE3DD2"/>
    <w:rsid w:val="00DE4676"/>
    <w:rsid w:val="00DE4934"/>
    <w:rsid w:val="00DE6059"/>
    <w:rsid w:val="00DE67B2"/>
    <w:rsid w:val="00DE75F0"/>
    <w:rsid w:val="00DE791B"/>
    <w:rsid w:val="00DE7BA3"/>
    <w:rsid w:val="00DF0A3A"/>
    <w:rsid w:val="00DF240B"/>
    <w:rsid w:val="00DF2A5A"/>
    <w:rsid w:val="00DF41FA"/>
    <w:rsid w:val="00DF47A9"/>
    <w:rsid w:val="00DF75B9"/>
    <w:rsid w:val="00E00936"/>
    <w:rsid w:val="00E02458"/>
    <w:rsid w:val="00E02879"/>
    <w:rsid w:val="00E0305B"/>
    <w:rsid w:val="00E061B5"/>
    <w:rsid w:val="00E06CA1"/>
    <w:rsid w:val="00E07295"/>
    <w:rsid w:val="00E07CC5"/>
    <w:rsid w:val="00E12626"/>
    <w:rsid w:val="00E12771"/>
    <w:rsid w:val="00E12808"/>
    <w:rsid w:val="00E12B73"/>
    <w:rsid w:val="00E13BDC"/>
    <w:rsid w:val="00E2032B"/>
    <w:rsid w:val="00E21566"/>
    <w:rsid w:val="00E22873"/>
    <w:rsid w:val="00E23060"/>
    <w:rsid w:val="00E2332F"/>
    <w:rsid w:val="00E2423F"/>
    <w:rsid w:val="00E24434"/>
    <w:rsid w:val="00E245FA"/>
    <w:rsid w:val="00E2516F"/>
    <w:rsid w:val="00E2529B"/>
    <w:rsid w:val="00E2540B"/>
    <w:rsid w:val="00E26B8A"/>
    <w:rsid w:val="00E31419"/>
    <w:rsid w:val="00E31FBC"/>
    <w:rsid w:val="00E32F97"/>
    <w:rsid w:val="00E334C3"/>
    <w:rsid w:val="00E342F4"/>
    <w:rsid w:val="00E34B9E"/>
    <w:rsid w:val="00E351FE"/>
    <w:rsid w:val="00E3598B"/>
    <w:rsid w:val="00E35E04"/>
    <w:rsid w:val="00E364FC"/>
    <w:rsid w:val="00E36A2E"/>
    <w:rsid w:val="00E371F1"/>
    <w:rsid w:val="00E375D2"/>
    <w:rsid w:val="00E40CDA"/>
    <w:rsid w:val="00E41936"/>
    <w:rsid w:val="00E43E45"/>
    <w:rsid w:val="00E447F5"/>
    <w:rsid w:val="00E4533C"/>
    <w:rsid w:val="00E45461"/>
    <w:rsid w:val="00E472F8"/>
    <w:rsid w:val="00E516CB"/>
    <w:rsid w:val="00E53385"/>
    <w:rsid w:val="00E53F76"/>
    <w:rsid w:val="00E54304"/>
    <w:rsid w:val="00E545F1"/>
    <w:rsid w:val="00E55688"/>
    <w:rsid w:val="00E55708"/>
    <w:rsid w:val="00E55E47"/>
    <w:rsid w:val="00E57A9A"/>
    <w:rsid w:val="00E57E82"/>
    <w:rsid w:val="00E60FA2"/>
    <w:rsid w:val="00E6100F"/>
    <w:rsid w:val="00E61A0C"/>
    <w:rsid w:val="00E61CF2"/>
    <w:rsid w:val="00E6321D"/>
    <w:rsid w:val="00E6420F"/>
    <w:rsid w:val="00E644EB"/>
    <w:rsid w:val="00E65693"/>
    <w:rsid w:val="00E660BF"/>
    <w:rsid w:val="00E66AED"/>
    <w:rsid w:val="00E66E95"/>
    <w:rsid w:val="00E67379"/>
    <w:rsid w:val="00E7126A"/>
    <w:rsid w:val="00E7255F"/>
    <w:rsid w:val="00E7310D"/>
    <w:rsid w:val="00E74016"/>
    <w:rsid w:val="00E74D5F"/>
    <w:rsid w:val="00E7532F"/>
    <w:rsid w:val="00E765E8"/>
    <w:rsid w:val="00E76615"/>
    <w:rsid w:val="00E7748F"/>
    <w:rsid w:val="00E77DDF"/>
    <w:rsid w:val="00E801DD"/>
    <w:rsid w:val="00E80837"/>
    <w:rsid w:val="00E81076"/>
    <w:rsid w:val="00E81223"/>
    <w:rsid w:val="00E82230"/>
    <w:rsid w:val="00E837D6"/>
    <w:rsid w:val="00E8553B"/>
    <w:rsid w:val="00E867E7"/>
    <w:rsid w:val="00E86FF5"/>
    <w:rsid w:val="00E8772D"/>
    <w:rsid w:val="00E87C1D"/>
    <w:rsid w:val="00E90F6E"/>
    <w:rsid w:val="00E93785"/>
    <w:rsid w:val="00E9386A"/>
    <w:rsid w:val="00E9504E"/>
    <w:rsid w:val="00E950E8"/>
    <w:rsid w:val="00E95E26"/>
    <w:rsid w:val="00E966D9"/>
    <w:rsid w:val="00E97062"/>
    <w:rsid w:val="00E976C4"/>
    <w:rsid w:val="00EA153D"/>
    <w:rsid w:val="00EA1CDA"/>
    <w:rsid w:val="00EA4016"/>
    <w:rsid w:val="00EA4813"/>
    <w:rsid w:val="00EA4855"/>
    <w:rsid w:val="00EA5899"/>
    <w:rsid w:val="00EA7EA7"/>
    <w:rsid w:val="00EB175A"/>
    <w:rsid w:val="00EB4C17"/>
    <w:rsid w:val="00EB5051"/>
    <w:rsid w:val="00EB55A8"/>
    <w:rsid w:val="00EB5DF3"/>
    <w:rsid w:val="00EB5F19"/>
    <w:rsid w:val="00EB7045"/>
    <w:rsid w:val="00EC401C"/>
    <w:rsid w:val="00EC4A41"/>
    <w:rsid w:val="00EC4F32"/>
    <w:rsid w:val="00EC5A46"/>
    <w:rsid w:val="00EC5F19"/>
    <w:rsid w:val="00EC6614"/>
    <w:rsid w:val="00EC6DAF"/>
    <w:rsid w:val="00ED0CEE"/>
    <w:rsid w:val="00ED1022"/>
    <w:rsid w:val="00ED263A"/>
    <w:rsid w:val="00ED33A1"/>
    <w:rsid w:val="00ED4AEB"/>
    <w:rsid w:val="00ED4B38"/>
    <w:rsid w:val="00ED4CD1"/>
    <w:rsid w:val="00ED4E96"/>
    <w:rsid w:val="00ED6DEE"/>
    <w:rsid w:val="00ED7BAC"/>
    <w:rsid w:val="00EE18A6"/>
    <w:rsid w:val="00EE1960"/>
    <w:rsid w:val="00EE4679"/>
    <w:rsid w:val="00EE5350"/>
    <w:rsid w:val="00EE68BA"/>
    <w:rsid w:val="00EE68D2"/>
    <w:rsid w:val="00EE6964"/>
    <w:rsid w:val="00EE7715"/>
    <w:rsid w:val="00EF0DA2"/>
    <w:rsid w:val="00EF398C"/>
    <w:rsid w:val="00EF50F7"/>
    <w:rsid w:val="00EF529E"/>
    <w:rsid w:val="00EF60F4"/>
    <w:rsid w:val="00EF68E8"/>
    <w:rsid w:val="00EF7399"/>
    <w:rsid w:val="00F0038D"/>
    <w:rsid w:val="00F00F2C"/>
    <w:rsid w:val="00F01053"/>
    <w:rsid w:val="00F020FF"/>
    <w:rsid w:val="00F037D8"/>
    <w:rsid w:val="00F130F1"/>
    <w:rsid w:val="00F13A82"/>
    <w:rsid w:val="00F140B6"/>
    <w:rsid w:val="00F16229"/>
    <w:rsid w:val="00F21E1A"/>
    <w:rsid w:val="00F22592"/>
    <w:rsid w:val="00F23918"/>
    <w:rsid w:val="00F262F9"/>
    <w:rsid w:val="00F26E07"/>
    <w:rsid w:val="00F30503"/>
    <w:rsid w:val="00F3235F"/>
    <w:rsid w:val="00F32F2D"/>
    <w:rsid w:val="00F333C8"/>
    <w:rsid w:val="00F33AB8"/>
    <w:rsid w:val="00F33EC1"/>
    <w:rsid w:val="00F36E87"/>
    <w:rsid w:val="00F374CB"/>
    <w:rsid w:val="00F40AFB"/>
    <w:rsid w:val="00F412B0"/>
    <w:rsid w:val="00F41703"/>
    <w:rsid w:val="00F427B6"/>
    <w:rsid w:val="00F42BE7"/>
    <w:rsid w:val="00F43F95"/>
    <w:rsid w:val="00F45060"/>
    <w:rsid w:val="00F45308"/>
    <w:rsid w:val="00F45C39"/>
    <w:rsid w:val="00F45D4B"/>
    <w:rsid w:val="00F46153"/>
    <w:rsid w:val="00F47BD6"/>
    <w:rsid w:val="00F47C19"/>
    <w:rsid w:val="00F502D4"/>
    <w:rsid w:val="00F50F0D"/>
    <w:rsid w:val="00F510BC"/>
    <w:rsid w:val="00F51F6F"/>
    <w:rsid w:val="00F525F3"/>
    <w:rsid w:val="00F53059"/>
    <w:rsid w:val="00F53A04"/>
    <w:rsid w:val="00F53F6F"/>
    <w:rsid w:val="00F5429A"/>
    <w:rsid w:val="00F55ECD"/>
    <w:rsid w:val="00F57AB2"/>
    <w:rsid w:val="00F57CC5"/>
    <w:rsid w:val="00F57DBB"/>
    <w:rsid w:val="00F60002"/>
    <w:rsid w:val="00F60241"/>
    <w:rsid w:val="00F6208C"/>
    <w:rsid w:val="00F623D8"/>
    <w:rsid w:val="00F62FE3"/>
    <w:rsid w:val="00F6333E"/>
    <w:rsid w:val="00F67C87"/>
    <w:rsid w:val="00F70E4A"/>
    <w:rsid w:val="00F71027"/>
    <w:rsid w:val="00F720BC"/>
    <w:rsid w:val="00F72A7D"/>
    <w:rsid w:val="00F7309A"/>
    <w:rsid w:val="00F73578"/>
    <w:rsid w:val="00F75213"/>
    <w:rsid w:val="00F753CA"/>
    <w:rsid w:val="00F75A96"/>
    <w:rsid w:val="00F75ADB"/>
    <w:rsid w:val="00F76B0B"/>
    <w:rsid w:val="00F814D2"/>
    <w:rsid w:val="00F8258C"/>
    <w:rsid w:val="00F83033"/>
    <w:rsid w:val="00F844BE"/>
    <w:rsid w:val="00F84D8F"/>
    <w:rsid w:val="00F9009D"/>
    <w:rsid w:val="00F91750"/>
    <w:rsid w:val="00F91791"/>
    <w:rsid w:val="00F91F4A"/>
    <w:rsid w:val="00F93D82"/>
    <w:rsid w:val="00F93E5F"/>
    <w:rsid w:val="00F94BB0"/>
    <w:rsid w:val="00F956F3"/>
    <w:rsid w:val="00F9620C"/>
    <w:rsid w:val="00F97141"/>
    <w:rsid w:val="00F97653"/>
    <w:rsid w:val="00F97ED8"/>
    <w:rsid w:val="00FA01F3"/>
    <w:rsid w:val="00FA048E"/>
    <w:rsid w:val="00FA0F24"/>
    <w:rsid w:val="00FA14BF"/>
    <w:rsid w:val="00FA3FE6"/>
    <w:rsid w:val="00FA54F1"/>
    <w:rsid w:val="00FA6146"/>
    <w:rsid w:val="00FA694F"/>
    <w:rsid w:val="00FA699B"/>
    <w:rsid w:val="00FA7889"/>
    <w:rsid w:val="00FA7C0F"/>
    <w:rsid w:val="00FB005F"/>
    <w:rsid w:val="00FB12DA"/>
    <w:rsid w:val="00FB3755"/>
    <w:rsid w:val="00FB3A50"/>
    <w:rsid w:val="00FB4B01"/>
    <w:rsid w:val="00FB6B4E"/>
    <w:rsid w:val="00FB6F0D"/>
    <w:rsid w:val="00FB7198"/>
    <w:rsid w:val="00FB72A4"/>
    <w:rsid w:val="00FB7E34"/>
    <w:rsid w:val="00FC18C8"/>
    <w:rsid w:val="00FC20B0"/>
    <w:rsid w:val="00FC2218"/>
    <w:rsid w:val="00FC233C"/>
    <w:rsid w:val="00FC272F"/>
    <w:rsid w:val="00FC34F2"/>
    <w:rsid w:val="00FC3F5C"/>
    <w:rsid w:val="00FC44DE"/>
    <w:rsid w:val="00FC4EB7"/>
    <w:rsid w:val="00FC5DEB"/>
    <w:rsid w:val="00FC778F"/>
    <w:rsid w:val="00FC79B3"/>
    <w:rsid w:val="00FC7C75"/>
    <w:rsid w:val="00FD129E"/>
    <w:rsid w:val="00FD139E"/>
    <w:rsid w:val="00FD300D"/>
    <w:rsid w:val="00FD35DA"/>
    <w:rsid w:val="00FD407A"/>
    <w:rsid w:val="00FD52A6"/>
    <w:rsid w:val="00FD6BB2"/>
    <w:rsid w:val="00FD6F60"/>
    <w:rsid w:val="00FD736D"/>
    <w:rsid w:val="00FD7E85"/>
    <w:rsid w:val="00FE0BB1"/>
    <w:rsid w:val="00FE17F1"/>
    <w:rsid w:val="00FE2DE6"/>
    <w:rsid w:val="00FE3720"/>
    <w:rsid w:val="00FE3982"/>
    <w:rsid w:val="00FE3DAA"/>
    <w:rsid w:val="00FE4A20"/>
    <w:rsid w:val="00FE4F92"/>
    <w:rsid w:val="00FE75EF"/>
    <w:rsid w:val="00FF05CE"/>
    <w:rsid w:val="00FF0EAA"/>
    <w:rsid w:val="00FF1035"/>
    <w:rsid w:val="00FF1768"/>
    <w:rsid w:val="00FF2B79"/>
    <w:rsid w:val="00FF3400"/>
    <w:rsid w:val="00FF45A3"/>
    <w:rsid w:val="00FF6104"/>
    <w:rsid w:val="00FF63E3"/>
    <w:rsid w:val="00FF7116"/>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9611E4"/>
  <w15:docId w15:val="{D9D780C4-690E-4340-AFF5-77E7FD8D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98"/>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paragraph" w:styleId="Revision">
    <w:name w:val="Revision"/>
    <w:hidden/>
    <w:uiPriority w:val="99"/>
    <w:semiHidden/>
    <w:rsid w:val="00DD4DAF"/>
    <w:rPr>
      <w:rFonts w:ascii="Times New Roman" w:hAnsi="Times New Roman"/>
      <w:sz w:val="24"/>
      <w:szCs w:val="22"/>
    </w:rPr>
  </w:style>
  <w:style w:type="character" w:styleId="CommentReference">
    <w:name w:val="annotation reference"/>
    <w:basedOn w:val="DefaultParagraphFont"/>
    <w:uiPriority w:val="99"/>
    <w:semiHidden/>
    <w:unhideWhenUsed/>
    <w:rsid w:val="00BF7178"/>
    <w:rPr>
      <w:sz w:val="16"/>
      <w:szCs w:val="16"/>
    </w:rPr>
  </w:style>
  <w:style w:type="paragraph" w:styleId="CommentText">
    <w:name w:val="annotation text"/>
    <w:basedOn w:val="Normal"/>
    <w:link w:val="CommentTextChar"/>
    <w:uiPriority w:val="99"/>
    <w:semiHidden/>
    <w:unhideWhenUsed/>
    <w:rsid w:val="00BF7178"/>
    <w:rPr>
      <w:sz w:val="20"/>
      <w:szCs w:val="20"/>
    </w:rPr>
  </w:style>
  <w:style w:type="character" w:customStyle="1" w:styleId="CommentTextChar">
    <w:name w:val="Comment Text Char"/>
    <w:basedOn w:val="DefaultParagraphFont"/>
    <w:link w:val="CommentText"/>
    <w:uiPriority w:val="99"/>
    <w:semiHidden/>
    <w:rsid w:val="00BF717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7178"/>
    <w:rPr>
      <w:b/>
      <w:bCs/>
    </w:rPr>
  </w:style>
  <w:style w:type="character" w:customStyle="1" w:styleId="CommentSubjectChar">
    <w:name w:val="Comment Subject Char"/>
    <w:basedOn w:val="CommentTextChar"/>
    <w:link w:val="CommentSubject"/>
    <w:uiPriority w:val="99"/>
    <w:semiHidden/>
    <w:rsid w:val="00BF7178"/>
    <w:rPr>
      <w:rFonts w:ascii="Times New Roman" w:hAnsi="Times New Roman"/>
      <w:b/>
      <w:bCs/>
    </w:rPr>
  </w:style>
  <w:style w:type="paragraph" w:styleId="PlainText">
    <w:name w:val="Plain Text"/>
    <w:basedOn w:val="Normal"/>
    <w:link w:val="PlainTextChar"/>
    <w:uiPriority w:val="99"/>
    <w:semiHidden/>
    <w:unhideWhenUsed/>
    <w:rsid w:val="00B162C7"/>
    <w:rPr>
      <w:rFonts w:ascii="Consolas" w:hAnsi="Consolas" w:cs="Consolas"/>
      <w:sz w:val="21"/>
      <w:szCs w:val="21"/>
    </w:rPr>
  </w:style>
  <w:style w:type="character" w:customStyle="1" w:styleId="PlainTextChar">
    <w:name w:val="Plain Text Char"/>
    <w:basedOn w:val="DefaultParagraphFont"/>
    <w:link w:val="PlainText"/>
    <w:uiPriority w:val="99"/>
    <w:semiHidden/>
    <w:rsid w:val="00B162C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8855">
      <w:bodyDiv w:val="1"/>
      <w:marLeft w:val="0"/>
      <w:marRight w:val="0"/>
      <w:marTop w:val="0"/>
      <w:marBottom w:val="0"/>
      <w:divBdr>
        <w:top w:val="none" w:sz="0" w:space="0" w:color="auto"/>
        <w:left w:val="none" w:sz="0" w:space="0" w:color="auto"/>
        <w:bottom w:val="none" w:sz="0" w:space="0" w:color="auto"/>
        <w:right w:val="none" w:sz="0" w:space="0" w:color="auto"/>
      </w:divBdr>
    </w:div>
    <w:div w:id="149640151">
      <w:bodyDiv w:val="1"/>
      <w:marLeft w:val="0"/>
      <w:marRight w:val="0"/>
      <w:marTop w:val="0"/>
      <w:marBottom w:val="0"/>
      <w:divBdr>
        <w:top w:val="none" w:sz="0" w:space="0" w:color="auto"/>
        <w:left w:val="none" w:sz="0" w:space="0" w:color="auto"/>
        <w:bottom w:val="none" w:sz="0" w:space="0" w:color="auto"/>
        <w:right w:val="none" w:sz="0" w:space="0" w:color="auto"/>
      </w:divBdr>
    </w:div>
    <w:div w:id="171604965">
      <w:bodyDiv w:val="1"/>
      <w:marLeft w:val="0"/>
      <w:marRight w:val="0"/>
      <w:marTop w:val="0"/>
      <w:marBottom w:val="0"/>
      <w:divBdr>
        <w:top w:val="none" w:sz="0" w:space="0" w:color="auto"/>
        <w:left w:val="none" w:sz="0" w:space="0" w:color="auto"/>
        <w:bottom w:val="none" w:sz="0" w:space="0" w:color="auto"/>
        <w:right w:val="none" w:sz="0" w:space="0" w:color="auto"/>
      </w:divBdr>
    </w:div>
    <w:div w:id="552694833">
      <w:bodyDiv w:val="1"/>
      <w:marLeft w:val="0"/>
      <w:marRight w:val="0"/>
      <w:marTop w:val="0"/>
      <w:marBottom w:val="0"/>
      <w:divBdr>
        <w:top w:val="none" w:sz="0" w:space="0" w:color="auto"/>
        <w:left w:val="none" w:sz="0" w:space="0" w:color="auto"/>
        <w:bottom w:val="none" w:sz="0" w:space="0" w:color="auto"/>
        <w:right w:val="none" w:sz="0" w:space="0" w:color="auto"/>
      </w:divBdr>
    </w:div>
    <w:div w:id="1487093933">
      <w:bodyDiv w:val="1"/>
      <w:marLeft w:val="0"/>
      <w:marRight w:val="0"/>
      <w:marTop w:val="0"/>
      <w:marBottom w:val="0"/>
      <w:divBdr>
        <w:top w:val="none" w:sz="0" w:space="0" w:color="auto"/>
        <w:left w:val="none" w:sz="0" w:space="0" w:color="auto"/>
        <w:bottom w:val="none" w:sz="0" w:space="0" w:color="auto"/>
        <w:right w:val="none" w:sz="0" w:space="0" w:color="auto"/>
      </w:divBdr>
    </w:div>
    <w:div w:id="1639844666">
      <w:bodyDiv w:val="1"/>
      <w:marLeft w:val="0"/>
      <w:marRight w:val="0"/>
      <w:marTop w:val="0"/>
      <w:marBottom w:val="0"/>
      <w:divBdr>
        <w:top w:val="none" w:sz="0" w:space="0" w:color="auto"/>
        <w:left w:val="none" w:sz="0" w:space="0" w:color="auto"/>
        <w:bottom w:val="none" w:sz="0" w:space="0" w:color="auto"/>
        <w:right w:val="none" w:sz="0" w:space="0" w:color="auto"/>
      </w:divBdr>
    </w:div>
    <w:div w:id="1919316404">
      <w:bodyDiv w:val="1"/>
      <w:marLeft w:val="0"/>
      <w:marRight w:val="0"/>
      <w:marTop w:val="0"/>
      <w:marBottom w:val="0"/>
      <w:divBdr>
        <w:top w:val="none" w:sz="0" w:space="0" w:color="auto"/>
        <w:left w:val="none" w:sz="0" w:space="0" w:color="auto"/>
        <w:bottom w:val="none" w:sz="0" w:space="0" w:color="auto"/>
        <w:right w:val="none" w:sz="0" w:space="0" w:color="auto"/>
      </w:divBdr>
    </w:div>
    <w:div w:id="19754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FC1EA-7501-479E-A8B6-CA4046AF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7845</Words>
  <Characters>44717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Shelton</dc:creator>
  <cp:lastModifiedBy>Zavala, Mel</cp:lastModifiedBy>
  <cp:revision>5</cp:revision>
  <cp:lastPrinted>2010-10-14T20:25:00Z</cp:lastPrinted>
  <dcterms:created xsi:type="dcterms:W3CDTF">2022-01-20T23:34:00Z</dcterms:created>
  <dcterms:modified xsi:type="dcterms:W3CDTF">2022-01-21T21:11:00Z</dcterms:modified>
</cp:coreProperties>
</file>