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06219A" w:rsidRDefault="00565A5C" w:rsidP="004B5699">
      <w:pPr>
        <w:pStyle w:val="Heading1"/>
        <w:spacing w:before="0"/>
      </w:pPr>
      <w:bookmarkStart w:id="0" w:name="designation"/>
      <w:bookmarkStart w:id="1" w:name="_GoBack"/>
      <w:bookmarkEnd w:id="0"/>
      <w:bookmarkEnd w:id="1"/>
      <w:r w:rsidRPr="0006219A">
        <w:t>P</w:t>
      </w:r>
      <w:r w:rsidR="00526F07" w:rsidRPr="0006219A">
        <w:t>UBLIC MATTER—</w:t>
      </w:r>
      <w:r w:rsidRPr="0006219A">
        <w:t xml:space="preserve">NOT DESIGNATED FOR </w:t>
      </w:r>
      <w:r w:rsidRPr="009D6097">
        <w:t>PUBLICATION</w:t>
      </w:r>
    </w:p>
    <w:p w:rsidR="00B231E1" w:rsidRPr="0006219A" w:rsidRDefault="00B231E1" w:rsidP="009A046D">
      <w:pPr>
        <w:contextualSpacing/>
        <w:rPr>
          <w:szCs w:val="24"/>
        </w:rPr>
      </w:pPr>
    </w:p>
    <w:p w:rsidR="00065A44" w:rsidRPr="0006219A" w:rsidRDefault="00D306C7" w:rsidP="009D6097">
      <w:pPr>
        <w:pStyle w:val="Heading2"/>
      </w:pPr>
      <w:r>
        <w:tab/>
      </w:r>
      <w:r>
        <w:tab/>
      </w:r>
      <w:r>
        <w:tab/>
      </w:r>
      <w:r>
        <w:tab/>
      </w:r>
      <w:r>
        <w:tab/>
      </w:r>
      <w:r>
        <w:tab/>
      </w:r>
      <w:r>
        <w:tab/>
      </w:r>
      <w:r>
        <w:tab/>
        <w:t>Filed March 13, 2018</w:t>
      </w:r>
    </w:p>
    <w:p w:rsidR="00832223" w:rsidRPr="0006219A" w:rsidRDefault="00832223" w:rsidP="00C13F27">
      <w:pPr>
        <w:rPr>
          <w:szCs w:val="24"/>
        </w:rPr>
      </w:pPr>
    </w:p>
    <w:p w:rsidR="00251530" w:rsidRPr="0006219A" w:rsidRDefault="00251530" w:rsidP="00C13F27">
      <w:pPr>
        <w:rPr>
          <w:szCs w:val="24"/>
        </w:rPr>
      </w:pPr>
    </w:p>
    <w:p w:rsidR="00832223" w:rsidRPr="0006219A" w:rsidRDefault="00832223" w:rsidP="00C13F27">
      <w:pPr>
        <w:rPr>
          <w:szCs w:val="24"/>
        </w:rPr>
      </w:pPr>
    </w:p>
    <w:p w:rsidR="00832223" w:rsidRPr="0006219A" w:rsidRDefault="00832223" w:rsidP="00832223">
      <w:pPr>
        <w:jc w:val="center"/>
        <w:rPr>
          <w:b/>
          <w:szCs w:val="24"/>
        </w:rPr>
      </w:pPr>
      <w:r w:rsidRPr="0006219A">
        <w:rPr>
          <w:b/>
          <w:szCs w:val="24"/>
        </w:rPr>
        <w:t>STATE BAR COURT OF CALIFORNIA</w:t>
      </w:r>
    </w:p>
    <w:p w:rsidR="00832223" w:rsidRPr="0006219A" w:rsidRDefault="00832223" w:rsidP="00832223">
      <w:pPr>
        <w:jc w:val="center"/>
        <w:rPr>
          <w:b/>
          <w:szCs w:val="24"/>
        </w:rPr>
      </w:pPr>
    </w:p>
    <w:p w:rsidR="00832223" w:rsidRPr="0006219A" w:rsidRDefault="00832223" w:rsidP="00832223">
      <w:pPr>
        <w:jc w:val="center"/>
        <w:rPr>
          <w:b/>
          <w:szCs w:val="24"/>
        </w:rPr>
      </w:pPr>
      <w:r w:rsidRPr="0006219A">
        <w:rPr>
          <w:b/>
          <w:szCs w:val="24"/>
        </w:rPr>
        <w:t>REVIEW DEPARTMENT</w:t>
      </w:r>
    </w:p>
    <w:p w:rsidR="00832223" w:rsidRPr="0006219A" w:rsidRDefault="00832223" w:rsidP="00832223">
      <w:pPr>
        <w:jc w:val="center"/>
        <w:rPr>
          <w:b/>
          <w:szCs w:val="24"/>
        </w:rPr>
      </w:pPr>
    </w:p>
    <w:p w:rsidR="00832223" w:rsidRPr="0006219A" w:rsidRDefault="00832223" w:rsidP="00832223">
      <w:pPr>
        <w:rPr>
          <w:b/>
          <w:szCs w:val="24"/>
        </w:rPr>
      </w:pPr>
    </w:p>
    <w:tbl>
      <w:tblPr>
        <w:tblStyle w:val="TableGrid"/>
        <w:tblW w:w="0" w:type="auto"/>
        <w:tblLook w:val="04A0" w:firstRow="1" w:lastRow="0" w:firstColumn="1" w:lastColumn="0" w:noHBand="0" w:noVBand="1"/>
        <w:tblCaption w:val="Michael Whitcomb Sganga Opinioni"/>
        <w:tblDescription w:val="In the Matter of Michael Whitcomb Sganga, A Member of the State Bar, No. 227179  Case No. 15-O-11512"/>
      </w:tblPr>
      <w:tblGrid>
        <w:gridCol w:w="4770"/>
        <w:gridCol w:w="497"/>
        <w:gridCol w:w="4201"/>
      </w:tblGrid>
      <w:tr w:rsidR="00832223" w:rsidRPr="0006219A" w:rsidTr="00357051">
        <w:tc>
          <w:tcPr>
            <w:tcW w:w="4770" w:type="dxa"/>
            <w:tcBorders>
              <w:top w:val="nil"/>
              <w:left w:val="nil"/>
              <w:right w:val="nil"/>
            </w:tcBorders>
            <w:tcMar>
              <w:left w:w="0" w:type="dxa"/>
              <w:right w:w="0" w:type="dxa"/>
            </w:tcMar>
          </w:tcPr>
          <w:p w:rsidR="00832223" w:rsidRPr="0006219A" w:rsidRDefault="00832223" w:rsidP="00357051">
            <w:pPr>
              <w:rPr>
                <w:szCs w:val="24"/>
              </w:rPr>
            </w:pPr>
            <w:r w:rsidRPr="0006219A">
              <w:rPr>
                <w:szCs w:val="24"/>
              </w:rPr>
              <w:t>In the Matter of</w:t>
            </w:r>
          </w:p>
          <w:p w:rsidR="00832223" w:rsidRPr="0006219A" w:rsidRDefault="00832223" w:rsidP="00357051">
            <w:pPr>
              <w:rPr>
                <w:szCs w:val="24"/>
              </w:rPr>
            </w:pPr>
          </w:p>
          <w:p w:rsidR="00832223" w:rsidRPr="0006219A" w:rsidRDefault="009A046D" w:rsidP="00357051">
            <w:pPr>
              <w:rPr>
                <w:szCs w:val="24"/>
              </w:rPr>
            </w:pPr>
            <w:bookmarkStart w:id="2" w:name="Respondent"/>
            <w:bookmarkEnd w:id="2"/>
            <w:r w:rsidRPr="0006219A">
              <w:rPr>
                <w:szCs w:val="24"/>
              </w:rPr>
              <w:t>MICHAEL WHITCOMB SGANGA</w:t>
            </w:r>
            <w:r w:rsidR="00832223" w:rsidRPr="0006219A">
              <w:rPr>
                <w:szCs w:val="24"/>
              </w:rPr>
              <w:t>,</w:t>
            </w:r>
          </w:p>
          <w:p w:rsidR="00832223" w:rsidRPr="0006219A" w:rsidRDefault="00832223" w:rsidP="00357051">
            <w:pPr>
              <w:rPr>
                <w:szCs w:val="24"/>
              </w:rPr>
            </w:pPr>
          </w:p>
          <w:p w:rsidR="00832223" w:rsidRPr="0006219A" w:rsidRDefault="00565A5C" w:rsidP="00357051">
            <w:pPr>
              <w:rPr>
                <w:szCs w:val="24"/>
              </w:rPr>
            </w:pPr>
            <w:bookmarkStart w:id="3" w:name="type"/>
            <w:bookmarkEnd w:id="3"/>
            <w:r w:rsidRPr="0006219A">
              <w:rPr>
                <w:szCs w:val="24"/>
              </w:rPr>
              <w:t>A Member of the State Bar, No.</w:t>
            </w:r>
            <w:r w:rsidR="00832223" w:rsidRPr="0006219A">
              <w:rPr>
                <w:szCs w:val="24"/>
              </w:rPr>
              <w:t xml:space="preserve"> </w:t>
            </w:r>
            <w:bookmarkStart w:id="4" w:name="memno"/>
            <w:bookmarkStart w:id="5" w:name="MemberNo"/>
            <w:bookmarkEnd w:id="4"/>
            <w:bookmarkEnd w:id="5"/>
            <w:r w:rsidR="009A046D" w:rsidRPr="0006219A">
              <w:rPr>
                <w:szCs w:val="24"/>
              </w:rPr>
              <w:t>227179</w:t>
            </w:r>
            <w:r w:rsidRPr="0006219A">
              <w:rPr>
                <w:szCs w:val="24"/>
              </w:rPr>
              <w:t>.</w:t>
            </w:r>
          </w:p>
        </w:tc>
        <w:tc>
          <w:tcPr>
            <w:tcW w:w="497" w:type="dxa"/>
            <w:tcBorders>
              <w:top w:val="nil"/>
              <w:left w:val="nil"/>
              <w:bottom w:val="nil"/>
              <w:right w:val="nil"/>
            </w:tcBorders>
            <w:tcMar>
              <w:left w:w="0" w:type="dxa"/>
              <w:right w:w="0" w:type="dxa"/>
            </w:tcMar>
          </w:tcPr>
          <w:p w:rsidR="00832223" w:rsidRPr="0006219A" w:rsidRDefault="00832223" w:rsidP="00357051">
            <w:pPr>
              <w:rPr>
                <w:b/>
                <w:szCs w:val="24"/>
              </w:rPr>
            </w:pPr>
            <w:r w:rsidRPr="0006219A">
              <w:rPr>
                <w:b/>
                <w:szCs w:val="24"/>
              </w:rPr>
              <w:t>)</w:t>
            </w:r>
          </w:p>
          <w:p w:rsidR="00832223" w:rsidRPr="0006219A" w:rsidRDefault="00832223" w:rsidP="00357051">
            <w:pPr>
              <w:rPr>
                <w:b/>
                <w:szCs w:val="24"/>
              </w:rPr>
            </w:pPr>
            <w:r w:rsidRPr="0006219A">
              <w:rPr>
                <w:b/>
                <w:szCs w:val="24"/>
              </w:rPr>
              <w:t>)</w:t>
            </w:r>
            <w:r w:rsidRPr="0006219A">
              <w:rPr>
                <w:b/>
                <w:szCs w:val="24"/>
              </w:rPr>
              <w:br/>
              <w:t>)</w:t>
            </w:r>
            <w:r w:rsidRPr="0006219A">
              <w:rPr>
                <w:b/>
                <w:szCs w:val="24"/>
              </w:rPr>
              <w:br/>
              <w:t>)</w:t>
            </w:r>
            <w:r w:rsidRPr="0006219A">
              <w:rPr>
                <w:b/>
                <w:szCs w:val="24"/>
              </w:rPr>
              <w:br/>
              <w:t>)</w:t>
            </w:r>
            <w:r w:rsidRPr="0006219A">
              <w:rPr>
                <w:b/>
                <w:szCs w:val="24"/>
              </w:rPr>
              <w:br/>
              <w:t>)</w:t>
            </w:r>
          </w:p>
        </w:tc>
        <w:tc>
          <w:tcPr>
            <w:tcW w:w="4201" w:type="dxa"/>
            <w:tcBorders>
              <w:top w:val="nil"/>
              <w:left w:val="nil"/>
              <w:bottom w:val="nil"/>
              <w:right w:val="nil"/>
            </w:tcBorders>
          </w:tcPr>
          <w:p w:rsidR="00832223" w:rsidRPr="0006219A" w:rsidRDefault="00832223" w:rsidP="00357051">
            <w:pPr>
              <w:rPr>
                <w:szCs w:val="24"/>
              </w:rPr>
            </w:pPr>
            <w:r w:rsidRPr="0006219A">
              <w:rPr>
                <w:szCs w:val="24"/>
              </w:rPr>
              <w:t xml:space="preserve">Case No. </w:t>
            </w:r>
            <w:bookmarkStart w:id="6" w:name="caseno"/>
            <w:bookmarkEnd w:id="6"/>
            <w:r w:rsidR="009A046D" w:rsidRPr="0006219A">
              <w:rPr>
                <w:szCs w:val="24"/>
              </w:rPr>
              <w:t>15-O-11512</w:t>
            </w:r>
          </w:p>
          <w:p w:rsidR="00832223" w:rsidRPr="0006219A" w:rsidRDefault="00832223" w:rsidP="00357051">
            <w:pPr>
              <w:rPr>
                <w:szCs w:val="24"/>
              </w:rPr>
            </w:pPr>
          </w:p>
          <w:p w:rsidR="00832223" w:rsidRPr="0006219A" w:rsidRDefault="00565A5C" w:rsidP="00357051">
            <w:pPr>
              <w:rPr>
                <w:szCs w:val="24"/>
              </w:rPr>
            </w:pPr>
            <w:bookmarkStart w:id="7" w:name="title"/>
            <w:bookmarkEnd w:id="7"/>
            <w:r w:rsidRPr="0006219A">
              <w:rPr>
                <w:szCs w:val="24"/>
              </w:rPr>
              <w:t>OPINION</w:t>
            </w:r>
            <w:r w:rsidR="00AC74E4" w:rsidRPr="0006219A">
              <w:rPr>
                <w:szCs w:val="24"/>
              </w:rPr>
              <w:t xml:space="preserve"> AND ORDER</w:t>
            </w:r>
          </w:p>
        </w:tc>
      </w:tr>
    </w:tbl>
    <w:p w:rsidR="00832223" w:rsidRPr="0006219A" w:rsidRDefault="00832223" w:rsidP="00832223">
      <w:pPr>
        <w:rPr>
          <w:szCs w:val="24"/>
        </w:rPr>
      </w:pPr>
    </w:p>
    <w:p w:rsidR="00050CDF" w:rsidRPr="0006219A" w:rsidRDefault="00D31E59" w:rsidP="00EE2EB5">
      <w:pPr>
        <w:tabs>
          <w:tab w:val="left" w:pos="720"/>
        </w:tabs>
        <w:spacing w:line="480" w:lineRule="auto"/>
        <w:rPr>
          <w:szCs w:val="24"/>
        </w:rPr>
      </w:pPr>
      <w:r w:rsidRPr="0006219A">
        <w:rPr>
          <w:szCs w:val="24"/>
        </w:rPr>
        <w:tab/>
      </w:r>
      <w:r w:rsidR="00EE2338" w:rsidRPr="0006219A">
        <w:rPr>
          <w:szCs w:val="24"/>
        </w:rPr>
        <w:t xml:space="preserve">Michael Whitcomb Sganga </w:t>
      </w:r>
      <w:r w:rsidR="00B67EFB" w:rsidRPr="0006219A">
        <w:rPr>
          <w:szCs w:val="24"/>
        </w:rPr>
        <w:t>stipulated to</w:t>
      </w:r>
      <w:r w:rsidR="00B45D83" w:rsidRPr="0006219A">
        <w:rPr>
          <w:szCs w:val="24"/>
        </w:rPr>
        <w:t>,</w:t>
      </w:r>
      <w:r w:rsidR="00B67EFB" w:rsidRPr="0006219A">
        <w:rPr>
          <w:szCs w:val="24"/>
        </w:rPr>
        <w:t xml:space="preserve"> and was found culpable of</w:t>
      </w:r>
      <w:r w:rsidR="00B45D83" w:rsidRPr="0006219A">
        <w:rPr>
          <w:szCs w:val="24"/>
        </w:rPr>
        <w:t>,</w:t>
      </w:r>
      <w:r w:rsidR="00B67EFB" w:rsidRPr="0006219A">
        <w:rPr>
          <w:szCs w:val="24"/>
        </w:rPr>
        <w:t xml:space="preserve"> </w:t>
      </w:r>
      <w:r w:rsidR="00F3034E" w:rsidRPr="0006219A">
        <w:rPr>
          <w:szCs w:val="24"/>
        </w:rPr>
        <w:t xml:space="preserve">multiple </w:t>
      </w:r>
      <w:r w:rsidR="00B67EFB" w:rsidRPr="0006219A">
        <w:rPr>
          <w:szCs w:val="24"/>
        </w:rPr>
        <w:t>ac</w:t>
      </w:r>
      <w:r w:rsidR="00F3034E" w:rsidRPr="0006219A">
        <w:rPr>
          <w:szCs w:val="24"/>
        </w:rPr>
        <w:t>ts</w:t>
      </w:r>
      <w:r w:rsidRPr="0006219A">
        <w:rPr>
          <w:szCs w:val="24"/>
        </w:rPr>
        <w:t xml:space="preserve"> </w:t>
      </w:r>
      <w:r w:rsidR="00C36D86" w:rsidRPr="0006219A">
        <w:rPr>
          <w:szCs w:val="24"/>
        </w:rPr>
        <w:t>of misconduct</w:t>
      </w:r>
      <w:r w:rsidR="00050CDF" w:rsidRPr="0006219A">
        <w:rPr>
          <w:szCs w:val="24"/>
        </w:rPr>
        <w:t>, including intentionally misappropriating $61,500</w:t>
      </w:r>
      <w:r w:rsidR="00EE2338" w:rsidRPr="0006219A">
        <w:rPr>
          <w:szCs w:val="24"/>
        </w:rPr>
        <w:t xml:space="preserve"> </w:t>
      </w:r>
      <w:r w:rsidR="00DB4258" w:rsidRPr="0006219A">
        <w:rPr>
          <w:szCs w:val="24"/>
        </w:rPr>
        <w:t xml:space="preserve">in a two-client </w:t>
      </w:r>
      <w:r w:rsidR="00B67EFB" w:rsidRPr="0006219A">
        <w:rPr>
          <w:szCs w:val="24"/>
        </w:rPr>
        <w:t>l</w:t>
      </w:r>
      <w:r w:rsidR="00EE2338" w:rsidRPr="0006219A">
        <w:rPr>
          <w:szCs w:val="24"/>
        </w:rPr>
        <w:t>itigation matter</w:t>
      </w:r>
      <w:r w:rsidR="000C5C2E" w:rsidRPr="0006219A">
        <w:rPr>
          <w:szCs w:val="24"/>
        </w:rPr>
        <w:t>.</w:t>
      </w:r>
      <w:r w:rsidR="00B67EFB" w:rsidRPr="0006219A">
        <w:rPr>
          <w:szCs w:val="24"/>
        </w:rPr>
        <w:t xml:space="preserve">  </w:t>
      </w:r>
      <w:r w:rsidR="00C6503E" w:rsidRPr="0006219A">
        <w:rPr>
          <w:szCs w:val="24"/>
        </w:rPr>
        <w:t>A hearing judge found that S</w:t>
      </w:r>
      <w:r w:rsidR="00B67EFB" w:rsidRPr="0006219A">
        <w:rPr>
          <w:szCs w:val="24"/>
        </w:rPr>
        <w:t>ganga</w:t>
      </w:r>
      <w:r w:rsidR="00DB4258" w:rsidRPr="0006219A">
        <w:rPr>
          <w:szCs w:val="24"/>
        </w:rPr>
        <w:t xml:space="preserve"> established </w:t>
      </w:r>
      <w:r w:rsidR="00B67EFB" w:rsidRPr="0006219A">
        <w:rPr>
          <w:szCs w:val="24"/>
        </w:rPr>
        <w:t>mitigating circumstance</w:t>
      </w:r>
      <w:r w:rsidR="00462757" w:rsidRPr="0006219A">
        <w:rPr>
          <w:szCs w:val="24"/>
        </w:rPr>
        <w:t>s</w:t>
      </w:r>
      <w:r w:rsidR="00D36AB6" w:rsidRPr="0006219A">
        <w:rPr>
          <w:szCs w:val="24"/>
        </w:rPr>
        <w:t xml:space="preserve"> compelling </w:t>
      </w:r>
      <w:r w:rsidR="00B67EFB" w:rsidRPr="0006219A">
        <w:rPr>
          <w:szCs w:val="24"/>
        </w:rPr>
        <w:t xml:space="preserve">enough to overcome </w:t>
      </w:r>
      <w:r w:rsidR="00C6503E" w:rsidRPr="0006219A">
        <w:rPr>
          <w:szCs w:val="24"/>
        </w:rPr>
        <w:t>the presumed sanction of disbarment</w:t>
      </w:r>
      <w:r w:rsidR="00D36AB6" w:rsidRPr="0006219A">
        <w:rPr>
          <w:szCs w:val="24"/>
        </w:rPr>
        <w:t xml:space="preserve">, and </w:t>
      </w:r>
      <w:r w:rsidR="00B67EFB" w:rsidRPr="0006219A">
        <w:rPr>
          <w:szCs w:val="24"/>
        </w:rPr>
        <w:t xml:space="preserve">recommended </w:t>
      </w:r>
      <w:r w:rsidR="00C6503E" w:rsidRPr="0006219A">
        <w:rPr>
          <w:szCs w:val="24"/>
        </w:rPr>
        <w:t>a</w:t>
      </w:r>
      <w:r w:rsidR="00B67EFB" w:rsidRPr="0006219A">
        <w:rPr>
          <w:rFonts w:eastAsia="Times New Roman"/>
          <w:szCs w:val="24"/>
        </w:rPr>
        <w:t xml:space="preserve"> 60-day actual suspension.</w:t>
      </w:r>
    </w:p>
    <w:p w:rsidR="00D31E59" w:rsidRPr="0006219A" w:rsidRDefault="00050CDF" w:rsidP="00EE2EB5">
      <w:pPr>
        <w:tabs>
          <w:tab w:val="left" w:pos="720"/>
        </w:tabs>
        <w:spacing w:line="480" w:lineRule="auto"/>
        <w:rPr>
          <w:szCs w:val="24"/>
        </w:rPr>
      </w:pPr>
      <w:r w:rsidRPr="0006219A">
        <w:rPr>
          <w:szCs w:val="24"/>
        </w:rPr>
        <w:tab/>
      </w:r>
      <w:r w:rsidR="00C6503E" w:rsidRPr="0006219A">
        <w:rPr>
          <w:rFonts w:eastAsia="Times New Roman"/>
          <w:szCs w:val="24"/>
        </w:rPr>
        <w:t>The Office of Chief Trial Counsel of the State Bar (</w:t>
      </w:r>
      <w:r w:rsidR="00C6503E" w:rsidRPr="0006219A">
        <w:rPr>
          <w:szCs w:val="24"/>
        </w:rPr>
        <w:t xml:space="preserve">OCTC) appeals.  It seeks disbarment, arguing that the record contains more aggravation and </w:t>
      </w:r>
      <w:r w:rsidR="004C10A9" w:rsidRPr="0006219A">
        <w:rPr>
          <w:szCs w:val="24"/>
        </w:rPr>
        <w:t>significantly less mitig</w:t>
      </w:r>
      <w:r w:rsidR="00E84AC9" w:rsidRPr="0006219A">
        <w:rPr>
          <w:szCs w:val="24"/>
        </w:rPr>
        <w:t>ation</w:t>
      </w:r>
      <w:r w:rsidR="00462757" w:rsidRPr="0006219A">
        <w:rPr>
          <w:szCs w:val="24"/>
        </w:rPr>
        <w:t xml:space="preserve"> than found by the hearing judge</w:t>
      </w:r>
      <w:r w:rsidR="00995EF2" w:rsidRPr="0006219A">
        <w:rPr>
          <w:szCs w:val="24"/>
        </w:rPr>
        <w:t xml:space="preserve">.  Sganga </w:t>
      </w:r>
      <w:r w:rsidR="004C148B" w:rsidRPr="0006219A">
        <w:rPr>
          <w:szCs w:val="24"/>
        </w:rPr>
        <w:t>does</w:t>
      </w:r>
      <w:r w:rsidR="00995EF2" w:rsidRPr="0006219A">
        <w:rPr>
          <w:szCs w:val="24"/>
        </w:rPr>
        <w:t xml:space="preserve"> not </w:t>
      </w:r>
      <w:r w:rsidR="000C3BF0" w:rsidRPr="0006219A">
        <w:rPr>
          <w:szCs w:val="24"/>
        </w:rPr>
        <w:t>appeal</w:t>
      </w:r>
      <w:r w:rsidR="004C148B" w:rsidRPr="0006219A">
        <w:rPr>
          <w:szCs w:val="24"/>
        </w:rPr>
        <w:t xml:space="preserve"> and</w:t>
      </w:r>
      <w:r w:rsidR="00D31E59" w:rsidRPr="0006219A">
        <w:rPr>
          <w:szCs w:val="24"/>
        </w:rPr>
        <w:t xml:space="preserve"> requests </w:t>
      </w:r>
      <w:r w:rsidR="00462757" w:rsidRPr="0006219A">
        <w:rPr>
          <w:szCs w:val="24"/>
        </w:rPr>
        <w:t xml:space="preserve">that </w:t>
      </w:r>
      <w:r w:rsidR="00D31E59" w:rsidRPr="0006219A">
        <w:rPr>
          <w:szCs w:val="24"/>
        </w:rPr>
        <w:t xml:space="preserve">we </w:t>
      </w:r>
      <w:r w:rsidR="000C3BF0" w:rsidRPr="0006219A">
        <w:rPr>
          <w:szCs w:val="24"/>
        </w:rPr>
        <w:t>affirm the judge’s decision.</w:t>
      </w:r>
    </w:p>
    <w:p w:rsidR="0035465D" w:rsidRPr="0006219A" w:rsidRDefault="00D31E59" w:rsidP="00EE2EB5">
      <w:pPr>
        <w:spacing w:line="480" w:lineRule="auto"/>
        <w:ind w:firstLine="720"/>
        <w:rPr>
          <w:szCs w:val="24"/>
        </w:rPr>
      </w:pPr>
      <w:r w:rsidRPr="0006219A">
        <w:rPr>
          <w:szCs w:val="24"/>
        </w:rPr>
        <w:t>Upon independent review of the record (Cal. Rules of Court, rule</w:t>
      </w:r>
      <w:r w:rsidR="00F709C8" w:rsidRPr="0006219A">
        <w:rPr>
          <w:szCs w:val="24"/>
        </w:rPr>
        <w:t> </w:t>
      </w:r>
      <w:r w:rsidRPr="0006219A">
        <w:rPr>
          <w:szCs w:val="24"/>
        </w:rPr>
        <w:t xml:space="preserve">9.12), we </w:t>
      </w:r>
      <w:r w:rsidR="008D036C" w:rsidRPr="0006219A">
        <w:rPr>
          <w:szCs w:val="24"/>
        </w:rPr>
        <w:t>affirm</w:t>
      </w:r>
      <w:r w:rsidR="00030CAC" w:rsidRPr="0006219A">
        <w:rPr>
          <w:szCs w:val="24"/>
        </w:rPr>
        <w:t xml:space="preserve"> </w:t>
      </w:r>
      <w:r w:rsidR="00B464F4" w:rsidRPr="0006219A">
        <w:rPr>
          <w:szCs w:val="24"/>
        </w:rPr>
        <w:t xml:space="preserve">the hearing judge’s </w:t>
      </w:r>
      <w:r w:rsidRPr="0006219A">
        <w:rPr>
          <w:szCs w:val="24"/>
        </w:rPr>
        <w:t>culpability</w:t>
      </w:r>
      <w:r w:rsidR="00B464F4" w:rsidRPr="0006219A">
        <w:rPr>
          <w:szCs w:val="24"/>
        </w:rPr>
        <w:t xml:space="preserve"> findings,</w:t>
      </w:r>
      <w:r w:rsidR="00462757" w:rsidRPr="0006219A">
        <w:rPr>
          <w:szCs w:val="24"/>
        </w:rPr>
        <w:t xml:space="preserve"> but </w:t>
      </w:r>
      <w:r w:rsidR="00204326" w:rsidRPr="0006219A">
        <w:rPr>
          <w:szCs w:val="24"/>
        </w:rPr>
        <w:t xml:space="preserve">find </w:t>
      </w:r>
      <w:r w:rsidR="00821A3B" w:rsidRPr="0006219A">
        <w:rPr>
          <w:szCs w:val="24"/>
        </w:rPr>
        <w:t>additional</w:t>
      </w:r>
      <w:r w:rsidR="00204326" w:rsidRPr="0006219A">
        <w:rPr>
          <w:szCs w:val="24"/>
        </w:rPr>
        <w:t xml:space="preserve"> aggravation and a lack of compelling mitigation. </w:t>
      </w:r>
      <w:r w:rsidR="00821A3B" w:rsidRPr="0006219A">
        <w:rPr>
          <w:szCs w:val="24"/>
        </w:rPr>
        <w:t xml:space="preserve"> </w:t>
      </w:r>
      <w:r w:rsidR="00B464F4" w:rsidRPr="0006219A">
        <w:rPr>
          <w:szCs w:val="24"/>
        </w:rPr>
        <w:t xml:space="preserve">Under these circumstances, the applicable </w:t>
      </w:r>
      <w:r w:rsidR="006C1A27" w:rsidRPr="0006219A">
        <w:rPr>
          <w:szCs w:val="24"/>
        </w:rPr>
        <w:t>disciplinary standards</w:t>
      </w:r>
      <w:r w:rsidR="00B464F4" w:rsidRPr="0006219A">
        <w:rPr>
          <w:szCs w:val="24"/>
        </w:rPr>
        <w:t xml:space="preserve"> call for disbarment.  We find no reason to depart from th</w:t>
      </w:r>
      <w:r w:rsidR="00821A3B" w:rsidRPr="0006219A">
        <w:rPr>
          <w:szCs w:val="24"/>
        </w:rPr>
        <w:t>em,</w:t>
      </w:r>
      <w:r w:rsidR="006C1A27" w:rsidRPr="0006219A">
        <w:rPr>
          <w:szCs w:val="24"/>
        </w:rPr>
        <w:t xml:space="preserve"> </w:t>
      </w:r>
      <w:r w:rsidR="00B464F4" w:rsidRPr="0006219A">
        <w:rPr>
          <w:szCs w:val="24"/>
        </w:rPr>
        <w:t>and therefore recommend that Sganga be disbarred</w:t>
      </w:r>
      <w:r w:rsidR="006C1A27" w:rsidRPr="0006219A">
        <w:rPr>
          <w:szCs w:val="24"/>
        </w:rPr>
        <w:t>.</w:t>
      </w:r>
    </w:p>
    <w:p w:rsidR="00C43BC9" w:rsidRPr="0006219A" w:rsidRDefault="00AC74E4" w:rsidP="00EE2EB5">
      <w:pPr>
        <w:pStyle w:val="ListParagraph"/>
        <w:spacing w:line="480" w:lineRule="auto"/>
        <w:ind w:left="0"/>
        <w:jc w:val="center"/>
        <w:rPr>
          <w:rFonts w:eastAsia="Times New Roman"/>
          <w:b/>
          <w:szCs w:val="24"/>
        </w:rPr>
      </w:pPr>
      <w:r w:rsidRPr="0006219A">
        <w:rPr>
          <w:b/>
          <w:szCs w:val="24"/>
        </w:rPr>
        <w:t xml:space="preserve">I.  </w:t>
      </w:r>
      <w:r w:rsidR="00C43BC9" w:rsidRPr="0006219A">
        <w:rPr>
          <w:rFonts w:eastAsia="Times New Roman"/>
          <w:b/>
          <w:szCs w:val="24"/>
        </w:rPr>
        <w:t>PROCEDURAL BACKGROUND</w:t>
      </w:r>
    </w:p>
    <w:p w:rsidR="00B45D83" w:rsidRPr="0006219A" w:rsidRDefault="00B45D83" w:rsidP="003857E4">
      <w:pPr>
        <w:spacing w:line="480" w:lineRule="auto"/>
        <w:rPr>
          <w:rFonts w:eastAsia="Times New Roman"/>
          <w:szCs w:val="24"/>
        </w:rPr>
      </w:pPr>
      <w:r w:rsidRPr="0006219A">
        <w:rPr>
          <w:rFonts w:eastAsia="Times New Roman"/>
          <w:szCs w:val="24"/>
        </w:rPr>
        <w:tab/>
      </w:r>
      <w:r w:rsidR="006C1A27" w:rsidRPr="0006219A">
        <w:rPr>
          <w:rFonts w:eastAsia="Times New Roman"/>
          <w:szCs w:val="24"/>
        </w:rPr>
        <w:t>Sganga was admitted to the practice of law in California on December</w:t>
      </w:r>
      <w:r w:rsidR="00F709C8" w:rsidRPr="0006219A">
        <w:rPr>
          <w:rFonts w:eastAsia="Times New Roman"/>
          <w:szCs w:val="24"/>
        </w:rPr>
        <w:t> </w:t>
      </w:r>
      <w:r w:rsidR="006C1A27" w:rsidRPr="0006219A">
        <w:rPr>
          <w:rFonts w:eastAsia="Times New Roman"/>
          <w:szCs w:val="24"/>
        </w:rPr>
        <w:t xml:space="preserve">1, 2003.  </w:t>
      </w:r>
      <w:r w:rsidR="00C43BC9" w:rsidRPr="0006219A">
        <w:rPr>
          <w:rFonts w:eastAsia="Times New Roman"/>
          <w:szCs w:val="24"/>
        </w:rPr>
        <w:t xml:space="preserve">On </w:t>
      </w:r>
      <w:r w:rsidR="00C429FA" w:rsidRPr="0006219A">
        <w:rPr>
          <w:rFonts w:eastAsia="Times New Roman"/>
          <w:szCs w:val="24"/>
        </w:rPr>
        <w:t>December</w:t>
      </w:r>
      <w:r w:rsidR="00C43BC9" w:rsidRPr="0006219A">
        <w:rPr>
          <w:rFonts w:eastAsia="Times New Roman"/>
          <w:szCs w:val="24"/>
        </w:rPr>
        <w:t> </w:t>
      </w:r>
      <w:r w:rsidR="00C429FA" w:rsidRPr="0006219A">
        <w:rPr>
          <w:rFonts w:eastAsia="Times New Roman"/>
          <w:szCs w:val="24"/>
        </w:rPr>
        <w:t>15</w:t>
      </w:r>
      <w:r w:rsidR="00C43BC9" w:rsidRPr="0006219A">
        <w:rPr>
          <w:rFonts w:eastAsia="Times New Roman"/>
          <w:szCs w:val="24"/>
        </w:rPr>
        <w:t xml:space="preserve">, </w:t>
      </w:r>
      <w:r w:rsidR="00C429FA" w:rsidRPr="0006219A">
        <w:rPr>
          <w:rFonts w:eastAsia="Times New Roman"/>
          <w:szCs w:val="24"/>
        </w:rPr>
        <w:t>2015, OCTC filed a six</w:t>
      </w:r>
      <w:r w:rsidR="00C43BC9" w:rsidRPr="0006219A">
        <w:rPr>
          <w:rFonts w:eastAsia="Times New Roman"/>
          <w:szCs w:val="24"/>
        </w:rPr>
        <w:t>-count Notice of Disciplinary</w:t>
      </w:r>
      <w:r w:rsidR="00C429FA" w:rsidRPr="0006219A">
        <w:rPr>
          <w:rFonts w:eastAsia="Times New Roman"/>
          <w:szCs w:val="24"/>
        </w:rPr>
        <w:t xml:space="preserve"> Charges (NDC) alleging </w:t>
      </w:r>
      <w:r w:rsidR="000E3AB6" w:rsidRPr="0006219A">
        <w:rPr>
          <w:rFonts w:eastAsia="Times New Roman"/>
          <w:szCs w:val="24"/>
        </w:rPr>
        <w:t xml:space="preserve">  </w:t>
      </w:r>
      <w:r w:rsidR="00C429FA" w:rsidRPr="0006219A">
        <w:rPr>
          <w:rFonts w:eastAsia="Times New Roman"/>
          <w:szCs w:val="24"/>
        </w:rPr>
        <w:t xml:space="preserve">that </w:t>
      </w:r>
      <w:r w:rsidR="000E3AB6" w:rsidRPr="0006219A">
        <w:rPr>
          <w:rFonts w:eastAsia="Times New Roman"/>
          <w:szCs w:val="24"/>
        </w:rPr>
        <w:t xml:space="preserve">Sganga </w:t>
      </w:r>
      <w:r w:rsidR="00E04BA3" w:rsidRPr="0006219A">
        <w:rPr>
          <w:rFonts w:eastAsia="Times New Roman"/>
          <w:szCs w:val="24"/>
        </w:rPr>
        <w:t xml:space="preserve">paid personal expenses out of his </w:t>
      </w:r>
      <w:r w:rsidR="00462757" w:rsidRPr="0006219A">
        <w:rPr>
          <w:rFonts w:eastAsia="Times New Roman"/>
          <w:szCs w:val="24"/>
        </w:rPr>
        <w:t>client trust account (</w:t>
      </w:r>
      <w:r w:rsidR="00E04BA3" w:rsidRPr="0006219A">
        <w:rPr>
          <w:rFonts w:eastAsia="Times New Roman"/>
          <w:szCs w:val="24"/>
        </w:rPr>
        <w:t>CT</w:t>
      </w:r>
      <w:r w:rsidR="008F5EE3" w:rsidRPr="0006219A">
        <w:rPr>
          <w:rFonts w:eastAsia="Times New Roman"/>
          <w:szCs w:val="24"/>
        </w:rPr>
        <w:t>A</w:t>
      </w:r>
      <w:r w:rsidR="00462757" w:rsidRPr="0006219A">
        <w:rPr>
          <w:rFonts w:eastAsia="Times New Roman"/>
          <w:szCs w:val="24"/>
        </w:rPr>
        <w:t>)</w:t>
      </w:r>
      <w:r w:rsidR="00C43BC9" w:rsidRPr="0006219A">
        <w:rPr>
          <w:rFonts w:eastAsia="Times New Roman"/>
          <w:szCs w:val="24"/>
        </w:rPr>
        <w:t xml:space="preserve">, in violation of </w:t>
      </w:r>
    </w:p>
    <w:p w:rsidR="00C43BC9" w:rsidRPr="0006219A" w:rsidRDefault="00C43BC9" w:rsidP="003857E4">
      <w:pPr>
        <w:spacing w:line="480" w:lineRule="auto"/>
        <w:rPr>
          <w:rFonts w:eastAsia="Times New Roman"/>
          <w:szCs w:val="24"/>
        </w:rPr>
      </w:pPr>
      <w:r w:rsidRPr="0006219A">
        <w:rPr>
          <w:rFonts w:eastAsia="Times New Roman"/>
          <w:szCs w:val="24"/>
        </w:rPr>
        <w:lastRenderedPageBreak/>
        <w:t>rule 4-100(</w:t>
      </w:r>
      <w:r w:rsidR="008F5EE3" w:rsidRPr="0006219A">
        <w:rPr>
          <w:rFonts w:eastAsia="Times New Roman"/>
          <w:szCs w:val="24"/>
        </w:rPr>
        <w:t>A</w:t>
      </w:r>
      <w:r w:rsidRPr="0006219A">
        <w:rPr>
          <w:rFonts w:eastAsia="Times New Roman"/>
          <w:szCs w:val="24"/>
        </w:rPr>
        <w:t>) of the Rules of Professional Conduct</w:t>
      </w:r>
      <w:r w:rsidR="008F5EE3" w:rsidRPr="0006219A">
        <w:rPr>
          <w:rFonts w:eastAsia="Times New Roman"/>
          <w:szCs w:val="24"/>
        </w:rPr>
        <w:t xml:space="preserve"> (count one)</w:t>
      </w:r>
      <w:r w:rsidRPr="0006219A">
        <w:rPr>
          <w:rFonts w:eastAsia="Times New Roman"/>
          <w:szCs w:val="24"/>
        </w:rPr>
        <w:t>;</w:t>
      </w:r>
      <w:r w:rsidRPr="0006219A">
        <w:rPr>
          <w:rFonts w:eastAsia="Times New Roman"/>
          <w:szCs w:val="24"/>
          <w:vertAlign w:val="superscript"/>
        </w:rPr>
        <w:footnoteReference w:id="1"/>
      </w:r>
      <w:r w:rsidRPr="0006219A">
        <w:rPr>
          <w:rFonts w:eastAsia="Times New Roman"/>
          <w:szCs w:val="24"/>
        </w:rPr>
        <w:t xml:space="preserve"> failed to </w:t>
      </w:r>
      <w:r w:rsidR="00E827FD" w:rsidRPr="0006219A">
        <w:rPr>
          <w:rFonts w:eastAsia="Times New Roman"/>
          <w:szCs w:val="24"/>
        </w:rPr>
        <w:t xml:space="preserve">timely </w:t>
      </w:r>
      <w:r w:rsidR="009B51CD" w:rsidRPr="0006219A">
        <w:rPr>
          <w:rFonts w:eastAsia="Times New Roman"/>
          <w:szCs w:val="24"/>
        </w:rPr>
        <w:t>withdraw funds, in violation of rule 4-100(A)(2) (count two);</w:t>
      </w:r>
      <w:r w:rsidR="009B51CD" w:rsidRPr="0006219A">
        <w:rPr>
          <w:rStyle w:val="FootnoteReference"/>
          <w:rFonts w:eastAsia="Times New Roman"/>
          <w:szCs w:val="24"/>
        </w:rPr>
        <w:footnoteReference w:id="2"/>
      </w:r>
      <w:r w:rsidR="009B51CD" w:rsidRPr="0006219A">
        <w:rPr>
          <w:rFonts w:eastAsia="Times New Roman"/>
          <w:szCs w:val="24"/>
        </w:rPr>
        <w:t xml:space="preserve"> withdrew disputed client funds, in violation of rule 4-100(A)(2) (count three); failed to </w:t>
      </w:r>
      <w:r w:rsidRPr="0006219A">
        <w:rPr>
          <w:rFonts w:eastAsia="Times New Roman"/>
          <w:szCs w:val="24"/>
        </w:rPr>
        <w:t>maintain client funds in his CTA, in violation of rule 4-100(A)</w:t>
      </w:r>
      <w:r w:rsidR="006A14C2" w:rsidRPr="0006219A">
        <w:rPr>
          <w:rFonts w:eastAsia="Times New Roman"/>
          <w:szCs w:val="24"/>
        </w:rPr>
        <w:t xml:space="preserve"> (count four)</w:t>
      </w:r>
      <w:r w:rsidRPr="0006219A">
        <w:rPr>
          <w:rFonts w:eastAsia="Times New Roman"/>
          <w:szCs w:val="24"/>
        </w:rPr>
        <w:t>;</w:t>
      </w:r>
      <w:r w:rsidRPr="0006219A">
        <w:rPr>
          <w:rStyle w:val="FootnoteReference"/>
          <w:rFonts w:eastAsia="Times New Roman"/>
          <w:szCs w:val="24"/>
        </w:rPr>
        <w:footnoteReference w:id="3"/>
      </w:r>
      <w:r w:rsidRPr="0006219A">
        <w:rPr>
          <w:rFonts w:eastAsia="Times New Roman"/>
          <w:szCs w:val="24"/>
        </w:rPr>
        <w:t> misappropriated client</w:t>
      </w:r>
      <w:r w:rsidR="006A14C2" w:rsidRPr="0006219A">
        <w:rPr>
          <w:rFonts w:eastAsia="Times New Roman"/>
          <w:szCs w:val="24"/>
        </w:rPr>
        <w:t xml:space="preserve"> </w:t>
      </w:r>
      <w:r w:rsidRPr="0006219A">
        <w:rPr>
          <w:rFonts w:eastAsia="Times New Roman"/>
          <w:szCs w:val="24"/>
        </w:rPr>
        <w:t>funds</w:t>
      </w:r>
      <w:r w:rsidRPr="0006219A">
        <w:rPr>
          <w:szCs w:val="24"/>
        </w:rPr>
        <w:t>, an act involving moral turpitude, dishonesty, or corruption, in violation of section 6106 of the Business and Professions Code</w:t>
      </w:r>
      <w:r w:rsidR="006A14C2" w:rsidRPr="0006219A">
        <w:rPr>
          <w:szCs w:val="24"/>
        </w:rPr>
        <w:t xml:space="preserve"> (count five)</w:t>
      </w:r>
      <w:r w:rsidRPr="0006219A">
        <w:rPr>
          <w:szCs w:val="24"/>
        </w:rPr>
        <w:t>;</w:t>
      </w:r>
      <w:r w:rsidRPr="0006219A">
        <w:rPr>
          <w:rStyle w:val="FootnoteReference"/>
          <w:szCs w:val="24"/>
        </w:rPr>
        <w:footnoteReference w:id="4"/>
      </w:r>
      <w:r w:rsidR="006A14C2" w:rsidRPr="0006219A">
        <w:rPr>
          <w:szCs w:val="24"/>
        </w:rPr>
        <w:t xml:space="preserve"> and</w:t>
      </w:r>
      <w:r w:rsidRPr="0006219A">
        <w:rPr>
          <w:szCs w:val="24"/>
        </w:rPr>
        <w:t> </w:t>
      </w:r>
      <w:r w:rsidR="006A14C2" w:rsidRPr="0006219A">
        <w:rPr>
          <w:szCs w:val="24"/>
        </w:rPr>
        <w:t>failed to obey a court order, in violation of section 6103 (count six).</w:t>
      </w:r>
      <w:r w:rsidR="006336DD" w:rsidRPr="0006219A">
        <w:rPr>
          <w:szCs w:val="24"/>
          <w:vertAlign w:val="superscript"/>
        </w:rPr>
        <w:footnoteReference w:id="5"/>
      </w:r>
    </w:p>
    <w:p w:rsidR="0082073F" w:rsidRPr="0006219A" w:rsidRDefault="006A14C2" w:rsidP="00C30265">
      <w:pPr>
        <w:spacing w:line="480" w:lineRule="auto"/>
        <w:ind w:firstLine="720"/>
        <w:rPr>
          <w:szCs w:val="24"/>
        </w:rPr>
      </w:pPr>
      <w:r w:rsidRPr="0006219A">
        <w:rPr>
          <w:rFonts w:eastAsia="Times New Roman"/>
          <w:szCs w:val="24"/>
        </w:rPr>
        <w:t>On February</w:t>
      </w:r>
      <w:r w:rsidR="00F709C8" w:rsidRPr="0006219A">
        <w:rPr>
          <w:rFonts w:eastAsia="Times New Roman"/>
          <w:szCs w:val="24"/>
        </w:rPr>
        <w:t> </w:t>
      </w:r>
      <w:r w:rsidRPr="0006219A">
        <w:rPr>
          <w:rFonts w:eastAsia="Times New Roman"/>
          <w:szCs w:val="24"/>
        </w:rPr>
        <w:t xml:space="preserve">9, 2017, the parties filed a Stipulation as to Facts and </w:t>
      </w:r>
      <w:r w:rsidR="00E729D7" w:rsidRPr="0006219A">
        <w:rPr>
          <w:rFonts w:eastAsia="Times New Roman"/>
          <w:szCs w:val="24"/>
        </w:rPr>
        <w:t>Conclusions of Law</w:t>
      </w:r>
      <w:r w:rsidR="00730CF5" w:rsidRPr="0006219A">
        <w:rPr>
          <w:rFonts w:eastAsia="Times New Roman"/>
          <w:szCs w:val="24"/>
        </w:rPr>
        <w:t xml:space="preserve"> (stipulation)</w:t>
      </w:r>
      <w:r w:rsidR="00E729D7" w:rsidRPr="0006219A">
        <w:rPr>
          <w:rFonts w:eastAsia="Times New Roman"/>
          <w:szCs w:val="24"/>
        </w:rPr>
        <w:t xml:space="preserve"> in which the</w:t>
      </w:r>
      <w:r w:rsidR="008D0093" w:rsidRPr="0006219A">
        <w:rPr>
          <w:rFonts w:eastAsia="Times New Roman"/>
          <w:szCs w:val="24"/>
        </w:rPr>
        <w:t>y</w:t>
      </w:r>
      <w:r w:rsidR="00E729D7" w:rsidRPr="0006219A">
        <w:rPr>
          <w:rFonts w:eastAsia="Times New Roman"/>
          <w:szCs w:val="24"/>
        </w:rPr>
        <w:t xml:space="preserve"> stipulated </w:t>
      </w:r>
      <w:r w:rsidR="008D0093" w:rsidRPr="0006219A">
        <w:rPr>
          <w:rFonts w:eastAsia="Times New Roman"/>
          <w:szCs w:val="24"/>
        </w:rPr>
        <w:t xml:space="preserve">to </w:t>
      </w:r>
      <w:r w:rsidR="006C6334" w:rsidRPr="0006219A">
        <w:rPr>
          <w:rFonts w:eastAsia="Times New Roman"/>
          <w:szCs w:val="24"/>
        </w:rPr>
        <w:t>Sganga’s culpability on counts one, four, five, and six</w:t>
      </w:r>
      <w:r w:rsidR="005F2794">
        <w:rPr>
          <w:rFonts w:eastAsia="Times New Roman"/>
          <w:szCs w:val="24"/>
        </w:rPr>
        <w:t>,</w:t>
      </w:r>
      <w:r w:rsidR="006C6334" w:rsidRPr="0006219A">
        <w:rPr>
          <w:rFonts w:eastAsia="Times New Roman"/>
          <w:szCs w:val="24"/>
        </w:rPr>
        <w:t xml:space="preserve"> and </w:t>
      </w:r>
      <w:r w:rsidR="0082073F" w:rsidRPr="0006219A">
        <w:rPr>
          <w:rFonts w:eastAsia="Times New Roman"/>
          <w:szCs w:val="24"/>
        </w:rPr>
        <w:t xml:space="preserve">to </w:t>
      </w:r>
      <w:r w:rsidR="00C30265" w:rsidRPr="0006219A">
        <w:rPr>
          <w:rFonts w:eastAsia="Times New Roman"/>
          <w:szCs w:val="24"/>
        </w:rPr>
        <w:t xml:space="preserve">the </w:t>
      </w:r>
      <w:r w:rsidR="008D0093" w:rsidRPr="0006219A">
        <w:rPr>
          <w:rFonts w:eastAsia="Times New Roman"/>
          <w:szCs w:val="24"/>
        </w:rPr>
        <w:t>dismissal of counts two and three</w:t>
      </w:r>
      <w:r w:rsidR="00B61BB9" w:rsidRPr="0006219A">
        <w:rPr>
          <w:rFonts w:eastAsia="Times New Roman"/>
          <w:szCs w:val="24"/>
        </w:rPr>
        <w:t>.</w:t>
      </w:r>
      <w:r w:rsidR="00E729D7" w:rsidRPr="0006219A">
        <w:rPr>
          <w:rFonts w:eastAsia="Times New Roman"/>
          <w:szCs w:val="24"/>
        </w:rPr>
        <w:t xml:space="preserve">  The hearing </w:t>
      </w:r>
      <w:r w:rsidR="00B61BB9" w:rsidRPr="0006219A">
        <w:rPr>
          <w:rFonts w:eastAsia="Times New Roman"/>
          <w:szCs w:val="24"/>
        </w:rPr>
        <w:t xml:space="preserve">judge approved the </w:t>
      </w:r>
      <w:r w:rsidR="004B2CCD" w:rsidRPr="0006219A">
        <w:rPr>
          <w:rFonts w:eastAsia="Times New Roman"/>
          <w:szCs w:val="24"/>
        </w:rPr>
        <w:t>s</w:t>
      </w:r>
      <w:r w:rsidR="00B61BB9" w:rsidRPr="0006219A">
        <w:rPr>
          <w:rFonts w:eastAsia="Times New Roman"/>
          <w:szCs w:val="24"/>
        </w:rPr>
        <w:t>tipulation</w:t>
      </w:r>
      <w:r w:rsidR="008D0093" w:rsidRPr="0006219A">
        <w:rPr>
          <w:rFonts w:eastAsia="Times New Roman"/>
          <w:szCs w:val="24"/>
        </w:rPr>
        <w:t xml:space="preserve"> on February</w:t>
      </w:r>
      <w:r w:rsidR="00F709C8" w:rsidRPr="0006219A">
        <w:rPr>
          <w:rFonts w:eastAsia="Times New Roman"/>
          <w:szCs w:val="24"/>
        </w:rPr>
        <w:t> </w:t>
      </w:r>
      <w:r w:rsidR="008D0093" w:rsidRPr="0006219A">
        <w:rPr>
          <w:rFonts w:eastAsia="Times New Roman"/>
          <w:szCs w:val="24"/>
        </w:rPr>
        <w:t>13, 2017</w:t>
      </w:r>
      <w:r w:rsidR="009D7E03" w:rsidRPr="0006219A">
        <w:rPr>
          <w:rFonts w:eastAsia="Times New Roman"/>
          <w:szCs w:val="24"/>
        </w:rPr>
        <w:t xml:space="preserve">, held </w:t>
      </w:r>
      <w:r w:rsidR="00C43BC9" w:rsidRPr="0006219A">
        <w:rPr>
          <w:rFonts w:eastAsia="Times New Roman"/>
          <w:szCs w:val="24"/>
        </w:rPr>
        <w:t>trial on February </w:t>
      </w:r>
      <w:r w:rsidR="00B61BB9" w:rsidRPr="0006219A">
        <w:rPr>
          <w:rFonts w:eastAsia="Times New Roman"/>
          <w:szCs w:val="24"/>
        </w:rPr>
        <w:t>15 and 16, 2017</w:t>
      </w:r>
      <w:r w:rsidR="009D7E03" w:rsidRPr="0006219A">
        <w:rPr>
          <w:rFonts w:eastAsia="Times New Roman"/>
          <w:szCs w:val="24"/>
        </w:rPr>
        <w:t xml:space="preserve">, and </w:t>
      </w:r>
      <w:r w:rsidR="008D0093" w:rsidRPr="0006219A">
        <w:rPr>
          <w:rFonts w:eastAsia="Times New Roman"/>
          <w:szCs w:val="24"/>
        </w:rPr>
        <w:t>issued her decision on April</w:t>
      </w:r>
      <w:r w:rsidR="00C43BC9" w:rsidRPr="0006219A">
        <w:rPr>
          <w:rFonts w:eastAsia="Times New Roman"/>
          <w:szCs w:val="24"/>
        </w:rPr>
        <w:t> </w:t>
      </w:r>
      <w:r w:rsidR="008D0093" w:rsidRPr="0006219A">
        <w:rPr>
          <w:rFonts w:eastAsia="Times New Roman"/>
          <w:szCs w:val="24"/>
        </w:rPr>
        <w:t>18, 2017.</w:t>
      </w:r>
      <w:r w:rsidR="00C30265" w:rsidRPr="0006219A">
        <w:rPr>
          <w:rFonts w:eastAsia="Times New Roman"/>
          <w:szCs w:val="24"/>
        </w:rPr>
        <w:t xml:space="preserve">  </w:t>
      </w:r>
      <w:r w:rsidR="00895E6B" w:rsidRPr="0006219A">
        <w:rPr>
          <w:rFonts w:eastAsia="Times New Roman"/>
          <w:szCs w:val="24"/>
        </w:rPr>
        <w:t>We focus our re</w:t>
      </w:r>
      <w:r w:rsidR="00C5477D" w:rsidRPr="0006219A">
        <w:rPr>
          <w:rFonts w:eastAsia="Times New Roman"/>
          <w:szCs w:val="24"/>
        </w:rPr>
        <w:t>view on the issues OCTC ra</w:t>
      </w:r>
      <w:r w:rsidR="00895E6B" w:rsidRPr="0006219A">
        <w:rPr>
          <w:rFonts w:eastAsia="Times New Roman"/>
          <w:szCs w:val="24"/>
        </w:rPr>
        <w:t xml:space="preserve">ised, namely, </w:t>
      </w:r>
      <w:r w:rsidR="00C5477D" w:rsidRPr="0006219A">
        <w:rPr>
          <w:rFonts w:eastAsia="Times New Roman"/>
          <w:szCs w:val="24"/>
        </w:rPr>
        <w:t xml:space="preserve">whether Sganga proved compelling mitigation and whether disbarment is the appropriate level of </w:t>
      </w:r>
      <w:r w:rsidR="00895E6B" w:rsidRPr="0006219A">
        <w:rPr>
          <w:szCs w:val="24"/>
        </w:rPr>
        <w:t>discipline.</w:t>
      </w:r>
    </w:p>
    <w:p w:rsidR="0082073F" w:rsidRPr="0006219A" w:rsidRDefault="0082073F">
      <w:pPr>
        <w:rPr>
          <w:szCs w:val="24"/>
        </w:rPr>
      </w:pPr>
      <w:r w:rsidRPr="0006219A">
        <w:rPr>
          <w:szCs w:val="24"/>
        </w:rPr>
        <w:br w:type="page"/>
      </w:r>
    </w:p>
    <w:p w:rsidR="004B2CCD" w:rsidRPr="0006219A" w:rsidRDefault="004B2CCD" w:rsidP="00EE2EB5">
      <w:pPr>
        <w:pStyle w:val="ListParagraph"/>
        <w:spacing w:line="480" w:lineRule="auto"/>
        <w:ind w:left="0"/>
        <w:jc w:val="center"/>
        <w:rPr>
          <w:rFonts w:eastAsia="Times New Roman"/>
          <w:b/>
          <w:szCs w:val="24"/>
        </w:rPr>
      </w:pPr>
      <w:r w:rsidRPr="0006219A">
        <w:rPr>
          <w:rFonts w:eastAsia="Times New Roman"/>
          <w:b/>
          <w:szCs w:val="24"/>
        </w:rPr>
        <w:lastRenderedPageBreak/>
        <w:t xml:space="preserve">II.  </w:t>
      </w:r>
      <w:r w:rsidR="00402A06" w:rsidRPr="0006219A">
        <w:rPr>
          <w:b/>
          <w:szCs w:val="24"/>
        </w:rPr>
        <w:t>FACTS AND CULPABILITY</w:t>
      </w:r>
    </w:p>
    <w:p w:rsidR="00402A06" w:rsidRPr="0006219A" w:rsidRDefault="00F42401" w:rsidP="00EE2EB5">
      <w:pPr>
        <w:spacing w:line="480" w:lineRule="auto"/>
        <w:ind w:firstLine="720"/>
        <w:rPr>
          <w:szCs w:val="24"/>
        </w:rPr>
      </w:pPr>
      <w:r w:rsidRPr="0006219A">
        <w:rPr>
          <w:szCs w:val="24"/>
        </w:rPr>
        <w:t>The facts are based on the parties’ stipulation, trial testimony, documentary evidence, and the hearing judge’s factual findings, which are entitled to great weight.  (Rules Proc. of State Bar, rule 5.155(A).)</w:t>
      </w:r>
      <w:r w:rsidRPr="0006219A">
        <w:rPr>
          <w:rStyle w:val="FootnoteReference"/>
          <w:szCs w:val="24"/>
        </w:rPr>
        <w:footnoteReference w:id="6"/>
      </w:r>
      <w:r w:rsidR="00925E1A" w:rsidRPr="0006219A">
        <w:rPr>
          <w:szCs w:val="24"/>
        </w:rPr>
        <w:t xml:space="preserve">  We adopt the</w:t>
      </w:r>
      <w:r w:rsidR="00C5477D" w:rsidRPr="0006219A">
        <w:rPr>
          <w:szCs w:val="24"/>
        </w:rPr>
        <w:t xml:space="preserve"> judge’s findings</w:t>
      </w:r>
      <w:r w:rsidR="00402A06" w:rsidRPr="0006219A">
        <w:rPr>
          <w:szCs w:val="24"/>
        </w:rPr>
        <w:t xml:space="preserve"> with minor </w:t>
      </w:r>
      <w:r w:rsidR="008E4F41" w:rsidRPr="0006219A">
        <w:rPr>
          <w:szCs w:val="24"/>
        </w:rPr>
        <w:t>changes</w:t>
      </w:r>
      <w:r w:rsidR="00425CA6" w:rsidRPr="0006219A">
        <w:rPr>
          <w:szCs w:val="24"/>
        </w:rPr>
        <w:t>,</w:t>
      </w:r>
      <w:r w:rsidR="00402A06" w:rsidRPr="0006219A">
        <w:rPr>
          <w:szCs w:val="24"/>
        </w:rPr>
        <w:t xml:space="preserve"> as </w:t>
      </w:r>
      <w:r w:rsidR="00460AED" w:rsidRPr="0006219A">
        <w:rPr>
          <w:szCs w:val="24"/>
        </w:rPr>
        <w:t>summarized below</w:t>
      </w:r>
      <w:r w:rsidR="000001EF" w:rsidRPr="0006219A">
        <w:rPr>
          <w:szCs w:val="24"/>
        </w:rPr>
        <w:t>.</w:t>
      </w:r>
    </w:p>
    <w:p w:rsidR="00954848" w:rsidRPr="0006219A" w:rsidRDefault="00954848" w:rsidP="00EE2EB5">
      <w:pPr>
        <w:pStyle w:val="ListParagraph"/>
        <w:numPr>
          <w:ilvl w:val="1"/>
          <w:numId w:val="23"/>
        </w:numPr>
        <w:spacing w:line="480" w:lineRule="auto"/>
        <w:rPr>
          <w:rFonts w:eastAsia="Times New Roman"/>
          <w:szCs w:val="24"/>
        </w:rPr>
      </w:pPr>
      <w:r w:rsidRPr="0006219A">
        <w:rPr>
          <w:rFonts w:eastAsia="Times New Roman"/>
          <w:b/>
          <w:szCs w:val="24"/>
        </w:rPr>
        <w:t>Fact</w:t>
      </w:r>
      <w:r w:rsidR="00E936A8" w:rsidRPr="0006219A">
        <w:rPr>
          <w:rFonts w:eastAsia="Times New Roman"/>
          <w:b/>
          <w:szCs w:val="24"/>
        </w:rPr>
        <w:t>ual Background</w:t>
      </w:r>
    </w:p>
    <w:p w:rsidR="00CD2C38" w:rsidRPr="0006219A" w:rsidRDefault="00CD2C38" w:rsidP="00EE2EB5">
      <w:pPr>
        <w:spacing w:line="480" w:lineRule="auto"/>
        <w:ind w:firstLine="720"/>
        <w:rPr>
          <w:rFonts w:eastAsia="Times New Roman"/>
          <w:szCs w:val="24"/>
        </w:rPr>
      </w:pPr>
      <w:r w:rsidRPr="0006219A">
        <w:rPr>
          <w:rFonts w:eastAsia="Times New Roman"/>
          <w:szCs w:val="24"/>
        </w:rPr>
        <w:t>On December</w:t>
      </w:r>
      <w:r w:rsidR="00F709C8" w:rsidRPr="0006219A">
        <w:rPr>
          <w:rFonts w:eastAsia="Times New Roman"/>
          <w:szCs w:val="24"/>
        </w:rPr>
        <w:t> </w:t>
      </w:r>
      <w:r w:rsidRPr="0006219A">
        <w:rPr>
          <w:rFonts w:eastAsia="Times New Roman"/>
          <w:szCs w:val="24"/>
        </w:rPr>
        <w:t xml:space="preserve">17, 2012, Murahari Amarnath and Jayaram Velagapudi hired Sganga to represent them in an action against SAI Technology Inc. and one of its officers (collectively, SAI) relating to investments </w:t>
      </w:r>
      <w:r w:rsidR="0035465D" w:rsidRPr="0006219A">
        <w:rPr>
          <w:rFonts w:eastAsia="Times New Roman"/>
          <w:szCs w:val="24"/>
        </w:rPr>
        <w:t xml:space="preserve">they </w:t>
      </w:r>
      <w:r w:rsidR="00973A25" w:rsidRPr="0006219A">
        <w:rPr>
          <w:rFonts w:eastAsia="Times New Roman"/>
          <w:szCs w:val="24"/>
        </w:rPr>
        <w:t xml:space="preserve">made </w:t>
      </w:r>
      <w:r w:rsidRPr="0006219A">
        <w:rPr>
          <w:rFonts w:eastAsia="Times New Roman"/>
          <w:szCs w:val="24"/>
        </w:rPr>
        <w:t xml:space="preserve">in SAI (SAI action).  Under their written Attorney-Client Fee Contract (fee agreement), Sganga was entitled to a fee that included a $5,000 initial payment, which </w:t>
      </w:r>
      <w:r w:rsidR="00973A25" w:rsidRPr="0006219A">
        <w:rPr>
          <w:rFonts w:eastAsia="Times New Roman"/>
          <w:szCs w:val="24"/>
        </w:rPr>
        <w:t xml:space="preserve">he received in December 2012, </w:t>
      </w:r>
      <w:r w:rsidRPr="0006219A">
        <w:rPr>
          <w:rFonts w:eastAsia="Times New Roman"/>
          <w:szCs w:val="24"/>
        </w:rPr>
        <w:t>plus 20</w:t>
      </w:r>
      <w:r w:rsidR="005C164A" w:rsidRPr="0006219A">
        <w:rPr>
          <w:rFonts w:eastAsia="Times New Roman"/>
          <w:szCs w:val="24"/>
        </w:rPr>
        <w:t> </w:t>
      </w:r>
      <w:r w:rsidRPr="0006219A">
        <w:rPr>
          <w:rFonts w:eastAsia="Times New Roman"/>
          <w:szCs w:val="24"/>
        </w:rPr>
        <w:t>percent of any recovered direct, actual, or compensatory damages, and 40 percent of any recovered punitive or exemplary damages.  The fee agreement did not anticipate a structured settlement, and thus was silent on this issue.</w:t>
      </w:r>
    </w:p>
    <w:p w:rsidR="0035465D" w:rsidRPr="0006219A" w:rsidRDefault="00CD2C38" w:rsidP="00EE2EB5">
      <w:pPr>
        <w:spacing w:line="480" w:lineRule="auto"/>
        <w:ind w:firstLine="720"/>
        <w:rPr>
          <w:rFonts w:eastAsia="Times New Roman"/>
          <w:szCs w:val="24"/>
        </w:rPr>
      </w:pPr>
      <w:r w:rsidRPr="0006219A">
        <w:rPr>
          <w:rFonts w:eastAsia="Times New Roman"/>
          <w:szCs w:val="24"/>
        </w:rPr>
        <w:t xml:space="preserve">Sganga settled the SAI action </w:t>
      </w:r>
      <w:r w:rsidR="005F2794">
        <w:rPr>
          <w:rFonts w:eastAsia="Times New Roman"/>
          <w:szCs w:val="24"/>
        </w:rPr>
        <w:t>10</w:t>
      </w:r>
      <w:r w:rsidRPr="0006219A">
        <w:rPr>
          <w:rFonts w:eastAsia="Times New Roman"/>
          <w:szCs w:val="24"/>
        </w:rPr>
        <w:t xml:space="preserve"> months later in October 2013.  As part of a structured settlement, SAI was required to make installment payments to Amarnath and Velagapudi in a minimum amount of $725,000 if paid in full by October</w:t>
      </w:r>
      <w:r w:rsidR="005C164A" w:rsidRPr="0006219A">
        <w:rPr>
          <w:rFonts w:eastAsia="Times New Roman"/>
          <w:szCs w:val="24"/>
        </w:rPr>
        <w:t> </w:t>
      </w:r>
      <w:r w:rsidRPr="0006219A">
        <w:rPr>
          <w:rFonts w:eastAsia="Times New Roman"/>
          <w:szCs w:val="24"/>
        </w:rPr>
        <w:t>1, 2016, and a maximum amount of $825,000 if not paid in full until October</w:t>
      </w:r>
      <w:r w:rsidR="005C164A" w:rsidRPr="0006219A">
        <w:rPr>
          <w:rFonts w:eastAsia="Times New Roman"/>
          <w:szCs w:val="24"/>
        </w:rPr>
        <w:t> </w:t>
      </w:r>
      <w:r w:rsidRPr="0006219A">
        <w:rPr>
          <w:rFonts w:eastAsia="Times New Roman"/>
          <w:szCs w:val="24"/>
        </w:rPr>
        <w:t xml:space="preserve">1, 2018.  SAI began making payments in January 2014 and continued </w:t>
      </w:r>
      <w:r w:rsidR="000859BA" w:rsidRPr="0006219A">
        <w:rPr>
          <w:rFonts w:eastAsia="Times New Roman"/>
          <w:szCs w:val="24"/>
        </w:rPr>
        <w:t>th</w:t>
      </w:r>
      <w:r w:rsidRPr="0006219A">
        <w:rPr>
          <w:rFonts w:eastAsia="Times New Roman"/>
          <w:szCs w:val="24"/>
        </w:rPr>
        <w:t>rough August 2016, ultim</w:t>
      </w:r>
      <w:r w:rsidR="0035465D" w:rsidRPr="0006219A">
        <w:rPr>
          <w:rFonts w:eastAsia="Times New Roman"/>
          <w:szCs w:val="24"/>
        </w:rPr>
        <w:t>ately paying $725,000 in total.</w:t>
      </w:r>
      <w:r w:rsidR="0035465D" w:rsidRPr="0006219A">
        <w:rPr>
          <w:rStyle w:val="FootnoteReference"/>
          <w:rFonts w:eastAsia="Times New Roman"/>
          <w:szCs w:val="24"/>
        </w:rPr>
        <w:footnoteReference w:id="7"/>
      </w:r>
    </w:p>
    <w:p w:rsidR="007058C3" w:rsidRPr="0006219A" w:rsidRDefault="00CD2C38" w:rsidP="00E05DA5">
      <w:pPr>
        <w:spacing w:line="480" w:lineRule="auto"/>
        <w:ind w:firstLine="720"/>
        <w:rPr>
          <w:rFonts w:eastAsia="Times New Roman"/>
          <w:szCs w:val="24"/>
        </w:rPr>
      </w:pPr>
      <w:r w:rsidRPr="0006219A">
        <w:rPr>
          <w:rFonts w:eastAsia="Times New Roman"/>
          <w:szCs w:val="24"/>
        </w:rPr>
        <w:lastRenderedPageBreak/>
        <w:t>On January</w:t>
      </w:r>
      <w:r w:rsidR="005C164A" w:rsidRPr="0006219A">
        <w:rPr>
          <w:rFonts w:eastAsia="Times New Roman"/>
          <w:szCs w:val="24"/>
        </w:rPr>
        <w:t> </w:t>
      </w:r>
      <w:r w:rsidRPr="0006219A">
        <w:rPr>
          <w:rFonts w:eastAsia="Times New Roman"/>
          <w:szCs w:val="24"/>
        </w:rPr>
        <w:t>9, 2014, before SAI made its first payment, and while Sganga</w:t>
      </w:r>
      <w:r w:rsidR="00460AED" w:rsidRPr="0006219A">
        <w:rPr>
          <w:rFonts w:eastAsia="Times New Roman"/>
          <w:szCs w:val="24"/>
        </w:rPr>
        <w:t xml:space="preserve"> was hospitalized</w:t>
      </w:r>
      <w:r w:rsidR="00FE2E0E" w:rsidRPr="0006219A">
        <w:rPr>
          <w:rFonts w:eastAsia="Times New Roman"/>
          <w:szCs w:val="24"/>
        </w:rPr>
        <w:t>,</w:t>
      </w:r>
      <w:r w:rsidR="00A54DE3" w:rsidRPr="0006219A">
        <w:rPr>
          <w:rStyle w:val="FootnoteReference"/>
          <w:rFonts w:eastAsia="Times New Roman"/>
          <w:szCs w:val="24"/>
        </w:rPr>
        <w:footnoteReference w:id="8"/>
      </w:r>
      <w:r w:rsidR="00F466A8" w:rsidRPr="0006219A">
        <w:rPr>
          <w:rFonts w:eastAsia="Times New Roman"/>
          <w:szCs w:val="24"/>
        </w:rPr>
        <w:t xml:space="preserve"> </w:t>
      </w:r>
      <w:r w:rsidRPr="0006219A">
        <w:rPr>
          <w:rFonts w:eastAsia="Times New Roman"/>
          <w:szCs w:val="24"/>
        </w:rPr>
        <w:t xml:space="preserve">Amarnath and Velagapudi informed </w:t>
      </w:r>
      <w:r w:rsidR="006A2895" w:rsidRPr="0006219A">
        <w:rPr>
          <w:rFonts w:eastAsia="Times New Roman"/>
          <w:szCs w:val="24"/>
        </w:rPr>
        <w:t>Sganga</w:t>
      </w:r>
      <w:r w:rsidR="00C41162" w:rsidRPr="0006219A">
        <w:rPr>
          <w:rFonts w:eastAsia="Times New Roman"/>
          <w:szCs w:val="24"/>
        </w:rPr>
        <w:t xml:space="preserve"> that they</w:t>
      </w:r>
      <w:r w:rsidRPr="0006219A">
        <w:rPr>
          <w:rFonts w:eastAsia="Times New Roman"/>
          <w:szCs w:val="24"/>
        </w:rPr>
        <w:t xml:space="preserve"> disputed his fee.</w:t>
      </w:r>
      <w:r w:rsidR="008E4F41" w:rsidRPr="0006219A">
        <w:rPr>
          <w:rFonts w:eastAsia="Times New Roman"/>
          <w:szCs w:val="24"/>
        </w:rPr>
        <w:t xml:space="preserve">  </w:t>
      </w:r>
      <w:r w:rsidR="00E042C0" w:rsidRPr="0006219A">
        <w:rPr>
          <w:rFonts w:eastAsia="Times New Roman"/>
          <w:szCs w:val="24"/>
        </w:rPr>
        <w:t xml:space="preserve">Sganga </w:t>
      </w:r>
      <w:r w:rsidR="002008F9" w:rsidRPr="0006219A">
        <w:rPr>
          <w:rFonts w:eastAsia="Times New Roman"/>
          <w:szCs w:val="24"/>
        </w:rPr>
        <w:t xml:space="preserve">initially </w:t>
      </w:r>
      <w:r w:rsidR="00E042C0" w:rsidRPr="0006219A">
        <w:rPr>
          <w:rFonts w:eastAsia="Times New Roman"/>
          <w:szCs w:val="24"/>
        </w:rPr>
        <w:t xml:space="preserve">refused their </w:t>
      </w:r>
      <w:r w:rsidR="005F2794">
        <w:rPr>
          <w:rFonts w:eastAsia="Times New Roman"/>
          <w:szCs w:val="24"/>
        </w:rPr>
        <w:t xml:space="preserve">flat </w:t>
      </w:r>
      <w:r w:rsidR="008E4F41" w:rsidRPr="0006219A">
        <w:rPr>
          <w:rFonts w:eastAsia="Times New Roman"/>
          <w:szCs w:val="24"/>
        </w:rPr>
        <w:t xml:space="preserve">fee </w:t>
      </w:r>
      <w:r w:rsidR="00E042C0" w:rsidRPr="0006219A">
        <w:rPr>
          <w:rFonts w:eastAsia="Times New Roman"/>
          <w:szCs w:val="24"/>
        </w:rPr>
        <w:t xml:space="preserve">offers of $80,000 and then $100,000, but </w:t>
      </w:r>
      <w:r w:rsidR="002008F9" w:rsidRPr="0006219A">
        <w:rPr>
          <w:rFonts w:eastAsia="Times New Roman"/>
          <w:szCs w:val="24"/>
        </w:rPr>
        <w:t xml:space="preserve">proceeded </w:t>
      </w:r>
      <w:r w:rsidR="00E042C0" w:rsidRPr="0006219A">
        <w:rPr>
          <w:rFonts w:eastAsia="Times New Roman"/>
          <w:szCs w:val="24"/>
        </w:rPr>
        <w:t>to negotiate with them</w:t>
      </w:r>
      <w:r w:rsidR="005C0177" w:rsidRPr="0006219A">
        <w:rPr>
          <w:rFonts w:eastAsia="Times New Roman"/>
          <w:szCs w:val="24"/>
        </w:rPr>
        <w:t xml:space="preserve"> </w:t>
      </w:r>
      <w:r w:rsidR="002F727C" w:rsidRPr="0006219A">
        <w:rPr>
          <w:rFonts w:eastAsia="Times New Roman"/>
          <w:szCs w:val="24"/>
        </w:rPr>
        <w:t>by</w:t>
      </w:r>
      <w:r w:rsidR="005C0177" w:rsidRPr="0006219A">
        <w:rPr>
          <w:rFonts w:eastAsia="Times New Roman"/>
          <w:szCs w:val="24"/>
        </w:rPr>
        <w:t xml:space="preserve"> counter</w:t>
      </w:r>
      <w:r w:rsidR="002F727C" w:rsidRPr="0006219A">
        <w:rPr>
          <w:rFonts w:eastAsia="Times New Roman"/>
          <w:szCs w:val="24"/>
        </w:rPr>
        <w:t>ing</w:t>
      </w:r>
      <w:r w:rsidR="005C0177" w:rsidRPr="0006219A">
        <w:rPr>
          <w:rFonts w:eastAsia="Times New Roman"/>
          <w:szCs w:val="24"/>
        </w:rPr>
        <w:t xml:space="preserve"> with $132,500</w:t>
      </w:r>
      <w:r w:rsidR="00E33E81" w:rsidRPr="0006219A">
        <w:rPr>
          <w:rFonts w:eastAsia="Times New Roman"/>
          <w:szCs w:val="24"/>
        </w:rPr>
        <w:t xml:space="preserve">—an offer that </w:t>
      </w:r>
      <w:r w:rsidR="005C0177" w:rsidRPr="0006219A">
        <w:rPr>
          <w:rFonts w:eastAsia="Times New Roman"/>
          <w:szCs w:val="24"/>
        </w:rPr>
        <w:t xml:space="preserve">Amarnath and Velagapudi </w:t>
      </w:r>
      <w:r w:rsidR="00E33E81" w:rsidRPr="0006219A">
        <w:rPr>
          <w:rFonts w:eastAsia="Times New Roman"/>
          <w:szCs w:val="24"/>
        </w:rPr>
        <w:t>did not timely accept and S</w:t>
      </w:r>
      <w:r w:rsidR="005C0177" w:rsidRPr="0006219A">
        <w:rPr>
          <w:rFonts w:eastAsia="Times New Roman"/>
          <w:szCs w:val="24"/>
        </w:rPr>
        <w:t xml:space="preserve">ganga </w:t>
      </w:r>
      <w:r w:rsidR="008D30B8" w:rsidRPr="0006219A">
        <w:rPr>
          <w:rFonts w:eastAsia="Times New Roman"/>
          <w:szCs w:val="24"/>
        </w:rPr>
        <w:t xml:space="preserve">then </w:t>
      </w:r>
      <w:r w:rsidR="00E33E81" w:rsidRPr="0006219A">
        <w:rPr>
          <w:rFonts w:eastAsia="Times New Roman"/>
          <w:szCs w:val="24"/>
        </w:rPr>
        <w:t xml:space="preserve">revoked.  </w:t>
      </w:r>
      <w:r w:rsidR="00C16A63" w:rsidRPr="0006219A">
        <w:rPr>
          <w:rFonts w:eastAsia="Times New Roman"/>
          <w:szCs w:val="24"/>
        </w:rPr>
        <w:t>Ultimately</w:t>
      </w:r>
      <w:r w:rsidR="005C0177" w:rsidRPr="0006219A">
        <w:rPr>
          <w:rFonts w:eastAsia="Times New Roman"/>
          <w:szCs w:val="24"/>
        </w:rPr>
        <w:t xml:space="preserve">, they </w:t>
      </w:r>
      <w:r w:rsidR="00C41162" w:rsidRPr="0006219A">
        <w:rPr>
          <w:rFonts w:eastAsia="Times New Roman"/>
          <w:szCs w:val="24"/>
        </w:rPr>
        <w:t xml:space="preserve">were unable </w:t>
      </w:r>
      <w:r w:rsidR="005C0177" w:rsidRPr="0006219A">
        <w:rPr>
          <w:rFonts w:eastAsia="Times New Roman"/>
          <w:szCs w:val="24"/>
        </w:rPr>
        <w:t>to reach agreement</w:t>
      </w:r>
      <w:r w:rsidR="00F466A8" w:rsidRPr="0006219A">
        <w:rPr>
          <w:rFonts w:eastAsia="Times New Roman"/>
          <w:szCs w:val="24"/>
        </w:rPr>
        <w:t>.</w:t>
      </w:r>
      <w:r w:rsidR="00E05DA5" w:rsidRPr="0006219A">
        <w:rPr>
          <w:rFonts w:eastAsia="Times New Roman"/>
          <w:szCs w:val="24"/>
        </w:rPr>
        <w:t xml:space="preserve">  </w:t>
      </w:r>
      <w:r w:rsidR="00CB46CF" w:rsidRPr="0006219A">
        <w:rPr>
          <w:rFonts w:eastAsia="Times New Roman"/>
          <w:szCs w:val="24"/>
        </w:rPr>
        <w:t>Because</w:t>
      </w:r>
      <w:r w:rsidR="007058C3" w:rsidRPr="0006219A">
        <w:rPr>
          <w:szCs w:val="24"/>
        </w:rPr>
        <w:t xml:space="preserve"> </w:t>
      </w:r>
      <w:r w:rsidR="007058C3" w:rsidRPr="0006219A">
        <w:rPr>
          <w:rFonts w:eastAsia="Times New Roman"/>
          <w:szCs w:val="24"/>
        </w:rPr>
        <w:t>Amarnath and Velagapudi disputed his fee on January</w:t>
      </w:r>
      <w:r w:rsidR="005C164A" w:rsidRPr="0006219A">
        <w:rPr>
          <w:rFonts w:eastAsia="Times New Roman"/>
          <w:szCs w:val="24"/>
        </w:rPr>
        <w:t> </w:t>
      </w:r>
      <w:r w:rsidR="007058C3" w:rsidRPr="0006219A">
        <w:rPr>
          <w:rFonts w:eastAsia="Times New Roman"/>
          <w:szCs w:val="24"/>
        </w:rPr>
        <w:t>9, 2014</w:t>
      </w:r>
      <w:r w:rsidR="00572E2C" w:rsidRPr="0006219A">
        <w:rPr>
          <w:rFonts w:eastAsia="Times New Roman"/>
          <w:szCs w:val="24"/>
        </w:rPr>
        <w:t>, Sganga was not authorized to take any portion of the settlement funds</w:t>
      </w:r>
      <w:r w:rsidR="002F727C" w:rsidRPr="0006219A">
        <w:rPr>
          <w:rFonts w:eastAsia="Times New Roman"/>
          <w:szCs w:val="24"/>
        </w:rPr>
        <w:t>.  In addition</w:t>
      </w:r>
      <w:r w:rsidR="007058C3" w:rsidRPr="0006219A">
        <w:rPr>
          <w:rFonts w:eastAsia="Times New Roman"/>
          <w:szCs w:val="24"/>
        </w:rPr>
        <w:t xml:space="preserve">, they </w:t>
      </w:r>
      <w:r w:rsidR="00873791" w:rsidRPr="0006219A">
        <w:rPr>
          <w:rFonts w:eastAsia="Times New Roman"/>
          <w:szCs w:val="24"/>
        </w:rPr>
        <w:t>expressly told him on February</w:t>
      </w:r>
      <w:r w:rsidR="005C164A" w:rsidRPr="0006219A">
        <w:rPr>
          <w:rFonts w:eastAsia="Times New Roman"/>
          <w:szCs w:val="24"/>
        </w:rPr>
        <w:t> </w:t>
      </w:r>
      <w:r w:rsidR="00873791" w:rsidRPr="0006219A">
        <w:rPr>
          <w:rFonts w:eastAsia="Times New Roman"/>
          <w:szCs w:val="24"/>
        </w:rPr>
        <w:t>26, 2014</w:t>
      </w:r>
      <w:r w:rsidR="00FA0096" w:rsidRPr="0006219A">
        <w:rPr>
          <w:rFonts w:eastAsia="Times New Roman"/>
          <w:szCs w:val="24"/>
        </w:rPr>
        <w:t>,</w:t>
      </w:r>
      <w:r w:rsidR="00873791" w:rsidRPr="0006219A">
        <w:rPr>
          <w:rFonts w:eastAsia="Times New Roman"/>
          <w:szCs w:val="24"/>
        </w:rPr>
        <w:t xml:space="preserve"> </w:t>
      </w:r>
      <w:r w:rsidR="007058C3" w:rsidRPr="0006219A">
        <w:rPr>
          <w:rFonts w:eastAsia="Times New Roman"/>
          <w:szCs w:val="24"/>
        </w:rPr>
        <w:t xml:space="preserve">not to </w:t>
      </w:r>
      <w:r w:rsidR="00873791" w:rsidRPr="0006219A">
        <w:rPr>
          <w:rFonts w:eastAsia="Times New Roman"/>
          <w:szCs w:val="24"/>
        </w:rPr>
        <w:t xml:space="preserve">withdraw any funds </w:t>
      </w:r>
      <w:r w:rsidR="007058C3" w:rsidRPr="0006219A">
        <w:rPr>
          <w:rFonts w:eastAsia="Times New Roman"/>
          <w:szCs w:val="24"/>
        </w:rPr>
        <w:t>until their fee dispute was resolved.</w:t>
      </w:r>
    </w:p>
    <w:p w:rsidR="00A46A0A" w:rsidRPr="0006219A" w:rsidRDefault="00C33F64" w:rsidP="00A46A0A">
      <w:pPr>
        <w:spacing w:line="480" w:lineRule="auto"/>
        <w:ind w:firstLine="720"/>
        <w:rPr>
          <w:rFonts w:eastAsia="Times New Roman"/>
          <w:szCs w:val="24"/>
        </w:rPr>
      </w:pPr>
      <w:r w:rsidRPr="0006219A">
        <w:rPr>
          <w:rFonts w:eastAsia="Times New Roman"/>
          <w:szCs w:val="24"/>
        </w:rPr>
        <w:t>Between January</w:t>
      </w:r>
      <w:r w:rsidR="005C164A" w:rsidRPr="0006219A">
        <w:rPr>
          <w:rFonts w:eastAsia="Times New Roman"/>
          <w:szCs w:val="24"/>
        </w:rPr>
        <w:t> </w:t>
      </w:r>
      <w:r w:rsidRPr="0006219A">
        <w:rPr>
          <w:rFonts w:eastAsia="Times New Roman"/>
          <w:szCs w:val="24"/>
        </w:rPr>
        <w:t>21, 2014, and January</w:t>
      </w:r>
      <w:r w:rsidR="005C164A" w:rsidRPr="0006219A">
        <w:rPr>
          <w:rFonts w:eastAsia="Times New Roman"/>
          <w:szCs w:val="24"/>
        </w:rPr>
        <w:t> </w:t>
      </w:r>
      <w:r w:rsidRPr="0006219A">
        <w:rPr>
          <w:rFonts w:eastAsia="Times New Roman"/>
          <w:szCs w:val="24"/>
        </w:rPr>
        <w:t>14, 2015</w:t>
      </w:r>
      <w:r w:rsidR="00F0636B" w:rsidRPr="0006219A">
        <w:rPr>
          <w:rFonts w:eastAsia="Times New Roman"/>
          <w:szCs w:val="24"/>
        </w:rPr>
        <w:t xml:space="preserve">, Sganga deposited a total of $120,000 </w:t>
      </w:r>
      <w:r w:rsidR="00F466A8" w:rsidRPr="0006219A">
        <w:rPr>
          <w:rFonts w:eastAsia="Times New Roman"/>
          <w:szCs w:val="24"/>
        </w:rPr>
        <w:t xml:space="preserve">(via five separate payments) </w:t>
      </w:r>
      <w:r w:rsidR="00F0636B" w:rsidRPr="0006219A">
        <w:rPr>
          <w:rFonts w:eastAsia="Times New Roman"/>
          <w:szCs w:val="24"/>
        </w:rPr>
        <w:t>in settlement funds</w:t>
      </w:r>
      <w:r w:rsidR="00564207" w:rsidRPr="0006219A">
        <w:rPr>
          <w:rFonts w:eastAsia="Times New Roman"/>
          <w:szCs w:val="24"/>
        </w:rPr>
        <w:t xml:space="preserve"> he received from SAI</w:t>
      </w:r>
      <w:r w:rsidR="00A97EB6" w:rsidRPr="0006219A">
        <w:rPr>
          <w:rFonts w:eastAsia="Times New Roman"/>
          <w:szCs w:val="24"/>
        </w:rPr>
        <w:t xml:space="preserve">, which </w:t>
      </w:r>
      <w:r w:rsidR="007C4855" w:rsidRPr="0006219A">
        <w:rPr>
          <w:rFonts w:eastAsia="Times New Roman"/>
          <w:szCs w:val="24"/>
        </w:rPr>
        <w:t xml:space="preserve">he was required to maintain </w:t>
      </w:r>
      <w:r w:rsidR="003D5C01" w:rsidRPr="0006219A">
        <w:rPr>
          <w:rFonts w:eastAsia="Times New Roman"/>
          <w:szCs w:val="24"/>
        </w:rPr>
        <w:t xml:space="preserve">in his CTA </w:t>
      </w:r>
      <w:r w:rsidR="007C4855" w:rsidRPr="0006219A">
        <w:rPr>
          <w:rFonts w:eastAsia="Times New Roman"/>
          <w:szCs w:val="24"/>
        </w:rPr>
        <w:t>on behalf</w:t>
      </w:r>
      <w:r w:rsidR="00A179B3" w:rsidRPr="0006219A">
        <w:rPr>
          <w:rFonts w:eastAsia="Times New Roman"/>
          <w:szCs w:val="24"/>
        </w:rPr>
        <w:t xml:space="preserve"> of Amarnath and Velagapudi</w:t>
      </w:r>
      <w:r w:rsidR="007C4855" w:rsidRPr="0006219A">
        <w:rPr>
          <w:rFonts w:eastAsia="Times New Roman"/>
          <w:szCs w:val="24"/>
        </w:rPr>
        <w:t>.</w:t>
      </w:r>
      <w:r w:rsidR="00572E2C" w:rsidRPr="0006219A">
        <w:rPr>
          <w:rStyle w:val="FootnoteReference"/>
          <w:rFonts w:eastAsia="Times New Roman"/>
          <w:szCs w:val="24"/>
        </w:rPr>
        <w:footnoteReference w:id="9"/>
      </w:r>
      <w:r w:rsidR="007C4855" w:rsidRPr="0006219A">
        <w:rPr>
          <w:rFonts w:eastAsia="Times New Roman"/>
          <w:szCs w:val="24"/>
        </w:rPr>
        <w:t xml:space="preserve"> </w:t>
      </w:r>
      <w:r w:rsidR="00A97EB6" w:rsidRPr="0006219A">
        <w:rPr>
          <w:rFonts w:eastAsia="Times New Roman"/>
          <w:szCs w:val="24"/>
        </w:rPr>
        <w:t xml:space="preserve"> However</w:t>
      </w:r>
      <w:r w:rsidR="00704398" w:rsidRPr="0006219A">
        <w:rPr>
          <w:rFonts w:eastAsia="Times New Roman"/>
          <w:szCs w:val="24"/>
        </w:rPr>
        <w:t>,</w:t>
      </w:r>
      <w:r w:rsidR="00E27052" w:rsidRPr="0006219A">
        <w:rPr>
          <w:rFonts w:eastAsia="Times New Roman"/>
          <w:szCs w:val="24"/>
        </w:rPr>
        <w:t xml:space="preserve"> </w:t>
      </w:r>
      <w:r w:rsidR="003F2982" w:rsidRPr="0006219A">
        <w:rPr>
          <w:rFonts w:eastAsia="Times New Roman"/>
          <w:szCs w:val="24"/>
        </w:rPr>
        <w:t>Sganga’s</w:t>
      </w:r>
      <w:r w:rsidR="00A97EB6" w:rsidRPr="0006219A">
        <w:rPr>
          <w:rFonts w:eastAsia="Times New Roman"/>
          <w:szCs w:val="24"/>
        </w:rPr>
        <w:t xml:space="preserve"> </w:t>
      </w:r>
      <w:r w:rsidR="00564207" w:rsidRPr="0006219A">
        <w:rPr>
          <w:rFonts w:eastAsia="Times New Roman"/>
          <w:szCs w:val="24"/>
        </w:rPr>
        <w:t>CTA balance repeatedly fell below the amount he was required to hold</w:t>
      </w:r>
      <w:r w:rsidR="003F2982" w:rsidRPr="0006219A">
        <w:rPr>
          <w:rFonts w:eastAsia="Times New Roman"/>
          <w:szCs w:val="24"/>
        </w:rPr>
        <w:t xml:space="preserve">.  </w:t>
      </w:r>
      <w:r w:rsidR="00A46A0A" w:rsidRPr="0006219A">
        <w:rPr>
          <w:rFonts w:eastAsia="Times New Roman"/>
          <w:szCs w:val="24"/>
        </w:rPr>
        <w:t>Sganga</w:t>
      </w:r>
      <w:r w:rsidR="00564207" w:rsidRPr="0006219A">
        <w:rPr>
          <w:rFonts w:eastAsia="Times New Roman"/>
          <w:szCs w:val="24"/>
        </w:rPr>
        <w:t xml:space="preserve"> </w:t>
      </w:r>
      <w:r w:rsidR="00F97B02" w:rsidRPr="0006219A">
        <w:rPr>
          <w:rFonts w:eastAsia="Times New Roman"/>
          <w:szCs w:val="24"/>
        </w:rPr>
        <w:t xml:space="preserve">made 13 separate withdrawals </w:t>
      </w:r>
      <w:r w:rsidR="0029389C" w:rsidRPr="0006219A">
        <w:rPr>
          <w:rFonts w:eastAsia="Times New Roman"/>
          <w:szCs w:val="24"/>
        </w:rPr>
        <w:t>from his</w:t>
      </w:r>
      <w:r w:rsidR="00564207" w:rsidRPr="0006219A">
        <w:rPr>
          <w:rFonts w:eastAsia="Times New Roman"/>
          <w:szCs w:val="24"/>
        </w:rPr>
        <w:t xml:space="preserve"> </w:t>
      </w:r>
      <w:r w:rsidR="00DA4288" w:rsidRPr="0006219A">
        <w:rPr>
          <w:rFonts w:eastAsia="Times New Roman"/>
          <w:szCs w:val="24"/>
        </w:rPr>
        <w:t>CTA</w:t>
      </w:r>
      <w:r w:rsidR="00A46A0A" w:rsidRPr="0006219A">
        <w:rPr>
          <w:rFonts w:eastAsia="Times New Roman"/>
          <w:szCs w:val="24"/>
        </w:rPr>
        <w:t xml:space="preserve"> </w:t>
      </w:r>
      <w:r w:rsidR="00EA0F6E" w:rsidRPr="0006219A">
        <w:rPr>
          <w:rFonts w:eastAsia="Times New Roman"/>
          <w:szCs w:val="24"/>
        </w:rPr>
        <w:t>between January</w:t>
      </w:r>
      <w:r w:rsidR="005C164A" w:rsidRPr="0006219A">
        <w:rPr>
          <w:rFonts w:eastAsia="Times New Roman"/>
          <w:szCs w:val="24"/>
        </w:rPr>
        <w:t> </w:t>
      </w:r>
      <w:r w:rsidR="00EA0F6E" w:rsidRPr="0006219A">
        <w:rPr>
          <w:rFonts w:eastAsia="Times New Roman"/>
          <w:szCs w:val="24"/>
        </w:rPr>
        <w:t>28, 2014, and February</w:t>
      </w:r>
      <w:r w:rsidR="005C164A" w:rsidRPr="0006219A">
        <w:rPr>
          <w:rFonts w:eastAsia="Times New Roman"/>
          <w:szCs w:val="24"/>
        </w:rPr>
        <w:t> </w:t>
      </w:r>
      <w:r w:rsidR="00EA0F6E" w:rsidRPr="0006219A">
        <w:rPr>
          <w:rFonts w:eastAsia="Times New Roman"/>
          <w:szCs w:val="24"/>
        </w:rPr>
        <w:t>2, 2015</w:t>
      </w:r>
      <w:r w:rsidR="00DF5AA0" w:rsidRPr="0006219A">
        <w:rPr>
          <w:rFonts w:eastAsia="Times New Roman"/>
          <w:szCs w:val="24"/>
        </w:rPr>
        <w:t xml:space="preserve">, </w:t>
      </w:r>
      <w:r w:rsidR="00DA4288" w:rsidRPr="0006219A">
        <w:rPr>
          <w:rFonts w:eastAsia="Times New Roman"/>
          <w:szCs w:val="24"/>
        </w:rPr>
        <w:t xml:space="preserve">for his own personal use, </w:t>
      </w:r>
      <w:r w:rsidR="00837E8D" w:rsidRPr="0006219A">
        <w:rPr>
          <w:rFonts w:eastAsia="Times New Roman"/>
          <w:szCs w:val="24"/>
        </w:rPr>
        <w:t xml:space="preserve">including </w:t>
      </w:r>
      <w:r w:rsidR="00A97EB6" w:rsidRPr="0006219A">
        <w:rPr>
          <w:rFonts w:eastAsia="Times New Roman"/>
          <w:szCs w:val="24"/>
        </w:rPr>
        <w:t xml:space="preserve">a </w:t>
      </w:r>
      <w:r w:rsidR="00837E8D" w:rsidRPr="0006219A">
        <w:rPr>
          <w:rFonts w:eastAsia="Times New Roman"/>
          <w:szCs w:val="24"/>
        </w:rPr>
        <w:t xml:space="preserve">$15,000 check from his CTA </w:t>
      </w:r>
      <w:r w:rsidR="00A97EB6" w:rsidRPr="0006219A">
        <w:rPr>
          <w:rFonts w:eastAsia="Times New Roman"/>
          <w:szCs w:val="24"/>
        </w:rPr>
        <w:t>to pay his office rent on October</w:t>
      </w:r>
      <w:r w:rsidR="005C164A" w:rsidRPr="0006219A">
        <w:rPr>
          <w:rFonts w:eastAsia="Times New Roman"/>
          <w:szCs w:val="24"/>
        </w:rPr>
        <w:t> </w:t>
      </w:r>
      <w:r w:rsidR="00A97EB6" w:rsidRPr="0006219A">
        <w:rPr>
          <w:rFonts w:eastAsia="Times New Roman"/>
          <w:szCs w:val="24"/>
        </w:rPr>
        <w:t>1, 2014</w:t>
      </w:r>
      <w:r w:rsidR="00F97B02" w:rsidRPr="0006219A">
        <w:rPr>
          <w:rFonts w:eastAsia="Times New Roman"/>
          <w:szCs w:val="24"/>
        </w:rPr>
        <w:t>.</w:t>
      </w:r>
      <w:r w:rsidR="00564207" w:rsidRPr="0006219A">
        <w:rPr>
          <w:rFonts w:eastAsia="Times New Roman"/>
          <w:szCs w:val="24"/>
        </w:rPr>
        <w:t xml:space="preserve">  </w:t>
      </w:r>
      <w:r w:rsidR="00894324" w:rsidRPr="0006219A">
        <w:rPr>
          <w:rFonts w:eastAsia="Times New Roman"/>
          <w:szCs w:val="24"/>
        </w:rPr>
        <w:t xml:space="preserve">Sganga </w:t>
      </w:r>
      <w:r w:rsidR="003F2982" w:rsidRPr="0006219A">
        <w:rPr>
          <w:rFonts w:eastAsia="Times New Roman"/>
          <w:szCs w:val="24"/>
        </w:rPr>
        <w:t xml:space="preserve">stipulated that he </w:t>
      </w:r>
      <w:r w:rsidR="00837E8D" w:rsidRPr="0006219A">
        <w:rPr>
          <w:rFonts w:eastAsia="Times New Roman"/>
          <w:szCs w:val="24"/>
        </w:rPr>
        <w:t>did not disburse any funds</w:t>
      </w:r>
      <w:r w:rsidR="00894324" w:rsidRPr="0006219A">
        <w:rPr>
          <w:rFonts w:eastAsia="Times New Roman"/>
          <w:szCs w:val="24"/>
        </w:rPr>
        <w:t xml:space="preserve"> to Amarnath and Velagapudi during this time</w:t>
      </w:r>
      <w:r w:rsidR="003F2982" w:rsidRPr="0006219A">
        <w:rPr>
          <w:rFonts w:eastAsia="Times New Roman"/>
          <w:szCs w:val="24"/>
        </w:rPr>
        <w:t>.</w:t>
      </w:r>
      <w:r w:rsidR="003F2982" w:rsidRPr="0006219A">
        <w:rPr>
          <w:rStyle w:val="FootnoteReference"/>
          <w:rFonts w:eastAsia="Times New Roman"/>
          <w:szCs w:val="24"/>
        </w:rPr>
        <w:footnoteReference w:id="10"/>
      </w:r>
      <w:r w:rsidR="00A46A0A" w:rsidRPr="0006219A">
        <w:rPr>
          <w:rFonts w:eastAsia="Times New Roman"/>
          <w:szCs w:val="24"/>
        </w:rPr>
        <w:t xml:space="preserve">  By February</w:t>
      </w:r>
      <w:r w:rsidR="005C164A" w:rsidRPr="0006219A">
        <w:rPr>
          <w:rFonts w:eastAsia="Times New Roman"/>
          <w:szCs w:val="24"/>
        </w:rPr>
        <w:t> </w:t>
      </w:r>
      <w:r w:rsidR="00A46A0A" w:rsidRPr="0006219A">
        <w:rPr>
          <w:rFonts w:eastAsia="Times New Roman"/>
          <w:szCs w:val="24"/>
        </w:rPr>
        <w:t xml:space="preserve">28, 2015, when his CTA </w:t>
      </w:r>
      <w:r w:rsidR="002F6136" w:rsidRPr="0006219A">
        <w:rPr>
          <w:rFonts w:eastAsia="Times New Roman"/>
          <w:szCs w:val="24"/>
        </w:rPr>
        <w:t>balance was</w:t>
      </w:r>
      <w:r w:rsidR="00A46A0A" w:rsidRPr="0006219A">
        <w:rPr>
          <w:rFonts w:eastAsia="Times New Roman"/>
          <w:szCs w:val="24"/>
        </w:rPr>
        <w:t xml:space="preserve"> $58,500</w:t>
      </w:r>
      <w:r w:rsidR="002F6136" w:rsidRPr="0006219A">
        <w:rPr>
          <w:rFonts w:eastAsia="Times New Roman"/>
          <w:szCs w:val="24"/>
        </w:rPr>
        <w:t>,</w:t>
      </w:r>
      <w:r w:rsidR="00A46A0A" w:rsidRPr="0006219A">
        <w:rPr>
          <w:rFonts w:eastAsia="Times New Roman"/>
          <w:szCs w:val="24"/>
        </w:rPr>
        <w:t xml:space="preserve"> </w:t>
      </w:r>
      <w:r w:rsidR="00572E2C" w:rsidRPr="0006219A">
        <w:rPr>
          <w:rFonts w:eastAsia="Times New Roman"/>
          <w:szCs w:val="24"/>
        </w:rPr>
        <w:t xml:space="preserve">and </w:t>
      </w:r>
      <w:r w:rsidR="00A46A0A" w:rsidRPr="0006219A">
        <w:rPr>
          <w:rFonts w:eastAsia="Times New Roman"/>
          <w:szCs w:val="24"/>
        </w:rPr>
        <w:t xml:space="preserve">not the $120,000 he was obligated to hold, Sganga had intentionally and knowingly misappropriated $61,500 ($120,000 – $58,500) from </w:t>
      </w:r>
      <w:r w:rsidR="002F6136" w:rsidRPr="0006219A">
        <w:rPr>
          <w:rFonts w:eastAsia="Times New Roman"/>
          <w:szCs w:val="24"/>
        </w:rPr>
        <w:t>his clients</w:t>
      </w:r>
      <w:r w:rsidR="00A46A0A" w:rsidRPr="0006219A">
        <w:rPr>
          <w:rFonts w:eastAsia="Times New Roman"/>
          <w:szCs w:val="24"/>
        </w:rPr>
        <w:t>.</w:t>
      </w:r>
    </w:p>
    <w:p w:rsidR="00C44D0B" w:rsidRPr="0006219A" w:rsidRDefault="00CD2C38" w:rsidP="00A46A0A">
      <w:pPr>
        <w:spacing w:line="480" w:lineRule="auto"/>
        <w:ind w:firstLine="720"/>
        <w:rPr>
          <w:rFonts w:eastAsia="Times New Roman"/>
          <w:szCs w:val="24"/>
        </w:rPr>
      </w:pPr>
      <w:r w:rsidRPr="0006219A">
        <w:rPr>
          <w:rFonts w:eastAsia="Times New Roman"/>
          <w:szCs w:val="24"/>
        </w:rPr>
        <w:lastRenderedPageBreak/>
        <w:t xml:space="preserve">Amarnath and Velagapudi </w:t>
      </w:r>
      <w:r w:rsidR="00A46A0A" w:rsidRPr="0006219A">
        <w:rPr>
          <w:rFonts w:eastAsia="Times New Roman"/>
          <w:szCs w:val="24"/>
        </w:rPr>
        <w:t xml:space="preserve">eventually </w:t>
      </w:r>
      <w:r w:rsidRPr="0006219A">
        <w:rPr>
          <w:rFonts w:eastAsia="Times New Roman"/>
          <w:szCs w:val="24"/>
        </w:rPr>
        <w:t xml:space="preserve">hired </w:t>
      </w:r>
      <w:r w:rsidR="00E27052" w:rsidRPr="0006219A">
        <w:rPr>
          <w:rFonts w:eastAsia="Times New Roman"/>
          <w:szCs w:val="24"/>
        </w:rPr>
        <w:t xml:space="preserve">another attorney (new counsel) to </w:t>
      </w:r>
      <w:r w:rsidRPr="0006219A">
        <w:rPr>
          <w:rFonts w:eastAsia="Times New Roman"/>
          <w:szCs w:val="24"/>
        </w:rPr>
        <w:t>file a civil lawsuit against Sganga to collect their settlement proceeds (Sganga action).</w:t>
      </w:r>
      <w:r w:rsidR="00857EBF" w:rsidRPr="0006219A">
        <w:rPr>
          <w:rFonts w:eastAsia="Times New Roman"/>
          <w:szCs w:val="24"/>
        </w:rPr>
        <w:t xml:space="preserve">  </w:t>
      </w:r>
      <w:r w:rsidR="003D2976" w:rsidRPr="0006219A">
        <w:rPr>
          <w:rFonts w:eastAsia="Times New Roman"/>
          <w:szCs w:val="24"/>
        </w:rPr>
        <w:t>O</w:t>
      </w:r>
      <w:r w:rsidR="004377B1" w:rsidRPr="0006219A">
        <w:rPr>
          <w:rFonts w:eastAsia="Times New Roman"/>
          <w:szCs w:val="24"/>
        </w:rPr>
        <w:t>n May</w:t>
      </w:r>
      <w:r w:rsidR="005C164A" w:rsidRPr="0006219A">
        <w:rPr>
          <w:rFonts w:eastAsia="Times New Roman"/>
          <w:szCs w:val="24"/>
        </w:rPr>
        <w:t> </w:t>
      </w:r>
      <w:r w:rsidR="004377B1" w:rsidRPr="0006219A">
        <w:rPr>
          <w:rFonts w:eastAsia="Times New Roman"/>
          <w:szCs w:val="24"/>
        </w:rPr>
        <w:t>12</w:t>
      </w:r>
      <w:r w:rsidR="00FB4276" w:rsidRPr="0006219A">
        <w:rPr>
          <w:rFonts w:eastAsia="Times New Roman"/>
          <w:szCs w:val="24"/>
        </w:rPr>
        <w:t>,</w:t>
      </w:r>
      <w:r w:rsidR="003D2976" w:rsidRPr="0006219A">
        <w:rPr>
          <w:rFonts w:eastAsia="Times New Roman"/>
          <w:szCs w:val="24"/>
        </w:rPr>
        <w:t xml:space="preserve"> </w:t>
      </w:r>
      <w:r w:rsidR="00FB4276" w:rsidRPr="0006219A">
        <w:rPr>
          <w:rFonts w:eastAsia="Times New Roman"/>
          <w:szCs w:val="24"/>
        </w:rPr>
        <w:t>2015,</w:t>
      </w:r>
      <w:r w:rsidR="004377B1" w:rsidRPr="0006219A">
        <w:rPr>
          <w:rStyle w:val="FootnoteReference"/>
          <w:rFonts w:eastAsia="Times New Roman"/>
          <w:szCs w:val="24"/>
        </w:rPr>
        <w:footnoteReference w:id="11"/>
      </w:r>
      <w:r w:rsidR="00FB4276" w:rsidRPr="0006219A">
        <w:rPr>
          <w:rFonts w:eastAsia="Times New Roman"/>
          <w:szCs w:val="24"/>
        </w:rPr>
        <w:t xml:space="preserve"> </w:t>
      </w:r>
      <w:r w:rsidR="00D856F9" w:rsidRPr="0006219A">
        <w:rPr>
          <w:rFonts w:eastAsia="Times New Roman"/>
          <w:szCs w:val="24"/>
        </w:rPr>
        <w:t xml:space="preserve">the court in the Sganga action ordered Sganga to pay to the court all funds he </w:t>
      </w:r>
      <w:r w:rsidR="00F83FB1" w:rsidRPr="0006219A">
        <w:rPr>
          <w:rFonts w:eastAsia="Times New Roman"/>
          <w:szCs w:val="24"/>
        </w:rPr>
        <w:t>had received on</w:t>
      </w:r>
      <w:r w:rsidR="00D856F9" w:rsidRPr="0006219A">
        <w:rPr>
          <w:rFonts w:eastAsia="Times New Roman"/>
          <w:szCs w:val="24"/>
        </w:rPr>
        <w:t xml:space="preserve"> </w:t>
      </w:r>
      <w:r w:rsidR="00643FEA" w:rsidRPr="0006219A">
        <w:rPr>
          <w:rFonts w:eastAsia="Times New Roman"/>
          <w:szCs w:val="24"/>
        </w:rPr>
        <w:t xml:space="preserve">behalf of </w:t>
      </w:r>
      <w:r w:rsidR="00D856F9" w:rsidRPr="0006219A">
        <w:rPr>
          <w:rFonts w:eastAsia="Times New Roman"/>
          <w:szCs w:val="24"/>
        </w:rPr>
        <w:t>Amarnath and Velagapudi.  Sganga did not obtain relief from</w:t>
      </w:r>
      <w:r w:rsidR="00D77EDB" w:rsidRPr="0006219A">
        <w:rPr>
          <w:rFonts w:eastAsia="Times New Roman"/>
          <w:szCs w:val="24"/>
        </w:rPr>
        <w:t>,</w:t>
      </w:r>
      <w:r w:rsidRPr="0006219A">
        <w:rPr>
          <w:rFonts w:eastAsia="Times New Roman"/>
          <w:szCs w:val="24"/>
        </w:rPr>
        <w:t xml:space="preserve"> or fully comply with</w:t>
      </w:r>
      <w:r w:rsidR="00A46A0A" w:rsidRPr="0006219A">
        <w:rPr>
          <w:rFonts w:eastAsia="Times New Roman"/>
          <w:szCs w:val="24"/>
        </w:rPr>
        <w:t>,</w:t>
      </w:r>
      <w:r w:rsidR="00D856F9" w:rsidRPr="0006219A">
        <w:rPr>
          <w:rFonts w:eastAsia="Times New Roman"/>
          <w:szCs w:val="24"/>
        </w:rPr>
        <w:t xml:space="preserve"> the order.</w:t>
      </w:r>
      <w:r w:rsidR="00C44D0B" w:rsidRPr="0006219A">
        <w:rPr>
          <w:rFonts w:eastAsia="Times New Roman"/>
          <w:szCs w:val="24"/>
        </w:rPr>
        <w:t xml:space="preserve">  </w:t>
      </w:r>
      <w:r w:rsidR="00F83FB1" w:rsidRPr="0006219A">
        <w:rPr>
          <w:rFonts w:eastAsia="Times New Roman"/>
          <w:szCs w:val="24"/>
        </w:rPr>
        <w:t xml:space="preserve">Instead, </w:t>
      </w:r>
      <w:r w:rsidR="002F6136" w:rsidRPr="0006219A">
        <w:rPr>
          <w:rFonts w:eastAsia="Times New Roman"/>
          <w:szCs w:val="24"/>
        </w:rPr>
        <w:t>he</w:t>
      </w:r>
      <w:r w:rsidR="00C44D0B" w:rsidRPr="0006219A">
        <w:rPr>
          <w:rFonts w:eastAsia="Times New Roman"/>
          <w:szCs w:val="24"/>
        </w:rPr>
        <w:t xml:space="preserve"> </w:t>
      </w:r>
      <w:r w:rsidR="00D856F9" w:rsidRPr="0006219A">
        <w:rPr>
          <w:rFonts w:eastAsia="Times New Roman"/>
          <w:szCs w:val="24"/>
        </w:rPr>
        <w:t>paid the court $60,000 on June</w:t>
      </w:r>
      <w:r w:rsidR="005C164A" w:rsidRPr="0006219A">
        <w:rPr>
          <w:rFonts w:eastAsia="Times New Roman"/>
          <w:szCs w:val="24"/>
        </w:rPr>
        <w:t> </w:t>
      </w:r>
      <w:r w:rsidR="00D856F9" w:rsidRPr="0006219A">
        <w:rPr>
          <w:rFonts w:eastAsia="Times New Roman"/>
          <w:szCs w:val="24"/>
        </w:rPr>
        <w:t>9,</w:t>
      </w:r>
      <w:r w:rsidR="00C44D0B" w:rsidRPr="0006219A">
        <w:rPr>
          <w:rFonts w:eastAsia="Times New Roman"/>
          <w:szCs w:val="24"/>
        </w:rPr>
        <w:t xml:space="preserve"> </w:t>
      </w:r>
      <w:r w:rsidR="00D856F9" w:rsidRPr="0006219A">
        <w:rPr>
          <w:rFonts w:eastAsia="Times New Roman"/>
          <w:szCs w:val="24"/>
        </w:rPr>
        <w:t>2015</w:t>
      </w:r>
      <w:r w:rsidR="00C44D0B" w:rsidRPr="0006219A">
        <w:rPr>
          <w:rFonts w:eastAsia="Times New Roman"/>
          <w:szCs w:val="24"/>
        </w:rPr>
        <w:t>,</w:t>
      </w:r>
      <w:r w:rsidR="00D856F9" w:rsidRPr="0006219A">
        <w:rPr>
          <w:rFonts w:eastAsia="Times New Roman"/>
          <w:szCs w:val="24"/>
        </w:rPr>
        <w:t xml:space="preserve"> and $25,000 on July</w:t>
      </w:r>
      <w:r w:rsidR="005C164A" w:rsidRPr="0006219A">
        <w:rPr>
          <w:rFonts w:eastAsia="Times New Roman"/>
          <w:szCs w:val="24"/>
        </w:rPr>
        <w:t> </w:t>
      </w:r>
      <w:r w:rsidR="00D856F9" w:rsidRPr="0006219A">
        <w:rPr>
          <w:rFonts w:eastAsia="Times New Roman"/>
          <w:szCs w:val="24"/>
        </w:rPr>
        <w:t>13,</w:t>
      </w:r>
      <w:r w:rsidR="00C44D0B" w:rsidRPr="0006219A">
        <w:rPr>
          <w:rFonts w:eastAsia="Times New Roman"/>
          <w:szCs w:val="24"/>
        </w:rPr>
        <w:t xml:space="preserve"> </w:t>
      </w:r>
      <w:r w:rsidR="00D856F9" w:rsidRPr="0006219A">
        <w:rPr>
          <w:rFonts w:eastAsia="Times New Roman"/>
          <w:szCs w:val="24"/>
        </w:rPr>
        <w:t xml:space="preserve">2015. </w:t>
      </w:r>
      <w:r w:rsidR="00C44D0B" w:rsidRPr="0006219A">
        <w:rPr>
          <w:rFonts w:eastAsia="Times New Roman"/>
          <w:szCs w:val="24"/>
        </w:rPr>
        <w:t xml:space="preserve"> </w:t>
      </w:r>
      <w:r w:rsidR="00F83FB1" w:rsidRPr="0006219A">
        <w:rPr>
          <w:rFonts w:eastAsia="Times New Roman"/>
          <w:szCs w:val="24"/>
        </w:rPr>
        <w:t xml:space="preserve">His </w:t>
      </w:r>
      <w:r w:rsidR="00D856F9" w:rsidRPr="0006219A">
        <w:rPr>
          <w:rFonts w:eastAsia="Times New Roman"/>
          <w:szCs w:val="24"/>
        </w:rPr>
        <w:t>payments were neither timely nor sufficient</w:t>
      </w:r>
      <w:r w:rsidRPr="0006219A">
        <w:rPr>
          <w:rFonts w:eastAsia="Times New Roman"/>
          <w:szCs w:val="24"/>
        </w:rPr>
        <w:t xml:space="preserve"> given that a</w:t>
      </w:r>
      <w:r w:rsidR="00D856F9" w:rsidRPr="0006219A">
        <w:rPr>
          <w:rFonts w:eastAsia="Times New Roman"/>
          <w:szCs w:val="24"/>
        </w:rPr>
        <w:t>s of July</w:t>
      </w:r>
      <w:r w:rsidR="005C164A" w:rsidRPr="0006219A">
        <w:rPr>
          <w:rFonts w:eastAsia="Times New Roman"/>
          <w:szCs w:val="24"/>
        </w:rPr>
        <w:t> </w:t>
      </w:r>
      <w:r w:rsidR="00D856F9" w:rsidRPr="0006219A">
        <w:rPr>
          <w:rFonts w:eastAsia="Times New Roman"/>
          <w:szCs w:val="24"/>
        </w:rPr>
        <w:t>13,</w:t>
      </w:r>
      <w:r w:rsidR="00C44D0B" w:rsidRPr="0006219A">
        <w:rPr>
          <w:rFonts w:eastAsia="Times New Roman"/>
          <w:szCs w:val="24"/>
        </w:rPr>
        <w:t xml:space="preserve"> </w:t>
      </w:r>
      <w:r w:rsidRPr="0006219A">
        <w:rPr>
          <w:rFonts w:eastAsia="Times New Roman"/>
          <w:szCs w:val="24"/>
        </w:rPr>
        <w:t xml:space="preserve">2015, </w:t>
      </w:r>
      <w:r w:rsidR="00D77EDB" w:rsidRPr="0006219A">
        <w:rPr>
          <w:rFonts w:eastAsia="Times New Roman"/>
          <w:szCs w:val="24"/>
        </w:rPr>
        <w:t>he</w:t>
      </w:r>
      <w:r w:rsidR="00C44D0B" w:rsidRPr="0006219A">
        <w:rPr>
          <w:rFonts w:eastAsia="Times New Roman"/>
          <w:szCs w:val="24"/>
        </w:rPr>
        <w:t xml:space="preserve"> </w:t>
      </w:r>
      <w:r w:rsidR="00D856F9" w:rsidRPr="0006219A">
        <w:rPr>
          <w:rFonts w:eastAsia="Times New Roman"/>
          <w:szCs w:val="24"/>
        </w:rPr>
        <w:t>had recei</w:t>
      </w:r>
      <w:r w:rsidR="00C44D0B" w:rsidRPr="0006219A">
        <w:rPr>
          <w:rFonts w:eastAsia="Times New Roman"/>
          <w:szCs w:val="24"/>
        </w:rPr>
        <w:t xml:space="preserve">ved </w:t>
      </w:r>
      <w:r w:rsidR="00857EBF" w:rsidRPr="0006219A">
        <w:rPr>
          <w:rFonts w:eastAsia="Times New Roman"/>
          <w:szCs w:val="24"/>
        </w:rPr>
        <w:t xml:space="preserve">a total of </w:t>
      </w:r>
      <w:r w:rsidR="00D856F9" w:rsidRPr="0006219A">
        <w:rPr>
          <w:rFonts w:eastAsia="Times New Roman"/>
          <w:szCs w:val="24"/>
        </w:rPr>
        <w:t xml:space="preserve">$170,000 on </w:t>
      </w:r>
      <w:r w:rsidR="004028F4" w:rsidRPr="0006219A">
        <w:rPr>
          <w:rFonts w:eastAsia="Times New Roman"/>
          <w:szCs w:val="24"/>
        </w:rPr>
        <w:t>his clients’</w:t>
      </w:r>
      <w:r w:rsidR="00F83FB1" w:rsidRPr="0006219A">
        <w:rPr>
          <w:rFonts w:eastAsia="Times New Roman"/>
          <w:szCs w:val="24"/>
        </w:rPr>
        <w:t xml:space="preserve"> behalf</w:t>
      </w:r>
      <w:r w:rsidR="00D856F9" w:rsidRPr="0006219A">
        <w:rPr>
          <w:rFonts w:eastAsia="Times New Roman"/>
          <w:szCs w:val="24"/>
        </w:rPr>
        <w:t>.</w:t>
      </w:r>
    </w:p>
    <w:p w:rsidR="00857EBF" w:rsidRPr="0006219A" w:rsidRDefault="00C44D0B" w:rsidP="00EE2EB5">
      <w:pPr>
        <w:pStyle w:val="ListParagraph"/>
        <w:spacing w:line="480" w:lineRule="auto"/>
        <w:ind w:left="0" w:firstLine="720"/>
        <w:rPr>
          <w:szCs w:val="24"/>
        </w:rPr>
      </w:pPr>
      <w:r w:rsidRPr="0006219A">
        <w:rPr>
          <w:rFonts w:eastAsia="Times New Roman"/>
          <w:szCs w:val="24"/>
        </w:rPr>
        <w:t>The Sganga action settled i</w:t>
      </w:r>
      <w:r w:rsidR="00A32743" w:rsidRPr="0006219A">
        <w:rPr>
          <w:rFonts w:eastAsia="Times New Roman"/>
          <w:szCs w:val="24"/>
        </w:rPr>
        <w:t>n September 2015</w:t>
      </w:r>
      <w:r w:rsidR="00B771F3" w:rsidRPr="0006219A">
        <w:rPr>
          <w:rFonts w:eastAsia="Times New Roman"/>
          <w:szCs w:val="24"/>
        </w:rPr>
        <w:t xml:space="preserve">.  </w:t>
      </w:r>
      <w:r w:rsidRPr="0006219A">
        <w:rPr>
          <w:rFonts w:eastAsia="Times New Roman"/>
          <w:szCs w:val="24"/>
        </w:rPr>
        <w:t xml:space="preserve">Sganga </w:t>
      </w:r>
      <w:r w:rsidR="00B771F3" w:rsidRPr="0006219A">
        <w:rPr>
          <w:rFonts w:eastAsia="Times New Roman"/>
          <w:szCs w:val="24"/>
        </w:rPr>
        <w:t>agreed to accept $132,5</w:t>
      </w:r>
      <w:r w:rsidR="00FB4276" w:rsidRPr="0006219A">
        <w:rPr>
          <w:rFonts w:eastAsia="Times New Roman"/>
          <w:szCs w:val="24"/>
        </w:rPr>
        <w:t>00</w:t>
      </w:r>
      <w:r w:rsidR="00D77EDB" w:rsidRPr="0006219A">
        <w:rPr>
          <w:rFonts w:eastAsia="Times New Roman"/>
          <w:szCs w:val="24"/>
        </w:rPr>
        <w:t xml:space="preserve"> in fees.  One term of the settlement agreement </w:t>
      </w:r>
      <w:r w:rsidR="002E727F" w:rsidRPr="0006219A">
        <w:rPr>
          <w:rFonts w:eastAsia="Times New Roman"/>
          <w:szCs w:val="24"/>
        </w:rPr>
        <w:t xml:space="preserve">that new counsel offered to induce Sganga to settle </w:t>
      </w:r>
      <w:r w:rsidR="00D77EDB" w:rsidRPr="0006219A">
        <w:rPr>
          <w:rFonts w:eastAsia="Times New Roman"/>
          <w:szCs w:val="24"/>
        </w:rPr>
        <w:t xml:space="preserve">was that </w:t>
      </w:r>
      <w:r w:rsidR="00612300" w:rsidRPr="0006219A">
        <w:rPr>
          <w:rFonts w:eastAsia="Times New Roman"/>
          <w:szCs w:val="24"/>
        </w:rPr>
        <w:t>Amarnath</w:t>
      </w:r>
      <w:r w:rsidR="00FB4276" w:rsidRPr="0006219A">
        <w:rPr>
          <w:rFonts w:eastAsia="Times New Roman"/>
          <w:szCs w:val="24"/>
        </w:rPr>
        <w:t xml:space="preserve"> and Velagapudi </w:t>
      </w:r>
      <w:r w:rsidR="00D77EDB" w:rsidRPr="0006219A">
        <w:rPr>
          <w:rFonts w:eastAsia="Times New Roman"/>
          <w:szCs w:val="24"/>
        </w:rPr>
        <w:t xml:space="preserve">would </w:t>
      </w:r>
      <w:r w:rsidR="00866B2A" w:rsidRPr="0006219A">
        <w:rPr>
          <w:szCs w:val="24"/>
        </w:rPr>
        <w:t>“take all reasonable steps as are within their power to have the State Bar claim dismissed, including but not limited to promptly notifying the State Bar that they are withdrawing their State Bar claim against [Sganga].”</w:t>
      </w:r>
      <w:r w:rsidR="00DF5AA0" w:rsidRPr="0006219A">
        <w:rPr>
          <w:szCs w:val="24"/>
        </w:rPr>
        <w:t xml:space="preserve">  The </w:t>
      </w:r>
      <w:r w:rsidR="00DF5AA0" w:rsidRPr="0006219A">
        <w:rPr>
          <w:rFonts w:eastAsia="Times New Roman"/>
          <w:szCs w:val="24"/>
        </w:rPr>
        <w:t>hearing judge found no evidence</w:t>
      </w:r>
      <w:r w:rsidR="004028F4" w:rsidRPr="0006219A">
        <w:rPr>
          <w:rFonts w:eastAsia="Times New Roman"/>
          <w:szCs w:val="24"/>
        </w:rPr>
        <w:t xml:space="preserve"> </w:t>
      </w:r>
      <w:r w:rsidR="00581430" w:rsidRPr="0006219A">
        <w:rPr>
          <w:rFonts w:eastAsia="Times New Roman"/>
          <w:szCs w:val="24"/>
        </w:rPr>
        <w:t xml:space="preserve">that Sganga sought </w:t>
      </w:r>
      <w:r w:rsidR="00DF5AA0" w:rsidRPr="0006219A">
        <w:rPr>
          <w:rFonts w:eastAsia="Times New Roman"/>
          <w:szCs w:val="24"/>
        </w:rPr>
        <w:t xml:space="preserve">this term.  </w:t>
      </w:r>
      <w:r w:rsidR="005F683B" w:rsidRPr="0006219A">
        <w:rPr>
          <w:szCs w:val="24"/>
        </w:rPr>
        <w:t>We give great weight to</w:t>
      </w:r>
      <w:r w:rsidR="00C6622B" w:rsidRPr="0006219A">
        <w:rPr>
          <w:szCs w:val="24"/>
        </w:rPr>
        <w:t>,</w:t>
      </w:r>
      <w:r w:rsidR="005F683B" w:rsidRPr="0006219A">
        <w:rPr>
          <w:szCs w:val="24"/>
        </w:rPr>
        <w:t xml:space="preserve"> and adopt</w:t>
      </w:r>
      <w:r w:rsidR="00C6622B" w:rsidRPr="0006219A">
        <w:rPr>
          <w:szCs w:val="24"/>
        </w:rPr>
        <w:t>,</w:t>
      </w:r>
      <w:r w:rsidR="005F683B" w:rsidRPr="0006219A">
        <w:rPr>
          <w:szCs w:val="24"/>
        </w:rPr>
        <w:t xml:space="preserve"> this finding of the judge.  </w:t>
      </w:r>
      <w:r w:rsidR="00DF5AA0" w:rsidRPr="0006219A">
        <w:rPr>
          <w:szCs w:val="24"/>
        </w:rPr>
        <w:t>(</w:t>
      </w:r>
      <w:r w:rsidR="00DF5AA0" w:rsidRPr="0006219A">
        <w:rPr>
          <w:i/>
          <w:szCs w:val="24"/>
        </w:rPr>
        <w:t>McKnight</w:t>
      </w:r>
      <w:r w:rsidR="00D26FFF" w:rsidRPr="0006219A">
        <w:rPr>
          <w:i/>
          <w:szCs w:val="24"/>
        </w:rPr>
        <w:t xml:space="preserve"> v. State Bar</w:t>
      </w:r>
      <w:r w:rsidR="00DF5AA0" w:rsidRPr="0006219A">
        <w:rPr>
          <w:szCs w:val="24"/>
        </w:rPr>
        <w:t xml:space="preserve">, </w:t>
      </w:r>
      <w:r w:rsidR="00DF5AA0" w:rsidRPr="0006219A">
        <w:rPr>
          <w:i/>
          <w:szCs w:val="24"/>
        </w:rPr>
        <w:t>supra</w:t>
      </w:r>
      <w:r w:rsidR="00DF5AA0" w:rsidRPr="0006219A">
        <w:rPr>
          <w:szCs w:val="24"/>
        </w:rPr>
        <w:t>, 53 Cal.3d at p.</w:t>
      </w:r>
      <w:r w:rsidR="005C164A" w:rsidRPr="0006219A">
        <w:rPr>
          <w:szCs w:val="24"/>
        </w:rPr>
        <w:t> </w:t>
      </w:r>
      <w:r w:rsidR="00DF5AA0" w:rsidRPr="0006219A">
        <w:rPr>
          <w:szCs w:val="24"/>
        </w:rPr>
        <w:t>1032.)</w:t>
      </w:r>
    </w:p>
    <w:p w:rsidR="00C6622B" w:rsidRPr="0006219A" w:rsidRDefault="00833776" w:rsidP="007A07BD">
      <w:pPr>
        <w:pStyle w:val="ListParagraph"/>
        <w:spacing w:line="480" w:lineRule="auto"/>
        <w:ind w:left="0" w:firstLine="720"/>
        <w:rPr>
          <w:rFonts w:eastAsia="Times New Roman"/>
          <w:szCs w:val="24"/>
        </w:rPr>
      </w:pPr>
      <w:r w:rsidRPr="0006219A">
        <w:rPr>
          <w:szCs w:val="24"/>
        </w:rPr>
        <w:t>N</w:t>
      </w:r>
      <w:r w:rsidRPr="0006219A">
        <w:rPr>
          <w:rFonts w:eastAsia="Times New Roman"/>
          <w:szCs w:val="24"/>
        </w:rPr>
        <w:t xml:space="preserve">early a year after the Sganga action settled, Sganga received </w:t>
      </w:r>
      <w:r w:rsidR="00265E04" w:rsidRPr="0006219A">
        <w:rPr>
          <w:rFonts w:eastAsia="Times New Roman"/>
          <w:szCs w:val="24"/>
        </w:rPr>
        <w:t xml:space="preserve">a </w:t>
      </w:r>
      <w:r w:rsidRPr="0006219A">
        <w:rPr>
          <w:rFonts w:eastAsia="Times New Roman"/>
          <w:szCs w:val="24"/>
        </w:rPr>
        <w:t xml:space="preserve">final </w:t>
      </w:r>
      <w:r w:rsidR="00D77EDB" w:rsidRPr="0006219A">
        <w:rPr>
          <w:rFonts w:eastAsia="Times New Roman"/>
          <w:szCs w:val="24"/>
        </w:rPr>
        <w:t xml:space="preserve">$380,000 </w:t>
      </w:r>
      <w:r w:rsidRPr="0006219A">
        <w:rPr>
          <w:rFonts w:eastAsia="Times New Roman"/>
          <w:szCs w:val="24"/>
        </w:rPr>
        <w:t xml:space="preserve">payment </w:t>
      </w:r>
      <w:r w:rsidR="00265E04" w:rsidRPr="0006219A">
        <w:rPr>
          <w:rFonts w:eastAsia="Times New Roman"/>
          <w:szCs w:val="24"/>
        </w:rPr>
        <w:t>f</w:t>
      </w:r>
      <w:r w:rsidR="007D006C" w:rsidRPr="0006219A">
        <w:rPr>
          <w:rFonts w:eastAsia="Times New Roman"/>
          <w:szCs w:val="24"/>
        </w:rPr>
        <w:t>rom SAI in</w:t>
      </w:r>
      <w:r w:rsidRPr="0006219A">
        <w:rPr>
          <w:rFonts w:eastAsia="Times New Roman"/>
          <w:szCs w:val="24"/>
        </w:rPr>
        <w:t xml:space="preserve"> August 2016.  As discussed below in aggravation, </w:t>
      </w:r>
      <w:r w:rsidR="00C6622B" w:rsidRPr="0006219A">
        <w:rPr>
          <w:rFonts w:eastAsia="Times New Roman"/>
          <w:szCs w:val="24"/>
        </w:rPr>
        <w:t>he</w:t>
      </w:r>
      <w:r w:rsidRPr="0006219A">
        <w:rPr>
          <w:rFonts w:eastAsia="Times New Roman"/>
          <w:szCs w:val="24"/>
        </w:rPr>
        <w:t xml:space="preserve"> did not disburse the $380,000 to Amarnath and Velagapudi</w:t>
      </w:r>
      <w:r w:rsidR="00D77EDB" w:rsidRPr="0006219A">
        <w:rPr>
          <w:rFonts w:eastAsia="Times New Roman"/>
          <w:szCs w:val="24"/>
        </w:rPr>
        <w:t xml:space="preserve"> until </w:t>
      </w:r>
      <w:r w:rsidR="002D7B1A" w:rsidRPr="0006219A">
        <w:rPr>
          <w:rFonts w:eastAsia="Times New Roman"/>
          <w:szCs w:val="24"/>
        </w:rPr>
        <w:t>February</w:t>
      </w:r>
      <w:r w:rsidR="00D77EDB" w:rsidRPr="0006219A">
        <w:rPr>
          <w:rFonts w:eastAsia="Times New Roman"/>
          <w:szCs w:val="24"/>
        </w:rPr>
        <w:t xml:space="preserve"> 2017, </w:t>
      </w:r>
      <w:r w:rsidR="00E87341" w:rsidRPr="0006219A">
        <w:rPr>
          <w:rFonts w:eastAsia="Times New Roman"/>
          <w:szCs w:val="24"/>
        </w:rPr>
        <w:t xml:space="preserve">at least </w:t>
      </w:r>
      <w:r w:rsidR="00D77EDB" w:rsidRPr="0006219A">
        <w:rPr>
          <w:rFonts w:eastAsia="Times New Roman"/>
          <w:szCs w:val="24"/>
        </w:rPr>
        <w:t>in part because they h</w:t>
      </w:r>
      <w:r w:rsidR="00E87341" w:rsidRPr="0006219A">
        <w:rPr>
          <w:rFonts w:eastAsia="Times New Roman"/>
          <w:szCs w:val="24"/>
        </w:rPr>
        <w:t xml:space="preserve">ad not complied </w:t>
      </w:r>
      <w:r w:rsidR="00D77EDB" w:rsidRPr="0006219A">
        <w:rPr>
          <w:rFonts w:eastAsia="Times New Roman"/>
          <w:szCs w:val="24"/>
        </w:rPr>
        <w:t xml:space="preserve">with the settlement </w:t>
      </w:r>
      <w:r w:rsidR="00E87341" w:rsidRPr="0006219A">
        <w:rPr>
          <w:rFonts w:eastAsia="Times New Roman"/>
          <w:szCs w:val="24"/>
        </w:rPr>
        <w:t xml:space="preserve">agreement </w:t>
      </w:r>
      <w:r w:rsidR="00D77EDB" w:rsidRPr="0006219A">
        <w:rPr>
          <w:rFonts w:eastAsia="Times New Roman"/>
          <w:szCs w:val="24"/>
        </w:rPr>
        <w:t>term regarding the State Bar complaint</w:t>
      </w:r>
      <w:r w:rsidRPr="0006219A">
        <w:rPr>
          <w:rFonts w:eastAsia="Times New Roman"/>
          <w:szCs w:val="24"/>
        </w:rPr>
        <w:t>.</w:t>
      </w:r>
    </w:p>
    <w:p w:rsidR="00954848" w:rsidRPr="0006219A" w:rsidRDefault="00954848" w:rsidP="00EE2EB5">
      <w:pPr>
        <w:spacing w:line="480" w:lineRule="auto"/>
        <w:rPr>
          <w:rFonts w:eastAsia="Times New Roman"/>
          <w:b/>
          <w:szCs w:val="24"/>
        </w:rPr>
      </w:pPr>
      <w:r w:rsidRPr="0006219A">
        <w:rPr>
          <w:rFonts w:eastAsia="Times New Roman"/>
          <w:b/>
          <w:szCs w:val="24"/>
        </w:rPr>
        <w:t>B.</w:t>
      </w:r>
      <w:r w:rsidRPr="0006219A">
        <w:rPr>
          <w:rFonts w:eastAsia="Times New Roman"/>
          <w:b/>
          <w:szCs w:val="24"/>
        </w:rPr>
        <w:tab/>
        <w:t>Culpability</w:t>
      </w:r>
    </w:p>
    <w:p w:rsidR="00EF7FB6" w:rsidRPr="0006219A" w:rsidRDefault="008F4A18" w:rsidP="00EF7FB6">
      <w:pPr>
        <w:spacing w:line="480" w:lineRule="auto"/>
        <w:ind w:firstLine="720"/>
        <w:rPr>
          <w:szCs w:val="24"/>
        </w:rPr>
      </w:pPr>
      <w:r w:rsidRPr="0006219A">
        <w:rPr>
          <w:szCs w:val="24"/>
        </w:rPr>
        <w:t>Based on the parties’</w:t>
      </w:r>
      <w:r w:rsidR="00612300" w:rsidRPr="0006219A">
        <w:rPr>
          <w:szCs w:val="24"/>
        </w:rPr>
        <w:t xml:space="preserve"> </w:t>
      </w:r>
      <w:r w:rsidRPr="0006219A">
        <w:rPr>
          <w:szCs w:val="24"/>
        </w:rPr>
        <w:t>stipulation and the trial evidence, the hearing judge found Sganga culpable</w:t>
      </w:r>
      <w:r w:rsidR="002B69AB" w:rsidRPr="0006219A">
        <w:rPr>
          <w:szCs w:val="24"/>
        </w:rPr>
        <w:t xml:space="preserve"> of</w:t>
      </w:r>
      <w:r w:rsidR="00DD7D0D" w:rsidRPr="0006219A">
        <w:rPr>
          <w:szCs w:val="24"/>
        </w:rPr>
        <w:t xml:space="preserve"> </w:t>
      </w:r>
      <w:r w:rsidR="00095574" w:rsidRPr="0006219A">
        <w:rPr>
          <w:szCs w:val="24"/>
        </w:rPr>
        <w:t>misus</w:t>
      </w:r>
      <w:r w:rsidR="00F35A9B" w:rsidRPr="0006219A">
        <w:rPr>
          <w:szCs w:val="24"/>
        </w:rPr>
        <w:t>ing</w:t>
      </w:r>
      <w:r w:rsidR="00095574" w:rsidRPr="0006219A">
        <w:rPr>
          <w:szCs w:val="24"/>
        </w:rPr>
        <w:t xml:space="preserve"> his CTA to pay personal expenses </w:t>
      </w:r>
      <w:r w:rsidR="005A6449" w:rsidRPr="0006219A">
        <w:rPr>
          <w:szCs w:val="24"/>
        </w:rPr>
        <w:t>by issuing a</w:t>
      </w:r>
      <w:r w:rsidR="00383A71" w:rsidRPr="0006219A">
        <w:rPr>
          <w:szCs w:val="24"/>
        </w:rPr>
        <w:t xml:space="preserve"> $15,000 check </w:t>
      </w:r>
      <w:r w:rsidR="00081D7F" w:rsidRPr="0006219A">
        <w:rPr>
          <w:szCs w:val="24"/>
        </w:rPr>
        <w:t>t</w:t>
      </w:r>
      <w:r w:rsidR="00383A71" w:rsidRPr="0006219A">
        <w:rPr>
          <w:szCs w:val="24"/>
        </w:rPr>
        <w:t xml:space="preserve">o pay his office rent </w:t>
      </w:r>
      <w:r w:rsidR="00095574" w:rsidRPr="0006219A">
        <w:rPr>
          <w:szCs w:val="24"/>
        </w:rPr>
        <w:t>(count one);</w:t>
      </w:r>
      <w:r w:rsidR="00DD7D0D" w:rsidRPr="0006219A">
        <w:rPr>
          <w:szCs w:val="24"/>
        </w:rPr>
        <w:t xml:space="preserve"> </w:t>
      </w:r>
      <w:r w:rsidR="00081D7F" w:rsidRPr="0006219A">
        <w:rPr>
          <w:szCs w:val="24"/>
        </w:rPr>
        <w:t>fail</w:t>
      </w:r>
      <w:r w:rsidR="00F35A9B" w:rsidRPr="0006219A">
        <w:rPr>
          <w:szCs w:val="24"/>
        </w:rPr>
        <w:t>ing</w:t>
      </w:r>
      <w:r w:rsidRPr="0006219A">
        <w:rPr>
          <w:szCs w:val="24"/>
        </w:rPr>
        <w:t xml:space="preserve"> to </w:t>
      </w:r>
      <w:r w:rsidR="00DD7D0D" w:rsidRPr="0006219A">
        <w:rPr>
          <w:szCs w:val="24"/>
        </w:rPr>
        <w:t xml:space="preserve">maintain </w:t>
      </w:r>
      <w:r w:rsidR="00730CF5" w:rsidRPr="0006219A">
        <w:rPr>
          <w:szCs w:val="24"/>
        </w:rPr>
        <w:t xml:space="preserve">Amarnath and Velagapudi’s </w:t>
      </w:r>
      <w:r w:rsidR="00802184" w:rsidRPr="0006219A">
        <w:rPr>
          <w:szCs w:val="24"/>
        </w:rPr>
        <w:t xml:space="preserve">settlement funds </w:t>
      </w:r>
      <w:r w:rsidR="003E3D47" w:rsidRPr="0006219A">
        <w:rPr>
          <w:szCs w:val="24"/>
        </w:rPr>
        <w:t>in his CTA</w:t>
      </w:r>
      <w:r w:rsidR="00DD7D0D" w:rsidRPr="0006219A">
        <w:rPr>
          <w:szCs w:val="24"/>
        </w:rPr>
        <w:t xml:space="preserve"> </w:t>
      </w:r>
      <w:r w:rsidR="001D3DC2" w:rsidRPr="0006219A">
        <w:rPr>
          <w:szCs w:val="24"/>
        </w:rPr>
        <w:t>(count four)</w:t>
      </w:r>
      <w:r w:rsidRPr="0006219A">
        <w:rPr>
          <w:szCs w:val="24"/>
        </w:rPr>
        <w:t xml:space="preserve">; </w:t>
      </w:r>
      <w:r w:rsidR="001D3DC2" w:rsidRPr="0006219A">
        <w:rPr>
          <w:szCs w:val="24"/>
        </w:rPr>
        <w:t>intentionally and knowingly misappropriat</w:t>
      </w:r>
      <w:r w:rsidR="00F35A9B" w:rsidRPr="0006219A">
        <w:rPr>
          <w:szCs w:val="24"/>
        </w:rPr>
        <w:t>ing</w:t>
      </w:r>
      <w:r w:rsidR="001D3DC2" w:rsidRPr="0006219A">
        <w:rPr>
          <w:szCs w:val="24"/>
        </w:rPr>
        <w:t xml:space="preserve"> $61,500 </w:t>
      </w:r>
      <w:r w:rsidR="00AF2B2D" w:rsidRPr="0006219A">
        <w:rPr>
          <w:szCs w:val="24"/>
        </w:rPr>
        <w:t xml:space="preserve">of </w:t>
      </w:r>
      <w:r w:rsidR="006068C7" w:rsidRPr="0006219A">
        <w:rPr>
          <w:szCs w:val="24"/>
        </w:rPr>
        <w:t>their</w:t>
      </w:r>
      <w:r w:rsidR="00AF2B2D" w:rsidRPr="0006219A">
        <w:rPr>
          <w:szCs w:val="24"/>
        </w:rPr>
        <w:t xml:space="preserve"> funds</w:t>
      </w:r>
      <w:r w:rsidR="00802184" w:rsidRPr="0006219A">
        <w:rPr>
          <w:szCs w:val="24"/>
        </w:rPr>
        <w:t xml:space="preserve"> </w:t>
      </w:r>
      <w:r w:rsidR="001D3DC2" w:rsidRPr="0006219A">
        <w:rPr>
          <w:szCs w:val="24"/>
        </w:rPr>
        <w:t xml:space="preserve">(count </w:t>
      </w:r>
      <w:r w:rsidR="001D3DC2" w:rsidRPr="0006219A">
        <w:rPr>
          <w:szCs w:val="24"/>
        </w:rPr>
        <w:lastRenderedPageBreak/>
        <w:t xml:space="preserve">five); and </w:t>
      </w:r>
      <w:r w:rsidR="001F121E" w:rsidRPr="0006219A">
        <w:rPr>
          <w:szCs w:val="24"/>
        </w:rPr>
        <w:t>violat</w:t>
      </w:r>
      <w:r w:rsidR="00F35A9B" w:rsidRPr="0006219A">
        <w:rPr>
          <w:szCs w:val="24"/>
        </w:rPr>
        <w:t>ing</w:t>
      </w:r>
      <w:r w:rsidR="001D3DC2" w:rsidRPr="0006219A">
        <w:rPr>
          <w:szCs w:val="24"/>
        </w:rPr>
        <w:t xml:space="preserve"> a court order </w:t>
      </w:r>
      <w:r w:rsidR="00AF2B2D" w:rsidRPr="0006219A">
        <w:rPr>
          <w:szCs w:val="24"/>
        </w:rPr>
        <w:t xml:space="preserve">by failing to timely deliver to </w:t>
      </w:r>
      <w:r w:rsidR="001F121E" w:rsidRPr="0006219A">
        <w:rPr>
          <w:szCs w:val="24"/>
        </w:rPr>
        <w:t xml:space="preserve">the court </w:t>
      </w:r>
      <w:r w:rsidR="00FA6871" w:rsidRPr="0006219A">
        <w:rPr>
          <w:szCs w:val="24"/>
        </w:rPr>
        <w:t xml:space="preserve">in the Sganga action </w:t>
      </w:r>
      <w:r w:rsidR="00AF2B2D" w:rsidRPr="0006219A">
        <w:rPr>
          <w:szCs w:val="24"/>
        </w:rPr>
        <w:t>all settlement funds he</w:t>
      </w:r>
      <w:r w:rsidR="001F121E" w:rsidRPr="0006219A">
        <w:rPr>
          <w:szCs w:val="24"/>
        </w:rPr>
        <w:t xml:space="preserve"> </w:t>
      </w:r>
      <w:r w:rsidR="00AF2B2D" w:rsidRPr="0006219A">
        <w:rPr>
          <w:szCs w:val="24"/>
        </w:rPr>
        <w:t xml:space="preserve">had received on </w:t>
      </w:r>
      <w:r w:rsidR="002C4585" w:rsidRPr="0006219A">
        <w:rPr>
          <w:szCs w:val="24"/>
        </w:rPr>
        <w:t>Amarnath and Velagapudi’s behalf</w:t>
      </w:r>
      <w:r w:rsidR="001F121E" w:rsidRPr="0006219A">
        <w:rPr>
          <w:szCs w:val="24"/>
        </w:rPr>
        <w:t xml:space="preserve"> </w:t>
      </w:r>
      <w:r w:rsidR="001D3DC2" w:rsidRPr="0006219A">
        <w:rPr>
          <w:szCs w:val="24"/>
        </w:rPr>
        <w:t xml:space="preserve">(count six). </w:t>
      </w:r>
      <w:r w:rsidR="001F121E" w:rsidRPr="0006219A">
        <w:rPr>
          <w:szCs w:val="24"/>
        </w:rPr>
        <w:t xml:space="preserve"> </w:t>
      </w:r>
      <w:r w:rsidR="00612300" w:rsidRPr="0006219A">
        <w:rPr>
          <w:szCs w:val="24"/>
        </w:rPr>
        <w:t>Consistent</w:t>
      </w:r>
      <w:r w:rsidR="003E3D47" w:rsidRPr="0006219A">
        <w:rPr>
          <w:szCs w:val="24"/>
        </w:rPr>
        <w:t xml:space="preserve"> with the </w:t>
      </w:r>
      <w:r w:rsidR="00774007" w:rsidRPr="0006219A">
        <w:rPr>
          <w:szCs w:val="24"/>
        </w:rPr>
        <w:t>parties’ request</w:t>
      </w:r>
      <w:r w:rsidR="002B69AB" w:rsidRPr="0006219A">
        <w:rPr>
          <w:szCs w:val="24"/>
        </w:rPr>
        <w:t>,</w:t>
      </w:r>
      <w:r w:rsidR="003E3D47" w:rsidRPr="0006219A">
        <w:rPr>
          <w:szCs w:val="24"/>
        </w:rPr>
        <w:t xml:space="preserve"> the judge dismissed counts two and three.  </w:t>
      </w:r>
      <w:r w:rsidRPr="0006219A">
        <w:rPr>
          <w:szCs w:val="24"/>
        </w:rPr>
        <w:t xml:space="preserve">We adopt </w:t>
      </w:r>
      <w:r w:rsidR="00774007" w:rsidRPr="0006219A">
        <w:rPr>
          <w:szCs w:val="24"/>
        </w:rPr>
        <w:t xml:space="preserve">and affirm </w:t>
      </w:r>
      <w:r w:rsidRPr="0006219A">
        <w:rPr>
          <w:szCs w:val="24"/>
        </w:rPr>
        <w:t>the judge’s unchallenged findings as supported by the rec</w:t>
      </w:r>
      <w:r w:rsidR="003E3D47" w:rsidRPr="0006219A">
        <w:rPr>
          <w:szCs w:val="24"/>
        </w:rPr>
        <w:t>ord</w:t>
      </w:r>
      <w:r w:rsidR="00954848" w:rsidRPr="0006219A">
        <w:rPr>
          <w:szCs w:val="24"/>
        </w:rPr>
        <w:t>.</w:t>
      </w:r>
      <w:r w:rsidR="00EF7FB6" w:rsidRPr="0006219A">
        <w:rPr>
          <w:szCs w:val="24"/>
        </w:rPr>
        <w:t xml:space="preserve">  However, we accord no additional weight to the </w:t>
      </w:r>
      <w:r w:rsidR="000D5B71" w:rsidRPr="0006219A">
        <w:rPr>
          <w:szCs w:val="24"/>
        </w:rPr>
        <w:t>r</w:t>
      </w:r>
      <w:r w:rsidR="000D5B71" w:rsidRPr="0006219A">
        <w:rPr>
          <w:rFonts w:eastAsia="Times New Roman"/>
          <w:szCs w:val="24"/>
        </w:rPr>
        <w:t xml:space="preserve">ule 4-100(A) </w:t>
      </w:r>
      <w:r w:rsidR="005F2794">
        <w:rPr>
          <w:rFonts w:eastAsia="Times New Roman"/>
          <w:szCs w:val="24"/>
        </w:rPr>
        <w:t xml:space="preserve">failure to maintain client funds </w:t>
      </w:r>
      <w:r w:rsidR="00EF7FB6" w:rsidRPr="0006219A">
        <w:rPr>
          <w:szCs w:val="24"/>
        </w:rPr>
        <w:t>violation (count four) in assessing the degree of discipline because the same misconduct underlies the section 6106 misappropriation violation (count five)</w:t>
      </w:r>
      <w:r w:rsidR="00EF7FB6" w:rsidRPr="0006219A">
        <w:rPr>
          <w:iCs/>
          <w:szCs w:val="24"/>
        </w:rPr>
        <w:t>.</w:t>
      </w:r>
      <w:r w:rsidR="00EF7FB6" w:rsidRPr="0006219A">
        <w:rPr>
          <w:szCs w:val="24"/>
        </w:rPr>
        <w:t xml:space="preserve">  (See </w:t>
      </w:r>
      <w:r w:rsidR="00EF7FB6" w:rsidRPr="0006219A">
        <w:rPr>
          <w:i/>
          <w:iCs/>
          <w:szCs w:val="24"/>
        </w:rPr>
        <w:t>In the Matter of Sampson</w:t>
      </w:r>
      <w:r w:rsidR="00EF7FB6" w:rsidRPr="0006219A">
        <w:rPr>
          <w:szCs w:val="24"/>
        </w:rPr>
        <w:t xml:space="preserve"> (Review Dept. 1994) 3 Cal. State Bar Ct. Rptr. 119, 127.)</w:t>
      </w:r>
    </w:p>
    <w:p w:rsidR="00025D2F" w:rsidRPr="0006219A" w:rsidRDefault="003570B3" w:rsidP="00EE2EB5">
      <w:pPr>
        <w:spacing w:line="480" w:lineRule="auto"/>
        <w:jc w:val="center"/>
        <w:rPr>
          <w:b/>
          <w:szCs w:val="24"/>
        </w:rPr>
      </w:pPr>
      <w:r w:rsidRPr="0006219A">
        <w:rPr>
          <w:b/>
          <w:szCs w:val="24"/>
        </w:rPr>
        <w:t>I</w:t>
      </w:r>
      <w:r w:rsidR="002515DD" w:rsidRPr="0006219A">
        <w:rPr>
          <w:b/>
          <w:szCs w:val="24"/>
        </w:rPr>
        <w:t>II</w:t>
      </w:r>
      <w:r w:rsidRPr="0006219A">
        <w:rPr>
          <w:b/>
          <w:szCs w:val="24"/>
        </w:rPr>
        <w:t>.</w:t>
      </w:r>
      <w:r w:rsidR="00354025" w:rsidRPr="0006219A">
        <w:rPr>
          <w:b/>
          <w:szCs w:val="24"/>
        </w:rPr>
        <w:t xml:space="preserve">  </w:t>
      </w:r>
      <w:r w:rsidR="00025D2F" w:rsidRPr="0006219A">
        <w:rPr>
          <w:b/>
          <w:szCs w:val="24"/>
        </w:rPr>
        <w:t>AGGRAVATION AND MITIGATION</w:t>
      </w:r>
    </w:p>
    <w:p w:rsidR="009D118C" w:rsidRPr="0006219A" w:rsidRDefault="00FF31AC" w:rsidP="00E05DA5">
      <w:pPr>
        <w:tabs>
          <w:tab w:val="left" w:pos="720"/>
        </w:tabs>
        <w:autoSpaceDE w:val="0"/>
        <w:autoSpaceDN w:val="0"/>
        <w:adjustRightInd w:val="0"/>
        <w:spacing w:line="480" w:lineRule="auto"/>
        <w:ind w:firstLine="720"/>
        <w:rPr>
          <w:szCs w:val="24"/>
        </w:rPr>
      </w:pPr>
      <w:r w:rsidRPr="0006219A">
        <w:rPr>
          <w:szCs w:val="24"/>
        </w:rPr>
        <w:t>Standard 1.5 of the Rules of Procedure of the State Bar, title IV, Standards for Attorney Sanctions for Professional Misconduct</w:t>
      </w:r>
      <w:r w:rsidRPr="0006219A">
        <w:rPr>
          <w:rStyle w:val="FootnoteReference"/>
          <w:szCs w:val="24"/>
        </w:rPr>
        <w:footnoteReference w:id="12"/>
      </w:r>
      <w:r w:rsidRPr="0006219A">
        <w:rPr>
          <w:szCs w:val="24"/>
        </w:rPr>
        <w:t xml:space="preserve"> requires OCTC to establish aggravating circumstances by clear and convincing evidence.</w:t>
      </w:r>
      <w:r w:rsidR="00F438D7" w:rsidRPr="0006219A">
        <w:rPr>
          <w:rStyle w:val="FootnoteReference"/>
          <w:szCs w:val="24"/>
        </w:rPr>
        <w:footnoteReference w:id="13"/>
      </w:r>
      <w:r w:rsidRPr="0006219A">
        <w:rPr>
          <w:szCs w:val="24"/>
        </w:rPr>
        <w:t xml:space="preserve">  Sganga has the same burden to prove mitigation.  (Std. 1.6.)</w:t>
      </w:r>
    </w:p>
    <w:p w:rsidR="00025D2F" w:rsidRPr="0006219A" w:rsidRDefault="00025D2F" w:rsidP="00EE2EB5">
      <w:pPr>
        <w:spacing w:line="480" w:lineRule="auto"/>
        <w:rPr>
          <w:b/>
          <w:szCs w:val="24"/>
        </w:rPr>
      </w:pPr>
      <w:r w:rsidRPr="0006219A">
        <w:rPr>
          <w:b/>
          <w:szCs w:val="24"/>
        </w:rPr>
        <w:t>A.</w:t>
      </w:r>
      <w:r w:rsidRPr="0006219A">
        <w:rPr>
          <w:b/>
          <w:szCs w:val="24"/>
        </w:rPr>
        <w:tab/>
        <w:t>A</w:t>
      </w:r>
      <w:r w:rsidR="00947A0F" w:rsidRPr="0006219A">
        <w:rPr>
          <w:b/>
          <w:szCs w:val="24"/>
        </w:rPr>
        <w:t>ggravation</w:t>
      </w:r>
    </w:p>
    <w:p w:rsidR="00025D2F" w:rsidRPr="0006219A" w:rsidRDefault="003570B3" w:rsidP="00EE2EB5">
      <w:pPr>
        <w:spacing w:line="480" w:lineRule="auto"/>
        <w:ind w:firstLine="720"/>
        <w:rPr>
          <w:b/>
          <w:szCs w:val="24"/>
        </w:rPr>
      </w:pPr>
      <w:r w:rsidRPr="0006219A">
        <w:rPr>
          <w:b/>
          <w:szCs w:val="24"/>
        </w:rPr>
        <w:t>1.</w:t>
      </w:r>
      <w:r w:rsidR="00354025" w:rsidRPr="0006219A">
        <w:rPr>
          <w:b/>
          <w:szCs w:val="24"/>
        </w:rPr>
        <w:t xml:space="preserve">  </w:t>
      </w:r>
      <w:r w:rsidR="00025D2F" w:rsidRPr="0006219A">
        <w:rPr>
          <w:b/>
          <w:szCs w:val="24"/>
        </w:rPr>
        <w:t xml:space="preserve">Multiple Acts of </w:t>
      </w:r>
      <w:r w:rsidRPr="0006219A">
        <w:rPr>
          <w:b/>
          <w:szCs w:val="24"/>
        </w:rPr>
        <w:t>Wrongdoing</w:t>
      </w:r>
    </w:p>
    <w:p w:rsidR="003366A2" w:rsidRPr="0006219A" w:rsidRDefault="008F52BA" w:rsidP="00EE2EB5">
      <w:pPr>
        <w:spacing w:line="480" w:lineRule="auto"/>
        <w:ind w:firstLine="720"/>
        <w:rPr>
          <w:szCs w:val="24"/>
        </w:rPr>
      </w:pPr>
      <w:r w:rsidRPr="0006219A">
        <w:rPr>
          <w:szCs w:val="24"/>
        </w:rPr>
        <w:t xml:space="preserve">The </w:t>
      </w:r>
      <w:r w:rsidR="006C5C76" w:rsidRPr="0006219A">
        <w:rPr>
          <w:szCs w:val="24"/>
        </w:rPr>
        <w:t xml:space="preserve">hearing judge </w:t>
      </w:r>
      <w:r w:rsidR="00EE3C49" w:rsidRPr="0006219A">
        <w:rPr>
          <w:szCs w:val="24"/>
        </w:rPr>
        <w:t xml:space="preserve">correctly </w:t>
      </w:r>
      <w:r w:rsidRPr="0006219A">
        <w:rPr>
          <w:szCs w:val="24"/>
        </w:rPr>
        <w:t xml:space="preserve">found </w:t>
      </w:r>
      <w:r w:rsidR="0015453D" w:rsidRPr="0006219A">
        <w:rPr>
          <w:szCs w:val="24"/>
        </w:rPr>
        <w:t xml:space="preserve">that </w:t>
      </w:r>
      <w:r w:rsidR="006C5C76" w:rsidRPr="0006219A">
        <w:rPr>
          <w:szCs w:val="24"/>
        </w:rPr>
        <w:t xml:space="preserve">Sganga’s multiple acts of </w:t>
      </w:r>
      <w:r w:rsidR="00854934" w:rsidRPr="0006219A">
        <w:rPr>
          <w:szCs w:val="24"/>
        </w:rPr>
        <w:t>misconduct</w:t>
      </w:r>
      <w:r w:rsidR="006C5C76" w:rsidRPr="0006219A">
        <w:rPr>
          <w:szCs w:val="24"/>
        </w:rPr>
        <w:t xml:space="preserve"> </w:t>
      </w:r>
      <w:r w:rsidR="00EE3C49" w:rsidRPr="0006219A">
        <w:rPr>
          <w:szCs w:val="24"/>
        </w:rPr>
        <w:t xml:space="preserve">constitute </w:t>
      </w:r>
      <w:r w:rsidR="006C5C76" w:rsidRPr="0006219A">
        <w:rPr>
          <w:szCs w:val="24"/>
        </w:rPr>
        <w:t xml:space="preserve">an aggravating </w:t>
      </w:r>
      <w:r w:rsidR="00854934" w:rsidRPr="0006219A">
        <w:rPr>
          <w:szCs w:val="24"/>
        </w:rPr>
        <w:t>factor.</w:t>
      </w:r>
      <w:r w:rsidR="006C5C76" w:rsidRPr="0006219A">
        <w:rPr>
          <w:szCs w:val="24"/>
        </w:rPr>
        <w:t xml:space="preserve">  (Std. 1.5(b).)  We </w:t>
      </w:r>
      <w:r w:rsidR="00722550" w:rsidRPr="0006219A">
        <w:rPr>
          <w:szCs w:val="24"/>
        </w:rPr>
        <w:t>a</w:t>
      </w:r>
      <w:r w:rsidR="006C5C76" w:rsidRPr="0006219A">
        <w:rPr>
          <w:szCs w:val="24"/>
        </w:rPr>
        <w:t xml:space="preserve">ssign moderate aggravating weight because Sganga </w:t>
      </w:r>
      <w:r w:rsidR="002C41FA" w:rsidRPr="0006219A">
        <w:rPr>
          <w:szCs w:val="24"/>
        </w:rPr>
        <w:t>was found culpable of four</w:t>
      </w:r>
      <w:r w:rsidR="007A7EB9" w:rsidRPr="0006219A">
        <w:rPr>
          <w:szCs w:val="24"/>
        </w:rPr>
        <w:t xml:space="preserve"> counts of varied misconduct</w:t>
      </w:r>
      <w:r w:rsidR="0030282D" w:rsidRPr="0006219A">
        <w:rPr>
          <w:szCs w:val="24"/>
        </w:rPr>
        <w:t xml:space="preserve"> </w:t>
      </w:r>
      <w:r w:rsidR="002C41FA" w:rsidRPr="0006219A">
        <w:rPr>
          <w:szCs w:val="24"/>
        </w:rPr>
        <w:t>involving 14 s</w:t>
      </w:r>
      <w:r w:rsidR="001526D0" w:rsidRPr="0006219A">
        <w:rPr>
          <w:szCs w:val="24"/>
        </w:rPr>
        <w:t>e</w:t>
      </w:r>
      <w:r w:rsidR="002C41FA" w:rsidRPr="0006219A">
        <w:rPr>
          <w:szCs w:val="24"/>
        </w:rPr>
        <w:t>p</w:t>
      </w:r>
      <w:r w:rsidR="003F17FF" w:rsidRPr="0006219A">
        <w:rPr>
          <w:szCs w:val="24"/>
        </w:rPr>
        <w:t>a</w:t>
      </w:r>
      <w:r w:rsidR="002C41FA" w:rsidRPr="0006219A">
        <w:rPr>
          <w:szCs w:val="24"/>
        </w:rPr>
        <w:t xml:space="preserve">rate acts </w:t>
      </w:r>
      <w:r w:rsidR="0030282D" w:rsidRPr="0006219A">
        <w:rPr>
          <w:szCs w:val="24"/>
        </w:rPr>
        <w:t xml:space="preserve">that occurred over a period of </w:t>
      </w:r>
      <w:r w:rsidR="002C41FA" w:rsidRPr="0006219A">
        <w:rPr>
          <w:szCs w:val="24"/>
        </w:rPr>
        <w:t>a year</w:t>
      </w:r>
      <w:r w:rsidR="005F2794">
        <w:rPr>
          <w:szCs w:val="24"/>
        </w:rPr>
        <w:t xml:space="preserve"> and a half</w:t>
      </w:r>
      <w:r w:rsidR="000D0590" w:rsidRPr="0006219A">
        <w:rPr>
          <w:szCs w:val="24"/>
        </w:rPr>
        <w:t>.  (</w:t>
      </w:r>
      <w:r w:rsidR="006C5C76" w:rsidRPr="0006219A">
        <w:rPr>
          <w:i/>
          <w:szCs w:val="24"/>
        </w:rPr>
        <w:t>In the Matter of Bach</w:t>
      </w:r>
      <w:r w:rsidR="006C5C76" w:rsidRPr="0006219A">
        <w:rPr>
          <w:szCs w:val="24"/>
        </w:rPr>
        <w:t xml:space="preserve"> (Review Dept. 1991) 1 Cal. State Bar Ct. Rptr. 631, 646</w:t>
      </w:r>
      <w:r w:rsidR="009D5ECF" w:rsidRPr="0006219A">
        <w:rPr>
          <w:szCs w:val="24"/>
        </w:rPr>
        <w:t>–</w:t>
      </w:r>
      <w:r w:rsidR="006C5C76" w:rsidRPr="0006219A">
        <w:rPr>
          <w:szCs w:val="24"/>
        </w:rPr>
        <w:t>647 [three instances of misco</w:t>
      </w:r>
      <w:r w:rsidR="003366A2" w:rsidRPr="0006219A">
        <w:rPr>
          <w:szCs w:val="24"/>
        </w:rPr>
        <w:t>nduct considered multiple acts].)</w:t>
      </w:r>
    </w:p>
    <w:p w:rsidR="003F17FF" w:rsidRPr="0006219A" w:rsidRDefault="003F17FF" w:rsidP="00EE2EB5">
      <w:pPr>
        <w:spacing w:line="480" w:lineRule="auto"/>
        <w:ind w:firstLine="720"/>
        <w:rPr>
          <w:szCs w:val="24"/>
        </w:rPr>
      </w:pPr>
    </w:p>
    <w:p w:rsidR="003F17FF" w:rsidRPr="0006219A" w:rsidRDefault="003F17FF" w:rsidP="00EE2EB5">
      <w:pPr>
        <w:spacing w:line="480" w:lineRule="auto"/>
        <w:ind w:firstLine="720"/>
        <w:rPr>
          <w:szCs w:val="24"/>
        </w:rPr>
      </w:pPr>
    </w:p>
    <w:p w:rsidR="00450DE2" w:rsidRPr="0006219A" w:rsidRDefault="003570B3" w:rsidP="00EE2EB5">
      <w:pPr>
        <w:spacing w:line="480" w:lineRule="auto"/>
        <w:ind w:firstLine="720"/>
        <w:rPr>
          <w:b/>
          <w:szCs w:val="24"/>
        </w:rPr>
      </w:pPr>
      <w:r w:rsidRPr="0006219A">
        <w:rPr>
          <w:b/>
          <w:szCs w:val="24"/>
        </w:rPr>
        <w:lastRenderedPageBreak/>
        <w:t>2.</w:t>
      </w:r>
      <w:r w:rsidR="00354025" w:rsidRPr="0006219A">
        <w:rPr>
          <w:b/>
          <w:szCs w:val="24"/>
        </w:rPr>
        <w:t xml:space="preserve">  </w:t>
      </w:r>
      <w:r w:rsidR="008F52BA" w:rsidRPr="0006219A">
        <w:rPr>
          <w:b/>
          <w:szCs w:val="24"/>
        </w:rPr>
        <w:t>Overreaching</w:t>
      </w:r>
    </w:p>
    <w:p w:rsidR="008E57F1" w:rsidRPr="0006219A" w:rsidRDefault="008E57F1" w:rsidP="0050217F">
      <w:pPr>
        <w:spacing w:line="480" w:lineRule="auto"/>
        <w:ind w:firstLine="720"/>
        <w:rPr>
          <w:szCs w:val="24"/>
        </w:rPr>
      </w:pPr>
      <w:r w:rsidRPr="0006219A">
        <w:rPr>
          <w:szCs w:val="24"/>
        </w:rPr>
        <w:t xml:space="preserve">The </w:t>
      </w:r>
      <w:r w:rsidR="00F65AD0" w:rsidRPr="0006219A">
        <w:rPr>
          <w:szCs w:val="24"/>
        </w:rPr>
        <w:t xml:space="preserve">hearing judge </w:t>
      </w:r>
      <w:r w:rsidRPr="0006219A">
        <w:rPr>
          <w:szCs w:val="24"/>
        </w:rPr>
        <w:t xml:space="preserve">found </w:t>
      </w:r>
      <w:r w:rsidR="00F65AD0" w:rsidRPr="0006219A">
        <w:rPr>
          <w:szCs w:val="24"/>
        </w:rPr>
        <w:t xml:space="preserve">that </w:t>
      </w:r>
      <w:r w:rsidR="002F282C" w:rsidRPr="0006219A">
        <w:rPr>
          <w:szCs w:val="24"/>
        </w:rPr>
        <w:t>Sganga engage</w:t>
      </w:r>
      <w:r w:rsidR="0030357C" w:rsidRPr="0006219A">
        <w:rPr>
          <w:szCs w:val="24"/>
        </w:rPr>
        <w:t>d</w:t>
      </w:r>
      <w:r w:rsidR="00F65AD0" w:rsidRPr="0006219A">
        <w:rPr>
          <w:szCs w:val="24"/>
        </w:rPr>
        <w:t xml:space="preserve"> in overreaching by</w:t>
      </w:r>
      <w:r w:rsidR="000772C3" w:rsidRPr="0006219A">
        <w:rPr>
          <w:szCs w:val="24"/>
        </w:rPr>
        <w:t xml:space="preserve"> </w:t>
      </w:r>
      <w:r w:rsidR="00F65AD0" w:rsidRPr="0006219A">
        <w:rPr>
          <w:szCs w:val="24"/>
        </w:rPr>
        <w:t xml:space="preserve">refusing to disburse the final $380,000 </w:t>
      </w:r>
      <w:r w:rsidR="004453A2" w:rsidRPr="0006219A">
        <w:rPr>
          <w:szCs w:val="24"/>
        </w:rPr>
        <w:t>un</w:t>
      </w:r>
      <w:r w:rsidR="007D317A" w:rsidRPr="0006219A">
        <w:rPr>
          <w:szCs w:val="24"/>
        </w:rPr>
        <w:t>til</w:t>
      </w:r>
      <w:r w:rsidR="004453A2" w:rsidRPr="0006219A">
        <w:rPr>
          <w:szCs w:val="24"/>
        </w:rPr>
        <w:t xml:space="preserve"> </w:t>
      </w:r>
      <w:r w:rsidR="00F65AD0" w:rsidRPr="0006219A">
        <w:rPr>
          <w:szCs w:val="24"/>
        </w:rPr>
        <w:t>Amarnath and Velagapudi</w:t>
      </w:r>
      <w:r w:rsidR="00866B2A" w:rsidRPr="0006219A">
        <w:rPr>
          <w:szCs w:val="24"/>
        </w:rPr>
        <w:t xml:space="preserve"> </w:t>
      </w:r>
      <w:r w:rsidR="004453A2" w:rsidRPr="0006219A">
        <w:rPr>
          <w:szCs w:val="24"/>
        </w:rPr>
        <w:t xml:space="preserve">fulfilled their </w:t>
      </w:r>
      <w:r w:rsidR="002E727F" w:rsidRPr="0006219A">
        <w:rPr>
          <w:szCs w:val="24"/>
        </w:rPr>
        <w:t xml:space="preserve">offered </w:t>
      </w:r>
      <w:r w:rsidR="004453A2" w:rsidRPr="0006219A">
        <w:rPr>
          <w:szCs w:val="24"/>
        </w:rPr>
        <w:t>promise</w:t>
      </w:r>
      <w:r w:rsidR="00BA1B9A" w:rsidRPr="0006219A">
        <w:rPr>
          <w:szCs w:val="24"/>
        </w:rPr>
        <w:t xml:space="preserve"> </w:t>
      </w:r>
      <w:r w:rsidR="004453A2" w:rsidRPr="0006219A">
        <w:rPr>
          <w:szCs w:val="24"/>
        </w:rPr>
        <w:t xml:space="preserve">to inform </w:t>
      </w:r>
      <w:r w:rsidR="00866B2A" w:rsidRPr="0006219A">
        <w:rPr>
          <w:szCs w:val="24"/>
        </w:rPr>
        <w:t xml:space="preserve">the </w:t>
      </w:r>
      <w:r w:rsidR="00F65AD0" w:rsidRPr="0006219A">
        <w:rPr>
          <w:szCs w:val="24"/>
        </w:rPr>
        <w:t xml:space="preserve">State Bar </w:t>
      </w:r>
      <w:r w:rsidR="004453A2" w:rsidRPr="0006219A">
        <w:rPr>
          <w:szCs w:val="24"/>
        </w:rPr>
        <w:t xml:space="preserve">about </w:t>
      </w:r>
      <w:r w:rsidR="00FF2F10" w:rsidRPr="0006219A">
        <w:rPr>
          <w:szCs w:val="24"/>
        </w:rPr>
        <w:t>the</w:t>
      </w:r>
      <w:r w:rsidR="00BA1B9A" w:rsidRPr="0006219A">
        <w:rPr>
          <w:szCs w:val="24"/>
        </w:rPr>
        <w:t xml:space="preserve"> Sganga action </w:t>
      </w:r>
      <w:r w:rsidR="00F65AD0" w:rsidRPr="0006219A">
        <w:rPr>
          <w:szCs w:val="24"/>
        </w:rPr>
        <w:t>settlement</w:t>
      </w:r>
      <w:r w:rsidR="000D5B71" w:rsidRPr="0006219A">
        <w:rPr>
          <w:szCs w:val="24"/>
        </w:rPr>
        <w:t>.</w:t>
      </w:r>
      <w:r w:rsidR="00FC3C75" w:rsidRPr="0006219A">
        <w:rPr>
          <w:szCs w:val="24"/>
        </w:rPr>
        <w:t xml:space="preserve">  </w:t>
      </w:r>
      <w:r w:rsidR="00A20E9E" w:rsidRPr="0006219A">
        <w:rPr>
          <w:szCs w:val="24"/>
        </w:rPr>
        <w:t xml:space="preserve">(Std. 1.5(g).)  </w:t>
      </w:r>
      <w:r w:rsidR="00951021" w:rsidRPr="0006219A">
        <w:rPr>
          <w:szCs w:val="24"/>
        </w:rPr>
        <w:t>We agree.</w:t>
      </w:r>
    </w:p>
    <w:p w:rsidR="0050217F" w:rsidRPr="0006219A" w:rsidRDefault="000B5FD2" w:rsidP="0050217F">
      <w:pPr>
        <w:spacing w:line="480" w:lineRule="auto"/>
        <w:ind w:firstLine="720"/>
        <w:rPr>
          <w:rFonts w:eastAsia="Times New Roman"/>
          <w:szCs w:val="24"/>
        </w:rPr>
      </w:pPr>
      <w:r w:rsidRPr="0006219A">
        <w:rPr>
          <w:rFonts w:eastAsia="Times New Roman"/>
          <w:szCs w:val="24"/>
        </w:rPr>
        <w:t xml:space="preserve">Sganga </w:t>
      </w:r>
      <w:r w:rsidR="00EC6C60" w:rsidRPr="0006219A">
        <w:rPr>
          <w:rFonts w:eastAsia="Times New Roman"/>
          <w:szCs w:val="24"/>
        </w:rPr>
        <w:t xml:space="preserve">received </w:t>
      </w:r>
      <w:r w:rsidRPr="0006219A">
        <w:rPr>
          <w:rFonts w:eastAsia="Times New Roman"/>
          <w:szCs w:val="24"/>
        </w:rPr>
        <w:t xml:space="preserve">the $380,000 </w:t>
      </w:r>
      <w:r w:rsidR="007D006C" w:rsidRPr="0006219A">
        <w:rPr>
          <w:rFonts w:eastAsia="Times New Roman"/>
          <w:szCs w:val="24"/>
        </w:rPr>
        <w:t>i</w:t>
      </w:r>
      <w:r w:rsidR="00606AB5" w:rsidRPr="0006219A">
        <w:rPr>
          <w:rFonts w:eastAsia="Times New Roman"/>
          <w:szCs w:val="24"/>
        </w:rPr>
        <w:t>n</w:t>
      </w:r>
      <w:r w:rsidR="00BA1B9A" w:rsidRPr="0006219A">
        <w:rPr>
          <w:rFonts w:eastAsia="Times New Roman"/>
          <w:szCs w:val="24"/>
        </w:rPr>
        <w:t xml:space="preserve"> Au</w:t>
      </w:r>
      <w:r w:rsidR="007D006C" w:rsidRPr="0006219A">
        <w:rPr>
          <w:rFonts w:eastAsia="Times New Roman"/>
          <w:szCs w:val="24"/>
        </w:rPr>
        <w:t xml:space="preserve">gust </w:t>
      </w:r>
      <w:r w:rsidRPr="0006219A">
        <w:rPr>
          <w:rFonts w:eastAsia="Times New Roman"/>
          <w:szCs w:val="24"/>
        </w:rPr>
        <w:t>2016</w:t>
      </w:r>
      <w:r w:rsidR="00EC6C60" w:rsidRPr="0006219A">
        <w:rPr>
          <w:rFonts w:eastAsia="Times New Roman"/>
          <w:szCs w:val="24"/>
        </w:rPr>
        <w:t xml:space="preserve">, but </w:t>
      </w:r>
      <w:r w:rsidR="00606AB5" w:rsidRPr="0006219A">
        <w:rPr>
          <w:rFonts w:eastAsia="Times New Roman"/>
          <w:szCs w:val="24"/>
        </w:rPr>
        <w:t>did not</w:t>
      </w:r>
      <w:r w:rsidR="007D006C" w:rsidRPr="0006219A">
        <w:rPr>
          <w:rFonts w:eastAsia="Times New Roman"/>
          <w:szCs w:val="24"/>
        </w:rPr>
        <w:t xml:space="preserve"> promptly</w:t>
      </w:r>
      <w:r w:rsidR="00606AB5" w:rsidRPr="0006219A">
        <w:rPr>
          <w:rFonts w:eastAsia="Times New Roman"/>
          <w:szCs w:val="24"/>
        </w:rPr>
        <w:t xml:space="preserve"> </w:t>
      </w:r>
      <w:r w:rsidR="00EC6C60" w:rsidRPr="0006219A">
        <w:rPr>
          <w:rFonts w:eastAsia="Times New Roman"/>
          <w:szCs w:val="24"/>
        </w:rPr>
        <w:t xml:space="preserve">disburse the funds.  </w:t>
      </w:r>
      <w:r w:rsidR="00606AB5" w:rsidRPr="0006219A">
        <w:rPr>
          <w:rFonts w:eastAsia="Times New Roman"/>
          <w:szCs w:val="24"/>
        </w:rPr>
        <w:t xml:space="preserve">He argued with </w:t>
      </w:r>
      <w:r w:rsidR="007D006C" w:rsidRPr="0006219A">
        <w:rPr>
          <w:szCs w:val="24"/>
        </w:rPr>
        <w:t xml:space="preserve">Amarnath and Velagapudi </w:t>
      </w:r>
      <w:r w:rsidRPr="0006219A">
        <w:rPr>
          <w:rFonts w:eastAsia="Times New Roman"/>
          <w:szCs w:val="24"/>
        </w:rPr>
        <w:t xml:space="preserve">about </w:t>
      </w:r>
      <w:r w:rsidR="0023454F" w:rsidRPr="0006219A">
        <w:rPr>
          <w:rFonts w:eastAsia="Times New Roman"/>
          <w:szCs w:val="24"/>
        </w:rPr>
        <w:t xml:space="preserve">disbursing </w:t>
      </w:r>
      <w:r w:rsidR="007D317A" w:rsidRPr="0006219A">
        <w:rPr>
          <w:rFonts w:eastAsia="Times New Roman"/>
          <w:szCs w:val="24"/>
        </w:rPr>
        <w:t>the funds</w:t>
      </w:r>
      <w:r w:rsidR="007D006C" w:rsidRPr="0006219A">
        <w:rPr>
          <w:rFonts w:eastAsia="Times New Roman"/>
          <w:szCs w:val="24"/>
        </w:rPr>
        <w:t xml:space="preserve"> through</w:t>
      </w:r>
      <w:r w:rsidR="00606AB5" w:rsidRPr="0006219A">
        <w:rPr>
          <w:rFonts w:eastAsia="Times New Roman"/>
          <w:szCs w:val="24"/>
        </w:rPr>
        <w:t xml:space="preserve"> November 2016</w:t>
      </w:r>
      <w:r w:rsidR="00C65E07" w:rsidRPr="0006219A">
        <w:rPr>
          <w:rFonts w:eastAsia="Times New Roman"/>
          <w:szCs w:val="24"/>
        </w:rPr>
        <w:t>, and t</w:t>
      </w:r>
      <w:r w:rsidR="006F6780" w:rsidRPr="0006219A">
        <w:rPr>
          <w:rFonts w:eastAsia="Times New Roman"/>
          <w:szCs w:val="24"/>
        </w:rPr>
        <w:t xml:space="preserve">hey </w:t>
      </w:r>
      <w:r w:rsidRPr="0006219A">
        <w:rPr>
          <w:rFonts w:eastAsia="Times New Roman"/>
          <w:szCs w:val="24"/>
        </w:rPr>
        <w:t xml:space="preserve">met </w:t>
      </w:r>
      <w:r w:rsidR="00C65E07" w:rsidRPr="0006219A">
        <w:rPr>
          <w:rFonts w:eastAsia="Times New Roman"/>
          <w:szCs w:val="24"/>
        </w:rPr>
        <w:t xml:space="preserve">on November 30 </w:t>
      </w:r>
      <w:r w:rsidRPr="0006219A">
        <w:rPr>
          <w:rFonts w:eastAsia="Times New Roman"/>
          <w:szCs w:val="24"/>
        </w:rPr>
        <w:t xml:space="preserve">to discuss what Sganga felt needed to be done.  </w:t>
      </w:r>
      <w:r w:rsidR="00C65E07" w:rsidRPr="0006219A">
        <w:rPr>
          <w:rFonts w:eastAsia="Times New Roman"/>
          <w:szCs w:val="24"/>
        </w:rPr>
        <w:t>He</w:t>
      </w:r>
      <w:r w:rsidRPr="0006219A">
        <w:rPr>
          <w:rFonts w:eastAsia="Times New Roman"/>
          <w:szCs w:val="24"/>
        </w:rPr>
        <w:t xml:space="preserve"> told Amarnath and Velagapudi th</w:t>
      </w:r>
      <w:r w:rsidR="006F6780" w:rsidRPr="0006219A">
        <w:rPr>
          <w:rFonts w:eastAsia="Times New Roman"/>
          <w:szCs w:val="24"/>
        </w:rPr>
        <w:t>at th</w:t>
      </w:r>
      <w:r w:rsidRPr="0006219A">
        <w:rPr>
          <w:rFonts w:eastAsia="Times New Roman"/>
          <w:szCs w:val="24"/>
        </w:rPr>
        <w:t xml:space="preserve">ey needed to sign W-9 forms, </w:t>
      </w:r>
      <w:r w:rsidR="001526D0" w:rsidRPr="0006219A">
        <w:rPr>
          <w:rFonts w:eastAsia="Times New Roman"/>
          <w:szCs w:val="24"/>
        </w:rPr>
        <w:t>“turn</w:t>
      </w:r>
      <w:r w:rsidR="006F6780" w:rsidRPr="0006219A">
        <w:rPr>
          <w:rFonts w:eastAsia="Times New Roman"/>
          <w:szCs w:val="24"/>
        </w:rPr>
        <w:t xml:space="preserve"> over</w:t>
      </w:r>
      <w:r w:rsidR="001526D0" w:rsidRPr="0006219A">
        <w:rPr>
          <w:rFonts w:eastAsia="Times New Roman"/>
          <w:szCs w:val="24"/>
        </w:rPr>
        <w:t>”</w:t>
      </w:r>
      <w:r w:rsidR="006F6780" w:rsidRPr="0006219A">
        <w:rPr>
          <w:rFonts w:eastAsia="Times New Roman"/>
          <w:szCs w:val="24"/>
        </w:rPr>
        <w:t xml:space="preserve"> </w:t>
      </w:r>
      <w:r w:rsidRPr="0006219A">
        <w:rPr>
          <w:rFonts w:eastAsia="Times New Roman"/>
          <w:szCs w:val="24"/>
        </w:rPr>
        <w:t xml:space="preserve">their SAI stock certificates, and fulfill their promise to inform the State Bar of </w:t>
      </w:r>
      <w:r w:rsidR="0050217F" w:rsidRPr="0006219A">
        <w:rPr>
          <w:rFonts w:eastAsia="Times New Roman"/>
          <w:szCs w:val="24"/>
        </w:rPr>
        <w:t>the Sganga action settlement.</w:t>
      </w:r>
    </w:p>
    <w:p w:rsidR="008E57F1" w:rsidRPr="0006219A" w:rsidRDefault="0050217F" w:rsidP="00EE2EB5">
      <w:pPr>
        <w:spacing w:line="480" w:lineRule="auto"/>
        <w:ind w:firstLine="720"/>
        <w:rPr>
          <w:rFonts w:eastAsia="Times New Roman"/>
          <w:szCs w:val="24"/>
        </w:rPr>
      </w:pPr>
      <w:r w:rsidRPr="0006219A">
        <w:rPr>
          <w:rFonts w:eastAsia="Times New Roman"/>
          <w:szCs w:val="24"/>
        </w:rPr>
        <w:t>By December</w:t>
      </w:r>
      <w:r w:rsidR="005C164A" w:rsidRPr="0006219A">
        <w:rPr>
          <w:rFonts w:eastAsia="Times New Roman"/>
          <w:szCs w:val="24"/>
        </w:rPr>
        <w:t> </w:t>
      </w:r>
      <w:r w:rsidRPr="0006219A">
        <w:rPr>
          <w:rFonts w:eastAsia="Times New Roman"/>
          <w:szCs w:val="24"/>
        </w:rPr>
        <w:t>9, 2016, t</w:t>
      </w:r>
      <w:r w:rsidR="000B5FD2" w:rsidRPr="0006219A">
        <w:rPr>
          <w:rFonts w:eastAsia="Times New Roman"/>
          <w:szCs w:val="24"/>
        </w:rPr>
        <w:t xml:space="preserve">he W-9 form and stock certificate issues </w:t>
      </w:r>
      <w:r w:rsidR="006F6780" w:rsidRPr="0006219A">
        <w:rPr>
          <w:rFonts w:eastAsia="Times New Roman"/>
          <w:szCs w:val="24"/>
        </w:rPr>
        <w:t>were resolved</w:t>
      </w:r>
      <w:r w:rsidR="000B5FD2" w:rsidRPr="0006219A">
        <w:rPr>
          <w:rFonts w:eastAsia="Times New Roman"/>
          <w:szCs w:val="24"/>
        </w:rPr>
        <w:t>.</w:t>
      </w:r>
      <w:r w:rsidRPr="0006219A">
        <w:rPr>
          <w:rFonts w:eastAsia="Times New Roman"/>
          <w:szCs w:val="24"/>
        </w:rPr>
        <w:t xml:space="preserve"> </w:t>
      </w:r>
      <w:r w:rsidR="007D317A" w:rsidRPr="0006219A">
        <w:rPr>
          <w:rFonts w:eastAsia="Times New Roman"/>
          <w:szCs w:val="24"/>
        </w:rPr>
        <w:t xml:space="preserve"> </w:t>
      </w:r>
      <w:r w:rsidRPr="0006219A">
        <w:rPr>
          <w:rFonts w:eastAsia="Times New Roman"/>
          <w:szCs w:val="24"/>
        </w:rPr>
        <w:t xml:space="preserve">That same day, </w:t>
      </w:r>
      <w:r w:rsidR="000B5FD2" w:rsidRPr="0006219A">
        <w:rPr>
          <w:rFonts w:eastAsia="Times New Roman"/>
          <w:szCs w:val="24"/>
        </w:rPr>
        <w:t xml:space="preserve">Sganga sent a $380,000 check to new counsel to </w:t>
      </w:r>
      <w:r w:rsidR="005803B3" w:rsidRPr="0006219A">
        <w:rPr>
          <w:rFonts w:eastAsia="Times New Roman"/>
          <w:szCs w:val="24"/>
        </w:rPr>
        <w:t xml:space="preserve">maintain and </w:t>
      </w:r>
      <w:r w:rsidR="000B5FD2" w:rsidRPr="0006219A">
        <w:rPr>
          <w:rFonts w:eastAsia="Times New Roman"/>
          <w:szCs w:val="24"/>
        </w:rPr>
        <w:t xml:space="preserve">distribute upon </w:t>
      </w:r>
      <w:r w:rsidR="00F452EB">
        <w:rPr>
          <w:rFonts w:eastAsia="Times New Roman"/>
          <w:szCs w:val="24"/>
        </w:rPr>
        <w:t>resolution of the dispute</w:t>
      </w:r>
      <w:r w:rsidR="00F31398" w:rsidRPr="0006219A">
        <w:rPr>
          <w:rFonts w:eastAsia="Times New Roman"/>
          <w:szCs w:val="24"/>
        </w:rPr>
        <w:t xml:space="preserve"> regarding the</w:t>
      </w:r>
      <w:r w:rsidR="000B5FD2" w:rsidRPr="0006219A">
        <w:rPr>
          <w:rFonts w:eastAsia="Times New Roman"/>
          <w:szCs w:val="24"/>
        </w:rPr>
        <w:t xml:space="preserve"> </w:t>
      </w:r>
      <w:r w:rsidR="004D78DF" w:rsidRPr="0006219A">
        <w:rPr>
          <w:rFonts w:eastAsia="Times New Roman"/>
          <w:szCs w:val="24"/>
        </w:rPr>
        <w:t>State Bar complaint</w:t>
      </w:r>
      <w:r w:rsidR="000B5FD2" w:rsidRPr="0006219A">
        <w:rPr>
          <w:rFonts w:eastAsia="Times New Roman"/>
          <w:szCs w:val="24"/>
        </w:rPr>
        <w:t>.  Sganga did not receive a response from new counsel</w:t>
      </w:r>
      <w:r w:rsidR="00E05DA5" w:rsidRPr="0006219A">
        <w:rPr>
          <w:rFonts w:eastAsia="Times New Roman"/>
          <w:szCs w:val="24"/>
        </w:rPr>
        <w:t xml:space="preserve"> until December</w:t>
      </w:r>
      <w:r w:rsidR="005C164A" w:rsidRPr="0006219A">
        <w:rPr>
          <w:rFonts w:eastAsia="Times New Roman"/>
          <w:szCs w:val="24"/>
        </w:rPr>
        <w:t> </w:t>
      </w:r>
      <w:r w:rsidR="00E05DA5" w:rsidRPr="0006219A">
        <w:rPr>
          <w:rFonts w:eastAsia="Times New Roman"/>
          <w:szCs w:val="24"/>
        </w:rPr>
        <w:t>26, 2016</w:t>
      </w:r>
      <w:r w:rsidR="004D78DF" w:rsidRPr="0006219A">
        <w:rPr>
          <w:rFonts w:eastAsia="Times New Roman"/>
          <w:szCs w:val="24"/>
        </w:rPr>
        <w:t>, and n</w:t>
      </w:r>
      <w:r w:rsidR="00E05DA5" w:rsidRPr="0006219A">
        <w:rPr>
          <w:rFonts w:eastAsia="Times New Roman"/>
          <w:szCs w:val="24"/>
        </w:rPr>
        <w:t>ew counsel</w:t>
      </w:r>
      <w:r w:rsidR="00E254E1" w:rsidRPr="0006219A">
        <w:rPr>
          <w:rFonts w:eastAsia="Times New Roman"/>
          <w:szCs w:val="24"/>
        </w:rPr>
        <w:t xml:space="preserve"> </w:t>
      </w:r>
      <w:r w:rsidR="00E05DA5" w:rsidRPr="0006219A">
        <w:rPr>
          <w:rFonts w:eastAsia="Times New Roman"/>
          <w:szCs w:val="24"/>
        </w:rPr>
        <w:t>r</w:t>
      </w:r>
      <w:r w:rsidR="000B5FD2" w:rsidRPr="0006219A">
        <w:rPr>
          <w:rFonts w:eastAsia="Times New Roman"/>
          <w:szCs w:val="24"/>
        </w:rPr>
        <w:t xml:space="preserve">efused to accept the check.  </w:t>
      </w:r>
      <w:r w:rsidR="000D5B71" w:rsidRPr="0006219A">
        <w:rPr>
          <w:rFonts w:eastAsia="Times New Roman"/>
          <w:szCs w:val="24"/>
        </w:rPr>
        <w:t xml:space="preserve">At the time, </w:t>
      </w:r>
      <w:r w:rsidR="0032629A" w:rsidRPr="0006219A">
        <w:rPr>
          <w:rFonts w:eastAsia="Times New Roman"/>
          <w:szCs w:val="24"/>
        </w:rPr>
        <w:t>Sganga was in Te</w:t>
      </w:r>
      <w:r w:rsidR="00AC7164" w:rsidRPr="0006219A">
        <w:rPr>
          <w:rFonts w:eastAsia="Times New Roman"/>
          <w:szCs w:val="24"/>
        </w:rPr>
        <w:t>xas</w:t>
      </w:r>
      <w:r w:rsidR="00995228" w:rsidRPr="0006219A">
        <w:rPr>
          <w:rFonts w:eastAsia="Times New Roman"/>
          <w:szCs w:val="24"/>
        </w:rPr>
        <w:t xml:space="preserve"> for his upcoming wedding,</w:t>
      </w:r>
      <w:r w:rsidR="00AC7164" w:rsidRPr="0006219A">
        <w:rPr>
          <w:rFonts w:eastAsia="Times New Roman"/>
          <w:szCs w:val="24"/>
        </w:rPr>
        <w:t xml:space="preserve"> </w:t>
      </w:r>
      <w:r w:rsidR="00995228" w:rsidRPr="0006219A">
        <w:rPr>
          <w:rFonts w:eastAsia="Times New Roman"/>
          <w:szCs w:val="24"/>
        </w:rPr>
        <w:t>a</w:t>
      </w:r>
      <w:r w:rsidR="00AC7164" w:rsidRPr="0006219A">
        <w:rPr>
          <w:rFonts w:eastAsia="Times New Roman"/>
          <w:szCs w:val="24"/>
        </w:rPr>
        <w:t xml:space="preserve">fter </w:t>
      </w:r>
      <w:r w:rsidR="00995228" w:rsidRPr="0006219A">
        <w:rPr>
          <w:rFonts w:eastAsia="Times New Roman"/>
          <w:szCs w:val="24"/>
        </w:rPr>
        <w:t>which he</w:t>
      </w:r>
      <w:r w:rsidR="00AC7164" w:rsidRPr="0006219A">
        <w:rPr>
          <w:rFonts w:eastAsia="Times New Roman"/>
          <w:szCs w:val="24"/>
        </w:rPr>
        <w:t xml:space="preserve"> went on a </w:t>
      </w:r>
      <w:r w:rsidR="00995228" w:rsidRPr="0006219A">
        <w:rPr>
          <w:rFonts w:eastAsia="Times New Roman"/>
          <w:szCs w:val="24"/>
        </w:rPr>
        <w:t xml:space="preserve">two-week </w:t>
      </w:r>
      <w:r w:rsidR="00AC7164" w:rsidRPr="0006219A">
        <w:rPr>
          <w:rFonts w:eastAsia="Times New Roman"/>
          <w:szCs w:val="24"/>
        </w:rPr>
        <w:t>honeymoon.  He returned to his office on January</w:t>
      </w:r>
      <w:r w:rsidR="005C164A" w:rsidRPr="0006219A">
        <w:rPr>
          <w:rFonts w:eastAsia="Times New Roman"/>
          <w:szCs w:val="24"/>
        </w:rPr>
        <w:t> </w:t>
      </w:r>
      <w:r w:rsidR="00AC7164" w:rsidRPr="0006219A">
        <w:rPr>
          <w:rFonts w:eastAsia="Times New Roman"/>
          <w:szCs w:val="24"/>
        </w:rPr>
        <w:t>18, 2</w:t>
      </w:r>
      <w:r w:rsidR="000453B1" w:rsidRPr="0006219A">
        <w:rPr>
          <w:rFonts w:eastAsia="Times New Roman"/>
          <w:szCs w:val="24"/>
        </w:rPr>
        <w:t>0</w:t>
      </w:r>
      <w:r w:rsidR="00AC7164" w:rsidRPr="0006219A">
        <w:rPr>
          <w:rFonts w:eastAsia="Times New Roman"/>
          <w:szCs w:val="24"/>
        </w:rPr>
        <w:t>17, and</w:t>
      </w:r>
      <w:r w:rsidR="000B5FD2" w:rsidRPr="0006219A">
        <w:rPr>
          <w:rFonts w:eastAsia="Times New Roman"/>
          <w:szCs w:val="24"/>
        </w:rPr>
        <w:t xml:space="preserve"> </w:t>
      </w:r>
      <w:r w:rsidR="00E254E1" w:rsidRPr="0006219A">
        <w:rPr>
          <w:rFonts w:eastAsia="Times New Roman"/>
          <w:szCs w:val="24"/>
        </w:rPr>
        <w:t>ultimately</w:t>
      </w:r>
      <w:r w:rsidR="007D317A" w:rsidRPr="0006219A">
        <w:rPr>
          <w:rFonts w:eastAsia="Times New Roman"/>
          <w:szCs w:val="24"/>
        </w:rPr>
        <w:t xml:space="preserve"> </w:t>
      </w:r>
      <w:r w:rsidR="000B5FD2" w:rsidRPr="0006219A">
        <w:rPr>
          <w:rFonts w:eastAsia="Times New Roman"/>
          <w:szCs w:val="24"/>
        </w:rPr>
        <w:t>disbursed the funds to Amarnath and Velagapudi, in full, on February</w:t>
      </w:r>
      <w:r w:rsidR="005C164A" w:rsidRPr="0006219A">
        <w:rPr>
          <w:rFonts w:eastAsia="Times New Roman"/>
          <w:szCs w:val="24"/>
        </w:rPr>
        <w:t> </w:t>
      </w:r>
      <w:r w:rsidR="000B5FD2" w:rsidRPr="0006219A">
        <w:rPr>
          <w:rFonts w:eastAsia="Times New Roman"/>
          <w:szCs w:val="24"/>
        </w:rPr>
        <w:t>3, 2017</w:t>
      </w:r>
      <w:r w:rsidR="00413513">
        <w:rPr>
          <w:rFonts w:eastAsia="Times New Roman"/>
          <w:szCs w:val="24"/>
        </w:rPr>
        <w:t>,</w:t>
      </w:r>
      <w:r w:rsidR="001526D0" w:rsidRPr="0006219A">
        <w:rPr>
          <w:rFonts w:eastAsia="Times New Roman"/>
          <w:szCs w:val="24"/>
        </w:rPr>
        <w:t xml:space="preserve"> without any preconditions</w:t>
      </w:r>
      <w:r w:rsidR="000B5FD2" w:rsidRPr="0006219A">
        <w:rPr>
          <w:rFonts w:eastAsia="Times New Roman"/>
          <w:szCs w:val="24"/>
        </w:rPr>
        <w:t>.</w:t>
      </w:r>
    </w:p>
    <w:p w:rsidR="003A4DEF" w:rsidRPr="0006219A" w:rsidRDefault="00951021" w:rsidP="00741A86">
      <w:pPr>
        <w:spacing w:line="480" w:lineRule="auto"/>
        <w:ind w:firstLine="720"/>
        <w:rPr>
          <w:szCs w:val="24"/>
        </w:rPr>
      </w:pPr>
      <w:r w:rsidRPr="0006219A">
        <w:rPr>
          <w:szCs w:val="24"/>
        </w:rPr>
        <w:t xml:space="preserve">We assign Sganga’s overreaching </w:t>
      </w:r>
      <w:r w:rsidR="001526D0" w:rsidRPr="0006219A">
        <w:rPr>
          <w:szCs w:val="24"/>
        </w:rPr>
        <w:t>moderate</w:t>
      </w:r>
      <w:r w:rsidRPr="0006219A">
        <w:rPr>
          <w:szCs w:val="24"/>
        </w:rPr>
        <w:t xml:space="preserve"> weight in aggravation.  </w:t>
      </w:r>
      <w:r w:rsidR="002E727F" w:rsidRPr="0006219A">
        <w:rPr>
          <w:szCs w:val="24"/>
        </w:rPr>
        <w:t>H</w:t>
      </w:r>
      <w:r w:rsidR="009736CA" w:rsidRPr="0006219A">
        <w:rPr>
          <w:szCs w:val="24"/>
        </w:rPr>
        <w:t xml:space="preserve">ow the settlement </w:t>
      </w:r>
      <w:r w:rsidR="002E727F" w:rsidRPr="0006219A">
        <w:rPr>
          <w:szCs w:val="24"/>
        </w:rPr>
        <w:t xml:space="preserve">term </w:t>
      </w:r>
      <w:r w:rsidR="009736CA" w:rsidRPr="0006219A">
        <w:rPr>
          <w:szCs w:val="24"/>
        </w:rPr>
        <w:t xml:space="preserve">to inform the State Bar </w:t>
      </w:r>
      <w:r w:rsidR="002E727F" w:rsidRPr="0006219A">
        <w:rPr>
          <w:szCs w:val="24"/>
        </w:rPr>
        <w:t>found its way into the settlement agreement is irrelevant</w:t>
      </w:r>
      <w:r w:rsidR="001071FE" w:rsidRPr="0006219A">
        <w:rPr>
          <w:szCs w:val="24"/>
        </w:rPr>
        <w:t xml:space="preserve">. </w:t>
      </w:r>
      <w:r w:rsidR="00804FBF" w:rsidRPr="0006219A">
        <w:rPr>
          <w:szCs w:val="24"/>
        </w:rPr>
        <w:t xml:space="preserve"> (§ 6090.5 [it is cause for suspension or disbarment for attorney “to agree or seek agreement” that “[t]he plaintiff shall withdraw a disciplinary complaint”]</w:t>
      </w:r>
      <w:r w:rsidR="001071FE" w:rsidRPr="0006219A">
        <w:rPr>
          <w:szCs w:val="24"/>
        </w:rPr>
        <w:t>.</w:t>
      </w:r>
      <w:r w:rsidR="00804FBF" w:rsidRPr="0006219A">
        <w:rPr>
          <w:szCs w:val="24"/>
        </w:rPr>
        <w:t>)</w:t>
      </w:r>
      <w:r w:rsidR="00221277" w:rsidRPr="0006219A">
        <w:rPr>
          <w:szCs w:val="24"/>
        </w:rPr>
        <w:t xml:space="preserve"> </w:t>
      </w:r>
      <w:r w:rsidR="002E727F" w:rsidRPr="0006219A">
        <w:rPr>
          <w:szCs w:val="24"/>
        </w:rPr>
        <w:t xml:space="preserve"> </w:t>
      </w:r>
      <w:r w:rsidR="00413513">
        <w:rPr>
          <w:szCs w:val="24"/>
        </w:rPr>
        <w:t xml:space="preserve">Far more troubling is that </w:t>
      </w:r>
      <w:r w:rsidR="00DD4CF4" w:rsidRPr="0006219A">
        <w:rPr>
          <w:szCs w:val="24"/>
        </w:rPr>
        <w:t>Sganga</w:t>
      </w:r>
      <w:r w:rsidR="002E727F" w:rsidRPr="0006219A">
        <w:rPr>
          <w:szCs w:val="24"/>
        </w:rPr>
        <w:t xml:space="preserve"> attempted to enforce the term by forwarding the $380,000 check to opposing counsel with instructio</w:t>
      </w:r>
      <w:r w:rsidR="001071FE" w:rsidRPr="0006219A">
        <w:rPr>
          <w:szCs w:val="24"/>
        </w:rPr>
        <w:t xml:space="preserve">ns not to distribute the check </w:t>
      </w:r>
      <w:r w:rsidR="002E727F" w:rsidRPr="0006219A">
        <w:rPr>
          <w:szCs w:val="24"/>
        </w:rPr>
        <w:t xml:space="preserve">until </w:t>
      </w:r>
      <w:r w:rsidR="00F452EB">
        <w:rPr>
          <w:szCs w:val="24"/>
        </w:rPr>
        <w:t>the dispute regarding his clients’ compliance with the term was resolved.</w:t>
      </w:r>
      <w:r w:rsidR="002E727F" w:rsidRPr="0006219A">
        <w:rPr>
          <w:szCs w:val="24"/>
        </w:rPr>
        <w:t xml:space="preserve">  While his gambit was unsuccessful</w:t>
      </w:r>
      <w:r w:rsidR="00DD4CF4" w:rsidRPr="0006219A">
        <w:rPr>
          <w:szCs w:val="24"/>
        </w:rPr>
        <w:t xml:space="preserve">, because </w:t>
      </w:r>
      <w:r w:rsidR="002E727F" w:rsidRPr="0006219A">
        <w:rPr>
          <w:szCs w:val="24"/>
        </w:rPr>
        <w:t>new counsel refused the check, it nevertheless represent</w:t>
      </w:r>
      <w:r w:rsidR="001071FE" w:rsidRPr="0006219A">
        <w:rPr>
          <w:szCs w:val="24"/>
        </w:rPr>
        <w:t>ed</w:t>
      </w:r>
      <w:r w:rsidR="002E727F" w:rsidRPr="0006219A">
        <w:rPr>
          <w:szCs w:val="24"/>
        </w:rPr>
        <w:t xml:space="preserve"> an attempt to use improper means to force an illegal result.</w:t>
      </w:r>
      <w:r w:rsidR="00DD4CF4" w:rsidRPr="0006219A">
        <w:rPr>
          <w:szCs w:val="24"/>
        </w:rPr>
        <w:t xml:space="preserve">  In </w:t>
      </w:r>
      <w:r w:rsidR="00804FBF" w:rsidRPr="0006219A">
        <w:rPr>
          <w:szCs w:val="24"/>
        </w:rPr>
        <w:t xml:space="preserve">more </w:t>
      </w:r>
      <w:r w:rsidR="00804FBF" w:rsidRPr="0006219A">
        <w:rPr>
          <w:szCs w:val="24"/>
        </w:rPr>
        <w:lastRenderedPageBreak/>
        <w:t>basic terms</w:t>
      </w:r>
      <w:r w:rsidR="00DD4CF4" w:rsidRPr="0006219A">
        <w:rPr>
          <w:szCs w:val="24"/>
        </w:rPr>
        <w:t>, a</w:t>
      </w:r>
      <w:r w:rsidRPr="0006219A">
        <w:rPr>
          <w:szCs w:val="24"/>
        </w:rPr>
        <w:t xml:space="preserve">lthough he did not </w:t>
      </w:r>
      <w:r w:rsidR="001526D0" w:rsidRPr="0006219A">
        <w:rPr>
          <w:szCs w:val="24"/>
        </w:rPr>
        <w:t xml:space="preserve">initially </w:t>
      </w:r>
      <w:r w:rsidRPr="0006219A">
        <w:rPr>
          <w:szCs w:val="24"/>
        </w:rPr>
        <w:t xml:space="preserve">seek the </w:t>
      </w:r>
      <w:r w:rsidRPr="0006219A">
        <w:rPr>
          <w:rFonts w:eastAsia="Times New Roman"/>
          <w:szCs w:val="24"/>
        </w:rPr>
        <w:t xml:space="preserve">settlement </w:t>
      </w:r>
      <w:r w:rsidR="0073344B" w:rsidRPr="0006219A">
        <w:rPr>
          <w:rFonts w:eastAsia="Times New Roman"/>
          <w:szCs w:val="24"/>
        </w:rPr>
        <w:t xml:space="preserve">agreement </w:t>
      </w:r>
      <w:r w:rsidR="001071FE" w:rsidRPr="0006219A">
        <w:rPr>
          <w:rFonts w:eastAsia="Times New Roman"/>
          <w:szCs w:val="24"/>
        </w:rPr>
        <w:t>term</w:t>
      </w:r>
      <w:r w:rsidRPr="0006219A">
        <w:rPr>
          <w:szCs w:val="24"/>
        </w:rPr>
        <w:t xml:space="preserve">, Sganga </w:t>
      </w:r>
      <w:r w:rsidR="000D5B71" w:rsidRPr="0006219A">
        <w:rPr>
          <w:szCs w:val="24"/>
        </w:rPr>
        <w:t xml:space="preserve">nonetheless </w:t>
      </w:r>
      <w:r w:rsidRPr="0006219A">
        <w:rPr>
          <w:szCs w:val="24"/>
        </w:rPr>
        <w:t xml:space="preserve">owed a fiduciary duty to Amarnath and Velagapudi </w:t>
      </w:r>
      <w:r w:rsidR="00611A40" w:rsidRPr="0006219A">
        <w:rPr>
          <w:szCs w:val="24"/>
        </w:rPr>
        <w:t xml:space="preserve">not </w:t>
      </w:r>
      <w:r w:rsidR="000D5B71" w:rsidRPr="0006219A">
        <w:rPr>
          <w:szCs w:val="24"/>
        </w:rPr>
        <w:t>to accept the</w:t>
      </w:r>
      <w:r w:rsidR="00741A86" w:rsidRPr="0006219A">
        <w:rPr>
          <w:szCs w:val="24"/>
        </w:rPr>
        <w:t xml:space="preserve"> </w:t>
      </w:r>
      <w:r w:rsidRPr="0006219A">
        <w:rPr>
          <w:szCs w:val="24"/>
        </w:rPr>
        <w:t xml:space="preserve">term.  (See </w:t>
      </w:r>
      <w:r w:rsidRPr="0006219A">
        <w:rPr>
          <w:i/>
          <w:iCs/>
          <w:szCs w:val="24"/>
        </w:rPr>
        <w:t xml:space="preserve">Beery v. State Bar </w:t>
      </w:r>
      <w:r w:rsidRPr="0006219A">
        <w:rPr>
          <w:szCs w:val="24"/>
        </w:rPr>
        <w:t>(1987) 43 Cal.3d 802, 813 [essence of fiduciary or confidential relationship is that parties do not deal on equal terms because person in whom trust and confidence is reposed is in superior position to exert unique influence over dependent party]</w:t>
      </w:r>
      <w:r w:rsidR="00804FBF" w:rsidRPr="0006219A">
        <w:rPr>
          <w:szCs w:val="24"/>
        </w:rPr>
        <w:t>.</w:t>
      </w:r>
      <w:r w:rsidRPr="0006219A">
        <w:rPr>
          <w:szCs w:val="24"/>
        </w:rPr>
        <w:t>)</w:t>
      </w:r>
      <w:r w:rsidR="00E27F37" w:rsidRPr="0006219A">
        <w:rPr>
          <w:rStyle w:val="FootnoteReference"/>
          <w:szCs w:val="24"/>
        </w:rPr>
        <w:footnoteReference w:id="14"/>
      </w:r>
    </w:p>
    <w:p w:rsidR="00025D2F" w:rsidRPr="0006219A" w:rsidRDefault="003570B3" w:rsidP="00EE2EB5">
      <w:pPr>
        <w:spacing w:line="480" w:lineRule="auto"/>
        <w:ind w:firstLine="720"/>
        <w:rPr>
          <w:b/>
          <w:szCs w:val="24"/>
        </w:rPr>
      </w:pPr>
      <w:r w:rsidRPr="0006219A">
        <w:rPr>
          <w:b/>
          <w:szCs w:val="24"/>
        </w:rPr>
        <w:t>3.</w:t>
      </w:r>
      <w:r w:rsidR="009B633D" w:rsidRPr="0006219A">
        <w:rPr>
          <w:b/>
          <w:szCs w:val="24"/>
        </w:rPr>
        <w:t xml:space="preserve">  </w:t>
      </w:r>
      <w:r w:rsidR="001E127C" w:rsidRPr="0006219A">
        <w:rPr>
          <w:b/>
          <w:szCs w:val="24"/>
        </w:rPr>
        <w:t>Significant Harm</w:t>
      </w:r>
      <w:r w:rsidR="00025D2F" w:rsidRPr="0006219A">
        <w:rPr>
          <w:b/>
          <w:szCs w:val="24"/>
        </w:rPr>
        <w:t xml:space="preserve"> </w:t>
      </w:r>
      <w:r w:rsidRPr="0006219A">
        <w:rPr>
          <w:b/>
          <w:szCs w:val="24"/>
        </w:rPr>
        <w:t>to Client</w:t>
      </w:r>
      <w:r w:rsidR="00E254E1" w:rsidRPr="0006219A">
        <w:rPr>
          <w:b/>
          <w:szCs w:val="24"/>
        </w:rPr>
        <w:t>s</w:t>
      </w:r>
    </w:p>
    <w:p w:rsidR="00B46C05" w:rsidRPr="0006219A" w:rsidRDefault="00973FE6" w:rsidP="00E254E1">
      <w:pPr>
        <w:spacing w:line="480" w:lineRule="auto"/>
        <w:ind w:firstLine="720"/>
        <w:rPr>
          <w:szCs w:val="24"/>
        </w:rPr>
      </w:pPr>
      <w:r w:rsidRPr="0006219A">
        <w:rPr>
          <w:szCs w:val="24"/>
        </w:rPr>
        <w:t xml:space="preserve">Unlike the </w:t>
      </w:r>
      <w:r w:rsidR="00FB6F9C" w:rsidRPr="0006219A">
        <w:rPr>
          <w:szCs w:val="24"/>
        </w:rPr>
        <w:t>hearing judge</w:t>
      </w:r>
      <w:r w:rsidRPr="0006219A">
        <w:rPr>
          <w:szCs w:val="24"/>
        </w:rPr>
        <w:t>, we find</w:t>
      </w:r>
      <w:r w:rsidR="00E254E1" w:rsidRPr="0006219A">
        <w:rPr>
          <w:szCs w:val="24"/>
        </w:rPr>
        <w:t xml:space="preserve"> that</w:t>
      </w:r>
      <w:r w:rsidRPr="0006219A">
        <w:rPr>
          <w:szCs w:val="24"/>
        </w:rPr>
        <w:t xml:space="preserve"> </w:t>
      </w:r>
      <w:r w:rsidR="009E354C" w:rsidRPr="0006219A">
        <w:rPr>
          <w:szCs w:val="24"/>
        </w:rPr>
        <w:t>Sganga’s misconduct significantly harmed his clients</w:t>
      </w:r>
      <w:r w:rsidR="00A646DB" w:rsidRPr="0006219A">
        <w:rPr>
          <w:szCs w:val="24"/>
        </w:rPr>
        <w:t xml:space="preserve">.  </w:t>
      </w:r>
      <w:r w:rsidR="009E354C" w:rsidRPr="0006219A">
        <w:rPr>
          <w:szCs w:val="24"/>
        </w:rPr>
        <w:t xml:space="preserve">Sganga </w:t>
      </w:r>
      <w:r w:rsidR="00F26A1F" w:rsidRPr="0006219A">
        <w:rPr>
          <w:szCs w:val="24"/>
        </w:rPr>
        <w:t xml:space="preserve">first received </w:t>
      </w:r>
      <w:r w:rsidR="00E254E1" w:rsidRPr="0006219A">
        <w:rPr>
          <w:szCs w:val="24"/>
        </w:rPr>
        <w:t>settl</w:t>
      </w:r>
      <w:r w:rsidR="00151B5F" w:rsidRPr="0006219A">
        <w:rPr>
          <w:szCs w:val="24"/>
        </w:rPr>
        <w:t>ement funds</w:t>
      </w:r>
      <w:r w:rsidR="00755132" w:rsidRPr="0006219A">
        <w:rPr>
          <w:szCs w:val="24"/>
        </w:rPr>
        <w:t xml:space="preserve"> </w:t>
      </w:r>
      <w:r w:rsidR="00755132" w:rsidRPr="0006219A">
        <w:rPr>
          <w:rFonts w:eastAsia="Times New Roman"/>
          <w:szCs w:val="24"/>
        </w:rPr>
        <w:t>in January 2014</w:t>
      </w:r>
      <w:r w:rsidR="00F26A1F" w:rsidRPr="0006219A">
        <w:rPr>
          <w:rFonts w:eastAsia="Times New Roman"/>
          <w:szCs w:val="24"/>
        </w:rPr>
        <w:t>,</w:t>
      </w:r>
      <w:r w:rsidR="009E354C" w:rsidRPr="0006219A">
        <w:rPr>
          <w:rFonts w:eastAsia="Times New Roman"/>
          <w:szCs w:val="24"/>
        </w:rPr>
        <w:t xml:space="preserve"> </w:t>
      </w:r>
      <w:r w:rsidR="00755132" w:rsidRPr="0006219A">
        <w:rPr>
          <w:rFonts w:eastAsia="Times New Roman"/>
          <w:szCs w:val="24"/>
        </w:rPr>
        <w:t xml:space="preserve">but </w:t>
      </w:r>
      <w:r w:rsidR="009E354C" w:rsidRPr="0006219A">
        <w:rPr>
          <w:rFonts w:eastAsia="Times New Roman"/>
          <w:szCs w:val="24"/>
        </w:rPr>
        <w:t xml:space="preserve">did not disburse any to </w:t>
      </w:r>
      <w:r w:rsidR="00755132" w:rsidRPr="0006219A">
        <w:rPr>
          <w:rFonts w:eastAsia="Times New Roman"/>
          <w:szCs w:val="24"/>
        </w:rPr>
        <w:t xml:space="preserve">Amarnath and Velagapudi </w:t>
      </w:r>
      <w:r w:rsidR="009E354C" w:rsidRPr="0006219A">
        <w:rPr>
          <w:rFonts w:eastAsia="Times New Roman"/>
          <w:szCs w:val="24"/>
        </w:rPr>
        <w:t xml:space="preserve">until June 2015.  </w:t>
      </w:r>
      <w:r w:rsidR="00A646DB" w:rsidRPr="0006219A">
        <w:rPr>
          <w:rFonts w:eastAsia="Times New Roman"/>
          <w:szCs w:val="24"/>
        </w:rPr>
        <w:t>H</w:t>
      </w:r>
      <w:r w:rsidR="00F26A1F" w:rsidRPr="0006219A">
        <w:rPr>
          <w:rFonts w:eastAsia="Times New Roman"/>
          <w:szCs w:val="24"/>
        </w:rPr>
        <w:t>e thus deprived his</w:t>
      </w:r>
      <w:r w:rsidR="00232948" w:rsidRPr="0006219A">
        <w:rPr>
          <w:szCs w:val="24"/>
        </w:rPr>
        <w:t xml:space="preserve"> clients of their money for </w:t>
      </w:r>
      <w:r w:rsidR="00A646DB" w:rsidRPr="0006219A">
        <w:rPr>
          <w:szCs w:val="24"/>
        </w:rPr>
        <w:t>up to 17 months.</w:t>
      </w:r>
      <w:r w:rsidR="009E354C" w:rsidRPr="0006219A">
        <w:rPr>
          <w:szCs w:val="24"/>
        </w:rPr>
        <w:t xml:space="preserve">  (</w:t>
      </w:r>
      <w:r w:rsidR="00A646DB" w:rsidRPr="0006219A">
        <w:rPr>
          <w:szCs w:val="24"/>
        </w:rPr>
        <w:t xml:space="preserve">See </w:t>
      </w:r>
      <w:r w:rsidR="009E354C" w:rsidRPr="0006219A">
        <w:rPr>
          <w:i/>
          <w:szCs w:val="24"/>
        </w:rPr>
        <w:t>In the Matter of Blum</w:t>
      </w:r>
      <w:r w:rsidR="009E354C" w:rsidRPr="0006219A">
        <w:rPr>
          <w:szCs w:val="24"/>
        </w:rPr>
        <w:t xml:space="preserve"> (Review Dept. 2002) 4</w:t>
      </w:r>
      <w:r w:rsidR="00B31DFD" w:rsidRPr="0006219A">
        <w:rPr>
          <w:szCs w:val="24"/>
        </w:rPr>
        <w:t> </w:t>
      </w:r>
      <w:r w:rsidR="009E354C" w:rsidRPr="0006219A">
        <w:rPr>
          <w:szCs w:val="24"/>
        </w:rPr>
        <w:t>Cal. State Bar Ct. Rptr. 403, 409, 413 [significant client harm for six-month delay in distributing $5,618 in medical malp</w:t>
      </w:r>
      <w:r w:rsidR="00862C62" w:rsidRPr="0006219A">
        <w:rPr>
          <w:szCs w:val="24"/>
        </w:rPr>
        <w:t xml:space="preserve">ractice settlement proceeds].)  </w:t>
      </w:r>
      <w:r w:rsidR="002A648F" w:rsidRPr="0006219A">
        <w:rPr>
          <w:szCs w:val="24"/>
        </w:rPr>
        <w:t xml:space="preserve">While </w:t>
      </w:r>
      <w:r w:rsidR="00862C62" w:rsidRPr="0006219A">
        <w:rPr>
          <w:rFonts w:eastAsia="Times New Roman"/>
          <w:szCs w:val="24"/>
        </w:rPr>
        <w:t>Amarnath was forgiving</w:t>
      </w:r>
      <w:r w:rsidR="00F26A1F" w:rsidRPr="0006219A">
        <w:rPr>
          <w:rFonts w:eastAsia="Times New Roman"/>
          <w:szCs w:val="24"/>
        </w:rPr>
        <w:t xml:space="preserve"> and noted </w:t>
      </w:r>
      <w:r w:rsidR="0004094A" w:rsidRPr="0006219A">
        <w:rPr>
          <w:rFonts w:eastAsia="Times New Roman"/>
          <w:szCs w:val="24"/>
        </w:rPr>
        <w:t xml:space="preserve">that </w:t>
      </w:r>
      <w:r w:rsidR="002A648F" w:rsidRPr="0006219A">
        <w:rPr>
          <w:rFonts w:eastAsia="Times New Roman"/>
          <w:szCs w:val="24"/>
        </w:rPr>
        <w:t xml:space="preserve">people “all make mistakes,” he testified that the delay in </w:t>
      </w:r>
      <w:r w:rsidR="00AF42A1" w:rsidRPr="0006219A">
        <w:rPr>
          <w:rFonts w:eastAsia="Times New Roman"/>
          <w:szCs w:val="24"/>
        </w:rPr>
        <w:t>receiving</w:t>
      </w:r>
      <w:r w:rsidR="002A648F" w:rsidRPr="0006219A">
        <w:rPr>
          <w:rFonts w:eastAsia="Times New Roman"/>
          <w:szCs w:val="24"/>
        </w:rPr>
        <w:t xml:space="preserve"> funds</w:t>
      </w:r>
      <w:r w:rsidR="00A06092" w:rsidRPr="0006219A">
        <w:rPr>
          <w:rFonts w:eastAsia="Times New Roman"/>
          <w:szCs w:val="24"/>
        </w:rPr>
        <w:t xml:space="preserve"> p</w:t>
      </w:r>
      <w:r w:rsidR="002A648F" w:rsidRPr="0006219A">
        <w:rPr>
          <w:rFonts w:eastAsia="Times New Roman"/>
          <w:szCs w:val="24"/>
        </w:rPr>
        <w:t>ut “tremendous pressure</w:t>
      </w:r>
      <w:r w:rsidR="00A06092" w:rsidRPr="0006219A">
        <w:rPr>
          <w:rFonts w:eastAsia="Times New Roman"/>
          <w:szCs w:val="24"/>
        </w:rPr>
        <w:t>”</w:t>
      </w:r>
      <w:r w:rsidR="002A648F" w:rsidRPr="0006219A">
        <w:rPr>
          <w:rFonts w:eastAsia="Times New Roman"/>
          <w:szCs w:val="24"/>
        </w:rPr>
        <w:t xml:space="preserve"> on him and his family and </w:t>
      </w:r>
      <w:r w:rsidR="00A06092" w:rsidRPr="0006219A">
        <w:rPr>
          <w:rFonts w:eastAsia="Times New Roman"/>
          <w:szCs w:val="24"/>
        </w:rPr>
        <w:t xml:space="preserve">caused him to </w:t>
      </w:r>
      <w:r w:rsidR="00151B5F" w:rsidRPr="0006219A">
        <w:rPr>
          <w:rFonts w:eastAsia="Times New Roman"/>
          <w:szCs w:val="24"/>
        </w:rPr>
        <w:t>“[e]</w:t>
      </w:r>
      <w:r w:rsidR="00AF42A1" w:rsidRPr="0006219A">
        <w:rPr>
          <w:rFonts w:eastAsia="Times New Roman"/>
          <w:szCs w:val="24"/>
        </w:rPr>
        <w:t>xtremely</w:t>
      </w:r>
      <w:r w:rsidR="00151B5F" w:rsidRPr="0006219A">
        <w:rPr>
          <w:rFonts w:eastAsia="Times New Roman"/>
          <w:szCs w:val="24"/>
        </w:rPr>
        <w:t xml:space="preserve"> suffer[]” and </w:t>
      </w:r>
      <w:r w:rsidR="002A648F" w:rsidRPr="0006219A">
        <w:rPr>
          <w:rFonts w:eastAsia="Times New Roman"/>
          <w:szCs w:val="24"/>
        </w:rPr>
        <w:t>lose an investment opportunity</w:t>
      </w:r>
      <w:r w:rsidR="00151B5F" w:rsidRPr="0006219A">
        <w:rPr>
          <w:rFonts w:eastAsia="Times New Roman"/>
          <w:szCs w:val="24"/>
        </w:rPr>
        <w:t>.</w:t>
      </w:r>
      <w:r w:rsidR="00A06092" w:rsidRPr="0006219A">
        <w:rPr>
          <w:rFonts w:eastAsia="Times New Roman"/>
          <w:szCs w:val="24"/>
        </w:rPr>
        <w:t xml:space="preserve">  Simi</w:t>
      </w:r>
      <w:r w:rsidR="00862C62" w:rsidRPr="0006219A">
        <w:rPr>
          <w:rFonts w:eastAsia="Times New Roman"/>
          <w:szCs w:val="24"/>
        </w:rPr>
        <w:t>l</w:t>
      </w:r>
      <w:r w:rsidR="00A06092" w:rsidRPr="0006219A">
        <w:rPr>
          <w:rFonts w:eastAsia="Times New Roman"/>
          <w:szCs w:val="24"/>
        </w:rPr>
        <w:t xml:space="preserve">arly, while </w:t>
      </w:r>
      <w:r w:rsidR="00A06092" w:rsidRPr="0006219A">
        <w:rPr>
          <w:szCs w:val="24"/>
        </w:rPr>
        <w:t xml:space="preserve">Velagapudi accepted Sganga’s apology and </w:t>
      </w:r>
      <w:r w:rsidR="00D878F6" w:rsidRPr="0006219A">
        <w:rPr>
          <w:szCs w:val="24"/>
        </w:rPr>
        <w:t>noted his har</w:t>
      </w:r>
      <w:r w:rsidR="00A06092" w:rsidRPr="0006219A">
        <w:rPr>
          <w:szCs w:val="24"/>
        </w:rPr>
        <w:t xml:space="preserve">m was “not life-threatening,” he </w:t>
      </w:r>
      <w:r w:rsidR="00D878F6" w:rsidRPr="0006219A">
        <w:rPr>
          <w:szCs w:val="24"/>
        </w:rPr>
        <w:t xml:space="preserve">testified that he </w:t>
      </w:r>
      <w:r w:rsidR="00F26A1F" w:rsidRPr="0006219A">
        <w:rPr>
          <w:szCs w:val="24"/>
        </w:rPr>
        <w:t xml:space="preserve">also </w:t>
      </w:r>
      <w:r w:rsidR="00D878F6" w:rsidRPr="0006219A">
        <w:rPr>
          <w:szCs w:val="24"/>
        </w:rPr>
        <w:t xml:space="preserve">lost an investment opportunity and </w:t>
      </w:r>
      <w:r w:rsidR="00F26A1F" w:rsidRPr="0006219A">
        <w:rPr>
          <w:szCs w:val="24"/>
        </w:rPr>
        <w:t xml:space="preserve">had </w:t>
      </w:r>
      <w:r w:rsidR="00862C62" w:rsidRPr="0006219A">
        <w:rPr>
          <w:szCs w:val="24"/>
        </w:rPr>
        <w:t xml:space="preserve">his home </w:t>
      </w:r>
      <w:r w:rsidR="00D878F6" w:rsidRPr="0006219A">
        <w:rPr>
          <w:szCs w:val="24"/>
        </w:rPr>
        <w:t xml:space="preserve">refinancing delayed.  Moreover, </w:t>
      </w:r>
      <w:r w:rsidR="00D878F6" w:rsidRPr="0006219A">
        <w:rPr>
          <w:rFonts w:eastAsia="Times New Roman"/>
          <w:szCs w:val="24"/>
        </w:rPr>
        <w:t xml:space="preserve">Amarnath and Velagapudi </w:t>
      </w:r>
      <w:r w:rsidR="009E354C" w:rsidRPr="0006219A">
        <w:rPr>
          <w:szCs w:val="24"/>
        </w:rPr>
        <w:t xml:space="preserve">had to retain new counsel </w:t>
      </w:r>
      <w:r w:rsidR="00443E12" w:rsidRPr="0006219A">
        <w:rPr>
          <w:szCs w:val="24"/>
        </w:rPr>
        <w:t xml:space="preserve">and incurred around $35,000 in attorney fees </w:t>
      </w:r>
      <w:r w:rsidR="009E354C" w:rsidRPr="0006219A">
        <w:rPr>
          <w:szCs w:val="24"/>
        </w:rPr>
        <w:t>to obtain their funds</w:t>
      </w:r>
      <w:r w:rsidR="00D878F6" w:rsidRPr="0006219A">
        <w:rPr>
          <w:szCs w:val="24"/>
        </w:rPr>
        <w:t xml:space="preserve">.  </w:t>
      </w:r>
      <w:r w:rsidR="002E52B8" w:rsidRPr="0006219A">
        <w:rPr>
          <w:szCs w:val="24"/>
        </w:rPr>
        <w:t>For the</w:t>
      </w:r>
      <w:r w:rsidR="00C81A57" w:rsidRPr="0006219A">
        <w:rPr>
          <w:szCs w:val="24"/>
        </w:rPr>
        <w:t>se</w:t>
      </w:r>
      <w:r w:rsidR="002E52B8" w:rsidRPr="0006219A">
        <w:rPr>
          <w:szCs w:val="24"/>
        </w:rPr>
        <w:t xml:space="preserve"> reasons, we</w:t>
      </w:r>
      <w:r w:rsidR="007876C1" w:rsidRPr="0006219A">
        <w:rPr>
          <w:szCs w:val="24"/>
        </w:rPr>
        <w:t xml:space="preserve"> find Sganga’s misconduct significantly harmed his clients</w:t>
      </w:r>
      <w:r w:rsidR="003A7E55" w:rsidRPr="0006219A">
        <w:rPr>
          <w:szCs w:val="24"/>
        </w:rPr>
        <w:t xml:space="preserve">.  </w:t>
      </w:r>
      <w:r w:rsidR="007B4144" w:rsidRPr="0006219A">
        <w:rPr>
          <w:szCs w:val="24"/>
        </w:rPr>
        <w:t>(</w:t>
      </w:r>
      <w:r w:rsidR="00DA1BC2" w:rsidRPr="0006219A">
        <w:rPr>
          <w:szCs w:val="24"/>
        </w:rPr>
        <w:t xml:space="preserve">See </w:t>
      </w:r>
      <w:r w:rsidR="007B4144" w:rsidRPr="0006219A">
        <w:rPr>
          <w:i/>
          <w:szCs w:val="24"/>
        </w:rPr>
        <w:t>In the Matter of Casey</w:t>
      </w:r>
      <w:r w:rsidR="007B4144" w:rsidRPr="0006219A">
        <w:rPr>
          <w:szCs w:val="24"/>
        </w:rPr>
        <w:t xml:space="preserve"> (Review Dept. 2008) 5</w:t>
      </w:r>
      <w:r w:rsidR="008538B2" w:rsidRPr="0006219A">
        <w:rPr>
          <w:szCs w:val="24"/>
        </w:rPr>
        <w:t> </w:t>
      </w:r>
      <w:r w:rsidR="007B4144" w:rsidRPr="0006219A">
        <w:rPr>
          <w:szCs w:val="24"/>
        </w:rPr>
        <w:t>Cal. State Bar Ct. Rptr. 117, 126 [significant harm where client hired new attorney, incurred fee</w:t>
      </w:r>
      <w:r w:rsidR="008B2F31" w:rsidRPr="0006219A">
        <w:rPr>
          <w:szCs w:val="24"/>
        </w:rPr>
        <w:t>s</w:t>
      </w:r>
      <w:r w:rsidR="008538B2" w:rsidRPr="0006219A">
        <w:rPr>
          <w:szCs w:val="24"/>
        </w:rPr>
        <w:t>,</w:t>
      </w:r>
      <w:r w:rsidR="008B2F31" w:rsidRPr="0006219A">
        <w:rPr>
          <w:szCs w:val="24"/>
        </w:rPr>
        <w:t xml:space="preserve"> and suffered for three years d</w:t>
      </w:r>
      <w:r w:rsidR="007B4144" w:rsidRPr="0006219A">
        <w:rPr>
          <w:szCs w:val="24"/>
        </w:rPr>
        <w:t>ue</w:t>
      </w:r>
      <w:r w:rsidR="00862C62" w:rsidRPr="0006219A">
        <w:rPr>
          <w:szCs w:val="24"/>
        </w:rPr>
        <w:t xml:space="preserve"> to attorney’s misconduct].)</w:t>
      </w:r>
    </w:p>
    <w:p w:rsidR="00803337" w:rsidRPr="0006219A" w:rsidRDefault="00C74AE0" w:rsidP="00EE2EB5">
      <w:pPr>
        <w:tabs>
          <w:tab w:val="left" w:pos="720"/>
        </w:tabs>
        <w:spacing w:line="480" w:lineRule="auto"/>
        <w:ind w:left="1166" w:hanging="446"/>
        <w:rPr>
          <w:b/>
          <w:szCs w:val="24"/>
        </w:rPr>
      </w:pPr>
      <w:r w:rsidRPr="0006219A">
        <w:rPr>
          <w:b/>
          <w:szCs w:val="24"/>
        </w:rPr>
        <w:lastRenderedPageBreak/>
        <w:t>4.  No Other Aggravation Warranted</w:t>
      </w:r>
    </w:p>
    <w:p w:rsidR="005F683B" w:rsidRPr="0006219A" w:rsidRDefault="0086548C" w:rsidP="00A51544">
      <w:pPr>
        <w:tabs>
          <w:tab w:val="left" w:pos="0"/>
        </w:tabs>
        <w:spacing w:line="480" w:lineRule="auto"/>
        <w:ind w:firstLine="720"/>
        <w:rPr>
          <w:szCs w:val="24"/>
        </w:rPr>
      </w:pPr>
      <w:r w:rsidRPr="0006219A">
        <w:rPr>
          <w:szCs w:val="24"/>
        </w:rPr>
        <w:t xml:space="preserve">On review, OCTC seeks additional </w:t>
      </w:r>
      <w:r w:rsidR="00DA2F92" w:rsidRPr="0006219A">
        <w:rPr>
          <w:szCs w:val="24"/>
        </w:rPr>
        <w:t xml:space="preserve">aggravation for </w:t>
      </w:r>
      <w:r w:rsidRPr="0006219A">
        <w:rPr>
          <w:szCs w:val="24"/>
        </w:rPr>
        <w:t xml:space="preserve">Sganga’s </w:t>
      </w:r>
      <w:r w:rsidR="00580D38" w:rsidRPr="0006219A">
        <w:rPr>
          <w:szCs w:val="24"/>
        </w:rPr>
        <w:t xml:space="preserve">intentional misconduct and </w:t>
      </w:r>
      <w:r w:rsidRPr="0006219A">
        <w:rPr>
          <w:szCs w:val="24"/>
        </w:rPr>
        <w:t>lack of insight</w:t>
      </w:r>
      <w:r w:rsidR="00580D38" w:rsidRPr="0006219A">
        <w:rPr>
          <w:szCs w:val="24"/>
        </w:rPr>
        <w:t xml:space="preserve"> and</w:t>
      </w:r>
      <w:r w:rsidRPr="0006219A">
        <w:rPr>
          <w:szCs w:val="24"/>
        </w:rPr>
        <w:t xml:space="preserve"> indifference.  We</w:t>
      </w:r>
      <w:r w:rsidR="00424DEC">
        <w:rPr>
          <w:szCs w:val="24"/>
        </w:rPr>
        <w:t xml:space="preserve"> find that no other aggravation is warranted</w:t>
      </w:r>
      <w:r w:rsidR="00580D38" w:rsidRPr="0006219A">
        <w:rPr>
          <w:szCs w:val="24"/>
        </w:rPr>
        <w:t>.  First,</w:t>
      </w:r>
      <w:r w:rsidR="0032662A" w:rsidRPr="0006219A">
        <w:rPr>
          <w:iCs/>
          <w:szCs w:val="24"/>
        </w:rPr>
        <w:t xml:space="preserve"> we do </w:t>
      </w:r>
      <w:r w:rsidR="003A736D" w:rsidRPr="0006219A">
        <w:rPr>
          <w:iCs/>
          <w:szCs w:val="24"/>
        </w:rPr>
        <w:t xml:space="preserve">not </w:t>
      </w:r>
      <w:r w:rsidR="0032662A" w:rsidRPr="0006219A">
        <w:rPr>
          <w:iCs/>
          <w:szCs w:val="24"/>
        </w:rPr>
        <w:t xml:space="preserve">assign </w:t>
      </w:r>
      <w:r w:rsidR="00254983" w:rsidRPr="0006219A">
        <w:rPr>
          <w:szCs w:val="24"/>
        </w:rPr>
        <w:t xml:space="preserve">additional aggravation for </w:t>
      </w:r>
      <w:r w:rsidR="0032662A" w:rsidRPr="0006219A">
        <w:rPr>
          <w:szCs w:val="24"/>
        </w:rPr>
        <w:t>intentional misconduct (see std.</w:t>
      </w:r>
      <w:r w:rsidR="00B31DFD" w:rsidRPr="0006219A">
        <w:rPr>
          <w:szCs w:val="24"/>
        </w:rPr>
        <w:t> </w:t>
      </w:r>
      <w:r w:rsidR="0032662A" w:rsidRPr="0006219A">
        <w:rPr>
          <w:szCs w:val="24"/>
        </w:rPr>
        <w:t>1.5(d</w:t>
      </w:r>
      <w:r w:rsidR="00254983" w:rsidRPr="0006219A">
        <w:rPr>
          <w:szCs w:val="24"/>
        </w:rPr>
        <w:t xml:space="preserve">)) because </w:t>
      </w:r>
      <w:r w:rsidR="0032662A" w:rsidRPr="0006219A">
        <w:rPr>
          <w:szCs w:val="24"/>
        </w:rPr>
        <w:t>we found Sganga</w:t>
      </w:r>
      <w:r w:rsidR="003A736D" w:rsidRPr="0006219A">
        <w:rPr>
          <w:szCs w:val="24"/>
        </w:rPr>
        <w:t xml:space="preserve"> culpable for </w:t>
      </w:r>
      <w:r w:rsidR="003A736D" w:rsidRPr="0006219A">
        <w:rPr>
          <w:i/>
          <w:szCs w:val="24"/>
        </w:rPr>
        <w:t>intentionally</w:t>
      </w:r>
      <w:r w:rsidR="003A736D" w:rsidRPr="0006219A">
        <w:rPr>
          <w:szCs w:val="24"/>
        </w:rPr>
        <w:t xml:space="preserve"> misappropriating his clients’ funds</w:t>
      </w:r>
      <w:r w:rsidR="00254983" w:rsidRPr="0006219A">
        <w:rPr>
          <w:szCs w:val="24"/>
        </w:rPr>
        <w:t>.  (</w:t>
      </w:r>
      <w:r w:rsidR="00254983" w:rsidRPr="0006219A">
        <w:rPr>
          <w:i/>
          <w:szCs w:val="24"/>
        </w:rPr>
        <w:t>In the Matter of Duxbury</w:t>
      </w:r>
      <w:r w:rsidR="00254983" w:rsidRPr="0006219A">
        <w:rPr>
          <w:szCs w:val="24"/>
        </w:rPr>
        <w:t xml:space="preserve"> (Review Dept. 1999) 4 Cal. State Bar Ct. Rptr. 61, 68 [where factual finding</w:t>
      </w:r>
      <w:r w:rsidR="006B19E9" w:rsidRPr="0006219A">
        <w:rPr>
          <w:szCs w:val="24"/>
        </w:rPr>
        <w:t>s</w:t>
      </w:r>
      <w:r w:rsidR="00254983" w:rsidRPr="0006219A">
        <w:rPr>
          <w:szCs w:val="24"/>
        </w:rPr>
        <w:t xml:space="preserve"> used for culpability, improper to consider them in aggravation].)</w:t>
      </w:r>
      <w:r w:rsidR="003A736D" w:rsidRPr="0006219A">
        <w:rPr>
          <w:szCs w:val="24"/>
        </w:rPr>
        <w:t xml:space="preserve">  </w:t>
      </w:r>
      <w:r w:rsidR="00580D38" w:rsidRPr="0006219A">
        <w:rPr>
          <w:szCs w:val="24"/>
        </w:rPr>
        <w:t>Second</w:t>
      </w:r>
      <w:r w:rsidR="005C1C6E" w:rsidRPr="0006219A">
        <w:rPr>
          <w:szCs w:val="24"/>
        </w:rPr>
        <w:t xml:space="preserve">, OCTC did not present clear and convincing evidence that </w:t>
      </w:r>
      <w:r w:rsidR="005B5EE6" w:rsidRPr="0006219A">
        <w:rPr>
          <w:szCs w:val="24"/>
        </w:rPr>
        <w:t xml:space="preserve">Sganga lacked insight or was indifferent toward the consequences of his </w:t>
      </w:r>
      <w:r w:rsidR="003849A9" w:rsidRPr="0006219A">
        <w:rPr>
          <w:szCs w:val="24"/>
        </w:rPr>
        <w:t>misconduct</w:t>
      </w:r>
      <w:r w:rsidR="005C1C6E" w:rsidRPr="0006219A">
        <w:rPr>
          <w:szCs w:val="24"/>
        </w:rPr>
        <w:t>.  (See std. </w:t>
      </w:r>
      <w:r w:rsidR="005B5EE6" w:rsidRPr="0006219A">
        <w:rPr>
          <w:szCs w:val="24"/>
        </w:rPr>
        <w:t>1.5(k</w:t>
      </w:r>
      <w:r w:rsidR="005C1C6E" w:rsidRPr="0006219A">
        <w:rPr>
          <w:szCs w:val="24"/>
        </w:rPr>
        <w:t>)</w:t>
      </w:r>
      <w:r w:rsidR="005B5EE6" w:rsidRPr="0006219A">
        <w:rPr>
          <w:szCs w:val="24"/>
        </w:rPr>
        <w:t>.)</w:t>
      </w:r>
    </w:p>
    <w:p w:rsidR="00025D2F" w:rsidRPr="0006219A" w:rsidRDefault="00025D2F" w:rsidP="00EE2EB5">
      <w:pPr>
        <w:spacing w:line="480" w:lineRule="auto"/>
        <w:rPr>
          <w:b/>
          <w:szCs w:val="24"/>
        </w:rPr>
      </w:pPr>
      <w:r w:rsidRPr="0006219A">
        <w:rPr>
          <w:b/>
          <w:szCs w:val="24"/>
        </w:rPr>
        <w:t>B.</w:t>
      </w:r>
      <w:r w:rsidRPr="0006219A">
        <w:rPr>
          <w:b/>
          <w:szCs w:val="24"/>
        </w:rPr>
        <w:tab/>
        <w:t>M</w:t>
      </w:r>
      <w:r w:rsidR="00833F16" w:rsidRPr="0006219A">
        <w:rPr>
          <w:b/>
          <w:szCs w:val="24"/>
        </w:rPr>
        <w:t>itigation</w:t>
      </w:r>
    </w:p>
    <w:p w:rsidR="004760D1" w:rsidRPr="0006219A" w:rsidRDefault="003570B3" w:rsidP="00EE2EB5">
      <w:pPr>
        <w:spacing w:line="480" w:lineRule="auto"/>
        <w:ind w:firstLine="720"/>
        <w:rPr>
          <w:b/>
          <w:szCs w:val="24"/>
        </w:rPr>
      </w:pPr>
      <w:r w:rsidRPr="0006219A">
        <w:rPr>
          <w:b/>
          <w:szCs w:val="24"/>
        </w:rPr>
        <w:t>1.</w:t>
      </w:r>
      <w:r w:rsidR="009B633D" w:rsidRPr="0006219A">
        <w:rPr>
          <w:b/>
          <w:szCs w:val="24"/>
        </w:rPr>
        <w:t xml:space="preserve">  N</w:t>
      </w:r>
      <w:r w:rsidR="00025D2F" w:rsidRPr="0006219A">
        <w:rPr>
          <w:b/>
          <w:szCs w:val="24"/>
        </w:rPr>
        <w:t xml:space="preserve">o Prior Record </w:t>
      </w:r>
      <w:r w:rsidR="00684B30" w:rsidRPr="0006219A">
        <w:rPr>
          <w:b/>
          <w:szCs w:val="24"/>
        </w:rPr>
        <w:t>of Discipline</w:t>
      </w:r>
    </w:p>
    <w:p w:rsidR="00ED39A2" w:rsidRPr="0006219A" w:rsidRDefault="00102308" w:rsidP="00ED39A2">
      <w:pPr>
        <w:spacing w:line="480" w:lineRule="auto"/>
        <w:ind w:firstLine="720"/>
        <w:rPr>
          <w:szCs w:val="24"/>
        </w:rPr>
      </w:pPr>
      <w:r w:rsidRPr="0006219A">
        <w:rPr>
          <w:szCs w:val="24"/>
        </w:rPr>
        <w:t>Mitigation is available where no prior record of discipline exists over many years of practice</w:t>
      </w:r>
      <w:r w:rsidR="00E70299" w:rsidRPr="0006219A">
        <w:rPr>
          <w:szCs w:val="24"/>
        </w:rPr>
        <w:t>,</w:t>
      </w:r>
      <w:r w:rsidRPr="0006219A">
        <w:rPr>
          <w:szCs w:val="24"/>
        </w:rPr>
        <w:t xml:space="preserve"> coupled with present misconduct that is not li</w:t>
      </w:r>
      <w:r w:rsidR="00A47EB4" w:rsidRPr="0006219A">
        <w:rPr>
          <w:szCs w:val="24"/>
        </w:rPr>
        <w:t>kely to recur.  (Std. 1.6(a).)</w:t>
      </w:r>
      <w:r w:rsidR="002F0BE3" w:rsidRPr="0006219A">
        <w:rPr>
          <w:szCs w:val="24"/>
        </w:rPr>
        <w:t xml:space="preserve">  </w:t>
      </w:r>
      <w:r w:rsidR="004760D1" w:rsidRPr="0006219A">
        <w:rPr>
          <w:szCs w:val="24"/>
        </w:rPr>
        <w:t xml:space="preserve">Sganga was admitted to practice law in </w:t>
      </w:r>
      <w:r w:rsidR="005B3E02" w:rsidRPr="0006219A">
        <w:rPr>
          <w:szCs w:val="24"/>
        </w:rPr>
        <w:t xml:space="preserve">December </w:t>
      </w:r>
      <w:r w:rsidR="004760D1" w:rsidRPr="0006219A">
        <w:rPr>
          <w:szCs w:val="24"/>
        </w:rPr>
        <w:t xml:space="preserve">2003, and his misconduct began in </w:t>
      </w:r>
      <w:r w:rsidR="005B3E02" w:rsidRPr="0006219A">
        <w:rPr>
          <w:szCs w:val="24"/>
        </w:rPr>
        <w:t xml:space="preserve">January </w:t>
      </w:r>
      <w:r w:rsidR="004760D1" w:rsidRPr="0006219A">
        <w:rPr>
          <w:szCs w:val="24"/>
        </w:rPr>
        <w:t xml:space="preserve">2014. </w:t>
      </w:r>
      <w:r w:rsidRPr="0006219A">
        <w:rPr>
          <w:szCs w:val="24"/>
        </w:rPr>
        <w:t xml:space="preserve"> </w:t>
      </w:r>
      <w:r w:rsidR="004760D1" w:rsidRPr="0006219A">
        <w:rPr>
          <w:szCs w:val="24"/>
        </w:rPr>
        <w:t xml:space="preserve">The hearing judge found that Sganga’s </w:t>
      </w:r>
      <w:r w:rsidR="0018140C" w:rsidRPr="0006219A">
        <w:rPr>
          <w:szCs w:val="24"/>
        </w:rPr>
        <w:t>years</w:t>
      </w:r>
      <w:r w:rsidR="005C1769" w:rsidRPr="0006219A">
        <w:rPr>
          <w:szCs w:val="24"/>
        </w:rPr>
        <w:t xml:space="preserve"> of discipline-free practice</w:t>
      </w:r>
      <w:r w:rsidR="005C1769" w:rsidRPr="0006219A">
        <w:rPr>
          <w:rStyle w:val="FootnoteReference"/>
          <w:szCs w:val="24"/>
        </w:rPr>
        <w:footnoteReference w:id="15"/>
      </w:r>
      <w:r w:rsidR="0018140C" w:rsidRPr="0006219A">
        <w:rPr>
          <w:szCs w:val="24"/>
        </w:rPr>
        <w:t xml:space="preserve"> </w:t>
      </w:r>
      <w:r w:rsidR="00085ACA" w:rsidRPr="0006219A">
        <w:rPr>
          <w:szCs w:val="24"/>
        </w:rPr>
        <w:t>are</w:t>
      </w:r>
      <w:r w:rsidR="004760D1" w:rsidRPr="0006219A">
        <w:rPr>
          <w:szCs w:val="24"/>
        </w:rPr>
        <w:t xml:space="preserve"> a mitigating factor</w:t>
      </w:r>
      <w:r w:rsidR="006B19E9" w:rsidRPr="0006219A">
        <w:rPr>
          <w:szCs w:val="24"/>
        </w:rPr>
        <w:t xml:space="preserve">, </w:t>
      </w:r>
      <w:r w:rsidR="004760D1" w:rsidRPr="0006219A">
        <w:rPr>
          <w:szCs w:val="24"/>
        </w:rPr>
        <w:t>but did not assign a specific weight.</w:t>
      </w:r>
    </w:p>
    <w:p w:rsidR="00C77834" w:rsidRPr="0006219A" w:rsidRDefault="0015527A" w:rsidP="00A21CCD">
      <w:pPr>
        <w:spacing w:line="480" w:lineRule="auto"/>
        <w:ind w:firstLine="720"/>
        <w:rPr>
          <w:szCs w:val="24"/>
        </w:rPr>
      </w:pPr>
      <w:r w:rsidRPr="0006219A">
        <w:rPr>
          <w:szCs w:val="24"/>
        </w:rPr>
        <w:t xml:space="preserve">Ten-plus years </w:t>
      </w:r>
      <w:r w:rsidR="00957D1C" w:rsidRPr="0006219A">
        <w:rPr>
          <w:szCs w:val="24"/>
        </w:rPr>
        <w:t>o</w:t>
      </w:r>
      <w:r w:rsidR="003E3E2D" w:rsidRPr="0006219A">
        <w:rPr>
          <w:szCs w:val="24"/>
        </w:rPr>
        <w:t>f discipline-free practice could warrant sig</w:t>
      </w:r>
      <w:r w:rsidR="00ED49F2" w:rsidRPr="0006219A">
        <w:rPr>
          <w:szCs w:val="24"/>
        </w:rPr>
        <w:t xml:space="preserve">nificant weight in mitigation </w:t>
      </w:r>
      <w:r w:rsidR="003E3E2D" w:rsidRPr="0006219A">
        <w:rPr>
          <w:szCs w:val="24"/>
        </w:rPr>
        <w:t>(</w:t>
      </w:r>
      <w:r w:rsidR="003E3E2D" w:rsidRPr="0006219A">
        <w:rPr>
          <w:i/>
          <w:szCs w:val="24"/>
        </w:rPr>
        <w:t>Hawes v. State Bar</w:t>
      </w:r>
      <w:r w:rsidR="003E3E2D" w:rsidRPr="0006219A">
        <w:rPr>
          <w:szCs w:val="24"/>
        </w:rPr>
        <w:t xml:space="preserve"> (1990) 51</w:t>
      </w:r>
      <w:r w:rsidR="00B31DFD" w:rsidRPr="0006219A">
        <w:rPr>
          <w:szCs w:val="24"/>
        </w:rPr>
        <w:t> </w:t>
      </w:r>
      <w:r w:rsidR="003E3E2D" w:rsidRPr="0006219A">
        <w:rPr>
          <w:szCs w:val="24"/>
        </w:rPr>
        <w:t>Cal. 3d 587, 596 [more than 10 years of discipline-free prac</w:t>
      </w:r>
      <w:r w:rsidR="00ED49F2" w:rsidRPr="0006219A">
        <w:rPr>
          <w:szCs w:val="24"/>
        </w:rPr>
        <w:t>tice is significant mitigation]</w:t>
      </w:r>
      <w:r w:rsidR="003E3E2D" w:rsidRPr="0006219A">
        <w:rPr>
          <w:szCs w:val="24"/>
        </w:rPr>
        <w:t>)</w:t>
      </w:r>
      <w:r w:rsidR="00ED49F2" w:rsidRPr="0006219A">
        <w:rPr>
          <w:szCs w:val="24"/>
        </w:rPr>
        <w:t xml:space="preserve">, but </w:t>
      </w:r>
      <w:r w:rsidR="00957D1C" w:rsidRPr="0006219A">
        <w:rPr>
          <w:szCs w:val="24"/>
        </w:rPr>
        <w:t xml:space="preserve">we do not </w:t>
      </w:r>
      <w:r w:rsidR="00A51544" w:rsidRPr="0006219A">
        <w:rPr>
          <w:szCs w:val="24"/>
        </w:rPr>
        <w:t>assign such weight</w:t>
      </w:r>
      <w:r w:rsidR="002F0BE3" w:rsidRPr="0006219A">
        <w:rPr>
          <w:szCs w:val="24"/>
        </w:rPr>
        <w:t xml:space="preserve"> because we disagree with the hearing judge’s conclusion that </w:t>
      </w:r>
      <w:r w:rsidR="00A35542" w:rsidRPr="0006219A">
        <w:rPr>
          <w:szCs w:val="24"/>
        </w:rPr>
        <w:t>Sganga’s</w:t>
      </w:r>
      <w:r w:rsidRPr="0006219A">
        <w:rPr>
          <w:szCs w:val="24"/>
        </w:rPr>
        <w:t xml:space="preserve"> </w:t>
      </w:r>
      <w:r w:rsidR="002F0BE3" w:rsidRPr="0006219A">
        <w:rPr>
          <w:szCs w:val="24"/>
        </w:rPr>
        <w:t>misconduct was aberrational.  (</w:t>
      </w:r>
      <w:r w:rsidR="00ED39A2" w:rsidRPr="0006219A">
        <w:rPr>
          <w:szCs w:val="24"/>
        </w:rPr>
        <w:t xml:space="preserve">See </w:t>
      </w:r>
      <w:r w:rsidR="002F0BE3" w:rsidRPr="0006219A">
        <w:rPr>
          <w:i/>
          <w:szCs w:val="24"/>
        </w:rPr>
        <w:t>Cooper v. State Bar</w:t>
      </w:r>
      <w:r w:rsidR="002F0BE3" w:rsidRPr="0006219A">
        <w:rPr>
          <w:szCs w:val="24"/>
        </w:rPr>
        <w:t xml:space="preserve"> (1987) 43 Cal.3d 1016, 1029 [</w:t>
      </w:r>
      <w:r w:rsidR="0085670A" w:rsidRPr="0006219A">
        <w:rPr>
          <w:szCs w:val="24"/>
        </w:rPr>
        <w:t>where misconduct is serious, long discipline-free practice is most relevant where misconduct is aberrational and unlikely to recur</w:t>
      </w:r>
      <w:r w:rsidR="002F0BE3" w:rsidRPr="0006219A">
        <w:rPr>
          <w:szCs w:val="24"/>
        </w:rPr>
        <w:t xml:space="preserve">].)  Given that </w:t>
      </w:r>
      <w:r w:rsidR="00A35542" w:rsidRPr="0006219A">
        <w:rPr>
          <w:szCs w:val="24"/>
        </w:rPr>
        <w:t>he</w:t>
      </w:r>
      <w:r w:rsidR="002F0BE3" w:rsidRPr="0006219A">
        <w:rPr>
          <w:szCs w:val="24"/>
        </w:rPr>
        <w:t xml:space="preserve"> made 13 separate</w:t>
      </w:r>
      <w:r w:rsidR="00A35542" w:rsidRPr="0006219A">
        <w:rPr>
          <w:szCs w:val="24"/>
        </w:rPr>
        <w:t>,</w:t>
      </w:r>
      <w:r w:rsidR="002F0BE3" w:rsidRPr="0006219A">
        <w:rPr>
          <w:szCs w:val="24"/>
        </w:rPr>
        <w:t xml:space="preserve"> unauthorized</w:t>
      </w:r>
      <w:r w:rsidR="00A35542" w:rsidRPr="0006219A">
        <w:rPr>
          <w:szCs w:val="24"/>
        </w:rPr>
        <w:t>,</w:t>
      </w:r>
      <w:r w:rsidR="002F0BE3" w:rsidRPr="0006219A">
        <w:rPr>
          <w:szCs w:val="24"/>
        </w:rPr>
        <w:t xml:space="preserve"> and undisclosed CTA withdrawals over a one-year period</w:t>
      </w:r>
      <w:r w:rsidR="00A51544" w:rsidRPr="0006219A">
        <w:rPr>
          <w:szCs w:val="24"/>
        </w:rPr>
        <w:t xml:space="preserve">, </w:t>
      </w:r>
      <w:r w:rsidR="00ED39A2" w:rsidRPr="0006219A">
        <w:rPr>
          <w:szCs w:val="24"/>
        </w:rPr>
        <w:t xml:space="preserve">violated a court order </w:t>
      </w:r>
      <w:r w:rsidR="00062FF8" w:rsidRPr="0006219A">
        <w:rPr>
          <w:szCs w:val="24"/>
        </w:rPr>
        <w:lastRenderedPageBreak/>
        <w:t xml:space="preserve">approximately </w:t>
      </w:r>
      <w:r w:rsidR="00E1376E" w:rsidRPr="0006219A">
        <w:rPr>
          <w:szCs w:val="24"/>
        </w:rPr>
        <w:t>five</w:t>
      </w:r>
      <w:r w:rsidR="00062FF8" w:rsidRPr="0006219A">
        <w:rPr>
          <w:szCs w:val="24"/>
        </w:rPr>
        <w:t xml:space="preserve"> months </w:t>
      </w:r>
      <w:r w:rsidR="00424DEC">
        <w:rPr>
          <w:szCs w:val="24"/>
        </w:rPr>
        <w:t>later</w:t>
      </w:r>
      <w:r w:rsidR="00E1376E" w:rsidRPr="0006219A">
        <w:rPr>
          <w:szCs w:val="24"/>
        </w:rPr>
        <w:t>,</w:t>
      </w:r>
      <w:r w:rsidR="00ED39A2" w:rsidRPr="0006219A">
        <w:rPr>
          <w:szCs w:val="24"/>
        </w:rPr>
        <w:t xml:space="preserve"> </w:t>
      </w:r>
      <w:r w:rsidR="00A51544" w:rsidRPr="0006219A">
        <w:rPr>
          <w:szCs w:val="24"/>
        </w:rPr>
        <w:t xml:space="preserve">and failed to pay the final $380,000 until just before trial in this matter, </w:t>
      </w:r>
      <w:r w:rsidR="002F0BE3" w:rsidRPr="0006219A">
        <w:rPr>
          <w:szCs w:val="24"/>
        </w:rPr>
        <w:t>we do not view his misconduct as aberrational.  (</w:t>
      </w:r>
      <w:r w:rsidR="002F0BE3" w:rsidRPr="0006219A">
        <w:rPr>
          <w:i/>
          <w:szCs w:val="24"/>
        </w:rPr>
        <w:t>In the Matter of Wenzel</w:t>
      </w:r>
      <w:r w:rsidR="002F0BE3" w:rsidRPr="0006219A">
        <w:rPr>
          <w:szCs w:val="24"/>
        </w:rPr>
        <w:t xml:space="preserve"> (Review Dept. 2015) 5 Cal. State Bar Ct. Rptr. 380, 386 [conduct not found aberrational where multiple acts were committed and attorney had time to reflect</w:t>
      </w:r>
      <w:r w:rsidR="006A0918" w:rsidRPr="0006219A">
        <w:rPr>
          <w:szCs w:val="24"/>
        </w:rPr>
        <w:t xml:space="preserve"> before each subsequent act].)</w:t>
      </w:r>
      <w:r w:rsidR="00A21CCD" w:rsidRPr="0006219A">
        <w:rPr>
          <w:szCs w:val="24"/>
        </w:rPr>
        <w:t xml:space="preserve">  </w:t>
      </w:r>
      <w:r w:rsidR="00CD7802" w:rsidRPr="0006219A">
        <w:rPr>
          <w:szCs w:val="24"/>
        </w:rPr>
        <w:t>As such, w</w:t>
      </w:r>
      <w:r w:rsidR="007C5986" w:rsidRPr="0006219A">
        <w:rPr>
          <w:szCs w:val="24"/>
        </w:rPr>
        <w:t xml:space="preserve">e </w:t>
      </w:r>
      <w:r w:rsidR="00DC13E8" w:rsidRPr="0006219A">
        <w:rPr>
          <w:szCs w:val="24"/>
        </w:rPr>
        <w:t xml:space="preserve">assign </w:t>
      </w:r>
      <w:r w:rsidR="00971A10" w:rsidRPr="0006219A">
        <w:rPr>
          <w:szCs w:val="24"/>
        </w:rPr>
        <w:t xml:space="preserve">limited mitigating weight to </w:t>
      </w:r>
      <w:r w:rsidR="007C5986" w:rsidRPr="0006219A">
        <w:rPr>
          <w:szCs w:val="24"/>
        </w:rPr>
        <w:t>Sganga’s 10 years of discipline-free practice</w:t>
      </w:r>
      <w:r w:rsidR="00971A10" w:rsidRPr="0006219A">
        <w:rPr>
          <w:szCs w:val="24"/>
        </w:rPr>
        <w:t>.  (</w:t>
      </w:r>
      <w:r w:rsidR="00E11596" w:rsidRPr="0006219A">
        <w:rPr>
          <w:szCs w:val="24"/>
        </w:rPr>
        <w:t xml:space="preserve">See </w:t>
      </w:r>
      <w:r w:rsidR="00E11596" w:rsidRPr="0006219A">
        <w:rPr>
          <w:i/>
          <w:szCs w:val="24"/>
        </w:rPr>
        <w:t>In the Matter of Romano</w:t>
      </w:r>
      <w:r w:rsidR="00E11596" w:rsidRPr="0006219A">
        <w:rPr>
          <w:szCs w:val="24"/>
        </w:rPr>
        <w:t xml:space="preserve"> (Review Dept. 2015) 5</w:t>
      </w:r>
      <w:r w:rsidR="00B31DFD" w:rsidRPr="0006219A">
        <w:rPr>
          <w:szCs w:val="24"/>
        </w:rPr>
        <w:t> </w:t>
      </w:r>
      <w:r w:rsidR="00E11596" w:rsidRPr="0006219A">
        <w:rPr>
          <w:szCs w:val="24"/>
        </w:rPr>
        <w:t xml:space="preserve">Cal. State Bar Ct. Rptr. 391, 395, </w:t>
      </w:r>
      <w:r w:rsidR="0016629A" w:rsidRPr="0006219A">
        <w:rPr>
          <w:szCs w:val="24"/>
        </w:rPr>
        <w:t>398–399 [minimal weight afforded</w:t>
      </w:r>
      <w:r w:rsidR="00E11596" w:rsidRPr="0006219A">
        <w:rPr>
          <w:szCs w:val="24"/>
        </w:rPr>
        <w:t xml:space="preserve"> for 22 years of</w:t>
      </w:r>
      <w:r w:rsidR="00A65F54" w:rsidRPr="0006219A">
        <w:rPr>
          <w:szCs w:val="24"/>
        </w:rPr>
        <w:t xml:space="preserve"> discipline-free practice where</w:t>
      </w:r>
      <w:r w:rsidR="0016629A" w:rsidRPr="0006219A">
        <w:rPr>
          <w:szCs w:val="24"/>
        </w:rPr>
        <w:t xml:space="preserve"> misconduct</w:t>
      </w:r>
      <w:r w:rsidR="00424DEC">
        <w:rPr>
          <w:szCs w:val="24"/>
        </w:rPr>
        <w:t>, which</w:t>
      </w:r>
      <w:r w:rsidR="00E11596" w:rsidRPr="0006219A">
        <w:rPr>
          <w:szCs w:val="24"/>
        </w:rPr>
        <w:t xml:space="preserve"> included filing 82 fraudulent bankruptcy petitions, “was most serious, involved intentional dishonesty, and continued over three and a half</w:t>
      </w:r>
      <w:r w:rsidR="00A65F54" w:rsidRPr="0006219A">
        <w:rPr>
          <w:szCs w:val="24"/>
        </w:rPr>
        <w:t xml:space="preserve"> years,” and was not proven</w:t>
      </w:r>
      <w:r w:rsidR="00E11596" w:rsidRPr="0006219A">
        <w:rPr>
          <w:szCs w:val="24"/>
        </w:rPr>
        <w:t xml:space="preserve"> aberrational].)</w:t>
      </w:r>
    </w:p>
    <w:p w:rsidR="002B5928" w:rsidRPr="0006219A" w:rsidRDefault="00EC078E" w:rsidP="00EE2EB5">
      <w:pPr>
        <w:spacing w:line="480" w:lineRule="auto"/>
        <w:ind w:firstLine="720"/>
        <w:rPr>
          <w:b/>
          <w:szCs w:val="24"/>
        </w:rPr>
      </w:pPr>
      <w:r w:rsidRPr="0006219A">
        <w:rPr>
          <w:b/>
          <w:szCs w:val="24"/>
        </w:rPr>
        <w:t xml:space="preserve">2.  </w:t>
      </w:r>
      <w:r w:rsidR="00431DD5" w:rsidRPr="0006219A">
        <w:rPr>
          <w:b/>
          <w:szCs w:val="24"/>
        </w:rPr>
        <w:t xml:space="preserve">No Mitigation for </w:t>
      </w:r>
      <w:r w:rsidRPr="0006219A">
        <w:rPr>
          <w:b/>
          <w:szCs w:val="24"/>
        </w:rPr>
        <w:t>Good Faith</w:t>
      </w:r>
    </w:p>
    <w:p w:rsidR="00EC078E" w:rsidRPr="0006219A" w:rsidRDefault="00EC078E" w:rsidP="00EE2EB5">
      <w:pPr>
        <w:spacing w:line="480" w:lineRule="auto"/>
        <w:ind w:firstLine="720"/>
        <w:rPr>
          <w:szCs w:val="24"/>
        </w:rPr>
      </w:pPr>
      <w:r w:rsidRPr="0006219A">
        <w:rPr>
          <w:szCs w:val="24"/>
        </w:rPr>
        <w:t xml:space="preserve">The hearing judge gave </w:t>
      </w:r>
      <w:r w:rsidR="002B5928" w:rsidRPr="0006219A">
        <w:rPr>
          <w:szCs w:val="24"/>
        </w:rPr>
        <w:t>nominal</w:t>
      </w:r>
      <w:r w:rsidRPr="0006219A">
        <w:rPr>
          <w:szCs w:val="24"/>
        </w:rPr>
        <w:t xml:space="preserve"> </w:t>
      </w:r>
      <w:r w:rsidR="00D53860" w:rsidRPr="0006219A">
        <w:rPr>
          <w:szCs w:val="24"/>
        </w:rPr>
        <w:t xml:space="preserve">weight in </w:t>
      </w:r>
      <w:r w:rsidR="002B5928" w:rsidRPr="0006219A">
        <w:rPr>
          <w:szCs w:val="24"/>
        </w:rPr>
        <w:t>mitigati</w:t>
      </w:r>
      <w:r w:rsidR="00D53860" w:rsidRPr="0006219A">
        <w:rPr>
          <w:szCs w:val="24"/>
        </w:rPr>
        <w:t>on</w:t>
      </w:r>
      <w:r w:rsidRPr="0006219A">
        <w:rPr>
          <w:szCs w:val="24"/>
        </w:rPr>
        <w:t xml:space="preserve"> </w:t>
      </w:r>
      <w:r w:rsidR="002B5928" w:rsidRPr="0006219A">
        <w:rPr>
          <w:szCs w:val="24"/>
        </w:rPr>
        <w:t xml:space="preserve">to Sganga’s </w:t>
      </w:r>
      <w:r w:rsidRPr="0006219A">
        <w:rPr>
          <w:szCs w:val="24"/>
        </w:rPr>
        <w:t>good faith</w:t>
      </w:r>
      <w:r w:rsidR="002B5928" w:rsidRPr="0006219A">
        <w:rPr>
          <w:szCs w:val="24"/>
        </w:rPr>
        <w:t xml:space="preserve"> belief</w:t>
      </w:r>
      <w:r w:rsidR="00C36D85" w:rsidRPr="0006219A">
        <w:rPr>
          <w:szCs w:val="24"/>
        </w:rPr>
        <w:t xml:space="preserve"> that</w:t>
      </w:r>
      <w:r w:rsidR="002B5928" w:rsidRPr="0006219A">
        <w:rPr>
          <w:szCs w:val="24"/>
        </w:rPr>
        <w:t xml:space="preserve"> he was entitled to </w:t>
      </w:r>
      <w:r w:rsidR="00CE078C" w:rsidRPr="0006219A">
        <w:rPr>
          <w:szCs w:val="24"/>
        </w:rPr>
        <w:t>pay himself from the</w:t>
      </w:r>
      <w:r w:rsidR="002B5928" w:rsidRPr="0006219A">
        <w:rPr>
          <w:szCs w:val="24"/>
        </w:rPr>
        <w:t xml:space="preserve"> settlement funds</w:t>
      </w:r>
      <w:r w:rsidR="00D53860" w:rsidRPr="0006219A">
        <w:rPr>
          <w:szCs w:val="24"/>
        </w:rPr>
        <w:t xml:space="preserve">.  </w:t>
      </w:r>
      <w:r w:rsidRPr="0006219A">
        <w:rPr>
          <w:szCs w:val="24"/>
        </w:rPr>
        <w:t xml:space="preserve">We find that </w:t>
      </w:r>
      <w:r w:rsidR="007142AE" w:rsidRPr="0006219A">
        <w:rPr>
          <w:szCs w:val="24"/>
        </w:rPr>
        <w:t>Sganga</w:t>
      </w:r>
      <w:r w:rsidR="00D53860" w:rsidRPr="0006219A">
        <w:rPr>
          <w:szCs w:val="24"/>
        </w:rPr>
        <w:t xml:space="preserve"> </w:t>
      </w:r>
      <w:r w:rsidR="00C36D85" w:rsidRPr="0006219A">
        <w:rPr>
          <w:szCs w:val="24"/>
        </w:rPr>
        <w:t>does</w:t>
      </w:r>
      <w:r w:rsidRPr="0006219A">
        <w:rPr>
          <w:szCs w:val="24"/>
        </w:rPr>
        <w:t xml:space="preserve"> not </w:t>
      </w:r>
      <w:r w:rsidR="00C36D85" w:rsidRPr="0006219A">
        <w:rPr>
          <w:szCs w:val="24"/>
        </w:rPr>
        <w:t>deserve</w:t>
      </w:r>
      <w:r w:rsidRPr="0006219A">
        <w:rPr>
          <w:szCs w:val="24"/>
        </w:rPr>
        <w:t xml:space="preserve"> mitigating credit for this fact</w:t>
      </w:r>
      <w:r w:rsidR="00D53860" w:rsidRPr="0006219A">
        <w:rPr>
          <w:szCs w:val="24"/>
        </w:rPr>
        <w:t xml:space="preserve">or.  </w:t>
      </w:r>
      <w:r w:rsidR="0064672A" w:rsidRPr="0006219A">
        <w:rPr>
          <w:szCs w:val="24"/>
        </w:rPr>
        <w:t xml:space="preserve">Even if </w:t>
      </w:r>
      <w:r w:rsidR="00F26C1C" w:rsidRPr="0006219A">
        <w:rPr>
          <w:szCs w:val="24"/>
        </w:rPr>
        <w:t>he</w:t>
      </w:r>
      <w:r w:rsidR="0064672A" w:rsidRPr="0006219A">
        <w:rPr>
          <w:szCs w:val="24"/>
        </w:rPr>
        <w:t xml:space="preserve"> believed he acted in good faith because</w:t>
      </w:r>
      <w:r w:rsidR="00024B39" w:rsidRPr="0006219A">
        <w:rPr>
          <w:szCs w:val="24"/>
        </w:rPr>
        <w:t xml:space="preserve"> the amount he withdrew from his CTA was</w:t>
      </w:r>
      <w:r w:rsidR="00F26C1C" w:rsidRPr="0006219A">
        <w:rPr>
          <w:szCs w:val="24"/>
        </w:rPr>
        <w:t xml:space="preserve"> less than the </w:t>
      </w:r>
      <w:r w:rsidR="00BB788C" w:rsidRPr="0006219A">
        <w:rPr>
          <w:szCs w:val="24"/>
        </w:rPr>
        <w:t>lowest</w:t>
      </w:r>
      <w:r w:rsidR="00F26C1C" w:rsidRPr="0006219A">
        <w:rPr>
          <w:szCs w:val="24"/>
        </w:rPr>
        <w:t xml:space="preserve"> amount </w:t>
      </w:r>
      <w:r w:rsidR="00BB788C" w:rsidRPr="0006219A">
        <w:rPr>
          <w:szCs w:val="24"/>
        </w:rPr>
        <w:t>offered</w:t>
      </w:r>
      <w:r w:rsidR="00E70299" w:rsidRPr="0006219A">
        <w:rPr>
          <w:szCs w:val="24"/>
        </w:rPr>
        <w:t xml:space="preserve"> </w:t>
      </w:r>
      <w:r w:rsidR="00BB788C" w:rsidRPr="0006219A">
        <w:rPr>
          <w:szCs w:val="24"/>
        </w:rPr>
        <w:t>by</w:t>
      </w:r>
      <w:r w:rsidR="00E70299" w:rsidRPr="0006219A">
        <w:rPr>
          <w:szCs w:val="24"/>
        </w:rPr>
        <w:t xml:space="preserve"> </w:t>
      </w:r>
      <w:r w:rsidR="00024B39" w:rsidRPr="0006219A">
        <w:rPr>
          <w:rFonts w:eastAsia="Times New Roman"/>
          <w:szCs w:val="24"/>
        </w:rPr>
        <w:t>Amarnath and Velagapudi</w:t>
      </w:r>
      <w:r w:rsidR="00F73806" w:rsidRPr="0006219A">
        <w:rPr>
          <w:szCs w:val="24"/>
        </w:rPr>
        <w:t xml:space="preserve">, </w:t>
      </w:r>
      <w:r w:rsidR="00024B39" w:rsidRPr="0006219A">
        <w:rPr>
          <w:szCs w:val="24"/>
        </w:rPr>
        <w:t>i</w:t>
      </w:r>
      <w:r w:rsidR="00F26C1C" w:rsidRPr="0006219A">
        <w:rPr>
          <w:szCs w:val="24"/>
        </w:rPr>
        <w:t xml:space="preserve">t was </w:t>
      </w:r>
      <w:r w:rsidR="0016376C" w:rsidRPr="0006219A">
        <w:rPr>
          <w:szCs w:val="24"/>
        </w:rPr>
        <w:t>not objectively reasonable</w:t>
      </w:r>
      <w:r w:rsidR="00F26C1C" w:rsidRPr="0006219A">
        <w:rPr>
          <w:szCs w:val="24"/>
        </w:rPr>
        <w:t xml:space="preserve"> for Sganga</w:t>
      </w:r>
      <w:r w:rsidR="00D53860" w:rsidRPr="0006219A">
        <w:rPr>
          <w:szCs w:val="24"/>
        </w:rPr>
        <w:t xml:space="preserve"> to maintain </w:t>
      </w:r>
      <w:r w:rsidRPr="0006219A">
        <w:rPr>
          <w:szCs w:val="24"/>
        </w:rPr>
        <w:t xml:space="preserve">he </w:t>
      </w:r>
      <w:r w:rsidR="00BB788C" w:rsidRPr="0006219A">
        <w:rPr>
          <w:szCs w:val="24"/>
        </w:rPr>
        <w:t>could</w:t>
      </w:r>
      <w:r w:rsidRPr="0006219A">
        <w:rPr>
          <w:szCs w:val="24"/>
        </w:rPr>
        <w:t xml:space="preserve"> </w:t>
      </w:r>
      <w:r w:rsidR="00D53860" w:rsidRPr="0006219A">
        <w:rPr>
          <w:szCs w:val="24"/>
        </w:rPr>
        <w:t xml:space="preserve">pay himself </w:t>
      </w:r>
      <w:r w:rsidR="00213C9C" w:rsidRPr="0006219A">
        <w:rPr>
          <w:szCs w:val="24"/>
        </w:rPr>
        <w:t xml:space="preserve">from the settlement funds </w:t>
      </w:r>
      <w:r w:rsidR="00D53860" w:rsidRPr="0006219A">
        <w:rPr>
          <w:szCs w:val="24"/>
        </w:rPr>
        <w:t xml:space="preserve">when </w:t>
      </w:r>
      <w:r w:rsidR="00F26C1C" w:rsidRPr="0006219A">
        <w:rPr>
          <w:szCs w:val="24"/>
        </w:rPr>
        <w:t>his clients</w:t>
      </w:r>
      <w:r w:rsidR="00E85AA0" w:rsidRPr="0006219A">
        <w:rPr>
          <w:szCs w:val="24"/>
        </w:rPr>
        <w:t xml:space="preserve"> informed him on</w:t>
      </w:r>
      <w:r w:rsidR="00697770" w:rsidRPr="0006219A">
        <w:rPr>
          <w:szCs w:val="24"/>
        </w:rPr>
        <w:t xml:space="preserve"> January</w:t>
      </w:r>
      <w:r w:rsidR="00B31DFD" w:rsidRPr="0006219A">
        <w:rPr>
          <w:szCs w:val="24"/>
        </w:rPr>
        <w:t> </w:t>
      </w:r>
      <w:r w:rsidR="00697770" w:rsidRPr="0006219A">
        <w:rPr>
          <w:szCs w:val="24"/>
        </w:rPr>
        <w:t>9, 2014</w:t>
      </w:r>
      <w:r w:rsidR="007142AE" w:rsidRPr="0006219A">
        <w:rPr>
          <w:szCs w:val="24"/>
        </w:rPr>
        <w:t xml:space="preserve"> (i.e., before Sganga deposited the first SAI settlement check)</w:t>
      </w:r>
      <w:r w:rsidR="00697770" w:rsidRPr="0006219A">
        <w:rPr>
          <w:szCs w:val="24"/>
        </w:rPr>
        <w:t>,</w:t>
      </w:r>
      <w:r w:rsidR="00803B4F" w:rsidRPr="0006219A">
        <w:rPr>
          <w:szCs w:val="24"/>
        </w:rPr>
        <w:t xml:space="preserve"> t</w:t>
      </w:r>
      <w:r w:rsidRPr="0006219A">
        <w:rPr>
          <w:szCs w:val="24"/>
        </w:rPr>
        <w:t xml:space="preserve">hat </w:t>
      </w:r>
      <w:r w:rsidR="00E85AA0" w:rsidRPr="0006219A">
        <w:rPr>
          <w:szCs w:val="24"/>
        </w:rPr>
        <w:t>they</w:t>
      </w:r>
      <w:r w:rsidR="00024B39" w:rsidRPr="0006219A">
        <w:rPr>
          <w:szCs w:val="24"/>
        </w:rPr>
        <w:t xml:space="preserve"> disputed his</w:t>
      </w:r>
      <w:r w:rsidRPr="0006219A">
        <w:rPr>
          <w:szCs w:val="24"/>
        </w:rPr>
        <w:t xml:space="preserve"> fee</w:t>
      </w:r>
      <w:r w:rsidR="0016376C" w:rsidRPr="0006219A">
        <w:rPr>
          <w:szCs w:val="24"/>
        </w:rPr>
        <w:t xml:space="preserve">, and </w:t>
      </w:r>
      <w:r w:rsidR="00F73806" w:rsidRPr="0006219A">
        <w:rPr>
          <w:rFonts w:eastAsia="Times New Roman"/>
          <w:szCs w:val="24"/>
        </w:rPr>
        <w:t xml:space="preserve">expressly told him </w:t>
      </w:r>
      <w:r w:rsidR="00DA1358" w:rsidRPr="0006219A">
        <w:rPr>
          <w:rFonts w:eastAsia="Times New Roman"/>
          <w:szCs w:val="24"/>
        </w:rPr>
        <w:t xml:space="preserve">on February 26, 2014, </w:t>
      </w:r>
      <w:r w:rsidR="00F73806" w:rsidRPr="0006219A">
        <w:rPr>
          <w:rFonts w:eastAsia="Times New Roman"/>
          <w:szCs w:val="24"/>
        </w:rPr>
        <w:t>not to withdraw any funds until their fee dispute was resolved</w:t>
      </w:r>
      <w:r w:rsidRPr="0006219A">
        <w:rPr>
          <w:szCs w:val="24"/>
        </w:rPr>
        <w:t>.  Th</w:t>
      </w:r>
      <w:r w:rsidR="00DA1358" w:rsidRPr="0006219A">
        <w:rPr>
          <w:szCs w:val="24"/>
        </w:rPr>
        <w:t>e</w:t>
      </w:r>
      <w:r w:rsidRPr="0006219A">
        <w:rPr>
          <w:szCs w:val="24"/>
        </w:rPr>
        <w:t>s</w:t>
      </w:r>
      <w:r w:rsidR="00DA1358" w:rsidRPr="0006219A">
        <w:rPr>
          <w:szCs w:val="24"/>
        </w:rPr>
        <w:t>e</w:t>
      </w:r>
      <w:r w:rsidRPr="0006219A">
        <w:rPr>
          <w:szCs w:val="24"/>
        </w:rPr>
        <w:t xml:space="preserve"> </w:t>
      </w:r>
      <w:r w:rsidR="00DA1358" w:rsidRPr="0006219A">
        <w:rPr>
          <w:szCs w:val="24"/>
        </w:rPr>
        <w:t xml:space="preserve">circumstances </w:t>
      </w:r>
      <w:r w:rsidRPr="0006219A">
        <w:rPr>
          <w:szCs w:val="24"/>
        </w:rPr>
        <w:t>preclude a</w:t>
      </w:r>
      <w:r w:rsidR="00DA1358" w:rsidRPr="0006219A">
        <w:rPr>
          <w:szCs w:val="24"/>
        </w:rPr>
        <w:t>ny</w:t>
      </w:r>
      <w:r w:rsidRPr="0006219A">
        <w:rPr>
          <w:szCs w:val="24"/>
        </w:rPr>
        <w:t xml:space="preserve"> finding of </w:t>
      </w:r>
      <w:r w:rsidR="00E85AA0" w:rsidRPr="0006219A">
        <w:rPr>
          <w:szCs w:val="24"/>
        </w:rPr>
        <w:t>good faith mitigation.  (Std.</w:t>
      </w:r>
      <w:r w:rsidR="00173E89" w:rsidRPr="0006219A">
        <w:rPr>
          <w:szCs w:val="24"/>
        </w:rPr>
        <w:t> </w:t>
      </w:r>
      <w:r w:rsidRPr="0006219A">
        <w:rPr>
          <w:szCs w:val="24"/>
        </w:rPr>
        <w:t>1.6(b) [mitigation for “good faith belief that is honestly held and objectively reasonable”].)</w:t>
      </w:r>
    </w:p>
    <w:p w:rsidR="006E60E3" w:rsidRPr="0006219A" w:rsidRDefault="00E63FC3" w:rsidP="00EE2EB5">
      <w:pPr>
        <w:spacing w:line="480" w:lineRule="auto"/>
        <w:ind w:left="1440" w:hanging="720"/>
        <w:rPr>
          <w:b/>
          <w:szCs w:val="24"/>
        </w:rPr>
      </w:pPr>
      <w:r w:rsidRPr="0006219A">
        <w:rPr>
          <w:b/>
          <w:szCs w:val="24"/>
        </w:rPr>
        <w:t>3</w:t>
      </w:r>
      <w:r w:rsidR="00283D4A" w:rsidRPr="0006219A">
        <w:rPr>
          <w:b/>
          <w:szCs w:val="24"/>
        </w:rPr>
        <w:t>.</w:t>
      </w:r>
      <w:r w:rsidR="007C4B0A" w:rsidRPr="0006219A">
        <w:rPr>
          <w:b/>
          <w:szCs w:val="24"/>
        </w:rPr>
        <w:t xml:space="preserve">  </w:t>
      </w:r>
      <w:r w:rsidR="00424DEC">
        <w:rPr>
          <w:b/>
          <w:szCs w:val="24"/>
        </w:rPr>
        <w:t xml:space="preserve">No Mitigation for </w:t>
      </w:r>
      <w:r w:rsidR="00283D4A" w:rsidRPr="0006219A">
        <w:rPr>
          <w:b/>
          <w:szCs w:val="24"/>
        </w:rPr>
        <w:t xml:space="preserve">Extreme </w:t>
      </w:r>
      <w:r w:rsidR="00966FE4" w:rsidRPr="0006219A">
        <w:rPr>
          <w:b/>
          <w:szCs w:val="24"/>
        </w:rPr>
        <w:t xml:space="preserve">Emotional </w:t>
      </w:r>
      <w:r w:rsidR="00424DEC">
        <w:rPr>
          <w:b/>
          <w:szCs w:val="24"/>
        </w:rPr>
        <w:t xml:space="preserve">and Physical </w:t>
      </w:r>
      <w:r w:rsidR="0057040F" w:rsidRPr="0006219A">
        <w:rPr>
          <w:b/>
          <w:szCs w:val="24"/>
        </w:rPr>
        <w:t>Difficulties</w:t>
      </w:r>
    </w:p>
    <w:p w:rsidR="000F5014" w:rsidRPr="0006219A" w:rsidRDefault="00D74BEF" w:rsidP="00EE2EB5">
      <w:pPr>
        <w:spacing w:line="480" w:lineRule="auto"/>
        <w:ind w:firstLine="720"/>
        <w:rPr>
          <w:bCs/>
          <w:szCs w:val="24"/>
        </w:rPr>
      </w:pPr>
      <w:r w:rsidRPr="0006219A">
        <w:rPr>
          <w:szCs w:val="24"/>
        </w:rPr>
        <w:t xml:space="preserve">Mitigation is available for </w:t>
      </w:r>
      <w:r w:rsidR="00AF2108" w:rsidRPr="0006219A">
        <w:rPr>
          <w:szCs w:val="24"/>
        </w:rPr>
        <w:t>“</w:t>
      </w:r>
      <w:r w:rsidRPr="0006219A">
        <w:rPr>
          <w:szCs w:val="24"/>
        </w:rPr>
        <w:t xml:space="preserve">extreme emotional difficulties </w:t>
      </w:r>
      <w:r w:rsidR="00A5713F" w:rsidRPr="0006219A">
        <w:rPr>
          <w:szCs w:val="24"/>
        </w:rPr>
        <w:t xml:space="preserve">or physical </w:t>
      </w:r>
      <w:r w:rsidR="00AF2108" w:rsidRPr="0006219A">
        <w:rPr>
          <w:szCs w:val="24"/>
        </w:rPr>
        <w:t xml:space="preserve">or mental </w:t>
      </w:r>
      <w:r w:rsidR="00A5713F" w:rsidRPr="0006219A">
        <w:rPr>
          <w:szCs w:val="24"/>
        </w:rPr>
        <w:t>disabilities</w:t>
      </w:r>
      <w:r w:rsidR="00AF2108" w:rsidRPr="0006219A">
        <w:rPr>
          <w:szCs w:val="24"/>
        </w:rPr>
        <w:t>”</w:t>
      </w:r>
      <w:r w:rsidR="00A5713F" w:rsidRPr="0006219A">
        <w:rPr>
          <w:szCs w:val="24"/>
        </w:rPr>
        <w:t xml:space="preserve"> </w:t>
      </w:r>
      <w:r w:rsidR="00B51AE1" w:rsidRPr="0006219A">
        <w:rPr>
          <w:szCs w:val="24"/>
        </w:rPr>
        <w:t>if</w:t>
      </w:r>
      <w:r w:rsidRPr="0006219A">
        <w:rPr>
          <w:szCs w:val="24"/>
        </w:rPr>
        <w:t xml:space="preserve"> (1) </w:t>
      </w:r>
      <w:r w:rsidR="00A5713F" w:rsidRPr="0006219A">
        <w:rPr>
          <w:szCs w:val="24"/>
        </w:rPr>
        <w:t>the</w:t>
      </w:r>
      <w:r w:rsidRPr="0006219A">
        <w:rPr>
          <w:szCs w:val="24"/>
        </w:rPr>
        <w:t xml:space="preserve"> attorney suffered from them at the time of </w:t>
      </w:r>
      <w:r w:rsidR="00A5713F" w:rsidRPr="0006219A">
        <w:rPr>
          <w:szCs w:val="24"/>
        </w:rPr>
        <w:t>the</w:t>
      </w:r>
      <w:r w:rsidRPr="0006219A">
        <w:rPr>
          <w:szCs w:val="24"/>
        </w:rPr>
        <w:t xml:space="preserve"> misconduct; (2)</w:t>
      </w:r>
      <w:r w:rsidR="000F5014" w:rsidRPr="0006219A">
        <w:rPr>
          <w:szCs w:val="24"/>
        </w:rPr>
        <w:t xml:space="preserve"> they are </w:t>
      </w:r>
      <w:r w:rsidRPr="0006219A">
        <w:rPr>
          <w:szCs w:val="24"/>
        </w:rPr>
        <w:lastRenderedPageBreak/>
        <w:t>established by expert testimony as being directly responsible for the misconduct; and (3) the</w:t>
      </w:r>
      <w:r w:rsidR="000F5014" w:rsidRPr="0006219A">
        <w:rPr>
          <w:szCs w:val="24"/>
        </w:rPr>
        <w:t xml:space="preserve">y </w:t>
      </w:r>
      <w:r w:rsidRPr="0006219A">
        <w:rPr>
          <w:szCs w:val="24"/>
        </w:rPr>
        <w:t xml:space="preserve">no longer pose a risk </w:t>
      </w:r>
      <w:r w:rsidR="000F5014" w:rsidRPr="0006219A">
        <w:rPr>
          <w:szCs w:val="24"/>
        </w:rPr>
        <w:t>that the attorney will commit f</w:t>
      </w:r>
      <w:r w:rsidRPr="0006219A">
        <w:rPr>
          <w:szCs w:val="24"/>
        </w:rPr>
        <w:t>uture misconduct.  (Std. 1.6(d</w:t>
      </w:r>
      <w:r w:rsidR="000F5014" w:rsidRPr="0006219A">
        <w:rPr>
          <w:bCs/>
          <w:szCs w:val="24"/>
        </w:rPr>
        <w:t>).)</w:t>
      </w:r>
    </w:p>
    <w:p w:rsidR="0028419E" w:rsidRPr="0006219A" w:rsidRDefault="00D74BEF" w:rsidP="00EE2EB5">
      <w:pPr>
        <w:spacing w:line="480" w:lineRule="auto"/>
        <w:ind w:firstLine="720"/>
        <w:rPr>
          <w:bCs/>
          <w:szCs w:val="24"/>
        </w:rPr>
      </w:pPr>
      <w:r w:rsidRPr="0006219A">
        <w:rPr>
          <w:bCs/>
          <w:szCs w:val="24"/>
        </w:rPr>
        <w:t xml:space="preserve">The hearing judge found Sganga’s </w:t>
      </w:r>
      <w:r w:rsidR="00E431DA" w:rsidRPr="0006219A">
        <w:rPr>
          <w:bCs/>
          <w:szCs w:val="24"/>
        </w:rPr>
        <w:t>“</w:t>
      </w:r>
      <w:r w:rsidRPr="0006219A">
        <w:rPr>
          <w:bCs/>
          <w:szCs w:val="24"/>
        </w:rPr>
        <w:t>extreme mental and physical disabilities to be a compelling mitigating factor</w:t>
      </w:r>
      <w:r w:rsidR="00CC6EC4" w:rsidRPr="0006219A">
        <w:rPr>
          <w:bCs/>
          <w:szCs w:val="24"/>
        </w:rPr>
        <w:t xml:space="preserve">” </w:t>
      </w:r>
      <w:r w:rsidR="003B1826" w:rsidRPr="0006219A">
        <w:rPr>
          <w:bCs/>
          <w:szCs w:val="24"/>
        </w:rPr>
        <w:t xml:space="preserve">for a number of reasons.  </w:t>
      </w:r>
      <w:r w:rsidR="00AD54F1" w:rsidRPr="0006219A">
        <w:rPr>
          <w:bCs/>
          <w:szCs w:val="24"/>
        </w:rPr>
        <w:t xml:space="preserve">Sganga </w:t>
      </w:r>
      <w:r w:rsidR="003B1826" w:rsidRPr="0006219A">
        <w:rPr>
          <w:bCs/>
          <w:szCs w:val="24"/>
        </w:rPr>
        <w:t>had two near-death experiences (the fall and the embolism) resulting in</w:t>
      </w:r>
      <w:r w:rsidR="00267A3D" w:rsidRPr="0006219A">
        <w:rPr>
          <w:bCs/>
          <w:szCs w:val="24"/>
        </w:rPr>
        <w:t xml:space="preserve"> serious injuries and a grave medical condition in January and February 2</w:t>
      </w:r>
      <w:r w:rsidR="007B1A0E" w:rsidRPr="0006219A">
        <w:rPr>
          <w:bCs/>
          <w:szCs w:val="24"/>
        </w:rPr>
        <w:t>014</w:t>
      </w:r>
      <w:r w:rsidR="00CC4E70" w:rsidRPr="0006219A">
        <w:rPr>
          <w:bCs/>
          <w:szCs w:val="24"/>
        </w:rPr>
        <w:t xml:space="preserve"> for which he</w:t>
      </w:r>
      <w:r w:rsidR="00A65136" w:rsidRPr="0006219A">
        <w:rPr>
          <w:bCs/>
          <w:szCs w:val="24"/>
        </w:rPr>
        <w:t xml:space="preserve"> was prescribed several medications, including Vicodin and Warfarin.  Also around January 2014, </w:t>
      </w:r>
      <w:r w:rsidR="00892EC9" w:rsidRPr="0006219A">
        <w:rPr>
          <w:bCs/>
          <w:szCs w:val="24"/>
        </w:rPr>
        <w:t>his</w:t>
      </w:r>
      <w:r w:rsidR="00803B4F" w:rsidRPr="0006219A">
        <w:rPr>
          <w:bCs/>
          <w:szCs w:val="24"/>
        </w:rPr>
        <w:t xml:space="preserve"> </w:t>
      </w:r>
      <w:r w:rsidR="00267A3D" w:rsidRPr="0006219A">
        <w:rPr>
          <w:bCs/>
          <w:szCs w:val="24"/>
        </w:rPr>
        <w:t xml:space="preserve">son </w:t>
      </w:r>
      <w:r w:rsidR="0079666D" w:rsidRPr="0006219A">
        <w:rPr>
          <w:bCs/>
          <w:szCs w:val="24"/>
        </w:rPr>
        <w:t xml:space="preserve">suffered </w:t>
      </w:r>
      <w:r w:rsidR="00267A3D" w:rsidRPr="0006219A">
        <w:rPr>
          <w:bCs/>
          <w:szCs w:val="24"/>
        </w:rPr>
        <w:t>a mental breakdown</w:t>
      </w:r>
      <w:r w:rsidR="00CE6B53" w:rsidRPr="0006219A">
        <w:rPr>
          <w:bCs/>
          <w:szCs w:val="24"/>
        </w:rPr>
        <w:t xml:space="preserve"> and moved into </w:t>
      </w:r>
      <w:r w:rsidR="00803B4F" w:rsidRPr="0006219A">
        <w:rPr>
          <w:bCs/>
          <w:szCs w:val="24"/>
        </w:rPr>
        <w:t>his</w:t>
      </w:r>
      <w:r w:rsidR="00CE6B53" w:rsidRPr="0006219A">
        <w:rPr>
          <w:bCs/>
          <w:szCs w:val="24"/>
        </w:rPr>
        <w:t xml:space="preserve"> home</w:t>
      </w:r>
      <w:r w:rsidR="00267A3D" w:rsidRPr="0006219A">
        <w:rPr>
          <w:bCs/>
          <w:szCs w:val="24"/>
        </w:rPr>
        <w:t>.</w:t>
      </w:r>
      <w:r w:rsidR="003D5785" w:rsidRPr="0006219A">
        <w:rPr>
          <w:bCs/>
          <w:szCs w:val="24"/>
        </w:rPr>
        <w:t xml:space="preserve">  </w:t>
      </w:r>
      <w:r w:rsidR="00A65136" w:rsidRPr="0006219A">
        <w:rPr>
          <w:bCs/>
          <w:szCs w:val="24"/>
        </w:rPr>
        <w:t xml:space="preserve">In addition, while </w:t>
      </w:r>
      <w:r w:rsidR="00892EC9" w:rsidRPr="0006219A">
        <w:rPr>
          <w:bCs/>
          <w:szCs w:val="24"/>
        </w:rPr>
        <w:t>Sganga</w:t>
      </w:r>
      <w:r w:rsidR="00A65136" w:rsidRPr="0006219A">
        <w:rPr>
          <w:bCs/>
          <w:szCs w:val="24"/>
        </w:rPr>
        <w:t xml:space="preserve"> was hospitalized, </w:t>
      </w:r>
      <w:r w:rsidR="00892EC9" w:rsidRPr="0006219A">
        <w:rPr>
          <w:bCs/>
          <w:szCs w:val="24"/>
        </w:rPr>
        <w:t>his clients</w:t>
      </w:r>
      <w:r w:rsidR="00A65136" w:rsidRPr="0006219A">
        <w:rPr>
          <w:bCs/>
          <w:szCs w:val="24"/>
        </w:rPr>
        <w:t xml:space="preserve"> demanded </w:t>
      </w:r>
      <w:r w:rsidR="00892EC9" w:rsidRPr="0006219A">
        <w:rPr>
          <w:bCs/>
          <w:szCs w:val="24"/>
        </w:rPr>
        <w:t xml:space="preserve">that </w:t>
      </w:r>
      <w:r w:rsidR="00A65136" w:rsidRPr="0006219A">
        <w:rPr>
          <w:bCs/>
          <w:szCs w:val="24"/>
        </w:rPr>
        <w:t xml:space="preserve">he lower his fee.  </w:t>
      </w:r>
      <w:r w:rsidR="003D5785" w:rsidRPr="0006219A">
        <w:rPr>
          <w:bCs/>
          <w:szCs w:val="24"/>
        </w:rPr>
        <w:t xml:space="preserve">The judge </w:t>
      </w:r>
      <w:r w:rsidR="00AF1B10" w:rsidRPr="0006219A">
        <w:rPr>
          <w:bCs/>
          <w:szCs w:val="24"/>
        </w:rPr>
        <w:t>found</w:t>
      </w:r>
      <w:r w:rsidR="003D5785" w:rsidRPr="0006219A">
        <w:rPr>
          <w:bCs/>
          <w:szCs w:val="24"/>
        </w:rPr>
        <w:t xml:space="preserve"> </w:t>
      </w:r>
      <w:r w:rsidR="00803B4F" w:rsidRPr="0006219A">
        <w:rPr>
          <w:bCs/>
          <w:szCs w:val="24"/>
        </w:rPr>
        <w:t xml:space="preserve">that </w:t>
      </w:r>
      <w:r w:rsidR="0023044F" w:rsidRPr="0006219A">
        <w:rPr>
          <w:bCs/>
          <w:szCs w:val="24"/>
        </w:rPr>
        <w:t xml:space="preserve">Sganga </w:t>
      </w:r>
      <w:r w:rsidR="00CE5B1C" w:rsidRPr="0006219A">
        <w:rPr>
          <w:bCs/>
          <w:szCs w:val="24"/>
        </w:rPr>
        <w:t>“</w:t>
      </w:r>
      <w:r w:rsidR="0023044F" w:rsidRPr="0006219A">
        <w:rPr>
          <w:bCs/>
          <w:szCs w:val="24"/>
        </w:rPr>
        <w:t>wa</w:t>
      </w:r>
      <w:r w:rsidR="00267A3D" w:rsidRPr="0006219A">
        <w:rPr>
          <w:bCs/>
          <w:szCs w:val="24"/>
        </w:rPr>
        <w:t xml:space="preserve">s </w:t>
      </w:r>
      <w:r w:rsidR="00CE5B1C" w:rsidRPr="0006219A">
        <w:rPr>
          <w:bCs/>
          <w:szCs w:val="24"/>
        </w:rPr>
        <w:t>experiencing anxiety, betrayal,</w:t>
      </w:r>
      <w:r w:rsidR="00D973C7" w:rsidRPr="0006219A">
        <w:rPr>
          <w:bCs/>
          <w:szCs w:val="24"/>
        </w:rPr>
        <w:t xml:space="preserve"> </w:t>
      </w:r>
      <w:r w:rsidR="00267A3D" w:rsidRPr="0006219A">
        <w:rPr>
          <w:bCs/>
          <w:szCs w:val="24"/>
        </w:rPr>
        <w:t>anger</w:t>
      </w:r>
      <w:r w:rsidR="00CE5B1C" w:rsidRPr="0006219A">
        <w:rPr>
          <w:bCs/>
          <w:szCs w:val="24"/>
        </w:rPr>
        <w:t>, agitation, and rage</w:t>
      </w:r>
      <w:r w:rsidR="00267A3D" w:rsidRPr="0006219A">
        <w:rPr>
          <w:bCs/>
          <w:szCs w:val="24"/>
        </w:rPr>
        <w:t>.</w:t>
      </w:r>
      <w:r w:rsidR="00CE5B1C" w:rsidRPr="0006219A">
        <w:rPr>
          <w:bCs/>
          <w:szCs w:val="24"/>
        </w:rPr>
        <w:t>”</w:t>
      </w:r>
    </w:p>
    <w:p w:rsidR="00763657" w:rsidRPr="0006219A" w:rsidRDefault="00BF115A" w:rsidP="00763657">
      <w:pPr>
        <w:spacing w:line="480" w:lineRule="auto"/>
        <w:ind w:firstLine="720"/>
        <w:rPr>
          <w:bCs/>
          <w:szCs w:val="24"/>
        </w:rPr>
      </w:pPr>
      <w:r w:rsidRPr="0006219A">
        <w:rPr>
          <w:bCs/>
          <w:szCs w:val="24"/>
        </w:rPr>
        <w:t>We acknowledge Sganga’s serious injuries and health issues, as well as the stresses in his family life</w:t>
      </w:r>
      <w:r w:rsidR="00763657" w:rsidRPr="0006219A">
        <w:rPr>
          <w:bCs/>
          <w:szCs w:val="24"/>
        </w:rPr>
        <w:t xml:space="preserve">.  We also note </w:t>
      </w:r>
      <w:r w:rsidR="00D973C7" w:rsidRPr="0006219A">
        <w:rPr>
          <w:bCs/>
          <w:szCs w:val="24"/>
        </w:rPr>
        <w:t xml:space="preserve">that </w:t>
      </w:r>
      <w:r w:rsidR="00763657" w:rsidRPr="0006219A">
        <w:rPr>
          <w:bCs/>
          <w:szCs w:val="24"/>
        </w:rPr>
        <w:t xml:space="preserve">Amarnath and </w:t>
      </w:r>
      <w:r w:rsidR="00763657" w:rsidRPr="0006219A">
        <w:rPr>
          <w:rFonts w:eastAsia="Times New Roman"/>
          <w:szCs w:val="24"/>
        </w:rPr>
        <w:t xml:space="preserve">Velagapudi testified that Sganga did </w:t>
      </w:r>
      <w:r w:rsidR="00B51AE1" w:rsidRPr="0006219A">
        <w:rPr>
          <w:rFonts w:eastAsia="Times New Roman"/>
          <w:szCs w:val="24"/>
        </w:rPr>
        <w:t xml:space="preserve">a </w:t>
      </w:r>
      <w:r w:rsidR="00763657" w:rsidRPr="0006219A">
        <w:rPr>
          <w:rFonts w:eastAsia="Times New Roman"/>
          <w:szCs w:val="24"/>
        </w:rPr>
        <w:t xml:space="preserve">good job on their case and they were pleased with the outcome, and that Sganga testified he “felt heartbroken and betrayed” by their fee reduction request.  However, </w:t>
      </w:r>
      <w:r w:rsidR="00804244" w:rsidRPr="0006219A">
        <w:rPr>
          <w:bCs/>
          <w:szCs w:val="24"/>
        </w:rPr>
        <w:t xml:space="preserve">we disagree that </w:t>
      </w:r>
      <w:r w:rsidR="00D973C7" w:rsidRPr="0006219A">
        <w:rPr>
          <w:bCs/>
          <w:szCs w:val="24"/>
        </w:rPr>
        <w:t>his</w:t>
      </w:r>
      <w:r w:rsidR="006A169C" w:rsidRPr="0006219A">
        <w:rPr>
          <w:bCs/>
          <w:szCs w:val="24"/>
        </w:rPr>
        <w:t xml:space="preserve"> “extreme mental and physical disabilities </w:t>
      </w:r>
      <w:r w:rsidR="00804244" w:rsidRPr="0006219A">
        <w:rPr>
          <w:bCs/>
          <w:szCs w:val="24"/>
        </w:rPr>
        <w:t>[are]</w:t>
      </w:r>
      <w:r w:rsidR="006A169C" w:rsidRPr="0006219A">
        <w:rPr>
          <w:bCs/>
          <w:szCs w:val="24"/>
        </w:rPr>
        <w:t xml:space="preserve"> a compelling mitigating factor.</w:t>
      </w:r>
      <w:r w:rsidR="00763657" w:rsidRPr="0006219A">
        <w:rPr>
          <w:bCs/>
          <w:szCs w:val="24"/>
        </w:rPr>
        <w:t>”</w:t>
      </w:r>
    </w:p>
    <w:p w:rsidR="005D7723" w:rsidRPr="0006219A" w:rsidRDefault="00CD005A" w:rsidP="00763657">
      <w:pPr>
        <w:spacing w:line="480" w:lineRule="auto"/>
        <w:ind w:firstLine="720"/>
        <w:rPr>
          <w:bCs/>
          <w:szCs w:val="24"/>
        </w:rPr>
      </w:pPr>
      <w:r w:rsidRPr="0006219A">
        <w:rPr>
          <w:bCs/>
          <w:szCs w:val="24"/>
        </w:rPr>
        <w:t xml:space="preserve">First, </w:t>
      </w:r>
      <w:r w:rsidR="00763657" w:rsidRPr="0006219A">
        <w:rPr>
          <w:bCs/>
          <w:szCs w:val="24"/>
        </w:rPr>
        <w:t xml:space="preserve">Sganga </w:t>
      </w:r>
      <w:r w:rsidR="00D74BEF" w:rsidRPr="0006219A">
        <w:rPr>
          <w:bCs/>
          <w:szCs w:val="24"/>
        </w:rPr>
        <w:t xml:space="preserve">did not prove </w:t>
      </w:r>
      <w:r w:rsidR="00D973C7" w:rsidRPr="0006219A">
        <w:rPr>
          <w:bCs/>
          <w:szCs w:val="24"/>
        </w:rPr>
        <w:t xml:space="preserve">that </w:t>
      </w:r>
      <w:r w:rsidR="00D74BEF" w:rsidRPr="0006219A">
        <w:rPr>
          <w:bCs/>
          <w:szCs w:val="24"/>
        </w:rPr>
        <w:t xml:space="preserve">his emotional or </w:t>
      </w:r>
      <w:r w:rsidR="003D5785" w:rsidRPr="0006219A">
        <w:rPr>
          <w:bCs/>
          <w:szCs w:val="24"/>
        </w:rPr>
        <w:t xml:space="preserve">physical </w:t>
      </w:r>
      <w:r w:rsidR="00D74BEF" w:rsidRPr="0006219A">
        <w:rPr>
          <w:bCs/>
          <w:szCs w:val="24"/>
        </w:rPr>
        <w:t xml:space="preserve">problems </w:t>
      </w:r>
      <w:r w:rsidR="00AF1B10" w:rsidRPr="0006219A">
        <w:rPr>
          <w:bCs/>
          <w:szCs w:val="24"/>
        </w:rPr>
        <w:t xml:space="preserve">were directly responsible </w:t>
      </w:r>
      <w:r w:rsidR="00FA5721" w:rsidRPr="0006219A">
        <w:rPr>
          <w:bCs/>
          <w:szCs w:val="24"/>
        </w:rPr>
        <w:t>for him intentionally misappropriating</w:t>
      </w:r>
      <w:r w:rsidR="00D74BEF" w:rsidRPr="0006219A">
        <w:rPr>
          <w:bCs/>
          <w:szCs w:val="24"/>
        </w:rPr>
        <w:t xml:space="preserve"> </w:t>
      </w:r>
      <w:r w:rsidR="00D973C7" w:rsidRPr="0006219A">
        <w:rPr>
          <w:bCs/>
          <w:szCs w:val="24"/>
        </w:rPr>
        <w:t>his clients’</w:t>
      </w:r>
      <w:r w:rsidR="00D74BEF" w:rsidRPr="0006219A">
        <w:rPr>
          <w:bCs/>
          <w:szCs w:val="24"/>
        </w:rPr>
        <w:t xml:space="preserve"> money</w:t>
      </w:r>
      <w:r w:rsidR="007571FF" w:rsidRPr="0006219A">
        <w:rPr>
          <w:bCs/>
          <w:szCs w:val="24"/>
        </w:rPr>
        <w:t xml:space="preserve"> or</w:t>
      </w:r>
      <w:r w:rsidR="00FA5721" w:rsidRPr="0006219A">
        <w:rPr>
          <w:bCs/>
          <w:szCs w:val="24"/>
        </w:rPr>
        <w:t xml:space="preserve"> violating</w:t>
      </w:r>
      <w:r w:rsidR="00E431DA" w:rsidRPr="0006219A">
        <w:rPr>
          <w:bCs/>
          <w:szCs w:val="24"/>
        </w:rPr>
        <w:t xml:space="preserve"> a court order</w:t>
      </w:r>
      <w:r w:rsidR="00D74BEF" w:rsidRPr="0006219A">
        <w:rPr>
          <w:bCs/>
          <w:szCs w:val="24"/>
        </w:rPr>
        <w:t xml:space="preserve">. </w:t>
      </w:r>
      <w:r w:rsidR="00C427B8" w:rsidRPr="0006219A">
        <w:rPr>
          <w:bCs/>
          <w:szCs w:val="24"/>
        </w:rPr>
        <w:t xml:space="preserve"> W</w:t>
      </w:r>
      <w:r w:rsidR="00D74BEF" w:rsidRPr="0006219A">
        <w:rPr>
          <w:bCs/>
          <w:szCs w:val="24"/>
        </w:rPr>
        <w:t xml:space="preserve">hile </w:t>
      </w:r>
      <w:r w:rsidR="007571FF" w:rsidRPr="0006219A">
        <w:rPr>
          <w:bCs/>
          <w:szCs w:val="24"/>
        </w:rPr>
        <w:t>he</w:t>
      </w:r>
      <w:r w:rsidR="00D74BEF" w:rsidRPr="0006219A">
        <w:rPr>
          <w:bCs/>
          <w:szCs w:val="24"/>
        </w:rPr>
        <w:t xml:space="preserve"> </w:t>
      </w:r>
      <w:r w:rsidR="00C427B8" w:rsidRPr="0006219A">
        <w:rPr>
          <w:bCs/>
          <w:szCs w:val="24"/>
        </w:rPr>
        <w:t xml:space="preserve">need not necessarily </w:t>
      </w:r>
      <w:r w:rsidR="00D74BEF" w:rsidRPr="0006219A">
        <w:rPr>
          <w:bCs/>
          <w:szCs w:val="24"/>
        </w:rPr>
        <w:t>prove this nexus through expert testimony (</w:t>
      </w:r>
      <w:r w:rsidR="00C427B8" w:rsidRPr="0006219A">
        <w:rPr>
          <w:bCs/>
          <w:szCs w:val="24"/>
        </w:rPr>
        <w:t xml:space="preserve">see </w:t>
      </w:r>
      <w:r w:rsidR="00D74BEF" w:rsidRPr="0006219A">
        <w:rPr>
          <w:i/>
          <w:iCs/>
          <w:szCs w:val="24"/>
        </w:rPr>
        <w:t>In re Brown</w:t>
      </w:r>
      <w:r w:rsidR="00D74BEF" w:rsidRPr="0006219A">
        <w:rPr>
          <w:szCs w:val="24"/>
        </w:rPr>
        <w:t xml:space="preserve"> (1995) 12 Cal.4th 205, 222 [some mitigation afforded to evidence of attorney’s illness despite lack of expert testimony]</w:t>
      </w:r>
      <w:r w:rsidR="00D74BEF" w:rsidRPr="0006219A">
        <w:rPr>
          <w:bCs/>
          <w:szCs w:val="24"/>
        </w:rPr>
        <w:t>), he failed to provide clear and convincing evidence establish</w:t>
      </w:r>
      <w:r w:rsidR="007571FF" w:rsidRPr="0006219A">
        <w:rPr>
          <w:bCs/>
          <w:szCs w:val="24"/>
        </w:rPr>
        <w:t>ing</w:t>
      </w:r>
      <w:r w:rsidR="00D74BEF" w:rsidRPr="0006219A">
        <w:rPr>
          <w:bCs/>
          <w:szCs w:val="24"/>
        </w:rPr>
        <w:t xml:space="preserve"> </w:t>
      </w:r>
      <w:r w:rsidR="004A7A77" w:rsidRPr="0006219A">
        <w:rPr>
          <w:bCs/>
          <w:szCs w:val="24"/>
        </w:rPr>
        <w:t xml:space="preserve">that </w:t>
      </w:r>
      <w:r w:rsidR="00D74BEF" w:rsidRPr="0006219A">
        <w:rPr>
          <w:bCs/>
          <w:szCs w:val="24"/>
        </w:rPr>
        <w:t>his pr</w:t>
      </w:r>
      <w:r w:rsidR="00C427B8" w:rsidRPr="0006219A">
        <w:rPr>
          <w:bCs/>
          <w:szCs w:val="24"/>
        </w:rPr>
        <w:t>oblems caused his misconduct.</w:t>
      </w:r>
    </w:p>
    <w:p w:rsidR="003A7E55" w:rsidRPr="0006219A" w:rsidRDefault="00CD005A" w:rsidP="00211B9A">
      <w:pPr>
        <w:spacing w:line="480" w:lineRule="auto"/>
        <w:ind w:firstLine="720"/>
        <w:rPr>
          <w:bCs/>
          <w:szCs w:val="24"/>
        </w:rPr>
      </w:pPr>
      <w:r w:rsidRPr="0006219A">
        <w:rPr>
          <w:bCs/>
          <w:szCs w:val="24"/>
        </w:rPr>
        <w:t xml:space="preserve">Second, </w:t>
      </w:r>
      <w:r w:rsidR="00304A4A" w:rsidRPr="0006219A">
        <w:rPr>
          <w:bCs/>
          <w:szCs w:val="24"/>
        </w:rPr>
        <w:t xml:space="preserve">Sganga </w:t>
      </w:r>
      <w:r w:rsidR="00F92D81" w:rsidRPr="0006219A">
        <w:rPr>
          <w:bCs/>
          <w:szCs w:val="24"/>
        </w:rPr>
        <w:t xml:space="preserve">also </w:t>
      </w:r>
      <w:r w:rsidR="00304A4A" w:rsidRPr="0006219A">
        <w:rPr>
          <w:bCs/>
          <w:szCs w:val="24"/>
        </w:rPr>
        <w:t xml:space="preserve">did not prove he </w:t>
      </w:r>
      <w:r w:rsidR="00304A4A" w:rsidRPr="0006219A">
        <w:rPr>
          <w:szCs w:val="24"/>
        </w:rPr>
        <w:t xml:space="preserve">suffered from his </w:t>
      </w:r>
      <w:r w:rsidR="00AF455D" w:rsidRPr="0006219A">
        <w:rPr>
          <w:szCs w:val="24"/>
        </w:rPr>
        <w:t>problems</w:t>
      </w:r>
      <w:r w:rsidR="00304A4A" w:rsidRPr="0006219A">
        <w:rPr>
          <w:szCs w:val="24"/>
        </w:rPr>
        <w:t xml:space="preserve"> at the time of </w:t>
      </w:r>
      <w:r w:rsidR="00304A4A" w:rsidRPr="0006219A">
        <w:rPr>
          <w:i/>
          <w:szCs w:val="24"/>
        </w:rPr>
        <w:t>all</w:t>
      </w:r>
      <w:r w:rsidR="00304A4A" w:rsidRPr="0006219A">
        <w:rPr>
          <w:szCs w:val="24"/>
        </w:rPr>
        <w:t xml:space="preserve"> </w:t>
      </w:r>
      <w:r w:rsidR="00B46457" w:rsidRPr="0006219A">
        <w:rPr>
          <w:szCs w:val="24"/>
        </w:rPr>
        <w:t xml:space="preserve">of </w:t>
      </w:r>
      <w:r w:rsidR="00304A4A" w:rsidRPr="0006219A">
        <w:rPr>
          <w:szCs w:val="24"/>
        </w:rPr>
        <w:t>his misconduct</w:t>
      </w:r>
      <w:r w:rsidR="0008523A" w:rsidRPr="0006219A">
        <w:rPr>
          <w:szCs w:val="24"/>
        </w:rPr>
        <w:t xml:space="preserve">.  </w:t>
      </w:r>
      <w:r w:rsidR="00603B67" w:rsidRPr="0006219A">
        <w:rPr>
          <w:szCs w:val="24"/>
        </w:rPr>
        <w:t xml:space="preserve">While </w:t>
      </w:r>
      <w:r w:rsidR="00B46457" w:rsidRPr="0006219A">
        <w:rPr>
          <w:szCs w:val="24"/>
        </w:rPr>
        <w:t xml:space="preserve">his difficulties overlapped in time with </w:t>
      </w:r>
      <w:r w:rsidRPr="0006219A">
        <w:rPr>
          <w:i/>
          <w:szCs w:val="24"/>
        </w:rPr>
        <w:t>some</w:t>
      </w:r>
      <w:r w:rsidRPr="0006219A">
        <w:rPr>
          <w:szCs w:val="24"/>
        </w:rPr>
        <w:t xml:space="preserve"> of </w:t>
      </w:r>
      <w:r w:rsidR="00B46457" w:rsidRPr="0006219A">
        <w:rPr>
          <w:szCs w:val="24"/>
        </w:rPr>
        <w:t>his</w:t>
      </w:r>
      <w:r w:rsidRPr="0006219A">
        <w:rPr>
          <w:szCs w:val="24"/>
        </w:rPr>
        <w:t xml:space="preserve"> misconduct</w:t>
      </w:r>
      <w:r w:rsidR="00603B67" w:rsidRPr="0006219A">
        <w:rPr>
          <w:szCs w:val="24"/>
        </w:rPr>
        <w:t xml:space="preserve">, </w:t>
      </w:r>
      <w:r w:rsidR="00875B4D" w:rsidRPr="0006219A">
        <w:rPr>
          <w:bCs/>
          <w:szCs w:val="24"/>
        </w:rPr>
        <w:t>Sganga</w:t>
      </w:r>
      <w:r w:rsidR="00C403B8" w:rsidRPr="0006219A">
        <w:rPr>
          <w:bCs/>
          <w:szCs w:val="24"/>
        </w:rPr>
        <w:t xml:space="preserve"> </w:t>
      </w:r>
      <w:r w:rsidR="00092F0C" w:rsidRPr="0006219A">
        <w:rPr>
          <w:bCs/>
          <w:szCs w:val="24"/>
        </w:rPr>
        <w:t xml:space="preserve">confirmed </w:t>
      </w:r>
      <w:r w:rsidR="00603B67" w:rsidRPr="0006219A">
        <w:rPr>
          <w:bCs/>
          <w:szCs w:val="24"/>
        </w:rPr>
        <w:t xml:space="preserve">that </w:t>
      </w:r>
      <w:r w:rsidR="002507FF" w:rsidRPr="0006219A">
        <w:rPr>
          <w:bCs/>
          <w:szCs w:val="24"/>
        </w:rPr>
        <w:t xml:space="preserve">he stopped using </w:t>
      </w:r>
      <w:r w:rsidR="00AC5FA6" w:rsidRPr="0006219A">
        <w:rPr>
          <w:bCs/>
          <w:szCs w:val="24"/>
        </w:rPr>
        <w:t xml:space="preserve">prescription drugs—which he </w:t>
      </w:r>
      <w:r w:rsidR="00F92D81" w:rsidRPr="0006219A">
        <w:rPr>
          <w:bCs/>
          <w:szCs w:val="24"/>
        </w:rPr>
        <w:t xml:space="preserve">also </w:t>
      </w:r>
      <w:r w:rsidR="00AC5FA6" w:rsidRPr="0006219A">
        <w:rPr>
          <w:bCs/>
          <w:szCs w:val="24"/>
        </w:rPr>
        <w:t xml:space="preserve">confirmed did not alter his ability to distinguish right from wrong—by </w:t>
      </w:r>
      <w:r w:rsidR="00B46457" w:rsidRPr="0006219A">
        <w:rPr>
          <w:bCs/>
          <w:szCs w:val="24"/>
        </w:rPr>
        <w:t>around</w:t>
      </w:r>
      <w:r w:rsidR="00AC5FA6" w:rsidRPr="0006219A">
        <w:rPr>
          <w:bCs/>
          <w:szCs w:val="24"/>
        </w:rPr>
        <w:t xml:space="preserve"> </w:t>
      </w:r>
      <w:r w:rsidR="00F92D81" w:rsidRPr="0006219A">
        <w:rPr>
          <w:bCs/>
          <w:szCs w:val="24"/>
        </w:rPr>
        <w:t xml:space="preserve">July 2014, which was about </w:t>
      </w:r>
      <w:r w:rsidR="00AC5FA6" w:rsidRPr="0006219A">
        <w:rPr>
          <w:bCs/>
          <w:szCs w:val="24"/>
        </w:rPr>
        <w:t>six months aft</w:t>
      </w:r>
      <w:r w:rsidR="00100A7F" w:rsidRPr="0006219A">
        <w:rPr>
          <w:bCs/>
          <w:szCs w:val="24"/>
        </w:rPr>
        <w:t xml:space="preserve">er </w:t>
      </w:r>
      <w:r w:rsidR="00100A7F" w:rsidRPr="0006219A">
        <w:rPr>
          <w:bCs/>
          <w:szCs w:val="24"/>
        </w:rPr>
        <w:lastRenderedPageBreak/>
        <w:t xml:space="preserve">he returned </w:t>
      </w:r>
      <w:r w:rsidR="00875B4D" w:rsidRPr="0006219A">
        <w:rPr>
          <w:bCs/>
          <w:szCs w:val="24"/>
        </w:rPr>
        <w:t xml:space="preserve">home </w:t>
      </w:r>
      <w:r w:rsidR="00B46457" w:rsidRPr="0006219A">
        <w:rPr>
          <w:bCs/>
          <w:szCs w:val="24"/>
        </w:rPr>
        <w:t>from</w:t>
      </w:r>
      <w:r w:rsidR="002507FF" w:rsidRPr="0006219A">
        <w:rPr>
          <w:bCs/>
          <w:szCs w:val="24"/>
        </w:rPr>
        <w:t xml:space="preserve"> </w:t>
      </w:r>
      <w:r w:rsidR="00100A7F" w:rsidRPr="0006219A">
        <w:rPr>
          <w:bCs/>
          <w:szCs w:val="24"/>
        </w:rPr>
        <w:t>Germany</w:t>
      </w:r>
      <w:r w:rsidR="004D2ED0" w:rsidRPr="0006219A">
        <w:rPr>
          <w:bCs/>
          <w:szCs w:val="24"/>
        </w:rPr>
        <w:t xml:space="preserve">.  </w:t>
      </w:r>
      <w:r w:rsidR="0008523A" w:rsidRPr="0006219A">
        <w:rPr>
          <w:bCs/>
          <w:szCs w:val="24"/>
        </w:rPr>
        <w:t>Nevertheless</w:t>
      </w:r>
      <w:r w:rsidR="00120A99" w:rsidRPr="0006219A">
        <w:rPr>
          <w:bCs/>
          <w:szCs w:val="24"/>
        </w:rPr>
        <w:t xml:space="preserve">, </w:t>
      </w:r>
      <w:r w:rsidR="00875B4D" w:rsidRPr="0006219A">
        <w:rPr>
          <w:bCs/>
          <w:szCs w:val="24"/>
        </w:rPr>
        <w:t xml:space="preserve">he </w:t>
      </w:r>
      <w:r w:rsidR="00120A99" w:rsidRPr="0006219A">
        <w:rPr>
          <w:bCs/>
          <w:szCs w:val="24"/>
        </w:rPr>
        <w:t>continued to make imprope</w:t>
      </w:r>
      <w:r w:rsidR="004A7A77" w:rsidRPr="0006219A">
        <w:rPr>
          <w:bCs/>
          <w:szCs w:val="24"/>
        </w:rPr>
        <w:t xml:space="preserve">r CTA </w:t>
      </w:r>
      <w:r w:rsidR="00AF455D" w:rsidRPr="0006219A">
        <w:rPr>
          <w:bCs/>
          <w:szCs w:val="24"/>
        </w:rPr>
        <w:t>withdrawals</w:t>
      </w:r>
      <w:r w:rsidR="004A7A77" w:rsidRPr="0006219A">
        <w:rPr>
          <w:bCs/>
          <w:szCs w:val="24"/>
        </w:rPr>
        <w:t xml:space="preserve"> for </w:t>
      </w:r>
      <w:r w:rsidR="00AF455D" w:rsidRPr="0006219A">
        <w:rPr>
          <w:bCs/>
          <w:szCs w:val="24"/>
        </w:rPr>
        <w:t>approximately</w:t>
      </w:r>
      <w:r w:rsidR="004A7A77" w:rsidRPr="0006219A">
        <w:rPr>
          <w:bCs/>
          <w:szCs w:val="24"/>
        </w:rPr>
        <w:t xml:space="preserve"> an</w:t>
      </w:r>
      <w:r w:rsidR="00875B4D" w:rsidRPr="0006219A">
        <w:rPr>
          <w:bCs/>
          <w:szCs w:val="24"/>
        </w:rPr>
        <w:t xml:space="preserve">other six months until </w:t>
      </w:r>
      <w:r w:rsidR="00AF455D" w:rsidRPr="0006219A">
        <w:rPr>
          <w:bCs/>
          <w:szCs w:val="24"/>
        </w:rPr>
        <w:t>February</w:t>
      </w:r>
      <w:r w:rsidR="004A7A77" w:rsidRPr="0006219A">
        <w:rPr>
          <w:bCs/>
          <w:szCs w:val="24"/>
        </w:rPr>
        <w:t xml:space="preserve"> 2015</w:t>
      </w:r>
      <w:r w:rsidR="00875B4D" w:rsidRPr="0006219A">
        <w:rPr>
          <w:bCs/>
          <w:szCs w:val="24"/>
        </w:rPr>
        <w:t>, and violated a court order approximately one year later in July 2015</w:t>
      </w:r>
      <w:r w:rsidR="004A7A77" w:rsidRPr="0006219A">
        <w:rPr>
          <w:bCs/>
          <w:szCs w:val="24"/>
        </w:rPr>
        <w:t>.</w:t>
      </w:r>
      <w:r w:rsidR="0075299B" w:rsidRPr="0006219A">
        <w:rPr>
          <w:bCs/>
          <w:szCs w:val="24"/>
        </w:rPr>
        <w:t xml:space="preserve">  </w:t>
      </w:r>
      <w:r w:rsidRPr="0006219A">
        <w:rPr>
          <w:bCs/>
          <w:szCs w:val="24"/>
        </w:rPr>
        <w:t>Finally</w:t>
      </w:r>
      <w:r w:rsidR="00603B67" w:rsidRPr="0006219A">
        <w:rPr>
          <w:bCs/>
          <w:szCs w:val="24"/>
        </w:rPr>
        <w:t>, Sganga</w:t>
      </w:r>
      <w:r w:rsidR="006214E0" w:rsidRPr="0006219A">
        <w:rPr>
          <w:bCs/>
          <w:szCs w:val="24"/>
        </w:rPr>
        <w:t xml:space="preserve"> did not </w:t>
      </w:r>
      <w:r w:rsidR="006214E0" w:rsidRPr="0006219A">
        <w:rPr>
          <w:szCs w:val="24"/>
        </w:rPr>
        <w:t xml:space="preserve">provide clear and convincing evidence that </w:t>
      </w:r>
      <w:r w:rsidR="00B53306" w:rsidRPr="0006219A">
        <w:rPr>
          <w:szCs w:val="24"/>
        </w:rPr>
        <w:t xml:space="preserve">his emotional </w:t>
      </w:r>
      <w:r w:rsidR="00B53306" w:rsidRPr="0006219A">
        <w:rPr>
          <w:bCs/>
          <w:szCs w:val="24"/>
        </w:rPr>
        <w:t xml:space="preserve">and physical </w:t>
      </w:r>
      <w:r w:rsidR="00211B9A" w:rsidRPr="0006219A">
        <w:rPr>
          <w:bCs/>
          <w:szCs w:val="24"/>
        </w:rPr>
        <w:t xml:space="preserve">difficulties </w:t>
      </w:r>
      <w:r w:rsidR="006214E0" w:rsidRPr="0006219A">
        <w:rPr>
          <w:szCs w:val="24"/>
        </w:rPr>
        <w:t>no longer pose a risk of future misconduct.</w:t>
      </w:r>
      <w:r w:rsidR="00211B9A" w:rsidRPr="0006219A">
        <w:rPr>
          <w:szCs w:val="24"/>
        </w:rPr>
        <w:t xml:space="preserve">  As such, </w:t>
      </w:r>
      <w:r w:rsidR="0008523A" w:rsidRPr="0006219A">
        <w:rPr>
          <w:bCs/>
          <w:szCs w:val="24"/>
        </w:rPr>
        <w:t xml:space="preserve">we </w:t>
      </w:r>
      <w:r w:rsidR="006B622D" w:rsidRPr="0006219A">
        <w:rPr>
          <w:bCs/>
          <w:szCs w:val="24"/>
        </w:rPr>
        <w:t xml:space="preserve">find no </w:t>
      </w:r>
      <w:r w:rsidR="00211B9A" w:rsidRPr="0006219A">
        <w:rPr>
          <w:bCs/>
          <w:szCs w:val="24"/>
        </w:rPr>
        <w:t>mitigation</w:t>
      </w:r>
      <w:r w:rsidR="0005404B" w:rsidRPr="0006219A">
        <w:rPr>
          <w:bCs/>
          <w:szCs w:val="24"/>
        </w:rPr>
        <w:t>.</w:t>
      </w:r>
      <w:r w:rsidR="0075299B" w:rsidRPr="0006219A">
        <w:rPr>
          <w:szCs w:val="24"/>
        </w:rPr>
        <w:t xml:space="preserve">  (</w:t>
      </w:r>
      <w:r w:rsidR="0075299B" w:rsidRPr="0006219A">
        <w:rPr>
          <w:i/>
          <w:iCs/>
          <w:szCs w:val="24"/>
        </w:rPr>
        <w:t>In the Matter of Elkins</w:t>
      </w:r>
      <w:r w:rsidR="0075299B" w:rsidRPr="0006219A">
        <w:rPr>
          <w:szCs w:val="24"/>
        </w:rPr>
        <w:t xml:space="preserve"> (Review Dept. 2009) 5 Cal. State Bar Ct. Rptr. 160, 168 [no mitigative credit where attorney failed to establish causal nexus between emotional difficulties and misconduct].)</w:t>
      </w:r>
    </w:p>
    <w:p w:rsidR="003172F0" w:rsidRPr="0006219A" w:rsidRDefault="00E63FC3" w:rsidP="00EE2EB5">
      <w:pPr>
        <w:spacing w:line="480" w:lineRule="auto"/>
        <w:ind w:firstLine="720"/>
        <w:rPr>
          <w:b/>
          <w:szCs w:val="24"/>
        </w:rPr>
      </w:pPr>
      <w:r w:rsidRPr="0006219A">
        <w:rPr>
          <w:b/>
          <w:szCs w:val="24"/>
        </w:rPr>
        <w:t>4</w:t>
      </w:r>
      <w:r w:rsidR="003172F0" w:rsidRPr="0006219A">
        <w:rPr>
          <w:b/>
          <w:szCs w:val="24"/>
        </w:rPr>
        <w:t>.  Cooperation with State Bar</w:t>
      </w:r>
    </w:p>
    <w:p w:rsidR="003172F0" w:rsidRPr="0006219A" w:rsidRDefault="003172F0" w:rsidP="00EE2EB5">
      <w:pPr>
        <w:tabs>
          <w:tab w:val="left" w:pos="720"/>
        </w:tabs>
        <w:spacing w:line="480" w:lineRule="auto"/>
        <w:rPr>
          <w:szCs w:val="24"/>
        </w:rPr>
      </w:pPr>
      <w:r w:rsidRPr="0006219A">
        <w:rPr>
          <w:b/>
          <w:szCs w:val="24"/>
        </w:rPr>
        <w:tab/>
      </w:r>
      <w:r w:rsidRPr="0006219A">
        <w:rPr>
          <w:szCs w:val="24"/>
        </w:rPr>
        <w:t xml:space="preserve">The hearing judge found that Sganga’s cooperation </w:t>
      </w:r>
      <w:r w:rsidR="00C651FB" w:rsidRPr="0006219A">
        <w:rPr>
          <w:szCs w:val="24"/>
        </w:rPr>
        <w:t xml:space="preserve">with the State Bar </w:t>
      </w:r>
      <w:r w:rsidRPr="0006219A">
        <w:rPr>
          <w:szCs w:val="24"/>
        </w:rPr>
        <w:t>in entering into a stipulation as to facts and culpability is a significant mitigating factor.  We agree and assign significant weight.  (Std. 1.6(e) [spontaneous candor and cooperation to State Bar</w:t>
      </w:r>
      <w:r w:rsidR="009702F8" w:rsidRPr="0006219A">
        <w:rPr>
          <w:szCs w:val="24"/>
        </w:rPr>
        <w:t xml:space="preserve"> is mitigating</w:t>
      </w:r>
      <w:r w:rsidRPr="0006219A">
        <w:rPr>
          <w:szCs w:val="24"/>
        </w:rPr>
        <w:t xml:space="preserve">]; </w:t>
      </w:r>
      <w:r w:rsidRPr="0006219A">
        <w:rPr>
          <w:i/>
          <w:szCs w:val="24"/>
        </w:rPr>
        <w:t>In the Matter of Johnson</w:t>
      </w:r>
      <w:r w:rsidRPr="0006219A">
        <w:rPr>
          <w:szCs w:val="24"/>
        </w:rPr>
        <w:t xml:space="preserve"> (Review Dept. 2000) 4 Cal. State Bar Ct. Rptr. 179, 190 [more </w:t>
      </w:r>
      <w:r w:rsidR="004E4B05" w:rsidRPr="0006219A">
        <w:rPr>
          <w:rFonts w:eastAsia="Times New Roman"/>
          <w:szCs w:val="24"/>
        </w:rPr>
        <w:t>extensive weight in mitigation given to those who admit culpability and facts</w:t>
      </w:r>
      <w:r w:rsidRPr="0006219A">
        <w:rPr>
          <w:szCs w:val="24"/>
        </w:rPr>
        <w:t>].)</w:t>
      </w:r>
    </w:p>
    <w:p w:rsidR="00B249AC" w:rsidRPr="0006219A" w:rsidRDefault="008271B5" w:rsidP="00EE2EB5">
      <w:pPr>
        <w:spacing w:line="480" w:lineRule="auto"/>
        <w:ind w:left="1440" w:hanging="720"/>
        <w:rPr>
          <w:b/>
          <w:szCs w:val="24"/>
        </w:rPr>
      </w:pPr>
      <w:r w:rsidRPr="0006219A">
        <w:rPr>
          <w:b/>
          <w:szCs w:val="24"/>
        </w:rPr>
        <w:t>5</w:t>
      </w:r>
      <w:r w:rsidR="00B249AC" w:rsidRPr="0006219A">
        <w:rPr>
          <w:b/>
          <w:szCs w:val="24"/>
        </w:rPr>
        <w:t>.  Good Character</w:t>
      </w:r>
    </w:p>
    <w:p w:rsidR="002B1E5B" w:rsidRPr="0006219A" w:rsidRDefault="002B1E5B" w:rsidP="00EE2EB5">
      <w:pPr>
        <w:spacing w:line="480" w:lineRule="auto"/>
        <w:ind w:firstLine="720"/>
        <w:rPr>
          <w:szCs w:val="24"/>
        </w:rPr>
      </w:pPr>
      <w:r w:rsidRPr="0006219A">
        <w:rPr>
          <w:szCs w:val="24"/>
        </w:rPr>
        <w:t>Sganga is entitled to mitigation if he establishes “extraordinary good character attested to by a wide range of references in the legal and general communities,</w:t>
      </w:r>
      <w:r w:rsidR="00CF44E3" w:rsidRPr="0006219A">
        <w:rPr>
          <w:szCs w:val="24"/>
        </w:rPr>
        <w:t xml:space="preserve"> </w:t>
      </w:r>
      <w:r w:rsidRPr="0006219A">
        <w:rPr>
          <w:szCs w:val="24"/>
        </w:rPr>
        <w:t>who are aware of the full extent of [his] misconduct.”  (Std. 1.6(f).</w:t>
      </w:r>
      <w:r w:rsidR="00E4768E" w:rsidRPr="0006219A">
        <w:rPr>
          <w:szCs w:val="24"/>
        </w:rPr>
        <w:t xml:space="preserve">)  The hearing judge </w:t>
      </w:r>
      <w:r w:rsidR="0022040C" w:rsidRPr="0006219A">
        <w:rPr>
          <w:szCs w:val="24"/>
        </w:rPr>
        <w:t xml:space="preserve">found Sganga’s good </w:t>
      </w:r>
      <w:r w:rsidRPr="0006219A">
        <w:rPr>
          <w:szCs w:val="24"/>
        </w:rPr>
        <w:t>character evidence</w:t>
      </w:r>
      <w:r w:rsidR="0022040C" w:rsidRPr="0006219A">
        <w:rPr>
          <w:szCs w:val="24"/>
        </w:rPr>
        <w:t xml:space="preserve"> </w:t>
      </w:r>
      <w:r w:rsidR="00D63E4E" w:rsidRPr="0006219A">
        <w:rPr>
          <w:szCs w:val="24"/>
        </w:rPr>
        <w:t xml:space="preserve">to be </w:t>
      </w:r>
      <w:r w:rsidR="0022040C" w:rsidRPr="0006219A">
        <w:rPr>
          <w:szCs w:val="24"/>
        </w:rPr>
        <w:t xml:space="preserve">a significant mitigating </w:t>
      </w:r>
      <w:r w:rsidR="006F562B" w:rsidRPr="0006219A">
        <w:rPr>
          <w:szCs w:val="24"/>
        </w:rPr>
        <w:t>circumstance</w:t>
      </w:r>
      <w:r w:rsidR="0022040C" w:rsidRPr="0006219A">
        <w:rPr>
          <w:szCs w:val="24"/>
        </w:rPr>
        <w:t xml:space="preserve">. </w:t>
      </w:r>
      <w:r w:rsidR="002A57EA" w:rsidRPr="0006219A">
        <w:rPr>
          <w:szCs w:val="24"/>
        </w:rPr>
        <w:t xml:space="preserve"> We agree.</w:t>
      </w:r>
    </w:p>
    <w:p w:rsidR="002B1E5B" w:rsidRPr="0006219A" w:rsidRDefault="00D63E4E" w:rsidP="00EE2EB5">
      <w:pPr>
        <w:pStyle w:val="ListParagraph"/>
        <w:spacing w:line="480" w:lineRule="auto"/>
        <w:ind w:left="0" w:firstLine="720"/>
        <w:rPr>
          <w:szCs w:val="24"/>
        </w:rPr>
      </w:pPr>
      <w:r w:rsidRPr="0006219A">
        <w:rPr>
          <w:szCs w:val="24"/>
        </w:rPr>
        <w:t>Seven</w:t>
      </w:r>
      <w:r w:rsidR="002B1E5B" w:rsidRPr="0006219A">
        <w:rPr>
          <w:szCs w:val="24"/>
        </w:rPr>
        <w:t xml:space="preserve"> witnesses testified to </w:t>
      </w:r>
      <w:r w:rsidRPr="0006219A">
        <w:rPr>
          <w:szCs w:val="24"/>
        </w:rPr>
        <w:t>Sganga’</w:t>
      </w:r>
      <w:r w:rsidR="002B1E5B" w:rsidRPr="0006219A">
        <w:rPr>
          <w:szCs w:val="24"/>
        </w:rPr>
        <w:t xml:space="preserve">s good character.  They included people </w:t>
      </w:r>
      <w:r w:rsidR="009E7412" w:rsidRPr="0006219A">
        <w:rPr>
          <w:szCs w:val="24"/>
        </w:rPr>
        <w:t>with</w:t>
      </w:r>
      <w:r w:rsidR="002B1E5B" w:rsidRPr="0006219A">
        <w:rPr>
          <w:szCs w:val="24"/>
        </w:rPr>
        <w:t xml:space="preserve"> long-term relationships</w:t>
      </w:r>
      <w:r w:rsidR="009E7412" w:rsidRPr="0006219A">
        <w:rPr>
          <w:szCs w:val="24"/>
        </w:rPr>
        <w:t xml:space="preserve"> with </w:t>
      </w:r>
      <w:r w:rsidR="006F562B" w:rsidRPr="0006219A">
        <w:rPr>
          <w:szCs w:val="24"/>
        </w:rPr>
        <w:t>Sganga</w:t>
      </w:r>
      <w:r w:rsidR="002B1E5B" w:rsidRPr="0006219A">
        <w:rPr>
          <w:szCs w:val="24"/>
        </w:rPr>
        <w:t xml:space="preserve">, including </w:t>
      </w:r>
      <w:r w:rsidR="002656DA" w:rsidRPr="0006219A">
        <w:rPr>
          <w:szCs w:val="24"/>
        </w:rPr>
        <w:t>five attorneys (one</w:t>
      </w:r>
      <w:r w:rsidR="009E7412" w:rsidRPr="0006219A">
        <w:rPr>
          <w:szCs w:val="24"/>
        </w:rPr>
        <w:t xml:space="preserve"> was his</w:t>
      </w:r>
      <w:r w:rsidR="002656DA" w:rsidRPr="0006219A">
        <w:rPr>
          <w:szCs w:val="24"/>
        </w:rPr>
        <w:t xml:space="preserve"> former </w:t>
      </w:r>
      <w:r w:rsidR="005C0FEC" w:rsidRPr="0006219A">
        <w:rPr>
          <w:szCs w:val="24"/>
        </w:rPr>
        <w:t>employee</w:t>
      </w:r>
      <w:r w:rsidR="002656DA" w:rsidRPr="0006219A">
        <w:rPr>
          <w:szCs w:val="24"/>
        </w:rPr>
        <w:t>)</w:t>
      </w:r>
      <w:r w:rsidR="005C0FEC" w:rsidRPr="0006219A">
        <w:rPr>
          <w:szCs w:val="24"/>
        </w:rPr>
        <w:t xml:space="preserve"> and t</w:t>
      </w:r>
      <w:r w:rsidR="00750ADC" w:rsidRPr="0006219A">
        <w:rPr>
          <w:szCs w:val="24"/>
        </w:rPr>
        <w:t>wo former clients</w:t>
      </w:r>
      <w:r w:rsidR="002B1E5B" w:rsidRPr="0006219A">
        <w:rPr>
          <w:szCs w:val="24"/>
        </w:rPr>
        <w:t>.  The witnesses</w:t>
      </w:r>
      <w:r w:rsidR="00FD4B18" w:rsidRPr="0006219A">
        <w:rPr>
          <w:szCs w:val="24"/>
        </w:rPr>
        <w:t xml:space="preserve"> convincingly</w:t>
      </w:r>
      <w:r w:rsidR="002A57EA" w:rsidRPr="0006219A">
        <w:rPr>
          <w:szCs w:val="24"/>
        </w:rPr>
        <w:t xml:space="preserve"> </w:t>
      </w:r>
      <w:r w:rsidR="00FD4B18" w:rsidRPr="0006219A">
        <w:rPr>
          <w:szCs w:val="24"/>
        </w:rPr>
        <w:t xml:space="preserve">testified to Sganga’s honesty, integrity, and trustworthiness, and </w:t>
      </w:r>
      <w:r w:rsidR="00351AB8" w:rsidRPr="0006219A">
        <w:rPr>
          <w:szCs w:val="24"/>
        </w:rPr>
        <w:t xml:space="preserve">stated </w:t>
      </w:r>
      <w:r w:rsidR="00A737D0" w:rsidRPr="0006219A">
        <w:rPr>
          <w:szCs w:val="24"/>
        </w:rPr>
        <w:t xml:space="preserve">that </w:t>
      </w:r>
      <w:r w:rsidR="00FD4B18" w:rsidRPr="0006219A">
        <w:rPr>
          <w:szCs w:val="24"/>
        </w:rPr>
        <w:t xml:space="preserve">he is extremely upright and straightforward.  Witnesses opined that Sganga’s admission to culpability was a measure of his character and </w:t>
      </w:r>
      <w:r w:rsidR="009E7412" w:rsidRPr="0006219A">
        <w:rPr>
          <w:szCs w:val="24"/>
        </w:rPr>
        <w:t xml:space="preserve">his </w:t>
      </w:r>
      <w:r w:rsidR="00FD4B18" w:rsidRPr="0006219A">
        <w:rPr>
          <w:szCs w:val="24"/>
        </w:rPr>
        <w:t xml:space="preserve">acceptance of responsibility.  </w:t>
      </w:r>
      <w:r w:rsidR="009E7412" w:rsidRPr="0006219A">
        <w:rPr>
          <w:szCs w:val="24"/>
        </w:rPr>
        <w:t>They</w:t>
      </w:r>
      <w:r w:rsidR="00462BD0" w:rsidRPr="0006219A">
        <w:rPr>
          <w:szCs w:val="24"/>
        </w:rPr>
        <w:t xml:space="preserve"> had </w:t>
      </w:r>
      <w:r w:rsidR="006613A4" w:rsidRPr="0006219A">
        <w:rPr>
          <w:szCs w:val="24"/>
        </w:rPr>
        <w:t xml:space="preserve">at least a basic understanding </w:t>
      </w:r>
      <w:r w:rsidR="009E7412" w:rsidRPr="0006219A">
        <w:rPr>
          <w:szCs w:val="24"/>
        </w:rPr>
        <w:t>of</w:t>
      </w:r>
      <w:r w:rsidR="00462BD0" w:rsidRPr="0006219A">
        <w:rPr>
          <w:szCs w:val="24"/>
        </w:rPr>
        <w:t xml:space="preserve"> the circumstances surrounding</w:t>
      </w:r>
      <w:r w:rsidR="00FD4B18" w:rsidRPr="0006219A">
        <w:rPr>
          <w:szCs w:val="24"/>
        </w:rPr>
        <w:t xml:space="preserve"> his </w:t>
      </w:r>
      <w:r w:rsidR="00FD4B18" w:rsidRPr="0006219A">
        <w:rPr>
          <w:szCs w:val="24"/>
        </w:rPr>
        <w:lastRenderedPageBreak/>
        <w:t>misconduct</w:t>
      </w:r>
      <w:r w:rsidR="00462BD0" w:rsidRPr="0006219A">
        <w:rPr>
          <w:szCs w:val="24"/>
        </w:rPr>
        <w:t>, and stated</w:t>
      </w:r>
      <w:r w:rsidR="00FD4B18" w:rsidRPr="0006219A">
        <w:rPr>
          <w:szCs w:val="24"/>
        </w:rPr>
        <w:t xml:space="preserve"> their high opinion of him did not change.  </w:t>
      </w:r>
      <w:r w:rsidR="00D168C1" w:rsidRPr="0006219A">
        <w:rPr>
          <w:szCs w:val="24"/>
        </w:rPr>
        <w:t>Specifically, o</w:t>
      </w:r>
      <w:r w:rsidR="00FD4B18" w:rsidRPr="0006219A">
        <w:rPr>
          <w:szCs w:val="24"/>
        </w:rPr>
        <w:t xml:space="preserve">ne witness, </w:t>
      </w:r>
      <w:r w:rsidR="00A737D0" w:rsidRPr="0006219A">
        <w:rPr>
          <w:szCs w:val="24"/>
        </w:rPr>
        <w:t>a</w:t>
      </w:r>
      <w:r w:rsidR="00FD4B18" w:rsidRPr="0006219A">
        <w:rPr>
          <w:szCs w:val="24"/>
        </w:rPr>
        <w:t xml:space="preserve"> </w:t>
      </w:r>
      <w:r w:rsidR="00E5100D" w:rsidRPr="0006219A">
        <w:rPr>
          <w:szCs w:val="24"/>
        </w:rPr>
        <w:t xml:space="preserve">church </w:t>
      </w:r>
      <w:r w:rsidR="00FD4B18" w:rsidRPr="0006219A">
        <w:rPr>
          <w:szCs w:val="24"/>
        </w:rPr>
        <w:t>deacon</w:t>
      </w:r>
      <w:r w:rsidR="00A737D0" w:rsidRPr="0006219A">
        <w:rPr>
          <w:szCs w:val="24"/>
        </w:rPr>
        <w:t>,</w:t>
      </w:r>
      <w:r w:rsidR="00FD4B18" w:rsidRPr="0006219A">
        <w:rPr>
          <w:szCs w:val="24"/>
        </w:rPr>
        <w:t xml:space="preserve"> described Sganga as his “angel” for taking his case for a nominal fee, and noted that</w:t>
      </w:r>
      <w:r w:rsidR="00E5100D" w:rsidRPr="0006219A">
        <w:rPr>
          <w:szCs w:val="24"/>
        </w:rPr>
        <w:t>,</w:t>
      </w:r>
      <w:r w:rsidR="00FD4B18" w:rsidRPr="0006219A">
        <w:rPr>
          <w:szCs w:val="24"/>
        </w:rPr>
        <w:t xml:space="preserve"> after the successful outcome of his lawsuit, he referred Sganga to coworkers due to Sganga’s good reputation and honesty.  An </w:t>
      </w:r>
      <w:r w:rsidR="00835ED5" w:rsidRPr="0006219A">
        <w:rPr>
          <w:szCs w:val="24"/>
        </w:rPr>
        <w:t xml:space="preserve">attorney </w:t>
      </w:r>
      <w:r w:rsidR="00FD4B18" w:rsidRPr="0006219A">
        <w:rPr>
          <w:szCs w:val="24"/>
        </w:rPr>
        <w:t>witness summed up Sganga’s reputation in the legal community</w:t>
      </w:r>
      <w:r w:rsidR="002B1E5B" w:rsidRPr="0006219A">
        <w:rPr>
          <w:szCs w:val="24"/>
        </w:rPr>
        <w:t xml:space="preserve"> as</w:t>
      </w:r>
      <w:r w:rsidR="00102F90" w:rsidRPr="0006219A">
        <w:rPr>
          <w:szCs w:val="24"/>
        </w:rPr>
        <w:t xml:space="preserve"> a person who is</w:t>
      </w:r>
      <w:r w:rsidR="002B1E5B" w:rsidRPr="0006219A">
        <w:rPr>
          <w:szCs w:val="24"/>
        </w:rPr>
        <w:t xml:space="preserve"> </w:t>
      </w:r>
      <w:r w:rsidR="00084E0E" w:rsidRPr="0006219A">
        <w:rPr>
          <w:szCs w:val="24"/>
        </w:rPr>
        <w:t>“[h]ardworking, trustworthy, [and] someone you want on your team.”</w:t>
      </w:r>
      <w:r w:rsidR="007F44C1" w:rsidRPr="0006219A">
        <w:rPr>
          <w:szCs w:val="24"/>
        </w:rPr>
        <w:t xml:space="preserve">  (</w:t>
      </w:r>
      <w:r w:rsidR="007F44C1" w:rsidRPr="0006219A">
        <w:rPr>
          <w:i/>
          <w:szCs w:val="24"/>
        </w:rPr>
        <w:t>In the Matter of Brown</w:t>
      </w:r>
      <w:r w:rsidR="007F44C1" w:rsidRPr="0006219A">
        <w:rPr>
          <w:szCs w:val="24"/>
        </w:rPr>
        <w:t xml:space="preserve"> (Review Dept. 1993) 2 Cal. State Bar Ct. Rptr. 309, 319 [serious consideration given to testimony </w:t>
      </w:r>
      <w:r w:rsidR="00D168C1" w:rsidRPr="0006219A">
        <w:rPr>
          <w:szCs w:val="24"/>
        </w:rPr>
        <w:t xml:space="preserve">of attorneys </w:t>
      </w:r>
      <w:r w:rsidR="007F44C1" w:rsidRPr="0006219A">
        <w:rPr>
          <w:szCs w:val="24"/>
        </w:rPr>
        <w:t>due to their “strong interest in maintaining the honest administration of justice”].)</w:t>
      </w:r>
    </w:p>
    <w:p w:rsidR="00DE3747" w:rsidRPr="0006219A" w:rsidRDefault="002B1E5B" w:rsidP="0005404B">
      <w:pPr>
        <w:pStyle w:val="ListParagraph"/>
        <w:spacing w:line="480" w:lineRule="auto"/>
        <w:ind w:left="0" w:firstLine="720"/>
        <w:rPr>
          <w:rFonts w:eastAsia="Times New Roman"/>
          <w:szCs w:val="24"/>
        </w:rPr>
      </w:pPr>
      <w:r w:rsidRPr="0006219A">
        <w:rPr>
          <w:szCs w:val="24"/>
        </w:rPr>
        <w:t xml:space="preserve">Overall, we find </w:t>
      </w:r>
      <w:r w:rsidR="006D2D9D" w:rsidRPr="0006219A">
        <w:rPr>
          <w:szCs w:val="24"/>
        </w:rPr>
        <w:t xml:space="preserve">that these witnesses include representatives of both the general and legal communities, </w:t>
      </w:r>
      <w:r w:rsidR="00B60EB8" w:rsidRPr="0006219A">
        <w:rPr>
          <w:szCs w:val="24"/>
        </w:rPr>
        <w:t xml:space="preserve">and </w:t>
      </w:r>
      <w:r w:rsidRPr="0006219A">
        <w:rPr>
          <w:szCs w:val="24"/>
        </w:rPr>
        <w:t>the</w:t>
      </w:r>
      <w:r w:rsidR="00B60EB8" w:rsidRPr="0006219A">
        <w:rPr>
          <w:szCs w:val="24"/>
        </w:rPr>
        <w:t>ir</w:t>
      </w:r>
      <w:r w:rsidRPr="0006219A">
        <w:rPr>
          <w:szCs w:val="24"/>
        </w:rPr>
        <w:t xml:space="preserve"> endorsements </w:t>
      </w:r>
      <w:r w:rsidR="00835ED5" w:rsidRPr="0006219A">
        <w:rPr>
          <w:szCs w:val="24"/>
        </w:rPr>
        <w:t>are</w:t>
      </w:r>
      <w:r w:rsidRPr="0006219A">
        <w:rPr>
          <w:szCs w:val="24"/>
        </w:rPr>
        <w:t xml:space="preserve"> impressive and persuasive</w:t>
      </w:r>
      <w:r w:rsidR="00B60EB8" w:rsidRPr="0006219A">
        <w:rPr>
          <w:szCs w:val="24"/>
        </w:rPr>
        <w:t xml:space="preserve">.  </w:t>
      </w:r>
      <w:r w:rsidR="000B643A" w:rsidRPr="0006219A">
        <w:rPr>
          <w:szCs w:val="24"/>
        </w:rPr>
        <w:t>We thus assign S</w:t>
      </w:r>
      <w:r w:rsidR="00B60EB8" w:rsidRPr="0006219A">
        <w:rPr>
          <w:szCs w:val="24"/>
        </w:rPr>
        <w:t xml:space="preserve">ganga’s good character </w:t>
      </w:r>
      <w:r w:rsidR="000B643A" w:rsidRPr="0006219A">
        <w:rPr>
          <w:szCs w:val="24"/>
        </w:rPr>
        <w:t xml:space="preserve">evidence </w:t>
      </w:r>
      <w:r w:rsidR="00B60EB8" w:rsidRPr="0006219A">
        <w:rPr>
          <w:szCs w:val="24"/>
        </w:rPr>
        <w:t>sig</w:t>
      </w:r>
      <w:r w:rsidR="000B643A" w:rsidRPr="0006219A">
        <w:rPr>
          <w:szCs w:val="24"/>
        </w:rPr>
        <w:t>nificant mitigating weight</w:t>
      </w:r>
      <w:r w:rsidR="00AC297A" w:rsidRPr="0006219A">
        <w:rPr>
          <w:rFonts w:eastAsia="Times New Roman"/>
          <w:szCs w:val="24"/>
        </w:rPr>
        <w:t>.  (</w:t>
      </w:r>
      <w:r w:rsidR="00AC297A" w:rsidRPr="0006219A">
        <w:rPr>
          <w:rFonts w:eastAsia="Times New Roman"/>
          <w:i/>
          <w:szCs w:val="24"/>
        </w:rPr>
        <w:t>In the Matter of Davis</w:t>
      </w:r>
      <w:r w:rsidR="00AC297A" w:rsidRPr="0006219A">
        <w:rPr>
          <w:rFonts w:eastAsia="Times New Roman"/>
          <w:szCs w:val="24"/>
        </w:rPr>
        <w:t xml:space="preserve"> (Review Dept. 2003) 4 Cal. State Bar Ct. Rptr. 576, 591–592 [significant weight given to testimony of three character witnesses who had long-standing familiarity with attorney and broad knowledge of his good character, work habits, and professional skills].)</w:t>
      </w:r>
    </w:p>
    <w:p w:rsidR="00B249AC" w:rsidRPr="0006219A" w:rsidRDefault="00B249AC" w:rsidP="00EE2EB5">
      <w:pPr>
        <w:tabs>
          <w:tab w:val="left" w:pos="720"/>
        </w:tabs>
        <w:spacing w:line="480" w:lineRule="auto"/>
        <w:rPr>
          <w:b/>
          <w:szCs w:val="24"/>
        </w:rPr>
      </w:pPr>
      <w:r w:rsidRPr="0006219A">
        <w:rPr>
          <w:szCs w:val="24"/>
        </w:rPr>
        <w:tab/>
      </w:r>
      <w:r w:rsidR="008271B5" w:rsidRPr="0006219A">
        <w:rPr>
          <w:b/>
          <w:szCs w:val="24"/>
        </w:rPr>
        <w:t>6</w:t>
      </w:r>
      <w:r w:rsidRPr="0006219A">
        <w:rPr>
          <w:b/>
          <w:szCs w:val="24"/>
        </w:rPr>
        <w:t>.  Pro Bono and Community Service</w:t>
      </w:r>
    </w:p>
    <w:p w:rsidR="009F7BD5" w:rsidRPr="0006219A" w:rsidRDefault="00B249AC" w:rsidP="00EE2EB5">
      <w:pPr>
        <w:tabs>
          <w:tab w:val="left" w:pos="720"/>
          <w:tab w:val="left" w:pos="2340"/>
        </w:tabs>
        <w:spacing w:line="480" w:lineRule="auto"/>
        <w:ind w:firstLine="720"/>
        <w:rPr>
          <w:szCs w:val="24"/>
        </w:rPr>
      </w:pPr>
      <w:r w:rsidRPr="0006219A">
        <w:rPr>
          <w:szCs w:val="24"/>
        </w:rPr>
        <w:t>Pro bono work and community service are mitigating circumstances.  (</w:t>
      </w:r>
      <w:r w:rsidRPr="0006219A">
        <w:rPr>
          <w:i/>
          <w:szCs w:val="24"/>
        </w:rPr>
        <w:t xml:space="preserve">Calvert v. State Bar </w:t>
      </w:r>
      <w:r w:rsidRPr="0006219A">
        <w:rPr>
          <w:szCs w:val="24"/>
        </w:rPr>
        <w:t xml:space="preserve">(1991) 54 Cal.3d 765, 785.)  </w:t>
      </w:r>
      <w:r w:rsidR="003B1F36" w:rsidRPr="0006219A">
        <w:rPr>
          <w:szCs w:val="24"/>
        </w:rPr>
        <w:t xml:space="preserve">The hearing judge </w:t>
      </w:r>
      <w:r w:rsidR="001224D8" w:rsidRPr="0006219A">
        <w:rPr>
          <w:szCs w:val="24"/>
        </w:rPr>
        <w:t>found</w:t>
      </w:r>
      <w:r w:rsidR="00421B10" w:rsidRPr="0006219A">
        <w:rPr>
          <w:szCs w:val="24"/>
        </w:rPr>
        <w:t xml:space="preserve"> Sganga</w:t>
      </w:r>
      <w:r w:rsidR="00F45557" w:rsidRPr="0006219A">
        <w:rPr>
          <w:szCs w:val="24"/>
        </w:rPr>
        <w:t xml:space="preserve"> </w:t>
      </w:r>
      <w:r w:rsidR="00D65710" w:rsidRPr="0006219A">
        <w:rPr>
          <w:szCs w:val="24"/>
        </w:rPr>
        <w:t xml:space="preserve">has completed hundreds of hours of community service, and </w:t>
      </w:r>
      <w:r w:rsidR="00F45557" w:rsidRPr="0006219A">
        <w:rPr>
          <w:szCs w:val="24"/>
        </w:rPr>
        <w:t xml:space="preserve">credibly testified </w:t>
      </w:r>
      <w:r w:rsidR="00D65710" w:rsidRPr="0006219A">
        <w:rPr>
          <w:szCs w:val="24"/>
        </w:rPr>
        <w:t xml:space="preserve">that </w:t>
      </w:r>
      <w:r w:rsidR="00F45557" w:rsidRPr="0006219A">
        <w:rPr>
          <w:szCs w:val="24"/>
        </w:rPr>
        <w:t>he has been active in pro bono and community service activities since he became an attorney in 2003</w:t>
      </w:r>
      <w:r w:rsidR="00D65710" w:rsidRPr="0006219A">
        <w:rPr>
          <w:szCs w:val="24"/>
        </w:rPr>
        <w:t xml:space="preserve">.  The judge also noted </w:t>
      </w:r>
      <w:r w:rsidR="007E2D6B" w:rsidRPr="0006219A">
        <w:rPr>
          <w:szCs w:val="24"/>
        </w:rPr>
        <w:t>Sganga’s</w:t>
      </w:r>
      <w:r w:rsidR="00D65710" w:rsidRPr="0006219A">
        <w:rPr>
          <w:szCs w:val="24"/>
        </w:rPr>
        <w:t xml:space="preserve"> </w:t>
      </w:r>
      <w:r w:rsidR="00F45557" w:rsidRPr="0006219A">
        <w:rPr>
          <w:szCs w:val="24"/>
        </w:rPr>
        <w:t xml:space="preserve">“civil service deserves recognition as a compelling mitigating circumstance,” and concluded his pro bono work and community service </w:t>
      </w:r>
      <w:r w:rsidR="00316782" w:rsidRPr="0006219A">
        <w:rPr>
          <w:szCs w:val="24"/>
        </w:rPr>
        <w:t>are</w:t>
      </w:r>
      <w:r w:rsidR="00F45557" w:rsidRPr="0006219A">
        <w:rPr>
          <w:szCs w:val="24"/>
        </w:rPr>
        <w:t xml:space="preserve"> a significant mitigating circumstance.</w:t>
      </w:r>
      <w:r w:rsidR="00920C97" w:rsidRPr="0006219A">
        <w:rPr>
          <w:szCs w:val="24"/>
        </w:rPr>
        <w:t xml:space="preserve">  </w:t>
      </w:r>
      <w:r w:rsidR="00D57A25" w:rsidRPr="0006219A">
        <w:rPr>
          <w:szCs w:val="24"/>
        </w:rPr>
        <w:t xml:space="preserve">We find Sganga is entitled to </w:t>
      </w:r>
      <w:r w:rsidR="009F7BD5" w:rsidRPr="0006219A">
        <w:rPr>
          <w:szCs w:val="24"/>
        </w:rPr>
        <w:t xml:space="preserve">credit </w:t>
      </w:r>
      <w:r w:rsidR="00D57A25" w:rsidRPr="0006219A">
        <w:rPr>
          <w:szCs w:val="24"/>
        </w:rPr>
        <w:t>for these activities, but assign</w:t>
      </w:r>
      <w:r w:rsidR="009F7BD5" w:rsidRPr="0006219A">
        <w:rPr>
          <w:szCs w:val="24"/>
        </w:rPr>
        <w:t xml:space="preserve"> </w:t>
      </w:r>
      <w:r w:rsidR="00920C97" w:rsidRPr="0006219A">
        <w:rPr>
          <w:szCs w:val="24"/>
        </w:rPr>
        <w:t>les</w:t>
      </w:r>
      <w:r w:rsidR="009F7BD5" w:rsidRPr="0006219A">
        <w:rPr>
          <w:szCs w:val="24"/>
        </w:rPr>
        <w:t>s</w:t>
      </w:r>
      <w:r w:rsidR="00920C97" w:rsidRPr="0006219A">
        <w:rPr>
          <w:szCs w:val="24"/>
        </w:rPr>
        <w:t xml:space="preserve"> </w:t>
      </w:r>
      <w:r w:rsidR="006613A4" w:rsidRPr="0006219A">
        <w:rPr>
          <w:szCs w:val="24"/>
        </w:rPr>
        <w:t>weight</w:t>
      </w:r>
      <w:r w:rsidR="009F7BD5" w:rsidRPr="0006219A">
        <w:rPr>
          <w:szCs w:val="24"/>
        </w:rPr>
        <w:t xml:space="preserve"> than the judge</w:t>
      </w:r>
      <w:r w:rsidR="00316782" w:rsidRPr="0006219A">
        <w:rPr>
          <w:szCs w:val="24"/>
        </w:rPr>
        <w:t xml:space="preserve"> did</w:t>
      </w:r>
      <w:r w:rsidR="00920C97" w:rsidRPr="0006219A">
        <w:rPr>
          <w:szCs w:val="24"/>
        </w:rPr>
        <w:t>.</w:t>
      </w:r>
    </w:p>
    <w:p w:rsidR="001950A6" w:rsidRPr="0006219A" w:rsidRDefault="001224D8" w:rsidP="00EE2EB5">
      <w:pPr>
        <w:spacing w:line="480" w:lineRule="auto"/>
        <w:ind w:firstLine="720"/>
        <w:rPr>
          <w:szCs w:val="24"/>
        </w:rPr>
      </w:pPr>
      <w:r w:rsidRPr="0006219A">
        <w:rPr>
          <w:szCs w:val="24"/>
        </w:rPr>
        <w:t>Sganga testified to his involvement in several co</w:t>
      </w:r>
      <w:r w:rsidR="00C502C4" w:rsidRPr="0006219A">
        <w:rPr>
          <w:szCs w:val="24"/>
        </w:rPr>
        <w:t>mmunity and pro bono activities</w:t>
      </w:r>
      <w:r w:rsidR="008622C3" w:rsidRPr="0006219A">
        <w:rPr>
          <w:szCs w:val="24"/>
        </w:rPr>
        <w:t>.  F</w:t>
      </w:r>
      <w:r w:rsidR="00C502C4" w:rsidRPr="0006219A">
        <w:rPr>
          <w:szCs w:val="24"/>
        </w:rPr>
        <w:t xml:space="preserve">rom </w:t>
      </w:r>
      <w:r w:rsidR="00021A77">
        <w:rPr>
          <w:szCs w:val="24"/>
        </w:rPr>
        <w:t>about 2004</w:t>
      </w:r>
      <w:r w:rsidR="00C502C4" w:rsidRPr="0006219A">
        <w:rPr>
          <w:szCs w:val="24"/>
        </w:rPr>
        <w:t xml:space="preserve"> to 2008, </w:t>
      </w:r>
      <w:r w:rsidR="00346411" w:rsidRPr="0006219A">
        <w:rPr>
          <w:szCs w:val="24"/>
        </w:rPr>
        <w:t xml:space="preserve">he </w:t>
      </w:r>
      <w:r w:rsidR="00D6552E" w:rsidRPr="0006219A">
        <w:rPr>
          <w:szCs w:val="24"/>
        </w:rPr>
        <w:t xml:space="preserve">served as a </w:t>
      </w:r>
      <w:r w:rsidR="00346411" w:rsidRPr="0006219A">
        <w:rPr>
          <w:szCs w:val="24"/>
        </w:rPr>
        <w:t>volunteer attorney</w:t>
      </w:r>
      <w:r w:rsidR="00C502C4" w:rsidRPr="0006219A">
        <w:rPr>
          <w:szCs w:val="24"/>
        </w:rPr>
        <w:t xml:space="preserve"> in the Bar Association</w:t>
      </w:r>
      <w:r w:rsidR="00433278" w:rsidRPr="0006219A">
        <w:rPr>
          <w:szCs w:val="24"/>
        </w:rPr>
        <w:t xml:space="preserve"> of San Francisco</w:t>
      </w:r>
      <w:r w:rsidR="00C502C4" w:rsidRPr="0006219A">
        <w:rPr>
          <w:szCs w:val="24"/>
        </w:rPr>
        <w:t xml:space="preserve">’s </w:t>
      </w:r>
      <w:r w:rsidR="00C502C4" w:rsidRPr="0006219A">
        <w:rPr>
          <w:szCs w:val="24"/>
        </w:rPr>
        <w:lastRenderedPageBreak/>
        <w:t>Volunteer Legal Services Program</w:t>
      </w:r>
      <w:r w:rsidR="00AE7B8B" w:rsidRPr="0006219A">
        <w:rPr>
          <w:szCs w:val="24"/>
        </w:rPr>
        <w:t xml:space="preserve"> (VLSP)</w:t>
      </w:r>
      <w:r w:rsidR="00346411" w:rsidRPr="0006219A">
        <w:rPr>
          <w:szCs w:val="24"/>
        </w:rPr>
        <w:t xml:space="preserve">, </w:t>
      </w:r>
      <w:r w:rsidR="00D6552E" w:rsidRPr="0006219A">
        <w:rPr>
          <w:szCs w:val="24"/>
        </w:rPr>
        <w:t xml:space="preserve">through which </w:t>
      </w:r>
      <w:r w:rsidR="00C502C4" w:rsidRPr="0006219A">
        <w:rPr>
          <w:szCs w:val="24"/>
        </w:rPr>
        <w:t xml:space="preserve">he </w:t>
      </w:r>
      <w:r w:rsidR="008622C3" w:rsidRPr="0006219A">
        <w:rPr>
          <w:szCs w:val="24"/>
        </w:rPr>
        <w:t xml:space="preserve">did pro bono work </w:t>
      </w:r>
      <w:r w:rsidR="00C502C4" w:rsidRPr="0006219A">
        <w:rPr>
          <w:szCs w:val="24"/>
        </w:rPr>
        <w:t xml:space="preserve">on family law and small business matters for indigent clients. </w:t>
      </w:r>
      <w:r w:rsidR="00346411" w:rsidRPr="0006219A">
        <w:rPr>
          <w:szCs w:val="24"/>
        </w:rPr>
        <w:t xml:space="preserve"> He also</w:t>
      </w:r>
      <w:r w:rsidR="00C502C4" w:rsidRPr="0006219A">
        <w:rPr>
          <w:szCs w:val="24"/>
        </w:rPr>
        <w:t xml:space="preserve"> </w:t>
      </w:r>
      <w:r w:rsidR="00480A6B" w:rsidRPr="0006219A">
        <w:rPr>
          <w:szCs w:val="24"/>
        </w:rPr>
        <w:t xml:space="preserve">regularly </w:t>
      </w:r>
      <w:r w:rsidR="00C502C4" w:rsidRPr="0006219A">
        <w:rPr>
          <w:szCs w:val="24"/>
        </w:rPr>
        <w:t xml:space="preserve">participated </w:t>
      </w:r>
      <w:r w:rsidR="00346411" w:rsidRPr="0006219A">
        <w:rPr>
          <w:szCs w:val="24"/>
        </w:rPr>
        <w:t xml:space="preserve">in </w:t>
      </w:r>
      <w:r w:rsidR="004A5005" w:rsidRPr="0006219A">
        <w:rPr>
          <w:szCs w:val="24"/>
        </w:rPr>
        <w:t>a</w:t>
      </w:r>
      <w:r w:rsidR="00346411" w:rsidRPr="0006219A">
        <w:rPr>
          <w:szCs w:val="24"/>
        </w:rPr>
        <w:t xml:space="preserve"> </w:t>
      </w:r>
      <w:r w:rsidR="004A5005" w:rsidRPr="0006219A">
        <w:rPr>
          <w:szCs w:val="24"/>
        </w:rPr>
        <w:t>d</w:t>
      </w:r>
      <w:r w:rsidR="00C502C4" w:rsidRPr="0006219A">
        <w:rPr>
          <w:szCs w:val="24"/>
        </w:rPr>
        <w:t xml:space="preserve">iversion </w:t>
      </w:r>
      <w:r w:rsidR="004A5005" w:rsidRPr="0006219A">
        <w:rPr>
          <w:szCs w:val="24"/>
        </w:rPr>
        <w:t>c</w:t>
      </w:r>
      <w:r w:rsidR="00C502C4" w:rsidRPr="0006219A">
        <w:rPr>
          <w:szCs w:val="24"/>
        </w:rPr>
        <w:t>o</w:t>
      </w:r>
      <w:r w:rsidR="00346411" w:rsidRPr="0006219A">
        <w:rPr>
          <w:szCs w:val="24"/>
        </w:rPr>
        <w:t>urt</w:t>
      </w:r>
      <w:r w:rsidR="006E5575" w:rsidRPr="0006219A">
        <w:rPr>
          <w:szCs w:val="24"/>
        </w:rPr>
        <w:t>, located</w:t>
      </w:r>
      <w:r w:rsidR="00346411" w:rsidRPr="0006219A">
        <w:rPr>
          <w:szCs w:val="24"/>
        </w:rPr>
        <w:t xml:space="preserve"> in San Francisco’</w:t>
      </w:r>
      <w:r w:rsidR="00C502C4" w:rsidRPr="0006219A">
        <w:rPr>
          <w:szCs w:val="24"/>
        </w:rPr>
        <w:t xml:space="preserve">s Tenderloin </w:t>
      </w:r>
      <w:r w:rsidR="00021A77">
        <w:rPr>
          <w:szCs w:val="24"/>
        </w:rPr>
        <w:t>d</w:t>
      </w:r>
      <w:r w:rsidR="00C502C4" w:rsidRPr="0006219A">
        <w:rPr>
          <w:szCs w:val="24"/>
        </w:rPr>
        <w:t xml:space="preserve">istrict, </w:t>
      </w:r>
      <w:r w:rsidR="00AB6E5F" w:rsidRPr="0006219A">
        <w:rPr>
          <w:szCs w:val="24"/>
        </w:rPr>
        <w:t xml:space="preserve">through which </w:t>
      </w:r>
      <w:r w:rsidR="00C502C4" w:rsidRPr="0006219A">
        <w:rPr>
          <w:szCs w:val="24"/>
        </w:rPr>
        <w:t>people</w:t>
      </w:r>
      <w:r w:rsidR="00346411" w:rsidRPr="0006219A">
        <w:rPr>
          <w:szCs w:val="24"/>
        </w:rPr>
        <w:t xml:space="preserve"> </w:t>
      </w:r>
      <w:r w:rsidR="00AE7B8B" w:rsidRPr="0006219A">
        <w:rPr>
          <w:szCs w:val="24"/>
        </w:rPr>
        <w:t>charged with certain (mostly drug-related) crimes</w:t>
      </w:r>
      <w:r w:rsidR="00D6552E" w:rsidRPr="0006219A">
        <w:rPr>
          <w:szCs w:val="24"/>
        </w:rPr>
        <w:t xml:space="preserve"> </w:t>
      </w:r>
      <w:r w:rsidR="00AB6E5F" w:rsidRPr="0006219A">
        <w:rPr>
          <w:szCs w:val="24"/>
        </w:rPr>
        <w:t>could be diverted into programs provid</w:t>
      </w:r>
      <w:r w:rsidR="00480A6B" w:rsidRPr="0006219A">
        <w:rPr>
          <w:szCs w:val="24"/>
        </w:rPr>
        <w:t>ing</w:t>
      </w:r>
      <w:r w:rsidR="00AB6E5F" w:rsidRPr="0006219A">
        <w:rPr>
          <w:szCs w:val="24"/>
        </w:rPr>
        <w:t xml:space="preserve"> housing </w:t>
      </w:r>
      <w:r w:rsidR="004C7D14" w:rsidRPr="0006219A">
        <w:rPr>
          <w:szCs w:val="24"/>
        </w:rPr>
        <w:t>or other assistance,</w:t>
      </w:r>
      <w:r w:rsidR="00296258" w:rsidRPr="0006219A">
        <w:rPr>
          <w:szCs w:val="24"/>
        </w:rPr>
        <w:t xml:space="preserve"> and</w:t>
      </w:r>
      <w:r w:rsidR="00462B26" w:rsidRPr="0006219A">
        <w:rPr>
          <w:szCs w:val="24"/>
        </w:rPr>
        <w:t>,</w:t>
      </w:r>
      <w:r w:rsidR="00296258" w:rsidRPr="0006219A">
        <w:rPr>
          <w:szCs w:val="24"/>
        </w:rPr>
        <w:t xml:space="preserve"> </w:t>
      </w:r>
      <w:r w:rsidR="006E5575" w:rsidRPr="0006219A">
        <w:rPr>
          <w:szCs w:val="24"/>
        </w:rPr>
        <w:t>if</w:t>
      </w:r>
      <w:r w:rsidR="00296258" w:rsidRPr="0006219A">
        <w:rPr>
          <w:szCs w:val="24"/>
        </w:rPr>
        <w:t xml:space="preserve"> they complied with certain conditions, have their </w:t>
      </w:r>
      <w:r w:rsidR="00346411" w:rsidRPr="0006219A">
        <w:rPr>
          <w:szCs w:val="24"/>
        </w:rPr>
        <w:t>criminal c</w:t>
      </w:r>
      <w:r w:rsidR="00296258" w:rsidRPr="0006219A">
        <w:rPr>
          <w:szCs w:val="24"/>
        </w:rPr>
        <w:t>ases dismissed</w:t>
      </w:r>
      <w:r w:rsidR="00C502C4" w:rsidRPr="0006219A">
        <w:rPr>
          <w:szCs w:val="24"/>
        </w:rPr>
        <w:t xml:space="preserve">. </w:t>
      </w:r>
      <w:r w:rsidR="00346411" w:rsidRPr="0006219A">
        <w:rPr>
          <w:szCs w:val="24"/>
        </w:rPr>
        <w:t xml:space="preserve"> In addition,</w:t>
      </w:r>
      <w:r w:rsidR="00306990" w:rsidRPr="0006219A">
        <w:rPr>
          <w:szCs w:val="24"/>
        </w:rPr>
        <w:t xml:space="preserve"> </w:t>
      </w:r>
      <w:r w:rsidR="00346411" w:rsidRPr="0006219A">
        <w:rPr>
          <w:szCs w:val="24"/>
        </w:rPr>
        <w:t xml:space="preserve">he </w:t>
      </w:r>
      <w:r w:rsidR="00306990" w:rsidRPr="0006219A">
        <w:rPr>
          <w:szCs w:val="24"/>
        </w:rPr>
        <w:t xml:space="preserve">participated once a month </w:t>
      </w:r>
      <w:r w:rsidR="008622C3" w:rsidRPr="0006219A">
        <w:rPr>
          <w:szCs w:val="24"/>
        </w:rPr>
        <w:t>in a</w:t>
      </w:r>
      <w:r w:rsidR="00462B26" w:rsidRPr="0006219A">
        <w:rPr>
          <w:szCs w:val="24"/>
        </w:rPr>
        <w:t xml:space="preserve">nother </w:t>
      </w:r>
      <w:r w:rsidR="00C502C4" w:rsidRPr="0006219A">
        <w:rPr>
          <w:szCs w:val="24"/>
        </w:rPr>
        <w:t xml:space="preserve">community legal assistance </w:t>
      </w:r>
      <w:r w:rsidR="002C597E" w:rsidRPr="0006219A">
        <w:rPr>
          <w:szCs w:val="24"/>
        </w:rPr>
        <w:t>program</w:t>
      </w:r>
      <w:r w:rsidR="00C502C4" w:rsidRPr="0006219A">
        <w:rPr>
          <w:szCs w:val="24"/>
        </w:rPr>
        <w:t xml:space="preserve"> </w:t>
      </w:r>
      <w:r w:rsidR="00306990" w:rsidRPr="0006219A">
        <w:rPr>
          <w:szCs w:val="24"/>
        </w:rPr>
        <w:t xml:space="preserve">sponsored by VLSP and </w:t>
      </w:r>
      <w:r w:rsidR="00C502C4" w:rsidRPr="0006219A">
        <w:rPr>
          <w:szCs w:val="24"/>
        </w:rPr>
        <w:t>based at U</w:t>
      </w:r>
      <w:r w:rsidR="00835190" w:rsidRPr="0006219A">
        <w:rPr>
          <w:szCs w:val="24"/>
        </w:rPr>
        <w:t>.</w:t>
      </w:r>
      <w:r w:rsidR="00C502C4" w:rsidRPr="0006219A">
        <w:rPr>
          <w:szCs w:val="24"/>
        </w:rPr>
        <w:t>C</w:t>
      </w:r>
      <w:r w:rsidR="00835190" w:rsidRPr="0006219A">
        <w:rPr>
          <w:szCs w:val="24"/>
        </w:rPr>
        <w:t>.</w:t>
      </w:r>
      <w:r w:rsidR="008622C3" w:rsidRPr="0006219A">
        <w:rPr>
          <w:szCs w:val="24"/>
        </w:rPr>
        <w:t xml:space="preserve"> </w:t>
      </w:r>
      <w:r w:rsidR="00C502C4" w:rsidRPr="0006219A">
        <w:rPr>
          <w:szCs w:val="24"/>
        </w:rPr>
        <w:t xml:space="preserve">Hastings where people </w:t>
      </w:r>
      <w:r w:rsidR="00835190" w:rsidRPr="0006219A">
        <w:rPr>
          <w:szCs w:val="24"/>
        </w:rPr>
        <w:t>would</w:t>
      </w:r>
      <w:r w:rsidR="00C502C4" w:rsidRPr="0006219A">
        <w:rPr>
          <w:szCs w:val="24"/>
        </w:rPr>
        <w:t xml:space="preserve"> </w:t>
      </w:r>
      <w:r w:rsidR="00835190" w:rsidRPr="0006219A">
        <w:rPr>
          <w:szCs w:val="24"/>
        </w:rPr>
        <w:t xml:space="preserve">be </w:t>
      </w:r>
      <w:r w:rsidR="00C502C4" w:rsidRPr="0006219A">
        <w:rPr>
          <w:szCs w:val="24"/>
        </w:rPr>
        <w:t>directed to</w:t>
      </w:r>
      <w:r w:rsidR="006752E7" w:rsidRPr="0006219A">
        <w:rPr>
          <w:szCs w:val="24"/>
        </w:rPr>
        <w:t xml:space="preserve"> attorneys, including Sganga, </w:t>
      </w:r>
      <w:r w:rsidR="00021A77">
        <w:rPr>
          <w:szCs w:val="24"/>
        </w:rPr>
        <w:t>who would provide free legal advice</w:t>
      </w:r>
      <w:r w:rsidR="002C597E" w:rsidRPr="0006219A">
        <w:rPr>
          <w:szCs w:val="24"/>
        </w:rPr>
        <w:t xml:space="preserve">.  </w:t>
      </w:r>
      <w:r w:rsidR="008622C3" w:rsidRPr="0006219A">
        <w:rPr>
          <w:szCs w:val="24"/>
        </w:rPr>
        <w:t xml:space="preserve">Sganga testified that he </w:t>
      </w:r>
      <w:r w:rsidR="00C502C4" w:rsidRPr="0006219A">
        <w:rPr>
          <w:szCs w:val="24"/>
        </w:rPr>
        <w:t>received a certificate</w:t>
      </w:r>
      <w:r w:rsidR="008622C3" w:rsidRPr="0006219A">
        <w:rPr>
          <w:szCs w:val="24"/>
        </w:rPr>
        <w:t xml:space="preserve"> of recognition</w:t>
      </w:r>
      <w:r w:rsidR="00C502C4" w:rsidRPr="0006219A">
        <w:rPr>
          <w:szCs w:val="24"/>
        </w:rPr>
        <w:t xml:space="preserve"> from the California S</w:t>
      </w:r>
      <w:r w:rsidR="008622C3" w:rsidRPr="0006219A">
        <w:rPr>
          <w:szCs w:val="24"/>
        </w:rPr>
        <w:t>enate</w:t>
      </w:r>
      <w:r w:rsidR="00F626B9" w:rsidRPr="0006219A">
        <w:rPr>
          <w:szCs w:val="24"/>
        </w:rPr>
        <w:t xml:space="preserve"> for his volunteer work for </w:t>
      </w:r>
      <w:r w:rsidR="00021A77">
        <w:rPr>
          <w:szCs w:val="24"/>
        </w:rPr>
        <w:t>VL</w:t>
      </w:r>
      <w:r w:rsidR="00F626B9" w:rsidRPr="0006219A">
        <w:rPr>
          <w:szCs w:val="24"/>
        </w:rPr>
        <w:t>S</w:t>
      </w:r>
      <w:r w:rsidR="00021A77">
        <w:rPr>
          <w:szCs w:val="24"/>
        </w:rPr>
        <w:t>P</w:t>
      </w:r>
      <w:r w:rsidR="008622C3" w:rsidRPr="0006219A">
        <w:rPr>
          <w:szCs w:val="24"/>
        </w:rPr>
        <w:t>.</w:t>
      </w:r>
    </w:p>
    <w:p w:rsidR="00C502C4" w:rsidRPr="0006219A" w:rsidRDefault="001950A6" w:rsidP="003651EC">
      <w:pPr>
        <w:spacing w:line="480" w:lineRule="auto"/>
        <w:ind w:firstLine="720"/>
        <w:rPr>
          <w:szCs w:val="24"/>
        </w:rPr>
      </w:pPr>
      <w:r w:rsidRPr="0006219A">
        <w:rPr>
          <w:szCs w:val="24"/>
        </w:rPr>
        <w:t xml:space="preserve">Sganga </w:t>
      </w:r>
      <w:r w:rsidR="003651EC" w:rsidRPr="0006219A">
        <w:rPr>
          <w:szCs w:val="24"/>
        </w:rPr>
        <w:t xml:space="preserve">further testified that he </w:t>
      </w:r>
      <w:r w:rsidRPr="0006219A">
        <w:rPr>
          <w:szCs w:val="24"/>
        </w:rPr>
        <w:t xml:space="preserve">continued his community </w:t>
      </w:r>
      <w:r w:rsidR="0068386A" w:rsidRPr="0006219A">
        <w:rPr>
          <w:szCs w:val="24"/>
        </w:rPr>
        <w:t>activities</w:t>
      </w:r>
      <w:r w:rsidRPr="0006219A">
        <w:rPr>
          <w:szCs w:val="24"/>
        </w:rPr>
        <w:t xml:space="preserve"> after he moved to Placer</w:t>
      </w:r>
      <w:r w:rsidR="00021A77">
        <w:rPr>
          <w:szCs w:val="24"/>
        </w:rPr>
        <w:t xml:space="preserve"> County</w:t>
      </w:r>
      <w:r w:rsidRPr="0006219A">
        <w:rPr>
          <w:szCs w:val="24"/>
        </w:rPr>
        <w:t xml:space="preserve"> in 2008.  There, he </w:t>
      </w:r>
      <w:r w:rsidR="0065246B" w:rsidRPr="0006219A">
        <w:rPr>
          <w:szCs w:val="24"/>
        </w:rPr>
        <w:t xml:space="preserve">volunteered as a Minimum Continuing Legal Education (MCLE) presenter on </w:t>
      </w:r>
      <w:r w:rsidRPr="0006219A">
        <w:rPr>
          <w:szCs w:val="24"/>
        </w:rPr>
        <w:t>forensic science and DNA cases for public defenders</w:t>
      </w:r>
      <w:r w:rsidR="0065246B" w:rsidRPr="0006219A">
        <w:rPr>
          <w:szCs w:val="24"/>
        </w:rPr>
        <w:t>,</w:t>
      </w:r>
      <w:r w:rsidRPr="0006219A">
        <w:rPr>
          <w:szCs w:val="24"/>
        </w:rPr>
        <w:t xml:space="preserve"> district attorneys</w:t>
      </w:r>
      <w:r w:rsidR="00453949" w:rsidRPr="0006219A">
        <w:rPr>
          <w:szCs w:val="24"/>
        </w:rPr>
        <w:t>, and</w:t>
      </w:r>
      <w:r w:rsidR="0065246B" w:rsidRPr="0006219A">
        <w:rPr>
          <w:szCs w:val="24"/>
        </w:rPr>
        <w:t xml:space="preserve"> other legal organizations</w:t>
      </w:r>
      <w:r w:rsidRPr="0006219A">
        <w:rPr>
          <w:szCs w:val="24"/>
        </w:rPr>
        <w:t>, and also did volunteer work for t</w:t>
      </w:r>
      <w:r w:rsidR="008B6BD8" w:rsidRPr="0006219A">
        <w:rPr>
          <w:szCs w:val="24"/>
        </w:rPr>
        <w:t xml:space="preserve">he paralegal </w:t>
      </w:r>
      <w:r w:rsidR="00B542E2" w:rsidRPr="0006219A">
        <w:rPr>
          <w:szCs w:val="24"/>
        </w:rPr>
        <w:t xml:space="preserve">and criminal justice </w:t>
      </w:r>
      <w:r w:rsidR="008B6BD8" w:rsidRPr="0006219A">
        <w:rPr>
          <w:szCs w:val="24"/>
        </w:rPr>
        <w:t>program</w:t>
      </w:r>
      <w:r w:rsidR="00B542E2" w:rsidRPr="0006219A">
        <w:rPr>
          <w:szCs w:val="24"/>
        </w:rPr>
        <w:t>s</w:t>
      </w:r>
      <w:r w:rsidR="008B6BD8" w:rsidRPr="0006219A">
        <w:rPr>
          <w:szCs w:val="24"/>
        </w:rPr>
        <w:t xml:space="preserve"> at Heald C</w:t>
      </w:r>
      <w:r w:rsidR="005130A9" w:rsidRPr="0006219A">
        <w:rPr>
          <w:szCs w:val="24"/>
        </w:rPr>
        <w:t>ollege.</w:t>
      </w:r>
      <w:r w:rsidR="003651EC" w:rsidRPr="0006219A">
        <w:rPr>
          <w:szCs w:val="24"/>
        </w:rPr>
        <w:t xml:space="preserve">  </w:t>
      </w:r>
      <w:r w:rsidR="005130A9" w:rsidRPr="0006219A">
        <w:rPr>
          <w:szCs w:val="24"/>
        </w:rPr>
        <w:t>In 2013</w:t>
      </w:r>
      <w:r w:rsidRPr="0006219A">
        <w:rPr>
          <w:szCs w:val="24"/>
        </w:rPr>
        <w:t>,</w:t>
      </w:r>
      <w:r w:rsidR="005130A9" w:rsidRPr="0006219A">
        <w:rPr>
          <w:szCs w:val="24"/>
        </w:rPr>
        <w:t xml:space="preserve"> Sganga</w:t>
      </w:r>
      <w:r w:rsidRPr="0006219A">
        <w:rPr>
          <w:szCs w:val="24"/>
        </w:rPr>
        <w:t xml:space="preserve"> moved back to the Bay Area and became a member of </w:t>
      </w:r>
      <w:r w:rsidR="008B6BD8" w:rsidRPr="0006219A">
        <w:rPr>
          <w:szCs w:val="24"/>
        </w:rPr>
        <w:t>the San Mateo County Bar A</w:t>
      </w:r>
      <w:r w:rsidRPr="0006219A">
        <w:rPr>
          <w:szCs w:val="24"/>
        </w:rPr>
        <w:t>ssociation</w:t>
      </w:r>
      <w:r w:rsidR="00A862E4" w:rsidRPr="0006219A">
        <w:rPr>
          <w:szCs w:val="24"/>
        </w:rPr>
        <w:t xml:space="preserve">.  </w:t>
      </w:r>
      <w:r w:rsidR="00F626B9" w:rsidRPr="0006219A">
        <w:rPr>
          <w:szCs w:val="24"/>
        </w:rPr>
        <w:t>He</w:t>
      </w:r>
      <w:r w:rsidR="00B542E2" w:rsidRPr="0006219A">
        <w:rPr>
          <w:szCs w:val="24"/>
        </w:rPr>
        <w:t xml:space="preserve"> </w:t>
      </w:r>
      <w:r w:rsidR="0099632B" w:rsidRPr="0006219A">
        <w:rPr>
          <w:szCs w:val="24"/>
        </w:rPr>
        <w:t>has</w:t>
      </w:r>
      <w:r w:rsidR="00262DB5" w:rsidRPr="0006219A">
        <w:rPr>
          <w:szCs w:val="24"/>
        </w:rPr>
        <w:t xml:space="preserve"> </w:t>
      </w:r>
      <w:r w:rsidR="0099632B" w:rsidRPr="0006219A">
        <w:rPr>
          <w:szCs w:val="24"/>
        </w:rPr>
        <w:t xml:space="preserve">volunteered at </w:t>
      </w:r>
      <w:r w:rsidR="00F626B9" w:rsidRPr="0006219A">
        <w:rPr>
          <w:szCs w:val="24"/>
        </w:rPr>
        <w:t>its</w:t>
      </w:r>
      <w:r w:rsidR="00EF507E" w:rsidRPr="0006219A">
        <w:rPr>
          <w:szCs w:val="24"/>
        </w:rPr>
        <w:t xml:space="preserve"> community law day</w:t>
      </w:r>
      <w:r w:rsidR="00262DB5" w:rsidRPr="0006219A">
        <w:rPr>
          <w:szCs w:val="24"/>
        </w:rPr>
        <w:t>,</w:t>
      </w:r>
      <w:r w:rsidR="0099632B" w:rsidRPr="0006219A">
        <w:rPr>
          <w:szCs w:val="24"/>
        </w:rPr>
        <w:t xml:space="preserve"> served</w:t>
      </w:r>
      <w:r w:rsidR="006A2A03" w:rsidRPr="0006219A">
        <w:rPr>
          <w:szCs w:val="24"/>
        </w:rPr>
        <w:t xml:space="preserve"> as a scorer for a high school moot court competition held in the Redwood City courthouse</w:t>
      </w:r>
      <w:r w:rsidR="00262DB5" w:rsidRPr="0006219A">
        <w:rPr>
          <w:szCs w:val="24"/>
        </w:rPr>
        <w:t>,</w:t>
      </w:r>
      <w:r w:rsidR="0099632B" w:rsidRPr="0006219A">
        <w:rPr>
          <w:szCs w:val="24"/>
        </w:rPr>
        <w:t xml:space="preserve"> and done </w:t>
      </w:r>
      <w:r w:rsidR="00295689" w:rsidRPr="0006219A">
        <w:rPr>
          <w:szCs w:val="24"/>
        </w:rPr>
        <w:t>numerous M</w:t>
      </w:r>
      <w:r w:rsidR="0099632B" w:rsidRPr="0006219A">
        <w:rPr>
          <w:szCs w:val="24"/>
        </w:rPr>
        <w:t>CLE presentations for different organizations in San Mateo County</w:t>
      </w:r>
      <w:r w:rsidR="006A2A03" w:rsidRPr="0006219A">
        <w:rPr>
          <w:szCs w:val="24"/>
        </w:rPr>
        <w:t xml:space="preserve">. </w:t>
      </w:r>
      <w:r w:rsidR="0099632B" w:rsidRPr="0006219A">
        <w:rPr>
          <w:szCs w:val="24"/>
        </w:rPr>
        <w:t xml:space="preserve"> </w:t>
      </w:r>
      <w:r w:rsidR="00262DB5" w:rsidRPr="0006219A">
        <w:rPr>
          <w:szCs w:val="24"/>
        </w:rPr>
        <w:t xml:space="preserve">He </w:t>
      </w:r>
      <w:r w:rsidR="00113C30" w:rsidRPr="0006219A">
        <w:rPr>
          <w:szCs w:val="24"/>
        </w:rPr>
        <w:t xml:space="preserve">also </w:t>
      </w:r>
      <w:r w:rsidR="005130A9" w:rsidRPr="0006219A">
        <w:rPr>
          <w:szCs w:val="24"/>
        </w:rPr>
        <w:t>v</w:t>
      </w:r>
      <w:r w:rsidRPr="0006219A">
        <w:rPr>
          <w:szCs w:val="24"/>
        </w:rPr>
        <w:t>olunteers</w:t>
      </w:r>
      <w:r w:rsidR="00033E11" w:rsidRPr="0006219A">
        <w:rPr>
          <w:szCs w:val="24"/>
        </w:rPr>
        <w:t xml:space="preserve"> </w:t>
      </w:r>
      <w:r w:rsidRPr="0006219A">
        <w:rPr>
          <w:szCs w:val="24"/>
        </w:rPr>
        <w:t xml:space="preserve">to </w:t>
      </w:r>
      <w:r w:rsidR="00F626B9" w:rsidRPr="0006219A">
        <w:rPr>
          <w:szCs w:val="24"/>
        </w:rPr>
        <w:t>hold</w:t>
      </w:r>
      <w:r w:rsidRPr="0006219A">
        <w:rPr>
          <w:szCs w:val="24"/>
        </w:rPr>
        <w:t xml:space="preserve"> family law status</w:t>
      </w:r>
      <w:r w:rsidR="005130A9" w:rsidRPr="0006219A">
        <w:rPr>
          <w:szCs w:val="24"/>
        </w:rPr>
        <w:t xml:space="preserve"> </w:t>
      </w:r>
      <w:r w:rsidRPr="0006219A">
        <w:rPr>
          <w:szCs w:val="24"/>
        </w:rPr>
        <w:t>conferences for the family law court</w:t>
      </w:r>
      <w:r w:rsidR="00033E11" w:rsidRPr="0006219A">
        <w:rPr>
          <w:szCs w:val="24"/>
        </w:rPr>
        <w:t xml:space="preserve"> once a month</w:t>
      </w:r>
      <w:r w:rsidR="00113C30" w:rsidRPr="0006219A">
        <w:rPr>
          <w:szCs w:val="24"/>
        </w:rPr>
        <w:t>.  I</w:t>
      </w:r>
      <w:r w:rsidR="00A32775" w:rsidRPr="0006219A">
        <w:rPr>
          <w:szCs w:val="24"/>
        </w:rPr>
        <w:t>n addition, he volunteers</w:t>
      </w:r>
      <w:r w:rsidR="00113C30" w:rsidRPr="0006219A">
        <w:rPr>
          <w:szCs w:val="24"/>
        </w:rPr>
        <w:t xml:space="preserve"> once a month for the Street Church </w:t>
      </w:r>
      <w:r w:rsidR="00021A77">
        <w:rPr>
          <w:szCs w:val="24"/>
        </w:rPr>
        <w:t>p</w:t>
      </w:r>
      <w:r w:rsidR="00113C30" w:rsidRPr="0006219A">
        <w:rPr>
          <w:szCs w:val="24"/>
        </w:rPr>
        <w:t>rogram</w:t>
      </w:r>
      <w:r w:rsidR="00A862E4" w:rsidRPr="0006219A">
        <w:rPr>
          <w:szCs w:val="24"/>
        </w:rPr>
        <w:t>,</w:t>
      </w:r>
      <w:r w:rsidR="00A32775" w:rsidRPr="0006219A">
        <w:rPr>
          <w:szCs w:val="24"/>
        </w:rPr>
        <w:t xml:space="preserve"> </w:t>
      </w:r>
      <w:r w:rsidR="00295689" w:rsidRPr="0006219A">
        <w:rPr>
          <w:szCs w:val="24"/>
        </w:rPr>
        <w:t xml:space="preserve">through which he </w:t>
      </w:r>
      <w:r w:rsidR="00113C30" w:rsidRPr="0006219A">
        <w:rPr>
          <w:szCs w:val="24"/>
        </w:rPr>
        <w:t>h</w:t>
      </w:r>
      <w:r w:rsidR="00A32775" w:rsidRPr="0006219A">
        <w:rPr>
          <w:szCs w:val="24"/>
        </w:rPr>
        <w:t>elp</w:t>
      </w:r>
      <w:r w:rsidR="00113C30" w:rsidRPr="0006219A">
        <w:rPr>
          <w:szCs w:val="24"/>
        </w:rPr>
        <w:t>s</w:t>
      </w:r>
      <w:r w:rsidR="00A32775" w:rsidRPr="0006219A">
        <w:rPr>
          <w:szCs w:val="24"/>
        </w:rPr>
        <w:t xml:space="preserve"> feed </w:t>
      </w:r>
      <w:r w:rsidR="00295689" w:rsidRPr="0006219A">
        <w:rPr>
          <w:szCs w:val="24"/>
        </w:rPr>
        <w:t xml:space="preserve">homeless people </w:t>
      </w:r>
      <w:r w:rsidR="00A32775" w:rsidRPr="0006219A">
        <w:rPr>
          <w:szCs w:val="24"/>
        </w:rPr>
        <w:t>in Redwood City</w:t>
      </w:r>
      <w:r w:rsidRPr="0006219A">
        <w:rPr>
          <w:szCs w:val="24"/>
        </w:rPr>
        <w:t>.</w:t>
      </w:r>
    </w:p>
    <w:p w:rsidR="00697770" w:rsidRPr="0006219A" w:rsidRDefault="00E67BBD" w:rsidP="008F6914">
      <w:pPr>
        <w:spacing w:line="480" w:lineRule="auto"/>
        <w:ind w:firstLine="720"/>
        <w:rPr>
          <w:szCs w:val="24"/>
        </w:rPr>
      </w:pPr>
      <w:r w:rsidRPr="0006219A">
        <w:rPr>
          <w:szCs w:val="24"/>
        </w:rPr>
        <w:t>W</w:t>
      </w:r>
      <w:r w:rsidR="006C123B" w:rsidRPr="0006219A">
        <w:rPr>
          <w:szCs w:val="24"/>
        </w:rPr>
        <w:t>e</w:t>
      </w:r>
      <w:r w:rsidR="001224D8" w:rsidRPr="0006219A">
        <w:rPr>
          <w:szCs w:val="24"/>
        </w:rPr>
        <w:t xml:space="preserve"> decline to extend </w:t>
      </w:r>
      <w:r w:rsidRPr="0006219A">
        <w:rPr>
          <w:szCs w:val="24"/>
        </w:rPr>
        <w:t>significant mitigation</w:t>
      </w:r>
      <w:r w:rsidR="00462B26" w:rsidRPr="0006219A">
        <w:rPr>
          <w:szCs w:val="24"/>
        </w:rPr>
        <w:t>, however,</w:t>
      </w:r>
      <w:r w:rsidRPr="0006219A">
        <w:rPr>
          <w:szCs w:val="24"/>
        </w:rPr>
        <w:t xml:space="preserve"> </w:t>
      </w:r>
      <w:r w:rsidR="001224D8" w:rsidRPr="0006219A">
        <w:rPr>
          <w:szCs w:val="24"/>
        </w:rPr>
        <w:t xml:space="preserve">because </w:t>
      </w:r>
      <w:r w:rsidRPr="0006219A">
        <w:rPr>
          <w:szCs w:val="24"/>
        </w:rPr>
        <w:t xml:space="preserve">Sganga </w:t>
      </w:r>
      <w:r w:rsidR="001224D8" w:rsidRPr="0006219A">
        <w:rPr>
          <w:szCs w:val="24"/>
        </w:rPr>
        <w:t xml:space="preserve">offered no </w:t>
      </w:r>
      <w:r w:rsidRPr="0006219A">
        <w:rPr>
          <w:szCs w:val="24"/>
        </w:rPr>
        <w:t xml:space="preserve">corroborating </w:t>
      </w:r>
      <w:r w:rsidR="001224D8" w:rsidRPr="0006219A">
        <w:rPr>
          <w:szCs w:val="24"/>
        </w:rPr>
        <w:t>evidence of his</w:t>
      </w:r>
      <w:r w:rsidRPr="0006219A">
        <w:rPr>
          <w:szCs w:val="24"/>
        </w:rPr>
        <w:t xml:space="preserve"> </w:t>
      </w:r>
      <w:r w:rsidR="008010D1" w:rsidRPr="0006219A">
        <w:rPr>
          <w:szCs w:val="24"/>
        </w:rPr>
        <w:t>service</w:t>
      </w:r>
      <w:r w:rsidRPr="0006219A">
        <w:rPr>
          <w:szCs w:val="24"/>
        </w:rPr>
        <w:t xml:space="preserve">, and most of </w:t>
      </w:r>
      <w:r w:rsidR="001224D8" w:rsidRPr="0006219A">
        <w:rPr>
          <w:szCs w:val="24"/>
        </w:rPr>
        <w:t xml:space="preserve">his stated activities predated his misconduct by many years.  Based </w:t>
      </w:r>
      <w:r w:rsidR="00235836" w:rsidRPr="0006219A">
        <w:rPr>
          <w:szCs w:val="24"/>
        </w:rPr>
        <w:t xml:space="preserve">only </w:t>
      </w:r>
      <w:r w:rsidR="001224D8" w:rsidRPr="0006219A">
        <w:rPr>
          <w:szCs w:val="24"/>
        </w:rPr>
        <w:t xml:space="preserve">on </w:t>
      </w:r>
      <w:r w:rsidRPr="0006219A">
        <w:rPr>
          <w:szCs w:val="24"/>
        </w:rPr>
        <w:t xml:space="preserve">Sganga’s </w:t>
      </w:r>
      <w:r w:rsidR="001224D8" w:rsidRPr="0006219A">
        <w:rPr>
          <w:szCs w:val="24"/>
        </w:rPr>
        <w:t xml:space="preserve">own </w:t>
      </w:r>
      <w:r w:rsidRPr="0006219A">
        <w:rPr>
          <w:szCs w:val="24"/>
        </w:rPr>
        <w:t xml:space="preserve">testimony, we assign moderate </w:t>
      </w:r>
      <w:r w:rsidR="001224D8" w:rsidRPr="0006219A">
        <w:rPr>
          <w:szCs w:val="24"/>
        </w:rPr>
        <w:t>weight in mitigation.  (</w:t>
      </w:r>
      <w:r w:rsidR="008F6914" w:rsidRPr="0006219A">
        <w:rPr>
          <w:szCs w:val="24"/>
        </w:rPr>
        <w:t xml:space="preserve">See </w:t>
      </w:r>
      <w:r w:rsidR="008F6914" w:rsidRPr="0006219A">
        <w:rPr>
          <w:i/>
          <w:szCs w:val="24"/>
        </w:rPr>
        <w:t>In the Matter of Shalant</w:t>
      </w:r>
      <w:r w:rsidR="008F6914" w:rsidRPr="0006219A">
        <w:rPr>
          <w:szCs w:val="24"/>
        </w:rPr>
        <w:t xml:space="preserve"> (Review Dept. 2005) 4 Cal. State Bar Ct. Rptr. </w:t>
      </w:r>
      <w:r w:rsidR="008F6914" w:rsidRPr="0006219A">
        <w:rPr>
          <w:szCs w:val="24"/>
        </w:rPr>
        <w:lastRenderedPageBreak/>
        <w:t>8</w:t>
      </w:r>
      <w:r w:rsidR="00021A77">
        <w:rPr>
          <w:szCs w:val="24"/>
        </w:rPr>
        <w:t>29</w:t>
      </w:r>
      <w:r w:rsidR="008F6914" w:rsidRPr="0006219A">
        <w:rPr>
          <w:szCs w:val="24"/>
        </w:rPr>
        <w:t>, 840 [limited weight in mitigation where community service evidence based solely on respondent’s testimony].)</w:t>
      </w:r>
    </w:p>
    <w:p w:rsidR="00F31E25" w:rsidRPr="0006219A" w:rsidRDefault="008271B5" w:rsidP="00EE2EB5">
      <w:pPr>
        <w:spacing w:line="480" w:lineRule="auto"/>
        <w:ind w:firstLine="720"/>
        <w:rPr>
          <w:b/>
          <w:szCs w:val="24"/>
        </w:rPr>
      </w:pPr>
      <w:r w:rsidRPr="0006219A">
        <w:rPr>
          <w:b/>
          <w:szCs w:val="24"/>
        </w:rPr>
        <w:t>7</w:t>
      </w:r>
      <w:r w:rsidR="00F31E25" w:rsidRPr="0006219A">
        <w:rPr>
          <w:b/>
          <w:szCs w:val="24"/>
        </w:rPr>
        <w:t>.  No Mitigation for Remorse and Recognition of Wrongdoing</w:t>
      </w:r>
    </w:p>
    <w:p w:rsidR="00697770" w:rsidRPr="0006219A" w:rsidRDefault="00F31E25" w:rsidP="00697770">
      <w:pPr>
        <w:tabs>
          <w:tab w:val="left" w:pos="720"/>
        </w:tabs>
        <w:spacing w:line="480" w:lineRule="auto"/>
        <w:ind w:firstLine="720"/>
        <w:rPr>
          <w:szCs w:val="24"/>
        </w:rPr>
      </w:pPr>
      <w:r w:rsidRPr="0006219A">
        <w:rPr>
          <w:szCs w:val="24"/>
        </w:rPr>
        <w:t xml:space="preserve">The hearing judge </w:t>
      </w:r>
      <w:r w:rsidR="00944885" w:rsidRPr="0006219A">
        <w:rPr>
          <w:szCs w:val="24"/>
        </w:rPr>
        <w:t xml:space="preserve">found </w:t>
      </w:r>
      <w:r w:rsidR="008010D1" w:rsidRPr="0006219A">
        <w:rPr>
          <w:szCs w:val="24"/>
        </w:rPr>
        <w:t xml:space="preserve">that </w:t>
      </w:r>
      <w:r w:rsidR="00944885" w:rsidRPr="0006219A">
        <w:rPr>
          <w:szCs w:val="24"/>
        </w:rPr>
        <w:t xml:space="preserve">Sganga recognizes his wrongdoing, is remorseful, and </w:t>
      </w:r>
      <w:r w:rsidR="00D36989" w:rsidRPr="0006219A">
        <w:rPr>
          <w:szCs w:val="24"/>
        </w:rPr>
        <w:t xml:space="preserve">now </w:t>
      </w:r>
      <w:r w:rsidR="00944885" w:rsidRPr="0006219A">
        <w:rPr>
          <w:szCs w:val="24"/>
        </w:rPr>
        <w:t xml:space="preserve">knows he must not touch disputed funds in a </w:t>
      </w:r>
      <w:r w:rsidR="00A737D0" w:rsidRPr="0006219A">
        <w:rPr>
          <w:szCs w:val="24"/>
        </w:rPr>
        <w:t>CTA</w:t>
      </w:r>
      <w:r w:rsidR="00944885" w:rsidRPr="0006219A">
        <w:rPr>
          <w:szCs w:val="24"/>
        </w:rPr>
        <w:t xml:space="preserve">.  </w:t>
      </w:r>
      <w:r w:rsidR="00D36989" w:rsidRPr="0006219A">
        <w:rPr>
          <w:szCs w:val="24"/>
        </w:rPr>
        <w:t xml:space="preserve">The judge </w:t>
      </w:r>
      <w:r w:rsidR="00687074" w:rsidRPr="0006219A">
        <w:rPr>
          <w:szCs w:val="24"/>
        </w:rPr>
        <w:t xml:space="preserve">believed Sganga’s </w:t>
      </w:r>
      <w:r w:rsidR="00944885" w:rsidRPr="0006219A">
        <w:rPr>
          <w:szCs w:val="24"/>
        </w:rPr>
        <w:t>misconduct was aberrational</w:t>
      </w:r>
      <w:r w:rsidR="00687074" w:rsidRPr="0006219A">
        <w:rPr>
          <w:szCs w:val="24"/>
        </w:rPr>
        <w:t xml:space="preserve"> and</w:t>
      </w:r>
      <w:r w:rsidR="00944885" w:rsidRPr="0006219A">
        <w:rPr>
          <w:szCs w:val="24"/>
        </w:rPr>
        <w:t xml:space="preserve"> resu</w:t>
      </w:r>
      <w:r w:rsidR="00687074" w:rsidRPr="0006219A">
        <w:rPr>
          <w:szCs w:val="24"/>
        </w:rPr>
        <w:t>lted “</w:t>
      </w:r>
      <w:r w:rsidR="00944885" w:rsidRPr="0006219A">
        <w:rPr>
          <w:szCs w:val="24"/>
        </w:rPr>
        <w:t>from a confluence</w:t>
      </w:r>
      <w:r w:rsidR="00687074" w:rsidRPr="0006219A">
        <w:rPr>
          <w:szCs w:val="24"/>
        </w:rPr>
        <w:t xml:space="preserve"> </w:t>
      </w:r>
      <w:r w:rsidR="00944885" w:rsidRPr="0006219A">
        <w:rPr>
          <w:szCs w:val="24"/>
        </w:rPr>
        <w:t>of</w:t>
      </w:r>
      <w:r w:rsidR="00687074" w:rsidRPr="0006219A">
        <w:rPr>
          <w:szCs w:val="24"/>
        </w:rPr>
        <w:t xml:space="preserve"> </w:t>
      </w:r>
      <w:r w:rsidR="00944885" w:rsidRPr="0006219A">
        <w:rPr>
          <w:szCs w:val="24"/>
        </w:rPr>
        <w:t>events.</w:t>
      </w:r>
      <w:r w:rsidR="00687074" w:rsidRPr="0006219A">
        <w:rPr>
          <w:szCs w:val="24"/>
        </w:rPr>
        <w:t>”</w:t>
      </w:r>
    </w:p>
    <w:p w:rsidR="0005404B" w:rsidRPr="0006219A" w:rsidRDefault="00F31E25" w:rsidP="00A21CCD">
      <w:pPr>
        <w:tabs>
          <w:tab w:val="left" w:pos="720"/>
        </w:tabs>
        <w:spacing w:line="480" w:lineRule="auto"/>
        <w:ind w:firstLine="720"/>
        <w:rPr>
          <w:szCs w:val="24"/>
        </w:rPr>
      </w:pPr>
      <w:r w:rsidRPr="0006219A">
        <w:rPr>
          <w:szCs w:val="24"/>
        </w:rPr>
        <w:t>We find insufficient eviden</w:t>
      </w:r>
      <w:r w:rsidR="006B6A81" w:rsidRPr="0006219A">
        <w:rPr>
          <w:szCs w:val="24"/>
        </w:rPr>
        <w:t xml:space="preserve">ce to warrant </w:t>
      </w:r>
      <w:r w:rsidR="008010D1" w:rsidRPr="0006219A">
        <w:rPr>
          <w:szCs w:val="24"/>
        </w:rPr>
        <w:t>this</w:t>
      </w:r>
      <w:r w:rsidR="006B6A81" w:rsidRPr="0006219A">
        <w:rPr>
          <w:szCs w:val="24"/>
        </w:rPr>
        <w:t xml:space="preserve"> mitigation.  </w:t>
      </w:r>
      <w:r w:rsidR="00BC7AAB" w:rsidRPr="0006219A">
        <w:rPr>
          <w:szCs w:val="24"/>
        </w:rPr>
        <w:t xml:space="preserve">(See std. 1.6(g).)  </w:t>
      </w:r>
      <w:r w:rsidR="00280E91" w:rsidRPr="0006219A">
        <w:rPr>
          <w:szCs w:val="24"/>
        </w:rPr>
        <w:t>W</w:t>
      </w:r>
      <w:r w:rsidRPr="0006219A">
        <w:rPr>
          <w:szCs w:val="24"/>
        </w:rPr>
        <w:t xml:space="preserve">e acknowledge </w:t>
      </w:r>
      <w:r w:rsidR="00A21CCD" w:rsidRPr="0006219A">
        <w:rPr>
          <w:szCs w:val="24"/>
        </w:rPr>
        <w:t>Sganga’s</w:t>
      </w:r>
      <w:r w:rsidRPr="0006219A">
        <w:rPr>
          <w:szCs w:val="24"/>
        </w:rPr>
        <w:t xml:space="preserve"> </w:t>
      </w:r>
      <w:r w:rsidR="00280E91" w:rsidRPr="0006219A">
        <w:rPr>
          <w:szCs w:val="24"/>
        </w:rPr>
        <w:t xml:space="preserve">concession that he deserves discipline by his </w:t>
      </w:r>
      <w:r w:rsidR="00A85319" w:rsidRPr="0006219A">
        <w:rPr>
          <w:szCs w:val="24"/>
        </w:rPr>
        <w:t>request that we uphold the hearing judge’s recommended 60-day actual suspension</w:t>
      </w:r>
      <w:r w:rsidRPr="0006219A">
        <w:rPr>
          <w:szCs w:val="24"/>
        </w:rPr>
        <w:t xml:space="preserve">, and </w:t>
      </w:r>
      <w:r w:rsidR="00AE6AAD" w:rsidRPr="0006219A">
        <w:rPr>
          <w:szCs w:val="24"/>
        </w:rPr>
        <w:t xml:space="preserve">we </w:t>
      </w:r>
      <w:r w:rsidRPr="0006219A">
        <w:rPr>
          <w:szCs w:val="24"/>
        </w:rPr>
        <w:t>recognize h</w:t>
      </w:r>
      <w:r w:rsidR="00A85319" w:rsidRPr="0006219A">
        <w:rPr>
          <w:szCs w:val="24"/>
        </w:rPr>
        <w:t>is</w:t>
      </w:r>
      <w:r w:rsidRPr="0006219A">
        <w:rPr>
          <w:szCs w:val="24"/>
        </w:rPr>
        <w:t xml:space="preserve"> efforts to admit </w:t>
      </w:r>
      <w:r w:rsidR="00395D88" w:rsidRPr="0006219A">
        <w:rPr>
          <w:szCs w:val="24"/>
        </w:rPr>
        <w:t>culpability</w:t>
      </w:r>
      <w:r w:rsidR="00A85319" w:rsidRPr="0006219A">
        <w:rPr>
          <w:szCs w:val="24"/>
        </w:rPr>
        <w:t>, express remorse, and apologize to his clients</w:t>
      </w:r>
      <w:r w:rsidR="00266079" w:rsidRPr="0006219A">
        <w:rPr>
          <w:szCs w:val="24"/>
        </w:rPr>
        <w:t xml:space="preserve"> through his attorney</w:t>
      </w:r>
      <w:r w:rsidR="00280E91" w:rsidRPr="0006219A">
        <w:rPr>
          <w:szCs w:val="24"/>
        </w:rPr>
        <w:t xml:space="preserve">.  </w:t>
      </w:r>
      <w:r w:rsidR="00395D88" w:rsidRPr="0006219A">
        <w:rPr>
          <w:szCs w:val="24"/>
        </w:rPr>
        <w:t>Even though these expressions of remorse are sincere</w:t>
      </w:r>
      <w:r w:rsidR="00453949" w:rsidRPr="0006219A">
        <w:rPr>
          <w:szCs w:val="24"/>
        </w:rPr>
        <w:t xml:space="preserve">, he did not </w:t>
      </w:r>
      <w:r w:rsidR="00395D88" w:rsidRPr="0006219A">
        <w:rPr>
          <w:szCs w:val="24"/>
        </w:rPr>
        <w:t>offer them</w:t>
      </w:r>
      <w:r w:rsidR="00453949" w:rsidRPr="0006219A">
        <w:rPr>
          <w:szCs w:val="24"/>
        </w:rPr>
        <w:t xml:space="preserve"> </w:t>
      </w:r>
      <w:r w:rsidRPr="0006219A">
        <w:rPr>
          <w:szCs w:val="24"/>
        </w:rPr>
        <w:t xml:space="preserve">until </w:t>
      </w:r>
      <w:r w:rsidRPr="0006219A">
        <w:rPr>
          <w:i/>
          <w:szCs w:val="24"/>
        </w:rPr>
        <w:t>years</w:t>
      </w:r>
      <w:r w:rsidRPr="0006219A">
        <w:rPr>
          <w:szCs w:val="24"/>
        </w:rPr>
        <w:t xml:space="preserve"> afte</w:t>
      </w:r>
      <w:r w:rsidR="00761A7E" w:rsidRPr="0006219A">
        <w:rPr>
          <w:szCs w:val="24"/>
        </w:rPr>
        <w:t>r h</w:t>
      </w:r>
      <w:r w:rsidR="00AE6AAD" w:rsidRPr="0006219A">
        <w:rPr>
          <w:szCs w:val="24"/>
        </w:rPr>
        <w:t>is</w:t>
      </w:r>
      <w:r w:rsidR="00761A7E" w:rsidRPr="0006219A">
        <w:rPr>
          <w:szCs w:val="24"/>
        </w:rPr>
        <w:t xml:space="preserve"> misconduct.  (</w:t>
      </w:r>
      <w:r w:rsidR="003F1832" w:rsidRPr="0006219A">
        <w:rPr>
          <w:szCs w:val="24"/>
        </w:rPr>
        <w:t xml:space="preserve">See </w:t>
      </w:r>
      <w:r w:rsidR="00761A7E" w:rsidRPr="0006219A">
        <w:rPr>
          <w:i/>
          <w:szCs w:val="24"/>
        </w:rPr>
        <w:t>In the Matter of Spaith</w:t>
      </w:r>
      <w:r w:rsidR="00761A7E" w:rsidRPr="0006219A">
        <w:rPr>
          <w:szCs w:val="24"/>
        </w:rPr>
        <w:t xml:space="preserve"> (Review Dept. 1996) 3</w:t>
      </w:r>
      <w:r w:rsidR="00043368" w:rsidRPr="0006219A">
        <w:rPr>
          <w:szCs w:val="24"/>
        </w:rPr>
        <w:t> </w:t>
      </w:r>
      <w:r w:rsidR="00761A7E" w:rsidRPr="0006219A">
        <w:rPr>
          <w:szCs w:val="24"/>
        </w:rPr>
        <w:t xml:space="preserve">Cal. State Bar Ct. Rptr. 511, 519 </w:t>
      </w:r>
      <w:r w:rsidR="00B66BED" w:rsidRPr="0006219A">
        <w:rPr>
          <w:szCs w:val="24"/>
        </w:rPr>
        <w:t>(</w:t>
      </w:r>
      <w:r w:rsidR="00B66BED" w:rsidRPr="0006219A">
        <w:rPr>
          <w:i/>
          <w:szCs w:val="24"/>
        </w:rPr>
        <w:t>Spaith</w:t>
      </w:r>
      <w:r w:rsidR="00B66BED" w:rsidRPr="0006219A">
        <w:rPr>
          <w:szCs w:val="24"/>
        </w:rPr>
        <w:t xml:space="preserve">) </w:t>
      </w:r>
      <w:r w:rsidR="00761A7E" w:rsidRPr="0006219A">
        <w:rPr>
          <w:szCs w:val="24"/>
        </w:rPr>
        <w:t xml:space="preserve">[greatly reduced mitigating weight attached to respondent’s confession of misdeeds to client </w:t>
      </w:r>
      <w:r w:rsidR="00DE7DA7" w:rsidRPr="0006219A">
        <w:rPr>
          <w:szCs w:val="24"/>
        </w:rPr>
        <w:t xml:space="preserve">a </w:t>
      </w:r>
      <w:r w:rsidR="00761A7E" w:rsidRPr="0006219A">
        <w:rPr>
          <w:szCs w:val="24"/>
        </w:rPr>
        <w:t xml:space="preserve">year </w:t>
      </w:r>
      <w:r w:rsidR="00395CFA" w:rsidRPr="0006219A">
        <w:rPr>
          <w:szCs w:val="24"/>
        </w:rPr>
        <w:t xml:space="preserve">later, as </w:t>
      </w:r>
      <w:r w:rsidR="00666ADF" w:rsidRPr="0006219A">
        <w:rPr>
          <w:szCs w:val="24"/>
        </w:rPr>
        <w:t xml:space="preserve">it was </w:t>
      </w:r>
      <w:r w:rsidR="00395CFA" w:rsidRPr="0006219A">
        <w:rPr>
          <w:szCs w:val="24"/>
        </w:rPr>
        <w:t>not “</w:t>
      </w:r>
      <w:r w:rsidR="00761A7E" w:rsidRPr="0006219A">
        <w:rPr>
          <w:szCs w:val="24"/>
        </w:rPr>
        <w:t>an objective step ‘promptly taken’ spontaneously demonstrating remorse and recognition of the wrongdoing”]</w:t>
      </w:r>
      <w:r w:rsidR="003F1832" w:rsidRPr="0006219A">
        <w:rPr>
          <w:szCs w:val="24"/>
        </w:rPr>
        <w:t>.)</w:t>
      </w:r>
      <w:r w:rsidR="00050E52" w:rsidRPr="0006219A">
        <w:rPr>
          <w:szCs w:val="24"/>
        </w:rPr>
        <w:t xml:space="preserve">  </w:t>
      </w:r>
      <w:r w:rsidRPr="0006219A">
        <w:rPr>
          <w:szCs w:val="24"/>
        </w:rPr>
        <w:t xml:space="preserve">We </w:t>
      </w:r>
      <w:r w:rsidR="009709EC" w:rsidRPr="0006219A">
        <w:rPr>
          <w:szCs w:val="24"/>
        </w:rPr>
        <w:t xml:space="preserve">thus </w:t>
      </w:r>
      <w:r w:rsidRPr="0006219A">
        <w:rPr>
          <w:szCs w:val="24"/>
        </w:rPr>
        <w:t xml:space="preserve">conclude </w:t>
      </w:r>
      <w:r w:rsidR="009709EC" w:rsidRPr="0006219A">
        <w:rPr>
          <w:szCs w:val="24"/>
        </w:rPr>
        <w:t>his</w:t>
      </w:r>
      <w:r w:rsidR="00320AFB" w:rsidRPr="0006219A">
        <w:rPr>
          <w:szCs w:val="24"/>
        </w:rPr>
        <w:t xml:space="preserve"> </w:t>
      </w:r>
      <w:r w:rsidRPr="0006219A">
        <w:rPr>
          <w:szCs w:val="24"/>
        </w:rPr>
        <w:t>expressions of remorse</w:t>
      </w:r>
      <w:r w:rsidR="00D36989" w:rsidRPr="0006219A">
        <w:rPr>
          <w:szCs w:val="24"/>
        </w:rPr>
        <w:t xml:space="preserve"> do not </w:t>
      </w:r>
      <w:r w:rsidRPr="0006219A">
        <w:rPr>
          <w:szCs w:val="24"/>
        </w:rPr>
        <w:t>merit mitigation</w:t>
      </w:r>
      <w:r w:rsidR="00D36989" w:rsidRPr="0006219A">
        <w:rPr>
          <w:szCs w:val="24"/>
        </w:rPr>
        <w:t xml:space="preserve"> </w:t>
      </w:r>
      <w:r w:rsidR="00395D88" w:rsidRPr="0006219A">
        <w:rPr>
          <w:szCs w:val="24"/>
        </w:rPr>
        <w:t>simply because he expressed them by the time of trial</w:t>
      </w:r>
      <w:r w:rsidR="00A21CCD" w:rsidRPr="0006219A">
        <w:rPr>
          <w:szCs w:val="24"/>
        </w:rPr>
        <w:t>.  (</w:t>
      </w:r>
      <w:r w:rsidRPr="0006219A">
        <w:rPr>
          <w:i/>
          <w:szCs w:val="24"/>
        </w:rPr>
        <w:t>Hipolito v. State Bar</w:t>
      </w:r>
      <w:r w:rsidRPr="0006219A">
        <w:rPr>
          <w:szCs w:val="24"/>
        </w:rPr>
        <w:t xml:space="preserve"> (1989) 48 Cal.3d 621, 627, fn. 2 [expressing remorse is “an elementary moral precept which, standing alone, deserves no special consideration in determining the appropriate discipline”].)</w:t>
      </w:r>
    </w:p>
    <w:p w:rsidR="005D3E81" w:rsidRPr="0006219A" w:rsidRDefault="002515DD" w:rsidP="0005404B">
      <w:pPr>
        <w:tabs>
          <w:tab w:val="left" w:pos="720"/>
        </w:tabs>
        <w:spacing w:line="480" w:lineRule="auto"/>
        <w:jc w:val="center"/>
        <w:rPr>
          <w:b/>
          <w:szCs w:val="24"/>
        </w:rPr>
      </w:pPr>
      <w:r w:rsidRPr="0006219A">
        <w:rPr>
          <w:b/>
          <w:szCs w:val="24"/>
        </w:rPr>
        <w:t>I</w:t>
      </w:r>
      <w:r w:rsidR="008B29EA" w:rsidRPr="0006219A">
        <w:rPr>
          <w:b/>
          <w:szCs w:val="24"/>
        </w:rPr>
        <w:t>V.</w:t>
      </w:r>
      <w:r w:rsidR="00C63F7E" w:rsidRPr="0006219A">
        <w:rPr>
          <w:b/>
          <w:szCs w:val="24"/>
        </w:rPr>
        <w:t xml:space="preserve">  </w:t>
      </w:r>
      <w:r w:rsidR="005D3E81" w:rsidRPr="0006219A">
        <w:rPr>
          <w:b/>
          <w:szCs w:val="24"/>
        </w:rPr>
        <w:t>DISBARMENT IS THE PRESUMPTIVE AND APPROPRIATE DISCIPLINE</w:t>
      </w:r>
      <w:r w:rsidR="005D3E81" w:rsidRPr="0006219A">
        <w:rPr>
          <w:b/>
          <w:bCs/>
          <w:szCs w:val="24"/>
          <w:vertAlign w:val="superscript"/>
        </w:rPr>
        <w:footnoteReference w:id="16"/>
      </w:r>
    </w:p>
    <w:p w:rsidR="00A22938" w:rsidRPr="0006219A" w:rsidRDefault="005D3E81" w:rsidP="00EE2EB5">
      <w:pPr>
        <w:spacing w:line="480" w:lineRule="auto"/>
        <w:rPr>
          <w:szCs w:val="24"/>
        </w:rPr>
      </w:pPr>
      <w:r w:rsidRPr="0006219A">
        <w:rPr>
          <w:szCs w:val="24"/>
        </w:rPr>
        <w:tab/>
      </w:r>
      <w:r w:rsidR="00D8716D" w:rsidRPr="0006219A">
        <w:rPr>
          <w:szCs w:val="24"/>
        </w:rPr>
        <w:t xml:space="preserve">Our disciplinary analysis begins with the standards, which, </w:t>
      </w:r>
      <w:r w:rsidR="00D8716D" w:rsidRPr="0006219A">
        <w:rPr>
          <w:rFonts w:eastAsia="Times New Roman"/>
          <w:szCs w:val="24"/>
        </w:rPr>
        <w:t>although not binding, are entitled to great weight (</w:t>
      </w:r>
      <w:r w:rsidR="00564BB3" w:rsidRPr="0006219A">
        <w:rPr>
          <w:rFonts w:eastAsia="Times New Roman"/>
          <w:szCs w:val="24"/>
        </w:rPr>
        <w:t xml:space="preserve">std. 1.1; </w:t>
      </w:r>
      <w:r w:rsidR="00D8716D" w:rsidRPr="0006219A">
        <w:rPr>
          <w:rFonts w:eastAsia="Times New Roman"/>
          <w:i/>
          <w:szCs w:val="24"/>
        </w:rPr>
        <w:t>In re Silverton</w:t>
      </w:r>
      <w:r w:rsidR="00D8716D" w:rsidRPr="0006219A">
        <w:rPr>
          <w:rFonts w:eastAsia="Times New Roman"/>
          <w:szCs w:val="24"/>
        </w:rPr>
        <w:t xml:space="preserve"> (2005) 36 Cal.4th 81, 91</w:t>
      </w:r>
      <w:r w:rsidR="00481BA8" w:rsidRPr="0006219A">
        <w:rPr>
          <w:rFonts w:eastAsia="Times New Roman"/>
          <w:szCs w:val="24"/>
        </w:rPr>
        <w:t>–</w:t>
      </w:r>
      <w:r w:rsidR="00D8716D" w:rsidRPr="0006219A">
        <w:rPr>
          <w:rFonts w:eastAsia="Times New Roman"/>
          <w:szCs w:val="24"/>
        </w:rPr>
        <w:t>92)</w:t>
      </w:r>
      <w:r w:rsidR="00564BB3" w:rsidRPr="0006219A">
        <w:rPr>
          <w:rFonts w:eastAsia="Times New Roman"/>
          <w:szCs w:val="24"/>
        </w:rPr>
        <w:t>, and should be followed</w:t>
      </w:r>
      <w:r w:rsidR="00D8716D" w:rsidRPr="0006219A">
        <w:rPr>
          <w:rFonts w:eastAsia="Times New Roman"/>
          <w:szCs w:val="24"/>
        </w:rPr>
        <w:t xml:space="preserve"> whenever possible (</w:t>
      </w:r>
      <w:r w:rsidR="00564BB3" w:rsidRPr="0006219A">
        <w:rPr>
          <w:rFonts w:eastAsia="Times New Roman"/>
          <w:szCs w:val="24"/>
        </w:rPr>
        <w:t xml:space="preserve">std. 1.1; </w:t>
      </w:r>
      <w:r w:rsidR="00D8716D" w:rsidRPr="0006219A">
        <w:rPr>
          <w:rFonts w:eastAsia="Times New Roman"/>
          <w:i/>
          <w:szCs w:val="24"/>
        </w:rPr>
        <w:t>In re Young</w:t>
      </w:r>
      <w:r w:rsidR="00D8716D" w:rsidRPr="0006219A">
        <w:rPr>
          <w:rFonts w:eastAsia="Times New Roman"/>
          <w:szCs w:val="24"/>
        </w:rPr>
        <w:t xml:space="preserve"> (1989) 49 Cal.3d 257, 267, fn. 11)</w:t>
      </w:r>
      <w:r w:rsidR="00564BB3" w:rsidRPr="0006219A">
        <w:rPr>
          <w:rFonts w:eastAsia="Times New Roman"/>
          <w:szCs w:val="24"/>
        </w:rPr>
        <w:t>.</w:t>
      </w:r>
    </w:p>
    <w:p w:rsidR="00A9543A" w:rsidRPr="0006219A" w:rsidRDefault="00EE075D" w:rsidP="00A9543A">
      <w:pPr>
        <w:tabs>
          <w:tab w:val="left" w:pos="720"/>
        </w:tabs>
        <w:spacing w:line="480" w:lineRule="auto"/>
        <w:ind w:firstLine="720"/>
        <w:rPr>
          <w:szCs w:val="24"/>
        </w:rPr>
      </w:pPr>
      <w:r w:rsidRPr="0006219A">
        <w:rPr>
          <w:rFonts w:eastAsia="Times New Roman"/>
          <w:szCs w:val="24"/>
        </w:rPr>
        <w:lastRenderedPageBreak/>
        <w:t>Here, s</w:t>
      </w:r>
      <w:r w:rsidR="00A22938" w:rsidRPr="0006219A">
        <w:rPr>
          <w:rFonts w:eastAsia="Times New Roman"/>
          <w:szCs w:val="24"/>
        </w:rPr>
        <w:t>everal s</w:t>
      </w:r>
      <w:r w:rsidR="00A22938" w:rsidRPr="0006219A">
        <w:rPr>
          <w:szCs w:val="24"/>
        </w:rPr>
        <w:t>tandards apply, but standard 2.1(a) is the most severe</w:t>
      </w:r>
      <w:r w:rsidR="007908E1" w:rsidRPr="0006219A">
        <w:rPr>
          <w:szCs w:val="24"/>
        </w:rPr>
        <w:t>.</w:t>
      </w:r>
      <w:r w:rsidR="00021A77" w:rsidRPr="00021A77">
        <w:rPr>
          <w:szCs w:val="24"/>
        </w:rPr>
        <w:t xml:space="preserve"> </w:t>
      </w:r>
      <w:r w:rsidR="00021A77">
        <w:rPr>
          <w:szCs w:val="24"/>
        </w:rPr>
        <w:t xml:space="preserve"> </w:t>
      </w:r>
      <w:r w:rsidR="00021A77" w:rsidRPr="0006219A">
        <w:rPr>
          <w:szCs w:val="24"/>
        </w:rPr>
        <w:t>(Std. 1.7(a) [most severe sanction must be imposed where multiple sanctions apply].)</w:t>
      </w:r>
      <w:r w:rsidR="00021A77" w:rsidRPr="0006219A">
        <w:rPr>
          <w:rStyle w:val="FootnoteReference"/>
          <w:szCs w:val="24"/>
        </w:rPr>
        <w:footnoteReference w:id="17"/>
      </w:r>
      <w:r w:rsidR="00021A77" w:rsidRPr="0006219A">
        <w:rPr>
          <w:szCs w:val="24"/>
        </w:rPr>
        <w:t xml:space="preserve">  </w:t>
      </w:r>
      <w:r w:rsidR="00021A77">
        <w:rPr>
          <w:szCs w:val="24"/>
        </w:rPr>
        <w:t>Standard  2.1</w:t>
      </w:r>
      <w:r w:rsidR="006C2597">
        <w:rPr>
          <w:szCs w:val="24"/>
        </w:rPr>
        <w:t>(a)</w:t>
      </w:r>
      <w:r w:rsidR="00A22938" w:rsidRPr="0006219A">
        <w:rPr>
          <w:szCs w:val="24"/>
        </w:rPr>
        <w:t xml:space="preserve"> provid</w:t>
      </w:r>
      <w:r w:rsidR="007908E1" w:rsidRPr="0006219A">
        <w:rPr>
          <w:szCs w:val="24"/>
        </w:rPr>
        <w:t>es</w:t>
      </w:r>
      <w:r w:rsidR="00A22938" w:rsidRPr="0006219A">
        <w:rPr>
          <w:szCs w:val="24"/>
        </w:rPr>
        <w:t xml:space="preserve"> that disbarment is the presumed sanction for intentional misappropriation “unless the amount misappropriated is insignificantly small or sufficiently compelling mitigating circumstances clearly predominate, in which case actual suspension is appropriate.”</w:t>
      </w:r>
      <w:r w:rsidR="00A22938" w:rsidRPr="0006219A">
        <w:rPr>
          <w:rFonts w:eastAsia="Times New Roman"/>
          <w:szCs w:val="24"/>
        </w:rPr>
        <w:t xml:space="preserve">  Sganga </w:t>
      </w:r>
      <w:r w:rsidR="002A639C" w:rsidRPr="0006219A">
        <w:rPr>
          <w:rFonts w:eastAsia="Times New Roman"/>
          <w:szCs w:val="24"/>
        </w:rPr>
        <w:t xml:space="preserve">intentionally </w:t>
      </w:r>
      <w:r w:rsidR="00A22938" w:rsidRPr="0006219A">
        <w:rPr>
          <w:rFonts w:eastAsia="Times New Roman"/>
          <w:szCs w:val="24"/>
        </w:rPr>
        <w:t xml:space="preserve">misappropriated </w:t>
      </w:r>
      <w:r w:rsidR="00A22938" w:rsidRPr="0006219A">
        <w:rPr>
          <w:szCs w:val="24"/>
        </w:rPr>
        <w:t>$61,500, a significant amount</w:t>
      </w:r>
      <w:r w:rsidR="007A6833" w:rsidRPr="0006219A">
        <w:rPr>
          <w:szCs w:val="24"/>
        </w:rPr>
        <w:t xml:space="preserve">. </w:t>
      </w:r>
      <w:r w:rsidR="00A22938" w:rsidRPr="0006219A">
        <w:rPr>
          <w:rFonts w:eastAsia="Times New Roman"/>
          <w:szCs w:val="24"/>
        </w:rPr>
        <w:t xml:space="preserve"> (</w:t>
      </w:r>
      <w:r w:rsidR="00A22938" w:rsidRPr="0006219A">
        <w:rPr>
          <w:rFonts w:eastAsia="Times New Roman"/>
          <w:i/>
          <w:szCs w:val="24"/>
        </w:rPr>
        <w:t xml:space="preserve">Lawhorn v. State Bar </w:t>
      </w:r>
      <w:r w:rsidR="00A22938" w:rsidRPr="0006219A">
        <w:rPr>
          <w:rFonts w:eastAsia="Times New Roman"/>
          <w:szCs w:val="24"/>
        </w:rPr>
        <w:t>(1987) 43 Cal.3d 1357, 1361, 1368 [$1,355.75 deemed not insignificant amount]</w:t>
      </w:r>
      <w:r w:rsidR="00395D88" w:rsidRPr="0006219A">
        <w:rPr>
          <w:rFonts w:eastAsia="Times New Roman"/>
          <w:szCs w:val="24"/>
        </w:rPr>
        <w:t>.</w:t>
      </w:r>
      <w:r w:rsidR="00A22938" w:rsidRPr="0006219A">
        <w:rPr>
          <w:rFonts w:eastAsia="Times New Roman"/>
          <w:szCs w:val="24"/>
        </w:rPr>
        <w:t>)</w:t>
      </w:r>
      <w:r w:rsidR="007E0BF6" w:rsidRPr="0006219A">
        <w:rPr>
          <w:rFonts w:eastAsia="Times New Roman"/>
          <w:szCs w:val="24"/>
        </w:rPr>
        <w:t xml:space="preserve">  </w:t>
      </w:r>
      <w:r w:rsidR="005A46AB" w:rsidRPr="0006219A">
        <w:rPr>
          <w:rFonts w:eastAsia="Times New Roman"/>
          <w:szCs w:val="24"/>
        </w:rPr>
        <w:t>Further, his</w:t>
      </w:r>
      <w:r w:rsidR="00431DD5" w:rsidRPr="0006219A">
        <w:rPr>
          <w:rFonts w:eastAsia="Times New Roman"/>
          <w:szCs w:val="24"/>
        </w:rPr>
        <w:t xml:space="preserve"> </w:t>
      </w:r>
      <w:r w:rsidR="005A46AB" w:rsidRPr="0006219A">
        <w:rPr>
          <w:rFonts w:eastAsia="Times New Roman"/>
          <w:szCs w:val="24"/>
        </w:rPr>
        <w:t>mitigation i</w:t>
      </w:r>
      <w:r w:rsidR="00431DD5" w:rsidRPr="0006219A">
        <w:rPr>
          <w:rFonts w:eastAsia="Times New Roman"/>
          <w:szCs w:val="24"/>
        </w:rPr>
        <w:t>s neither compelling nor does it clearly predominate over his serious misconduct and aggravation.</w:t>
      </w:r>
    </w:p>
    <w:p w:rsidR="00A9543A" w:rsidRPr="0006219A" w:rsidRDefault="008553AD" w:rsidP="00A9543A">
      <w:pPr>
        <w:tabs>
          <w:tab w:val="left" w:pos="720"/>
        </w:tabs>
        <w:spacing w:line="480" w:lineRule="auto"/>
        <w:ind w:firstLine="720"/>
        <w:rPr>
          <w:szCs w:val="24"/>
        </w:rPr>
      </w:pPr>
      <w:r w:rsidRPr="0006219A">
        <w:rPr>
          <w:szCs w:val="24"/>
        </w:rPr>
        <w:t>Unlike the hearing judge, who co</w:t>
      </w:r>
      <w:r w:rsidR="00433597" w:rsidRPr="0006219A">
        <w:rPr>
          <w:szCs w:val="24"/>
        </w:rPr>
        <w:t xml:space="preserve">nsidered this </w:t>
      </w:r>
      <w:r w:rsidR="00545049" w:rsidRPr="0006219A">
        <w:rPr>
          <w:szCs w:val="24"/>
        </w:rPr>
        <w:t xml:space="preserve">matter </w:t>
      </w:r>
      <w:r w:rsidR="00433597" w:rsidRPr="0006219A">
        <w:rPr>
          <w:szCs w:val="24"/>
        </w:rPr>
        <w:t xml:space="preserve">to stem from a </w:t>
      </w:r>
      <w:r w:rsidRPr="0006219A">
        <w:rPr>
          <w:szCs w:val="24"/>
        </w:rPr>
        <w:t xml:space="preserve">good faith fee dispute, we see this case </w:t>
      </w:r>
      <w:r w:rsidR="003F194D" w:rsidRPr="0006219A">
        <w:rPr>
          <w:szCs w:val="24"/>
        </w:rPr>
        <w:t xml:space="preserve">in a far more serious light as one </w:t>
      </w:r>
      <w:r w:rsidR="00433597" w:rsidRPr="0006219A">
        <w:rPr>
          <w:szCs w:val="24"/>
        </w:rPr>
        <w:t xml:space="preserve">primarily </w:t>
      </w:r>
      <w:r w:rsidR="003F194D" w:rsidRPr="0006219A">
        <w:rPr>
          <w:szCs w:val="24"/>
        </w:rPr>
        <w:t xml:space="preserve">of intentional misappropriation.  </w:t>
      </w:r>
      <w:r w:rsidR="001D4E58" w:rsidRPr="0006219A">
        <w:rPr>
          <w:szCs w:val="24"/>
        </w:rPr>
        <w:t xml:space="preserve">Misappropriation of client funds “breaches the high duty of loyalty owed to the client, violates basic notions of honesty, and endangers public confidence in the profession. </w:t>
      </w:r>
      <w:r w:rsidR="00150476" w:rsidRPr="0006219A">
        <w:rPr>
          <w:szCs w:val="24"/>
        </w:rPr>
        <w:t xml:space="preserve"> </w:t>
      </w:r>
      <w:r w:rsidR="001D4E58" w:rsidRPr="0006219A">
        <w:rPr>
          <w:szCs w:val="24"/>
        </w:rPr>
        <w:t>[Citations.]”  (</w:t>
      </w:r>
      <w:r w:rsidR="001D4E58" w:rsidRPr="0006219A">
        <w:rPr>
          <w:i/>
          <w:szCs w:val="24"/>
        </w:rPr>
        <w:t>Kelly v. State Bar</w:t>
      </w:r>
      <w:r w:rsidR="001D4E58" w:rsidRPr="0006219A">
        <w:rPr>
          <w:szCs w:val="24"/>
        </w:rPr>
        <w:t xml:space="preserve"> (1988) 45 Cal.3d 649, 656.)  It is grave misconduct for which disbarment is the usual discipline.  (</w:t>
      </w:r>
      <w:r w:rsidR="001D5459" w:rsidRPr="0006219A">
        <w:rPr>
          <w:i/>
          <w:szCs w:val="24"/>
        </w:rPr>
        <w:t>Edwards</w:t>
      </w:r>
      <w:r w:rsidR="00CE78EE">
        <w:rPr>
          <w:i/>
          <w:szCs w:val="24"/>
        </w:rPr>
        <w:t xml:space="preserve"> v. State Bar</w:t>
      </w:r>
      <w:r w:rsidR="008316D3" w:rsidRPr="0006219A">
        <w:rPr>
          <w:szCs w:val="24"/>
        </w:rPr>
        <w:t xml:space="preserve">, </w:t>
      </w:r>
      <w:r w:rsidR="008316D3" w:rsidRPr="0006219A">
        <w:rPr>
          <w:i/>
          <w:szCs w:val="24"/>
        </w:rPr>
        <w:t>supra</w:t>
      </w:r>
      <w:r w:rsidR="008316D3" w:rsidRPr="0006219A">
        <w:rPr>
          <w:szCs w:val="24"/>
        </w:rPr>
        <w:t xml:space="preserve">, </w:t>
      </w:r>
      <w:r w:rsidR="003A1633" w:rsidRPr="0006219A">
        <w:rPr>
          <w:szCs w:val="24"/>
        </w:rPr>
        <w:t>52</w:t>
      </w:r>
      <w:r w:rsidR="007908E1" w:rsidRPr="0006219A">
        <w:rPr>
          <w:szCs w:val="24"/>
        </w:rPr>
        <w:t> </w:t>
      </w:r>
      <w:r w:rsidR="003A1633" w:rsidRPr="0006219A">
        <w:rPr>
          <w:szCs w:val="24"/>
        </w:rPr>
        <w:t xml:space="preserve">Cal.3d </w:t>
      </w:r>
      <w:r w:rsidR="008316D3" w:rsidRPr="0006219A">
        <w:rPr>
          <w:szCs w:val="24"/>
        </w:rPr>
        <w:t>at p. </w:t>
      </w:r>
      <w:r w:rsidR="003A1633" w:rsidRPr="0006219A">
        <w:rPr>
          <w:szCs w:val="24"/>
        </w:rPr>
        <w:t>38</w:t>
      </w:r>
      <w:r w:rsidR="001D4E58" w:rsidRPr="0006219A">
        <w:rPr>
          <w:szCs w:val="24"/>
        </w:rPr>
        <w:t>.)  “Even a single ‘first-time’ act of misappropriation has warranted such stern treatment.”  (</w:t>
      </w:r>
      <w:r w:rsidR="001D4E58" w:rsidRPr="0006219A">
        <w:rPr>
          <w:i/>
          <w:szCs w:val="24"/>
        </w:rPr>
        <w:t>Kelly v. State Bar</w:t>
      </w:r>
      <w:r w:rsidR="001D4E58" w:rsidRPr="0006219A">
        <w:rPr>
          <w:szCs w:val="24"/>
        </w:rPr>
        <w:t>,</w:t>
      </w:r>
      <w:r w:rsidR="001D4E58" w:rsidRPr="0006219A">
        <w:rPr>
          <w:i/>
          <w:szCs w:val="24"/>
        </w:rPr>
        <w:t xml:space="preserve"> supra</w:t>
      </w:r>
      <w:r w:rsidR="001D4E58" w:rsidRPr="0006219A">
        <w:rPr>
          <w:szCs w:val="24"/>
        </w:rPr>
        <w:t>, 45</w:t>
      </w:r>
      <w:r w:rsidR="00043368" w:rsidRPr="0006219A">
        <w:rPr>
          <w:szCs w:val="24"/>
        </w:rPr>
        <w:t> </w:t>
      </w:r>
      <w:r w:rsidR="001D4E58" w:rsidRPr="0006219A">
        <w:rPr>
          <w:szCs w:val="24"/>
        </w:rPr>
        <w:t>Cal.3d at p. 657.)</w:t>
      </w:r>
    </w:p>
    <w:p w:rsidR="00A9543A" w:rsidRPr="0006219A" w:rsidRDefault="00A9543A" w:rsidP="00A9543A">
      <w:pPr>
        <w:tabs>
          <w:tab w:val="left" w:pos="720"/>
        </w:tabs>
        <w:spacing w:line="480" w:lineRule="auto"/>
        <w:ind w:firstLine="720"/>
        <w:rPr>
          <w:szCs w:val="24"/>
        </w:rPr>
      </w:pPr>
      <w:r w:rsidRPr="0006219A">
        <w:rPr>
          <w:szCs w:val="24"/>
        </w:rPr>
        <w:t xml:space="preserve">While </w:t>
      </w:r>
      <w:r w:rsidR="00433597" w:rsidRPr="0006219A">
        <w:rPr>
          <w:szCs w:val="24"/>
        </w:rPr>
        <w:t xml:space="preserve">we acknowledge that </w:t>
      </w:r>
      <w:r w:rsidRPr="0006219A">
        <w:rPr>
          <w:szCs w:val="24"/>
        </w:rPr>
        <w:t>this is not a typical misappropriation case</w:t>
      </w:r>
      <w:r w:rsidR="00433597" w:rsidRPr="0006219A">
        <w:rPr>
          <w:szCs w:val="24"/>
        </w:rPr>
        <w:t>,</w:t>
      </w:r>
      <w:r w:rsidRPr="0006219A">
        <w:rPr>
          <w:szCs w:val="24"/>
        </w:rPr>
        <w:t xml:space="preserve"> in that Sganga’s actions were not venal, they were nonetheless </w:t>
      </w:r>
      <w:r w:rsidR="00433597" w:rsidRPr="0006219A">
        <w:rPr>
          <w:szCs w:val="24"/>
        </w:rPr>
        <w:t xml:space="preserve">clearly </w:t>
      </w:r>
      <w:r w:rsidRPr="0006219A">
        <w:rPr>
          <w:szCs w:val="24"/>
        </w:rPr>
        <w:t xml:space="preserve">intentional.  </w:t>
      </w:r>
      <w:r w:rsidR="0061222C" w:rsidRPr="0006219A">
        <w:rPr>
          <w:szCs w:val="24"/>
        </w:rPr>
        <w:t>Sganga testified</w:t>
      </w:r>
      <w:r w:rsidRPr="0006219A">
        <w:rPr>
          <w:szCs w:val="24"/>
        </w:rPr>
        <w:t xml:space="preserve"> he believed his clients agreed he was entitled to </w:t>
      </w:r>
      <w:r w:rsidR="00DB4E40" w:rsidRPr="0006219A">
        <w:rPr>
          <w:szCs w:val="24"/>
        </w:rPr>
        <w:t>at least</w:t>
      </w:r>
      <w:r w:rsidRPr="0006219A">
        <w:rPr>
          <w:szCs w:val="24"/>
        </w:rPr>
        <w:t xml:space="preserve"> $80,000 in fees</w:t>
      </w:r>
      <w:r w:rsidR="00F37061" w:rsidRPr="0006219A">
        <w:rPr>
          <w:szCs w:val="24"/>
        </w:rPr>
        <w:t>,</w:t>
      </w:r>
      <w:r w:rsidRPr="0006219A">
        <w:rPr>
          <w:szCs w:val="24"/>
        </w:rPr>
        <w:t xml:space="preserve"> h</w:t>
      </w:r>
      <w:r w:rsidR="00DB4E40" w:rsidRPr="0006219A">
        <w:rPr>
          <w:szCs w:val="24"/>
        </w:rPr>
        <w:t>e</w:t>
      </w:r>
      <w:r w:rsidRPr="0006219A">
        <w:rPr>
          <w:szCs w:val="24"/>
        </w:rPr>
        <w:t xml:space="preserve"> inten</w:t>
      </w:r>
      <w:r w:rsidR="002E6270" w:rsidRPr="0006219A">
        <w:rPr>
          <w:szCs w:val="24"/>
        </w:rPr>
        <w:t>d</w:t>
      </w:r>
      <w:r w:rsidR="00DB4E40" w:rsidRPr="0006219A">
        <w:rPr>
          <w:szCs w:val="24"/>
        </w:rPr>
        <w:t>ed</w:t>
      </w:r>
      <w:r w:rsidRPr="0006219A">
        <w:rPr>
          <w:szCs w:val="24"/>
        </w:rPr>
        <w:t xml:space="preserve"> to withdraw no more</w:t>
      </w:r>
      <w:r w:rsidR="00F37061" w:rsidRPr="0006219A">
        <w:rPr>
          <w:szCs w:val="24"/>
        </w:rPr>
        <w:t xml:space="preserve"> than that,</w:t>
      </w:r>
      <w:r w:rsidRPr="0006219A">
        <w:rPr>
          <w:szCs w:val="24"/>
        </w:rPr>
        <w:t xml:space="preserve"> and he “was running [his] law practice” </w:t>
      </w:r>
      <w:r w:rsidR="00F37061" w:rsidRPr="0006219A">
        <w:rPr>
          <w:szCs w:val="24"/>
        </w:rPr>
        <w:t>by</w:t>
      </w:r>
      <w:r w:rsidRPr="0006219A">
        <w:rPr>
          <w:szCs w:val="24"/>
        </w:rPr>
        <w:t xml:space="preserve"> us</w:t>
      </w:r>
      <w:r w:rsidR="00F37061" w:rsidRPr="0006219A">
        <w:rPr>
          <w:szCs w:val="24"/>
        </w:rPr>
        <w:t>ing</w:t>
      </w:r>
      <w:r w:rsidRPr="0006219A">
        <w:rPr>
          <w:szCs w:val="24"/>
        </w:rPr>
        <w:t xml:space="preserve"> th</w:t>
      </w:r>
      <w:r w:rsidR="00DB4E40" w:rsidRPr="0006219A">
        <w:rPr>
          <w:szCs w:val="24"/>
        </w:rPr>
        <w:t>os</w:t>
      </w:r>
      <w:r w:rsidRPr="0006219A">
        <w:rPr>
          <w:szCs w:val="24"/>
        </w:rPr>
        <w:t>e funds to pay employees</w:t>
      </w:r>
      <w:r w:rsidR="001D6F05" w:rsidRPr="0006219A">
        <w:rPr>
          <w:szCs w:val="24"/>
        </w:rPr>
        <w:t>, to no avail</w:t>
      </w:r>
      <w:r w:rsidR="00DB4E40" w:rsidRPr="0006219A">
        <w:rPr>
          <w:szCs w:val="24"/>
        </w:rPr>
        <w:t>.</w:t>
      </w:r>
      <w:r w:rsidRPr="0006219A">
        <w:rPr>
          <w:szCs w:val="24"/>
        </w:rPr>
        <w:t xml:space="preserve"> </w:t>
      </w:r>
      <w:r w:rsidR="00573BE1" w:rsidRPr="0006219A">
        <w:rPr>
          <w:szCs w:val="24"/>
        </w:rPr>
        <w:t xml:space="preserve"> </w:t>
      </w:r>
      <w:r w:rsidRPr="0006219A">
        <w:rPr>
          <w:szCs w:val="24"/>
        </w:rPr>
        <w:t>“</w:t>
      </w:r>
      <w:r w:rsidR="002E6270" w:rsidRPr="0006219A">
        <w:rPr>
          <w:szCs w:val="24"/>
        </w:rPr>
        <w:t>W</w:t>
      </w:r>
      <w:r w:rsidR="00F37061" w:rsidRPr="0006219A">
        <w:rPr>
          <w:szCs w:val="24"/>
        </w:rPr>
        <w:t xml:space="preserve">hether </w:t>
      </w:r>
      <w:r w:rsidRPr="0006219A">
        <w:rPr>
          <w:szCs w:val="24"/>
        </w:rPr>
        <w:t xml:space="preserve">the money went directly into his pockets, or indirectly into his pockets through payment of office expenses he was obligated to pay, matters little.  [Sganga] intentionally took </w:t>
      </w:r>
      <w:r w:rsidRPr="0006219A">
        <w:rPr>
          <w:szCs w:val="24"/>
        </w:rPr>
        <w:lastRenderedPageBreak/>
        <w:t>his client</w:t>
      </w:r>
      <w:r w:rsidR="00CE78EE">
        <w:rPr>
          <w:szCs w:val="24"/>
        </w:rPr>
        <w:t>[</w:t>
      </w:r>
      <w:r w:rsidRPr="0006219A">
        <w:rPr>
          <w:szCs w:val="24"/>
        </w:rPr>
        <w:t>’s</w:t>
      </w:r>
      <w:r w:rsidR="00CE78EE">
        <w:rPr>
          <w:szCs w:val="24"/>
        </w:rPr>
        <w:t>]</w:t>
      </w:r>
      <w:r w:rsidRPr="0006219A">
        <w:rPr>
          <w:szCs w:val="24"/>
        </w:rPr>
        <w:t xml:space="preserve"> money for his personal benefit. </w:t>
      </w:r>
      <w:r w:rsidR="008050A7" w:rsidRPr="0006219A">
        <w:rPr>
          <w:szCs w:val="24"/>
        </w:rPr>
        <w:t>. . .</w:t>
      </w:r>
      <w:r w:rsidRPr="0006219A">
        <w:rPr>
          <w:szCs w:val="24"/>
        </w:rPr>
        <w:t xml:space="preserve"> </w:t>
      </w:r>
      <w:r w:rsidR="008050A7" w:rsidRPr="0006219A">
        <w:rPr>
          <w:szCs w:val="24"/>
        </w:rPr>
        <w:t>[T]</w:t>
      </w:r>
      <w:r w:rsidRPr="0006219A">
        <w:rPr>
          <w:szCs w:val="24"/>
        </w:rPr>
        <w:t>he impact of this misconduct on the client[s] is the same.”  (</w:t>
      </w:r>
      <w:r w:rsidRPr="0006219A">
        <w:rPr>
          <w:i/>
          <w:szCs w:val="24"/>
        </w:rPr>
        <w:t>Spaith</w:t>
      </w:r>
      <w:r w:rsidRPr="0006219A">
        <w:rPr>
          <w:szCs w:val="24"/>
        </w:rPr>
        <w:t xml:space="preserve">, </w:t>
      </w:r>
      <w:r w:rsidRPr="0006219A">
        <w:rPr>
          <w:i/>
          <w:szCs w:val="24"/>
        </w:rPr>
        <w:t>supra</w:t>
      </w:r>
      <w:r w:rsidRPr="0006219A">
        <w:rPr>
          <w:szCs w:val="24"/>
        </w:rPr>
        <w:t>, 3 </w:t>
      </w:r>
      <w:r w:rsidR="00E8359C" w:rsidRPr="0006219A">
        <w:rPr>
          <w:szCs w:val="24"/>
        </w:rPr>
        <w:t>Cal. State Bar Ct. Rptr. at pp. </w:t>
      </w:r>
      <w:r w:rsidRPr="0006219A">
        <w:rPr>
          <w:szCs w:val="24"/>
        </w:rPr>
        <w:t>519–520.)</w:t>
      </w:r>
    </w:p>
    <w:p w:rsidR="00F22FBB" w:rsidRPr="0006219A" w:rsidRDefault="006C6AAF" w:rsidP="00A9543A">
      <w:pPr>
        <w:tabs>
          <w:tab w:val="left" w:pos="720"/>
        </w:tabs>
        <w:spacing w:line="480" w:lineRule="auto"/>
        <w:ind w:firstLine="720"/>
        <w:rPr>
          <w:szCs w:val="24"/>
        </w:rPr>
      </w:pPr>
      <w:r w:rsidRPr="0006219A">
        <w:rPr>
          <w:szCs w:val="24"/>
        </w:rPr>
        <w:t xml:space="preserve">We </w:t>
      </w:r>
      <w:r w:rsidR="00A9543A" w:rsidRPr="0006219A">
        <w:rPr>
          <w:szCs w:val="24"/>
        </w:rPr>
        <w:t xml:space="preserve">further </w:t>
      </w:r>
      <w:r w:rsidRPr="0006219A">
        <w:rPr>
          <w:szCs w:val="24"/>
        </w:rPr>
        <w:t xml:space="preserve">acknowledge </w:t>
      </w:r>
      <w:r w:rsidR="002A639C" w:rsidRPr="0006219A">
        <w:rPr>
          <w:szCs w:val="24"/>
        </w:rPr>
        <w:t>Sganga</w:t>
      </w:r>
      <w:r w:rsidR="0041265C" w:rsidRPr="0006219A">
        <w:rPr>
          <w:szCs w:val="24"/>
        </w:rPr>
        <w:t xml:space="preserve">’s contention that his misconduct resulted from </w:t>
      </w:r>
      <w:r w:rsidR="0030114A" w:rsidRPr="0006219A">
        <w:rPr>
          <w:szCs w:val="24"/>
        </w:rPr>
        <w:t xml:space="preserve">a confluence of events that led him to engage in aberrational </w:t>
      </w:r>
      <w:r w:rsidR="00CF44E3" w:rsidRPr="0006219A">
        <w:rPr>
          <w:szCs w:val="24"/>
        </w:rPr>
        <w:t>behavior</w:t>
      </w:r>
      <w:r w:rsidR="0030114A" w:rsidRPr="0006219A">
        <w:rPr>
          <w:szCs w:val="24"/>
        </w:rPr>
        <w:t xml:space="preserve">.  </w:t>
      </w:r>
      <w:r w:rsidR="008050A7" w:rsidRPr="0006219A">
        <w:rPr>
          <w:szCs w:val="24"/>
        </w:rPr>
        <w:t>H</w:t>
      </w:r>
      <w:r w:rsidR="0030114A" w:rsidRPr="0006219A">
        <w:rPr>
          <w:szCs w:val="24"/>
        </w:rPr>
        <w:t xml:space="preserve">e </w:t>
      </w:r>
      <w:r w:rsidR="00774E27" w:rsidRPr="0006219A">
        <w:rPr>
          <w:szCs w:val="24"/>
        </w:rPr>
        <w:t xml:space="preserve">was </w:t>
      </w:r>
      <w:r w:rsidR="002A639C" w:rsidRPr="0006219A">
        <w:rPr>
          <w:szCs w:val="24"/>
        </w:rPr>
        <w:t>deal</w:t>
      </w:r>
      <w:r w:rsidR="00774E27" w:rsidRPr="0006219A">
        <w:rPr>
          <w:szCs w:val="24"/>
        </w:rPr>
        <w:t>ing</w:t>
      </w:r>
      <w:r w:rsidR="002A639C" w:rsidRPr="0006219A">
        <w:rPr>
          <w:szCs w:val="24"/>
        </w:rPr>
        <w:t xml:space="preserve"> with </w:t>
      </w:r>
      <w:r w:rsidR="002A639C" w:rsidRPr="0006219A">
        <w:rPr>
          <w:bCs/>
          <w:szCs w:val="24"/>
        </w:rPr>
        <w:t>serious injuries and health issues, as well as family stresses</w:t>
      </w:r>
      <w:r w:rsidR="00150476" w:rsidRPr="0006219A">
        <w:rPr>
          <w:bCs/>
          <w:szCs w:val="24"/>
        </w:rPr>
        <w:t>,</w:t>
      </w:r>
      <w:r w:rsidR="002A639C" w:rsidRPr="0006219A">
        <w:rPr>
          <w:bCs/>
          <w:szCs w:val="24"/>
        </w:rPr>
        <w:t xml:space="preserve"> </w:t>
      </w:r>
      <w:r w:rsidR="00A737D0" w:rsidRPr="0006219A">
        <w:rPr>
          <w:bCs/>
          <w:szCs w:val="24"/>
        </w:rPr>
        <w:t>during</w:t>
      </w:r>
      <w:r w:rsidR="005C4618" w:rsidRPr="0006219A">
        <w:rPr>
          <w:bCs/>
          <w:szCs w:val="24"/>
        </w:rPr>
        <w:t xml:space="preserve"> </w:t>
      </w:r>
      <w:r w:rsidR="002A639C" w:rsidRPr="0006219A">
        <w:rPr>
          <w:bCs/>
          <w:szCs w:val="24"/>
        </w:rPr>
        <w:t>early 2014</w:t>
      </w:r>
      <w:r w:rsidR="002E6270" w:rsidRPr="0006219A">
        <w:rPr>
          <w:bCs/>
          <w:szCs w:val="24"/>
        </w:rPr>
        <w:t>.  At the same time</w:t>
      </w:r>
      <w:r w:rsidR="00A737D0" w:rsidRPr="0006219A">
        <w:rPr>
          <w:bCs/>
          <w:szCs w:val="24"/>
        </w:rPr>
        <w:t>,</w:t>
      </w:r>
      <w:r w:rsidR="0030114A" w:rsidRPr="0006219A">
        <w:rPr>
          <w:bCs/>
          <w:szCs w:val="24"/>
        </w:rPr>
        <w:t xml:space="preserve"> he felt </w:t>
      </w:r>
      <w:r w:rsidR="005C4618" w:rsidRPr="0006219A">
        <w:rPr>
          <w:bCs/>
          <w:szCs w:val="24"/>
        </w:rPr>
        <w:t xml:space="preserve">anger, betrayal, and heartbreak </w:t>
      </w:r>
      <w:r w:rsidR="002E6270" w:rsidRPr="0006219A">
        <w:rPr>
          <w:bCs/>
          <w:szCs w:val="24"/>
        </w:rPr>
        <w:t xml:space="preserve">that </w:t>
      </w:r>
      <w:r w:rsidR="005C4618" w:rsidRPr="0006219A">
        <w:rPr>
          <w:bCs/>
          <w:szCs w:val="24"/>
        </w:rPr>
        <w:t xml:space="preserve">his clients </w:t>
      </w:r>
      <w:r w:rsidR="00774E27" w:rsidRPr="0006219A">
        <w:rPr>
          <w:bCs/>
          <w:szCs w:val="24"/>
        </w:rPr>
        <w:t>wanted him to</w:t>
      </w:r>
      <w:r w:rsidR="005C4618" w:rsidRPr="0006219A">
        <w:rPr>
          <w:bCs/>
          <w:szCs w:val="24"/>
        </w:rPr>
        <w:t xml:space="preserve"> reduce his fees despite </w:t>
      </w:r>
      <w:r w:rsidR="00774E27" w:rsidRPr="0006219A">
        <w:rPr>
          <w:bCs/>
          <w:szCs w:val="24"/>
        </w:rPr>
        <w:t xml:space="preserve">their own admission that he </w:t>
      </w:r>
      <w:r w:rsidR="005C4618" w:rsidRPr="0006219A">
        <w:rPr>
          <w:bCs/>
          <w:szCs w:val="24"/>
        </w:rPr>
        <w:t>obtain</w:t>
      </w:r>
      <w:r w:rsidR="00774E27" w:rsidRPr="0006219A">
        <w:rPr>
          <w:bCs/>
          <w:szCs w:val="24"/>
        </w:rPr>
        <w:t>ed</w:t>
      </w:r>
      <w:r w:rsidR="005C4618" w:rsidRPr="0006219A">
        <w:rPr>
          <w:bCs/>
          <w:szCs w:val="24"/>
        </w:rPr>
        <w:t xml:space="preserve"> a favorable </w:t>
      </w:r>
      <w:r w:rsidR="0030114A" w:rsidRPr="0006219A">
        <w:rPr>
          <w:bCs/>
          <w:szCs w:val="24"/>
        </w:rPr>
        <w:t>outcome for them</w:t>
      </w:r>
      <w:r w:rsidR="005C4618" w:rsidRPr="0006219A">
        <w:rPr>
          <w:bCs/>
          <w:szCs w:val="24"/>
        </w:rPr>
        <w:t xml:space="preserve">.  </w:t>
      </w:r>
      <w:r w:rsidR="00ED576D" w:rsidRPr="0006219A">
        <w:rPr>
          <w:szCs w:val="24"/>
        </w:rPr>
        <w:t>Moreover, we agree that Sganga now recognizes his wrongdoing</w:t>
      </w:r>
      <w:r w:rsidR="00AE3825" w:rsidRPr="0006219A">
        <w:rPr>
          <w:szCs w:val="24"/>
        </w:rPr>
        <w:t xml:space="preserve"> and </w:t>
      </w:r>
      <w:r w:rsidR="00ED576D" w:rsidRPr="0006219A">
        <w:rPr>
          <w:szCs w:val="24"/>
        </w:rPr>
        <w:t>has learned from his mistakes</w:t>
      </w:r>
      <w:r w:rsidR="00F22FBB" w:rsidRPr="0006219A">
        <w:rPr>
          <w:szCs w:val="24"/>
        </w:rPr>
        <w:t xml:space="preserve">.  </w:t>
      </w:r>
      <w:r w:rsidR="005C4618" w:rsidRPr="0006219A">
        <w:rPr>
          <w:bCs/>
          <w:szCs w:val="24"/>
        </w:rPr>
        <w:t>Yet, m</w:t>
      </w:r>
      <w:r w:rsidR="001D4E58" w:rsidRPr="0006219A">
        <w:rPr>
          <w:szCs w:val="24"/>
        </w:rPr>
        <w:t xml:space="preserve">any attorneys experience </w:t>
      </w:r>
      <w:r w:rsidR="005C4618" w:rsidRPr="0006219A">
        <w:rPr>
          <w:szCs w:val="24"/>
        </w:rPr>
        <w:t>physical and e</w:t>
      </w:r>
      <w:r w:rsidR="001D4E58" w:rsidRPr="0006219A">
        <w:rPr>
          <w:szCs w:val="24"/>
        </w:rPr>
        <w:t xml:space="preserve">motional difficulties comparable to those </w:t>
      </w:r>
      <w:r w:rsidR="005C4618" w:rsidRPr="0006219A">
        <w:rPr>
          <w:szCs w:val="24"/>
        </w:rPr>
        <w:t>Sganga</w:t>
      </w:r>
      <w:r w:rsidR="001D4E58" w:rsidRPr="0006219A">
        <w:rPr>
          <w:szCs w:val="24"/>
        </w:rPr>
        <w:t xml:space="preserve"> faced</w:t>
      </w:r>
      <w:r w:rsidR="00774E27" w:rsidRPr="0006219A">
        <w:rPr>
          <w:szCs w:val="24"/>
        </w:rPr>
        <w:t xml:space="preserve"> without committing </w:t>
      </w:r>
      <w:r w:rsidR="006B6A81" w:rsidRPr="0006219A">
        <w:rPr>
          <w:szCs w:val="24"/>
        </w:rPr>
        <w:t>misconduct</w:t>
      </w:r>
      <w:r w:rsidR="001D4E58" w:rsidRPr="0006219A">
        <w:rPr>
          <w:szCs w:val="24"/>
        </w:rPr>
        <w:t xml:space="preserve">. </w:t>
      </w:r>
      <w:r w:rsidR="00AE58F3" w:rsidRPr="0006219A">
        <w:rPr>
          <w:szCs w:val="24"/>
        </w:rPr>
        <w:t xml:space="preserve"> </w:t>
      </w:r>
      <w:r w:rsidR="001D4E58" w:rsidRPr="0006219A">
        <w:rPr>
          <w:szCs w:val="24"/>
        </w:rPr>
        <w:t>“While these stresses are never easy, we must expect attorneys to cope with them without engaging in dishonest activities, as did [</w:t>
      </w:r>
      <w:r w:rsidR="005C4618" w:rsidRPr="0006219A">
        <w:rPr>
          <w:szCs w:val="24"/>
        </w:rPr>
        <w:t>Sganga</w:t>
      </w:r>
      <w:r w:rsidR="001D4E58" w:rsidRPr="0006219A">
        <w:rPr>
          <w:szCs w:val="24"/>
        </w:rPr>
        <w:t>].”  (</w:t>
      </w:r>
      <w:r w:rsidR="001D4E58" w:rsidRPr="0006219A">
        <w:rPr>
          <w:i/>
          <w:szCs w:val="24"/>
        </w:rPr>
        <w:t>Spaith</w:t>
      </w:r>
      <w:r w:rsidR="00B66BED" w:rsidRPr="0006219A">
        <w:rPr>
          <w:szCs w:val="24"/>
        </w:rPr>
        <w:t xml:space="preserve">, </w:t>
      </w:r>
      <w:r w:rsidR="00B66BED" w:rsidRPr="0006219A">
        <w:rPr>
          <w:i/>
          <w:szCs w:val="24"/>
        </w:rPr>
        <w:t>supra</w:t>
      </w:r>
      <w:r w:rsidR="00B66BED" w:rsidRPr="0006219A">
        <w:rPr>
          <w:szCs w:val="24"/>
        </w:rPr>
        <w:t>, 3 Cal. State Bar Ct. Rptr. at p.</w:t>
      </w:r>
      <w:r w:rsidR="00E8359C" w:rsidRPr="0006219A">
        <w:rPr>
          <w:szCs w:val="24"/>
        </w:rPr>
        <w:t> </w:t>
      </w:r>
      <w:r w:rsidR="001D4E58" w:rsidRPr="0006219A">
        <w:rPr>
          <w:szCs w:val="24"/>
        </w:rPr>
        <w:t>522.)  “Misappropriation of a client’s funds simply cannot be excused or substantially mitigated because of an attorney’s needs, no matter how compelling.”  (</w:t>
      </w:r>
      <w:r w:rsidR="001D4E58" w:rsidRPr="0006219A">
        <w:rPr>
          <w:i/>
          <w:szCs w:val="24"/>
        </w:rPr>
        <w:t>Hitchcock v. State Bar</w:t>
      </w:r>
      <w:r w:rsidR="001D4E58" w:rsidRPr="0006219A">
        <w:rPr>
          <w:szCs w:val="24"/>
        </w:rPr>
        <w:t xml:space="preserve"> (1989) 48 Cal.3d 690, 709.)</w:t>
      </w:r>
      <w:r w:rsidR="005D7723" w:rsidRPr="0006219A">
        <w:rPr>
          <w:szCs w:val="24"/>
        </w:rPr>
        <w:t xml:space="preserve">  </w:t>
      </w:r>
      <w:r w:rsidR="005D7723" w:rsidRPr="0006219A">
        <w:rPr>
          <w:rFonts w:eastAsia="Times New Roman"/>
          <w:szCs w:val="24"/>
        </w:rPr>
        <w:t xml:space="preserve">Indeed, </w:t>
      </w:r>
      <w:r w:rsidR="00F24724" w:rsidRPr="0006219A">
        <w:rPr>
          <w:bCs/>
          <w:szCs w:val="24"/>
        </w:rPr>
        <w:t>Sganga</w:t>
      </w:r>
      <w:r w:rsidR="005D7723" w:rsidRPr="0006219A">
        <w:rPr>
          <w:bCs/>
          <w:szCs w:val="24"/>
        </w:rPr>
        <w:t xml:space="preserve"> himself</w:t>
      </w:r>
      <w:r w:rsidR="00665CC8" w:rsidRPr="0006219A">
        <w:rPr>
          <w:bCs/>
          <w:szCs w:val="24"/>
        </w:rPr>
        <w:t xml:space="preserve"> insightfully</w:t>
      </w:r>
      <w:r w:rsidR="005D7723" w:rsidRPr="0006219A">
        <w:rPr>
          <w:bCs/>
          <w:szCs w:val="24"/>
        </w:rPr>
        <w:t xml:space="preserve"> testified, “I’m not going to blame what I did on those things.  I know it was wrong to do it, and all those things were going on at the same time.  I know my judgment was clouded, but those things didn’t force me to write those checks.”</w:t>
      </w:r>
    </w:p>
    <w:p w:rsidR="004F48ED" w:rsidRPr="0006219A" w:rsidRDefault="00AE58F3" w:rsidP="00F22FBB">
      <w:pPr>
        <w:spacing w:line="480" w:lineRule="auto"/>
        <w:ind w:firstLine="720"/>
        <w:rPr>
          <w:bCs/>
          <w:szCs w:val="24"/>
        </w:rPr>
      </w:pPr>
      <w:r w:rsidRPr="0006219A">
        <w:rPr>
          <w:szCs w:val="24"/>
        </w:rPr>
        <w:t xml:space="preserve">On review, </w:t>
      </w:r>
      <w:r w:rsidR="0030114A" w:rsidRPr="0006219A">
        <w:rPr>
          <w:szCs w:val="24"/>
        </w:rPr>
        <w:t>Sganga argues that the 60-day actual suspension recommen</w:t>
      </w:r>
      <w:r w:rsidR="00D91F35" w:rsidRPr="0006219A">
        <w:rPr>
          <w:szCs w:val="24"/>
        </w:rPr>
        <w:t>d</w:t>
      </w:r>
      <w:r w:rsidR="0030114A" w:rsidRPr="0006219A">
        <w:rPr>
          <w:szCs w:val="24"/>
        </w:rPr>
        <w:t>ed by the hearing judge is appropriate</w:t>
      </w:r>
      <w:r w:rsidR="006B2AFA" w:rsidRPr="0006219A">
        <w:rPr>
          <w:szCs w:val="24"/>
        </w:rPr>
        <w:t>.</w:t>
      </w:r>
      <w:r w:rsidR="00F630F8" w:rsidRPr="0006219A">
        <w:rPr>
          <w:szCs w:val="24"/>
        </w:rPr>
        <w:t xml:space="preserve"> </w:t>
      </w:r>
      <w:r w:rsidR="006B2AFA" w:rsidRPr="0006219A">
        <w:rPr>
          <w:szCs w:val="24"/>
        </w:rPr>
        <w:t xml:space="preserve"> He</w:t>
      </w:r>
      <w:r w:rsidR="0030114A" w:rsidRPr="0006219A">
        <w:rPr>
          <w:szCs w:val="24"/>
        </w:rPr>
        <w:t xml:space="preserve"> </w:t>
      </w:r>
      <w:r w:rsidR="00D505DB" w:rsidRPr="0006219A">
        <w:rPr>
          <w:szCs w:val="24"/>
        </w:rPr>
        <w:t>cites multiple</w:t>
      </w:r>
      <w:r w:rsidR="0030114A" w:rsidRPr="0006219A">
        <w:rPr>
          <w:szCs w:val="24"/>
        </w:rPr>
        <w:t xml:space="preserve"> cases</w:t>
      </w:r>
      <w:r w:rsidR="00D505DB" w:rsidRPr="0006219A">
        <w:rPr>
          <w:szCs w:val="24"/>
        </w:rPr>
        <w:t xml:space="preserve">, including </w:t>
      </w:r>
      <w:r w:rsidR="004F48ED" w:rsidRPr="0006219A">
        <w:rPr>
          <w:szCs w:val="24"/>
        </w:rPr>
        <w:t>many</w:t>
      </w:r>
      <w:r w:rsidR="00D505DB" w:rsidRPr="0006219A">
        <w:rPr>
          <w:szCs w:val="24"/>
        </w:rPr>
        <w:t xml:space="preserve"> the judge relied upon, whe</w:t>
      </w:r>
      <w:r w:rsidR="0030114A" w:rsidRPr="0006219A">
        <w:rPr>
          <w:szCs w:val="24"/>
        </w:rPr>
        <w:t xml:space="preserve">re discipline less than disbarment was imposed.  The circumstances of these older cases, however, are fact-specific and distinguishable from </w:t>
      </w:r>
      <w:r w:rsidR="00430FA8" w:rsidRPr="0006219A">
        <w:rPr>
          <w:szCs w:val="24"/>
        </w:rPr>
        <w:t>Sganga’s</w:t>
      </w:r>
      <w:r w:rsidR="0030114A" w:rsidRPr="0006219A">
        <w:rPr>
          <w:szCs w:val="24"/>
        </w:rPr>
        <w:t xml:space="preserve"> intentional misconduct</w:t>
      </w:r>
      <w:r w:rsidR="00D91F35" w:rsidRPr="0006219A">
        <w:rPr>
          <w:szCs w:val="24"/>
        </w:rPr>
        <w:t>.</w:t>
      </w:r>
    </w:p>
    <w:p w:rsidR="000528E4" w:rsidRPr="0006219A" w:rsidRDefault="004F48ED" w:rsidP="00932D7B">
      <w:pPr>
        <w:tabs>
          <w:tab w:val="left" w:pos="720"/>
        </w:tabs>
        <w:spacing w:line="480" w:lineRule="auto"/>
        <w:rPr>
          <w:szCs w:val="24"/>
        </w:rPr>
      </w:pPr>
      <w:r w:rsidRPr="0006219A">
        <w:rPr>
          <w:szCs w:val="24"/>
        </w:rPr>
        <w:lastRenderedPageBreak/>
        <w:tab/>
        <w:t xml:space="preserve">First, </w:t>
      </w:r>
      <w:r w:rsidR="004E012D" w:rsidRPr="0006219A">
        <w:rPr>
          <w:szCs w:val="24"/>
        </w:rPr>
        <w:t xml:space="preserve">several </w:t>
      </w:r>
      <w:r w:rsidRPr="0006219A">
        <w:rPr>
          <w:szCs w:val="24"/>
        </w:rPr>
        <w:t>cases d</w:t>
      </w:r>
      <w:r w:rsidR="004E012D" w:rsidRPr="0006219A">
        <w:rPr>
          <w:szCs w:val="24"/>
        </w:rPr>
        <w:t>id not involve misappropriation of entrusted client funds.</w:t>
      </w:r>
      <w:r w:rsidR="00AE3825" w:rsidRPr="0006219A">
        <w:rPr>
          <w:rStyle w:val="FootnoteReference"/>
          <w:szCs w:val="24"/>
        </w:rPr>
        <w:footnoteReference w:id="18"/>
      </w:r>
      <w:r w:rsidR="004E012D" w:rsidRPr="0006219A">
        <w:rPr>
          <w:szCs w:val="24"/>
        </w:rPr>
        <w:t xml:space="preserve">  </w:t>
      </w:r>
      <w:r w:rsidRPr="0006219A">
        <w:rPr>
          <w:szCs w:val="24"/>
        </w:rPr>
        <w:t xml:space="preserve">Second, in cases where the attorney </w:t>
      </w:r>
      <w:r w:rsidR="004E012D" w:rsidRPr="0006219A">
        <w:rPr>
          <w:szCs w:val="24"/>
        </w:rPr>
        <w:t xml:space="preserve">willfully misappropriated client funds </w:t>
      </w:r>
      <w:r w:rsidRPr="0006219A">
        <w:rPr>
          <w:szCs w:val="24"/>
        </w:rPr>
        <w:t xml:space="preserve">but </w:t>
      </w:r>
      <w:r w:rsidR="004E012D" w:rsidRPr="0006219A">
        <w:rPr>
          <w:szCs w:val="24"/>
        </w:rPr>
        <w:t>was not disbarred</w:t>
      </w:r>
      <w:r w:rsidRPr="0006219A">
        <w:rPr>
          <w:szCs w:val="24"/>
        </w:rPr>
        <w:t xml:space="preserve">, </w:t>
      </w:r>
      <w:r w:rsidR="004E012D" w:rsidRPr="0006219A">
        <w:rPr>
          <w:szCs w:val="24"/>
        </w:rPr>
        <w:t xml:space="preserve">the attorney established compelling mitigating circumstances relating to character or background or to unusual difficulties experienced at the time of the misconduct that </w:t>
      </w:r>
      <w:r w:rsidR="00E34305" w:rsidRPr="0006219A">
        <w:rPr>
          <w:szCs w:val="24"/>
        </w:rPr>
        <w:t>tended to show</w:t>
      </w:r>
      <w:r w:rsidR="004E012D" w:rsidRPr="0006219A">
        <w:rPr>
          <w:szCs w:val="24"/>
        </w:rPr>
        <w:t xml:space="preserve"> the misconduct was aberrational and unlikely to recur.</w:t>
      </w:r>
      <w:r w:rsidR="004C6FA3" w:rsidRPr="0006219A">
        <w:rPr>
          <w:rStyle w:val="FootnoteReference"/>
          <w:szCs w:val="24"/>
        </w:rPr>
        <w:footnoteReference w:id="19"/>
      </w:r>
      <w:r w:rsidR="004E012D" w:rsidRPr="0006219A">
        <w:rPr>
          <w:szCs w:val="24"/>
        </w:rPr>
        <w:t xml:space="preserve">  Third, </w:t>
      </w:r>
      <w:r w:rsidR="00E43E87" w:rsidRPr="0006219A">
        <w:rPr>
          <w:szCs w:val="24"/>
        </w:rPr>
        <w:t>some</w:t>
      </w:r>
      <w:r w:rsidR="004E012D" w:rsidRPr="0006219A">
        <w:rPr>
          <w:szCs w:val="24"/>
        </w:rPr>
        <w:t xml:space="preserve"> cases were decided before the standards</w:t>
      </w:r>
      <w:r w:rsidR="000A3D38" w:rsidRPr="0006219A">
        <w:rPr>
          <w:szCs w:val="24"/>
        </w:rPr>
        <w:t>’</w:t>
      </w:r>
      <w:r w:rsidR="004E012D" w:rsidRPr="0006219A">
        <w:rPr>
          <w:szCs w:val="24"/>
        </w:rPr>
        <w:t xml:space="preserve"> </w:t>
      </w:r>
      <w:r w:rsidR="000A3D38" w:rsidRPr="0006219A">
        <w:rPr>
          <w:szCs w:val="24"/>
        </w:rPr>
        <w:t>implementation</w:t>
      </w:r>
      <w:r w:rsidR="004E012D" w:rsidRPr="0006219A">
        <w:rPr>
          <w:szCs w:val="24"/>
        </w:rPr>
        <w:t xml:space="preserve"> in 1986 and did not involve an attorney who entered into a settlement agreement with a client </w:t>
      </w:r>
      <w:r w:rsidR="001036B1" w:rsidRPr="0006219A">
        <w:rPr>
          <w:szCs w:val="24"/>
        </w:rPr>
        <w:t>that</w:t>
      </w:r>
      <w:r w:rsidR="00F630F8" w:rsidRPr="0006219A">
        <w:rPr>
          <w:szCs w:val="24"/>
        </w:rPr>
        <w:t xml:space="preserve"> improperly</w:t>
      </w:r>
      <w:r w:rsidR="001036B1" w:rsidRPr="0006219A">
        <w:rPr>
          <w:szCs w:val="24"/>
        </w:rPr>
        <w:t xml:space="preserve"> </w:t>
      </w:r>
      <w:r w:rsidR="00EB7EB6" w:rsidRPr="0006219A">
        <w:rPr>
          <w:szCs w:val="24"/>
        </w:rPr>
        <w:t>obligat</w:t>
      </w:r>
      <w:r w:rsidR="001036B1" w:rsidRPr="0006219A">
        <w:rPr>
          <w:szCs w:val="24"/>
        </w:rPr>
        <w:t>ed</w:t>
      </w:r>
      <w:r w:rsidR="00EB7EB6" w:rsidRPr="0006219A">
        <w:rPr>
          <w:szCs w:val="24"/>
        </w:rPr>
        <w:t xml:space="preserve"> the client to </w:t>
      </w:r>
      <w:r w:rsidR="00E34305" w:rsidRPr="0006219A">
        <w:rPr>
          <w:szCs w:val="24"/>
        </w:rPr>
        <w:t xml:space="preserve">take steps to </w:t>
      </w:r>
      <w:r w:rsidR="00EB7EB6" w:rsidRPr="0006219A">
        <w:rPr>
          <w:szCs w:val="24"/>
        </w:rPr>
        <w:t>have a State Bar complaint dismissed</w:t>
      </w:r>
      <w:r w:rsidR="004E012D" w:rsidRPr="0006219A">
        <w:rPr>
          <w:szCs w:val="24"/>
        </w:rPr>
        <w:t>.</w:t>
      </w:r>
      <w:r w:rsidR="004C6FA3" w:rsidRPr="0006219A">
        <w:rPr>
          <w:rStyle w:val="FootnoteReference"/>
          <w:szCs w:val="24"/>
        </w:rPr>
        <w:footnoteReference w:id="20"/>
      </w:r>
    </w:p>
    <w:p w:rsidR="00932D7B" w:rsidRPr="0006219A" w:rsidRDefault="000528E4" w:rsidP="00932D7B">
      <w:pPr>
        <w:tabs>
          <w:tab w:val="left" w:pos="720"/>
        </w:tabs>
        <w:spacing w:line="480" w:lineRule="auto"/>
        <w:rPr>
          <w:szCs w:val="24"/>
        </w:rPr>
      </w:pPr>
      <w:r w:rsidRPr="0006219A">
        <w:rPr>
          <w:szCs w:val="24"/>
        </w:rPr>
        <w:tab/>
      </w:r>
      <w:r w:rsidR="00F93954" w:rsidRPr="0006219A">
        <w:rPr>
          <w:szCs w:val="24"/>
        </w:rPr>
        <w:t>W</w:t>
      </w:r>
      <w:r w:rsidR="00C3202A" w:rsidRPr="0006219A">
        <w:rPr>
          <w:szCs w:val="24"/>
        </w:rPr>
        <w:t xml:space="preserve">e find </w:t>
      </w:r>
      <w:r w:rsidR="00B62E10" w:rsidRPr="0006219A">
        <w:rPr>
          <w:i/>
          <w:szCs w:val="24"/>
        </w:rPr>
        <w:t>Spaith</w:t>
      </w:r>
      <w:r w:rsidR="00B62E10" w:rsidRPr="0006219A">
        <w:rPr>
          <w:szCs w:val="24"/>
        </w:rPr>
        <w:t xml:space="preserve">, </w:t>
      </w:r>
      <w:r w:rsidR="00B62E10" w:rsidRPr="0006219A">
        <w:rPr>
          <w:i/>
          <w:szCs w:val="24"/>
        </w:rPr>
        <w:t>supra</w:t>
      </w:r>
      <w:r w:rsidR="00B62E10" w:rsidRPr="0006219A">
        <w:rPr>
          <w:szCs w:val="24"/>
        </w:rPr>
        <w:t>, 3 Cal. State Bar Ct. Rptr. 511</w:t>
      </w:r>
      <w:r w:rsidR="006B2F72" w:rsidRPr="0006219A">
        <w:rPr>
          <w:szCs w:val="24"/>
        </w:rPr>
        <w:t>,</w:t>
      </w:r>
      <w:r w:rsidR="00B62E10" w:rsidRPr="0006219A">
        <w:rPr>
          <w:szCs w:val="24"/>
        </w:rPr>
        <w:t xml:space="preserve"> </w:t>
      </w:r>
      <w:r w:rsidR="00C3202A" w:rsidRPr="0006219A">
        <w:rPr>
          <w:szCs w:val="24"/>
        </w:rPr>
        <w:t xml:space="preserve">to be </w:t>
      </w:r>
      <w:r w:rsidR="00B62E10" w:rsidRPr="0006219A">
        <w:rPr>
          <w:szCs w:val="24"/>
        </w:rPr>
        <w:t xml:space="preserve">most </w:t>
      </w:r>
      <w:r w:rsidR="00F93954" w:rsidRPr="0006219A">
        <w:rPr>
          <w:szCs w:val="24"/>
        </w:rPr>
        <w:t xml:space="preserve">similar to </w:t>
      </w:r>
      <w:r w:rsidR="000A3D38" w:rsidRPr="0006219A">
        <w:rPr>
          <w:szCs w:val="24"/>
        </w:rPr>
        <w:t>this</w:t>
      </w:r>
      <w:r w:rsidR="00F93954" w:rsidRPr="0006219A">
        <w:rPr>
          <w:szCs w:val="24"/>
        </w:rPr>
        <w:t xml:space="preserve"> case</w:t>
      </w:r>
      <w:r w:rsidR="00C3202A" w:rsidRPr="0006219A">
        <w:rPr>
          <w:szCs w:val="24"/>
        </w:rPr>
        <w:t xml:space="preserve">.  In </w:t>
      </w:r>
      <w:r w:rsidR="00B62E10" w:rsidRPr="0006219A">
        <w:rPr>
          <w:i/>
          <w:szCs w:val="24"/>
        </w:rPr>
        <w:t>Spaith</w:t>
      </w:r>
      <w:r w:rsidR="00C3202A" w:rsidRPr="0006219A">
        <w:rPr>
          <w:szCs w:val="24"/>
        </w:rPr>
        <w:t xml:space="preserve">, </w:t>
      </w:r>
      <w:r w:rsidR="00F93954" w:rsidRPr="0006219A">
        <w:rPr>
          <w:szCs w:val="24"/>
        </w:rPr>
        <w:t xml:space="preserve">we </w:t>
      </w:r>
      <w:r w:rsidR="00C3202A" w:rsidRPr="0006219A">
        <w:rPr>
          <w:szCs w:val="24"/>
        </w:rPr>
        <w:t xml:space="preserve">found disbarment appropriate where the </w:t>
      </w:r>
      <w:r w:rsidR="00F93954" w:rsidRPr="0006219A">
        <w:rPr>
          <w:szCs w:val="24"/>
        </w:rPr>
        <w:t xml:space="preserve">attorney </w:t>
      </w:r>
      <w:r w:rsidR="00FE68D0" w:rsidRPr="0006219A">
        <w:rPr>
          <w:szCs w:val="24"/>
        </w:rPr>
        <w:t xml:space="preserve">was </w:t>
      </w:r>
      <w:r w:rsidR="00F93954" w:rsidRPr="0006219A">
        <w:rPr>
          <w:szCs w:val="24"/>
        </w:rPr>
        <w:t>“</w:t>
      </w:r>
      <w:r w:rsidR="00FE68D0" w:rsidRPr="0006219A">
        <w:rPr>
          <w:szCs w:val="24"/>
        </w:rPr>
        <w:t>culpable in a single matter of intentionally misappropriating approximately $40,000 from a client and of intentionally misleading the client over a period of approximately a year as to the status of the mone</w:t>
      </w:r>
      <w:r w:rsidR="005A46AB" w:rsidRPr="0006219A">
        <w:rPr>
          <w:szCs w:val="24"/>
        </w:rPr>
        <w:t>y,</w:t>
      </w:r>
      <w:r w:rsidR="00FE68D0" w:rsidRPr="0006219A">
        <w:rPr>
          <w:szCs w:val="24"/>
        </w:rPr>
        <w:t>”</w:t>
      </w:r>
      <w:r w:rsidR="005A46AB" w:rsidRPr="0006219A">
        <w:rPr>
          <w:szCs w:val="24"/>
        </w:rPr>
        <w:t xml:space="preserve"> and where </w:t>
      </w:r>
      <w:r w:rsidR="00F93954" w:rsidRPr="0006219A">
        <w:rPr>
          <w:szCs w:val="24"/>
        </w:rPr>
        <w:t>the a</w:t>
      </w:r>
      <w:r w:rsidR="00687597" w:rsidRPr="0006219A">
        <w:rPr>
          <w:szCs w:val="24"/>
        </w:rPr>
        <w:t>ggravation included multiple acts, uncharged misconduct (</w:t>
      </w:r>
      <w:r w:rsidR="001D5459" w:rsidRPr="0006219A">
        <w:rPr>
          <w:szCs w:val="24"/>
        </w:rPr>
        <w:t xml:space="preserve">i.e., </w:t>
      </w:r>
      <w:r w:rsidR="00687597" w:rsidRPr="0006219A">
        <w:rPr>
          <w:szCs w:val="24"/>
        </w:rPr>
        <w:t xml:space="preserve">violation of a court </w:t>
      </w:r>
      <w:r w:rsidR="00687597" w:rsidRPr="0006219A">
        <w:rPr>
          <w:szCs w:val="24"/>
        </w:rPr>
        <w:lastRenderedPageBreak/>
        <w:t>order), and significan</w:t>
      </w:r>
      <w:r w:rsidR="00F93954" w:rsidRPr="0006219A">
        <w:rPr>
          <w:szCs w:val="24"/>
        </w:rPr>
        <w:t>t</w:t>
      </w:r>
      <w:r w:rsidR="00687597" w:rsidRPr="0006219A">
        <w:rPr>
          <w:szCs w:val="24"/>
        </w:rPr>
        <w:t xml:space="preserve"> client harm.</w:t>
      </w:r>
      <w:r w:rsidR="00FE68D0" w:rsidRPr="0006219A">
        <w:rPr>
          <w:szCs w:val="24"/>
        </w:rPr>
        <w:t xml:space="preserve">  (</w:t>
      </w:r>
      <w:r w:rsidR="00B66BED" w:rsidRPr="0006219A">
        <w:rPr>
          <w:i/>
          <w:szCs w:val="24"/>
        </w:rPr>
        <w:t xml:space="preserve">Id. </w:t>
      </w:r>
      <w:r w:rsidR="00FE68D0" w:rsidRPr="0006219A">
        <w:rPr>
          <w:szCs w:val="24"/>
        </w:rPr>
        <w:t xml:space="preserve">at </w:t>
      </w:r>
      <w:r w:rsidR="00687597" w:rsidRPr="0006219A">
        <w:rPr>
          <w:szCs w:val="24"/>
        </w:rPr>
        <w:t>p</w:t>
      </w:r>
      <w:r w:rsidR="00FE68D0" w:rsidRPr="0006219A">
        <w:rPr>
          <w:szCs w:val="24"/>
        </w:rPr>
        <w:t>p.</w:t>
      </w:r>
      <w:r w:rsidR="001D083F" w:rsidRPr="0006219A">
        <w:rPr>
          <w:szCs w:val="24"/>
        </w:rPr>
        <w:t> </w:t>
      </w:r>
      <w:r w:rsidR="00FE68D0" w:rsidRPr="0006219A">
        <w:rPr>
          <w:szCs w:val="24"/>
        </w:rPr>
        <w:t>514</w:t>
      </w:r>
      <w:r w:rsidR="00687597" w:rsidRPr="0006219A">
        <w:rPr>
          <w:szCs w:val="24"/>
        </w:rPr>
        <w:t>, 518</w:t>
      </w:r>
      <w:r w:rsidR="00D2315B" w:rsidRPr="0006219A">
        <w:rPr>
          <w:szCs w:val="24"/>
        </w:rPr>
        <w:t xml:space="preserve">.)  We </w:t>
      </w:r>
      <w:r w:rsidR="00A47BB8" w:rsidRPr="0006219A">
        <w:rPr>
          <w:szCs w:val="24"/>
        </w:rPr>
        <w:t>recommend</w:t>
      </w:r>
      <w:r w:rsidR="00D2315B" w:rsidRPr="0006219A">
        <w:rPr>
          <w:szCs w:val="24"/>
        </w:rPr>
        <w:t>ed disbarment</w:t>
      </w:r>
      <w:r w:rsidR="00FC463F" w:rsidRPr="0006219A">
        <w:rPr>
          <w:szCs w:val="24"/>
        </w:rPr>
        <w:t xml:space="preserve"> even though</w:t>
      </w:r>
      <w:r w:rsidR="00FE68D0" w:rsidRPr="0006219A">
        <w:rPr>
          <w:szCs w:val="24"/>
        </w:rPr>
        <w:t xml:space="preserve"> the attorney established</w:t>
      </w:r>
      <w:r w:rsidR="00C3202A" w:rsidRPr="0006219A">
        <w:rPr>
          <w:szCs w:val="24"/>
        </w:rPr>
        <w:t xml:space="preserve"> mitigation </w:t>
      </w:r>
      <w:r w:rsidR="00A47BB8" w:rsidRPr="0006219A">
        <w:rPr>
          <w:szCs w:val="24"/>
        </w:rPr>
        <w:t xml:space="preserve">for financial and </w:t>
      </w:r>
      <w:r w:rsidR="00C3202A" w:rsidRPr="0006219A">
        <w:rPr>
          <w:szCs w:val="24"/>
        </w:rPr>
        <w:t>emotional problems</w:t>
      </w:r>
      <w:r w:rsidR="006655FF" w:rsidRPr="0006219A">
        <w:rPr>
          <w:szCs w:val="24"/>
        </w:rPr>
        <w:t xml:space="preserve"> at the time of the misconduct</w:t>
      </w:r>
      <w:r w:rsidR="007D11C8" w:rsidRPr="0006219A">
        <w:rPr>
          <w:szCs w:val="24"/>
        </w:rPr>
        <w:t>,</w:t>
      </w:r>
      <w:r w:rsidR="006655FF" w:rsidRPr="0006219A">
        <w:rPr>
          <w:szCs w:val="24"/>
        </w:rPr>
        <w:t xml:space="preserve"> his confession to his client regarding his conduct</w:t>
      </w:r>
      <w:r w:rsidR="007D11C8" w:rsidRPr="0006219A">
        <w:rPr>
          <w:szCs w:val="24"/>
        </w:rPr>
        <w:t>,</w:t>
      </w:r>
      <w:r w:rsidR="00654FE3" w:rsidRPr="0006219A">
        <w:rPr>
          <w:szCs w:val="24"/>
        </w:rPr>
        <w:t xml:space="preserve"> </w:t>
      </w:r>
      <w:r w:rsidR="006655FF" w:rsidRPr="0006219A">
        <w:rPr>
          <w:szCs w:val="24"/>
        </w:rPr>
        <w:t>restitution of the misappropriated money</w:t>
      </w:r>
      <w:r w:rsidR="007D11C8" w:rsidRPr="0006219A">
        <w:rPr>
          <w:szCs w:val="24"/>
        </w:rPr>
        <w:t>,</w:t>
      </w:r>
      <w:r w:rsidR="006655FF" w:rsidRPr="0006219A">
        <w:rPr>
          <w:szCs w:val="24"/>
        </w:rPr>
        <w:t xml:space="preserve"> </w:t>
      </w:r>
      <w:r w:rsidR="00C3202A" w:rsidRPr="0006219A">
        <w:rPr>
          <w:szCs w:val="24"/>
        </w:rPr>
        <w:t>15 years of discipline-free practice</w:t>
      </w:r>
      <w:r w:rsidR="007D11C8" w:rsidRPr="0006219A">
        <w:rPr>
          <w:szCs w:val="24"/>
        </w:rPr>
        <w:t>,</w:t>
      </w:r>
      <w:r w:rsidR="006655FF" w:rsidRPr="0006219A">
        <w:rPr>
          <w:szCs w:val="24"/>
        </w:rPr>
        <w:t xml:space="preserve"> </w:t>
      </w:r>
      <w:r w:rsidR="00C3202A" w:rsidRPr="0006219A">
        <w:rPr>
          <w:szCs w:val="24"/>
        </w:rPr>
        <w:t xml:space="preserve">strong </w:t>
      </w:r>
      <w:r w:rsidR="006655FF" w:rsidRPr="0006219A">
        <w:rPr>
          <w:szCs w:val="24"/>
        </w:rPr>
        <w:t>character evidence</w:t>
      </w:r>
      <w:r w:rsidR="007D11C8" w:rsidRPr="0006219A">
        <w:rPr>
          <w:szCs w:val="24"/>
        </w:rPr>
        <w:t>,</w:t>
      </w:r>
      <w:r w:rsidR="00C3202A" w:rsidRPr="0006219A">
        <w:rPr>
          <w:szCs w:val="24"/>
        </w:rPr>
        <w:t xml:space="preserve"> and candor and cooperation with </w:t>
      </w:r>
      <w:r w:rsidR="00A9543A" w:rsidRPr="0006219A">
        <w:rPr>
          <w:szCs w:val="24"/>
        </w:rPr>
        <w:t xml:space="preserve">the </w:t>
      </w:r>
      <w:r w:rsidR="00C3202A" w:rsidRPr="0006219A">
        <w:rPr>
          <w:szCs w:val="24"/>
        </w:rPr>
        <w:t>Stat</w:t>
      </w:r>
      <w:r w:rsidR="00B62E10" w:rsidRPr="0006219A">
        <w:rPr>
          <w:szCs w:val="24"/>
        </w:rPr>
        <w:t xml:space="preserve">e Bar.  </w:t>
      </w:r>
      <w:r w:rsidR="006655FF" w:rsidRPr="0006219A">
        <w:rPr>
          <w:szCs w:val="24"/>
        </w:rPr>
        <w:t>(</w:t>
      </w:r>
      <w:r w:rsidR="006655FF" w:rsidRPr="0006219A">
        <w:rPr>
          <w:i/>
          <w:szCs w:val="24"/>
        </w:rPr>
        <w:t>Id.</w:t>
      </w:r>
      <w:r w:rsidR="006655FF" w:rsidRPr="0006219A">
        <w:rPr>
          <w:szCs w:val="24"/>
        </w:rPr>
        <w:t xml:space="preserve"> at pp.</w:t>
      </w:r>
      <w:r w:rsidR="001D083F" w:rsidRPr="0006219A">
        <w:rPr>
          <w:szCs w:val="24"/>
        </w:rPr>
        <w:t> </w:t>
      </w:r>
      <w:r w:rsidR="006655FF" w:rsidRPr="0006219A">
        <w:rPr>
          <w:szCs w:val="24"/>
        </w:rPr>
        <w:t>518–521.)</w:t>
      </w:r>
    </w:p>
    <w:p w:rsidR="00BE0F0B" w:rsidRPr="0006219A" w:rsidRDefault="00932D7B" w:rsidP="00932D7B">
      <w:pPr>
        <w:tabs>
          <w:tab w:val="left" w:pos="720"/>
        </w:tabs>
        <w:spacing w:line="480" w:lineRule="auto"/>
        <w:rPr>
          <w:szCs w:val="24"/>
        </w:rPr>
      </w:pPr>
      <w:r w:rsidRPr="0006219A">
        <w:rPr>
          <w:szCs w:val="24"/>
        </w:rPr>
        <w:tab/>
      </w:r>
      <w:r w:rsidR="006343B6" w:rsidRPr="0006219A">
        <w:rPr>
          <w:szCs w:val="24"/>
        </w:rPr>
        <w:t xml:space="preserve">Like the attorney in </w:t>
      </w:r>
      <w:r w:rsidR="006343B6" w:rsidRPr="0006219A">
        <w:rPr>
          <w:i/>
          <w:szCs w:val="24"/>
        </w:rPr>
        <w:t>Spaith</w:t>
      </w:r>
      <w:r w:rsidR="006343B6" w:rsidRPr="0006219A">
        <w:rPr>
          <w:szCs w:val="24"/>
        </w:rPr>
        <w:t xml:space="preserve">, Sganga </w:t>
      </w:r>
      <w:r w:rsidR="006343B6" w:rsidRPr="0006219A">
        <w:rPr>
          <w:rFonts w:eastAsia="Times New Roman"/>
          <w:szCs w:val="24"/>
        </w:rPr>
        <w:t>intentionally misappropriated</w:t>
      </w:r>
      <w:r w:rsidR="006343B6" w:rsidRPr="0006219A">
        <w:rPr>
          <w:szCs w:val="24"/>
        </w:rPr>
        <w:t xml:space="preserve"> a significant amount</w:t>
      </w:r>
      <w:r w:rsidR="00A9543A" w:rsidRPr="0006219A">
        <w:rPr>
          <w:szCs w:val="24"/>
        </w:rPr>
        <w:t xml:space="preserve"> of client funds ($61,500)</w:t>
      </w:r>
      <w:r w:rsidR="0025588B" w:rsidRPr="0006219A">
        <w:rPr>
          <w:szCs w:val="24"/>
        </w:rPr>
        <w:t>.  Fur</w:t>
      </w:r>
      <w:r w:rsidR="00A9543A" w:rsidRPr="0006219A">
        <w:rPr>
          <w:szCs w:val="24"/>
        </w:rPr>
        <w:t>t</w:t>
      </w:r>
      <w:r w:rsidR="0025588B" w:rsidRPr="0006219A">
        <w:rPr>
          <w:szCs w:val="24"/>
        </w:rPr>
        <w:t>h</w:t>
      </w:r>
      <w:r w:rsidR="00A9543A" w:rsidRPr="0006219A">
        <w:rPr>
          <w:szCs w:val="24"/>
        </w:rPr>
        <w:t xml:space="preserve">er, </w:t>
      </w:r>
      <w:r w:rsidR="005A46AB" w:rsidRPr="0006219A">
        <w:rPr>
          <w:rFonts w:eastAsia="Times New Roman"/>
          <w:szCs w:val="24"/>
        </w:rPr>
        <w:t xml:space="preserve">the mitigation we assigned to his lack of a prior record, </w:t>
      </w:r>
      <w:r w:rsidR="0025588B" w:rsidRPr="0006219A">
        <w:rPr>
          <w:rFonts w:eastAsia="Times New Roman"/>
          <w:szCs w:val="24"/>
        </w:rPr>
        <w:t>cooperation</w:t>
      </w:r>
      <w:r w:rsidRPr="0006219A">
        <w:rPr>
          <w:rFonts w:eastAsia="Times New Roman"/>
          <w:szCs w:val="24"/>
        </w:rPr>
        <w:t>,</w:t>
      </w:r>
      <w:r w:rsidR="0025588B" w:rsidRPr="0006219A">
        <w:rPr>
          <w:rFonts w:eastAsia="Times New Roman"/>
          <w:szCs w:val="24"/>
        </w:rPr>
        <w:t xml:space="preserve"> </w:t>
      </w:r>
      <w:r w:rsidRPr="0006219A">
        <w:rPr>
          <w:rFonts w:eastAsia="Times New Roman"/>
          <w:szCs w:val="24"/>
        </w:rPr>
        <w:t>good character</w:t>
      </w:r>
      <w:r w:rsidR="005A46AB" w:rsidRPr="0006219A">
        <w:rPr>
          <w:rFonts w:eastAsia="Times New Roman"/>
          <w:szCs w:val="24"/>
        </w:rPr>
        <w:t>, and pro bono and community service work</w:t>
      </w:r>
      <w:r w:rsidR="00366180" w:rsidRPr="0006219A">
        <w:rPr>
          <w:rFonts w:eastAsia="Times New Roman"/>
          <w:szCs w:val="24"/>
        </w:rPr>
        <w:t>, while notable,</w:t>
      </w:r>
      <w:r w:rsidR="005A46AB" w:rsidRPr="0006219A">
        <w:rPr>
          <w:rFonts w:eastAsia="Times New Roman"/>
          <w:szCs w:val="24"/>
        </w:rPr>
        <w:t xml:space="preserve"> is neither compelling nor does it clearly predominate over his </w:t>
      </w:r>
      <w:r w:rsidR="00130034" w:rsidRPr="0006219A">
        <w:rPr>
          <w:rFonts w:eastAsia="Times New Roman"/>
          <w:szCs w:val="24"/>
        </w:rPr>
        <w:t xml:space="preserve">very </w:t>
      </w:r>
      <w:r w:rsidR="005A46AB" w:rsidRPr="0006219A">
        <w:rPr>
          <w:rFonts w:eastAsia="Times New Roman"/>
          <w:szCs w:val="24"/>
        </w:rPr>
        <w:t>serious misconduct</w:t>
      </w:r>
      <w:r w:rsidR="00130034" w:rsidRPr="0006219A">
        <w:rPr>
          <w:rStyle w:val="FootnoteReference"/>
          <w:szCs w:val="24"/>
        </w:rPr>
        <w:footnoteReference w:id="21"/>
      </w:r>
      <w:r w:rsidR="005A46AB" w:rsidRPr="0006219A">
        <w:rPr>
          <w:rFonts w:eastAsia="Times New Roman"/>
          <w:szCs w:val="24"/>
        </w:rPr>
        <w:t xml:space="preserve"> and aggravation for multiple acts of </w:t>
      </w:r>
      <w:r w:rsidR="00CE78EE">
        <w:rPr>
          <w:rFonts w:eastAsia="Times New Roman"/>
          <w:szCs w:val="24"/>
        </w:rPr>
        <w:t>wrongdoing</w:t>
      </w:r>
      <w:r w:rsidR="005A46AB" w:rsidRPr="0006219A">
        <w:rPr>
          <w:rFonts w:eastAsia="Times New Roman"/>
          <w:szCs w:val="24"/>
        </w:rPr>
        <w:t>, significant client harm</w:t>
      </w:r>
      <w:r w:rsidR="008553AD" w:rsidRPr="0006219A">
        <w:rPr>
          <w:rFonts w:eastAsia="Times New Roman"/>
          <w:szCs w:val="24"/>
        </w:rPr>
        <w:t>, and, particularly, overreaching</w:t>
      </w:r>
      <w:r w:rsidR="005A46AB" w:rsidRPr="0006219A">
        <w:rPr>
          <w:rFonts w:eastAsia="Times New Roman"/>
          <w:szCs w:val="24"/>
        </w:rPr>
        <w:t>.</w:t>
      </w:r>
      <w:r w:rsidR="006343B6" w:rsidRPr="0006219A">
        <w:rPr>
          <w:rFonts w:eastAsia="Times New Roman"/>
          <w:szCs w:val="24"/>
        </w:rPr>
        <w:t xml:space="preserve">  </w:t>
      </w:r>
      <w:r w:rsidR="0093774F" w:rsidRPr="0006219A">
        <w:rPr>
          <w:szCs w:val="24"/>
        </w:rPr>
        <w:t>Under these circumstances</w:t>
      </w:r>
      <w:r w:rsidR="005A0D38" w:rsidRPr="0006219A">
        <w:rPr>
          <w:szCs w:val="24"/>
        </w:rPr>
        <w:t>,</w:t>
      </w:r>
      <w:r w:rsidR="0093774F" w:rsidRPr="0006219A">
        <w:rPr>
          <w:szCs w:val="24"/>
        </w:rPr>
        <w:t xml:space="preserve"> we find no basis to</w:t>
      </w:r>
      <w:r w:rsidR="005D3E81" w:rsidRPr="0006219A">
        <w:rPr>
          <w:szCs w:val="24"/>
        </w:rPr>
        <w:t xml:space="preserve"> recommend a more lenient sanction</w:t>
      </w:r>
      <w:r w:rsidR="008B29EA" w:rsidRPr="0006219A">
        <w:rPr>
          <w:szCs w:val="24"/>
        </w:rPr>
        <w:t xml:space="preserve"> than disbarment</w:t>
      </w:r>
      <w:r w:rsidR="005D3E81" w:rsidRPr="0006219A">
        <w:rPr>
          <w:szCs w:val="24"/>
        </w:rPr>
        <w:t xml:space="preserve"> under standard 2.1(a).  (S</w:t>
      </w:r>
      <w:r w:rsidR="00BE0F0B" w:rsidRPr="0006219A">
        <w:rPr>
          <w:szCs w:val="24"/>
        </w:rPr>
        <w:t>ee s</w:t>
      </w:r>
      <w:r w:rsidR="005D3E81" w:rsidRPr="0006219A">
        <w:rPr>
          <w:szCs w:val="24"/>
        </w:rPr>
        <w:t xml:space="preserve">tds. 1.2(i), 1.7(c) [lesser sanction than recommended in standard may be warranted where misconduct is minor, little or no injury to client, public, legal system, or profession, and attorney able to conform to ethical responsibilities in future]; </w:t>
      </w:r>
      <w:r w:rsidR="005D3E81" w:rsidRPr="0006219A">
        <w:rPr>
          <w:i/>
          <w:szCs w:val="24"/>
        </w:rPr>
        <w:t xml:space="preserve">Blair v. State Bar </w:t>
      </w:r>
      <w:r w:rsidR="005D3E81" w:rsidRPr="0006219A">
        <w:rPr>
          <w:szCs w:val="24"/>
        </w:rPr>
        <w:t>(1989) 49 Cal.3d 762, 776, fn. 5 [clear reasons for departure from standards should be shown].)  A</w:t>
      </w:r>
      <w:r w:rsidR="00711E69" w:rsidRPr="0006219A">
        <w:rPr>
          <w:szCs w:val="24"/>
        </w:rPr>
        <w:t>s such</w:t>
      </w:r>
      <w:r w:rsidR="005D3E81" w:rsidRPr="0006219A">
        <w:rPr>
          <w:szCs w:val="24"/>
        </w:rPr>
        <w:t xml:space="preserve">, disbarment is warranted </w:t>
      </w:r>
      <w:r w:rsidR="008B29EA" w:rsidRPr="0006219A">
        <w:rPr>
          <w:szCs w:val="24"/>
        </w:rPr>
        <w:t>under</w:t>
      </w:r>
      <w:r w:rsidR="005D3E81" w:rsidRPr="0006219A">
        <w:rPr>
          <w:szCs w:val="24"/>
        </w:rPr>
        <w:t xml:space="preserve"> </w:t>
      </w:r>
      <w:r w:rsidR="00A30369" w:rsidRPr="0006219A">
        <w:rPr>
          <w:szCs w:val="24"/>
        </w:rPr>
        <w:t xml:space="preserve">the </w:t>
      </w:r>
      <w:r w:rsidR="005D3E81" w:rsidRPr="0006219A">
        <w:rPr>
          <w:szCs w:val="24"/>
        </w:rPr>
        <w:t>facts of this case</w:t>
      </w:r>
      <w:r w:rsidR="008B29EA" w:rsidRPr="0006219A">
        <w:rPr>
          <w:szCs w:val="24"/>
        </w:rPr>
        <w:t>, the standards, and</w:t>
      </w:r>
      <w:r w:rsidR="005D3E81" w:rsidRPr="0006219A">
        <w:rPr>
          <w:szCs w:val="24"/>
        </w:rPr>
        <w:t xml:space="preserve"> relevant </w:t>
      </w:r>
      <w:r w:rsidR="00711E69" w:rsidRPr="0006219A">
        <w:rPr>
          <w:szCs w:val="24"/>
        </w:rPr>
        <w:t>case</w:t>
      </w:r>
      <w:r w:rsidR="005D3E81" w:rsidRPr="0006219A">
        <w:rPr>
          <w:szCs w:val="24"/>
        </w:rPr>
        <w:t xml:space="preserve"> law</w:t>
      </w:r>
      <w:r w:rsidR="008B29EA" w:rsidRPr="0006219A">
        <w:rPr>
          <w:szCs w:val="24"/>
        </w:rPr>
        <w:t>,</w:t>
      </w:r>
      <w:r w:rsidR="00BF6298" w:rsidRPr="0006219A">
        <w:rPr>
          <w:szCs w:val="24"/>
          <w:vertAlign w:val="superscript"/>
        </w:rPr>
        <w:footnoteReference w:id="22"/>
      </w:r>
      <w:r w:rsidR="005D3E81" w:rsidRPr="0006219A">
        <w:rPr>
          <w:szCs w:val="24"/>
        </w:rPr>
        <w:t xml:space="preserve"> </w:t>
      </w:r>
      <w:r w:rsidR="008B29EA" w:rsidRPr="0006219A">
        <w:rPr>
          <w:szCs w:val="24"/>
        </w:rPr>
        <w:t xml:space="preserve">and </w:t>
      </w:r>
      <w:r w:rsidR="005852D2" w:rsidRPr="0006219A">
        <w:rPr>
          <w:szCs w:val="24"/>
        </w:rPr>
        <w:t xml:space="preserve">it is </w:t>
      </w:r>
      <w:r w:rsidR="008B29EA" w:rsidRPr="0006219A">
        <w:rPr>
          <w:szCs w:val="24"/>
        </w:rPr>
        <w:t>necessary</w:t>
      </w:r>
      <w:r w:rsidR="005D3E81" w:rsidRPr="0006219A">
        <w:rPr>
          <w:szCs w:val="24"/>
        </w:rPr>
        <w:t xml:space="preserve"> to protect the public, the courts, and the legal profession.</w:t>
      </w:r>
    </w:p>
    <w:p w:rsidR="006D1E7B" w:rsidRPr="0006219A" w:rsidRDefault="006D1E7B" w:rsidP="00EE2EB5">
      <w:pPr>
        <w:spacing w:line="480" w:lineRule="auto"/>
        <w:jc w:val="center"/>
        <w:rPr>
          <w:szCs w:val="24"/>
        </w:rPr>
      </w:pPr>
      <w:r w:rsidRPr="0006219A">
        <w:rPr>
          <w:b/>
          <w:szCs w:val="24"/>
        </w:rPr>
        <w:t>V.  RECOMMENDATION</w:t>
      </w:r>
    </w:p>
    <w:p w:rsidR="006D1E7B" w:rsidRPr="0006219A" w:rsidRDefault="006D1E7B" w:rsidP="00EE2EB5">
      <w:pPr>
        <w:spacing w:line="480" w:lineRule="auto"/>
        <w:rPr>
          <w:bCs/>
          <w:szCs w:val="24"/>
        </w:rPr>
      </w:pPr>
      <w:r w:rsidRPr="0006219A">
        <w:rPr>
          <w:szCs w:val="24"/>
        </w:rPr>
        <w:tab/>
      </w:r>
      <w:r w:rsidRPr="0006219A">
        <w:rPr>
          <w:bCs/>
          <w:szCs w:val="24"/>
        </w:rPr>
        <w:t xml:space="preserve">We recommend that </w:t>
      </w:r>
      <w:r w:rsidR="00C50140" w:rsidRPr="0006219A">
        <w:rPr>
          <w:bCs/>
          <w:szCs w:val="24"/>
        </w:rPr>
        <w:t xml:space="preserve">Michael Whitcomb Sganga </w:t>
      </w:r>
      <w:r w:rsidRPr="0006219A">
        <w:rPr>
          <w:bCs/>
          <w:szCs w:val="24"/>
        </w:rPr>
        <w:t>be disbarred from the practice of law and that his name be stricken from the roll of attorneys admitted to practice in California.</w:t>
      </w:r>
    </w:p>
    <w:p w:rsidR="006D1E7B" w:rsidRPr="0006219A" w:rsidRDefault="006D1E7B" w:rsidP="00EE2EB5">
      <w:pPr>
        <w:spacing w:line="480" w:lineRule="auto"/>
        <w:rPr>
          <w:szCs w:val="24"/>
        </w:rPr>
      </w:pPr>
      <w:r w:rsidRPr="0006219A">
        <w:rPr>
          <w:szCs w:val="24"/>
        </w:rPr>
        <w:lastRenderedPageBreak/>
        <w:tab/>
        <w:t xml:space="preserve">We further recommend that </w:t>
      </w:r>
      <w:r w:rsidR="00C50140" w:rsidRPr="0006219A">
        <w:rPr>
          <w:szCs w:val="24"/>
        </w:rPr>
        <w:t>Sganga</w:t>
      </w:r>
      <w:r w:rsidRPr="0006219A">
        <w:rPr>
          <w:szCs w:val="24"/>
        </w:rPr>
        <w:t xml:space="preserve"> comply with rule 9.20 of the California Rules of Court and perform the acts specified in subdivisions (a) and (c) of that rule, within 30 and 40 days, respectively, after the effective date of the Supreme Court order in this matter.</w:t>
      </w:r>
    </w:p>
    <w:p w:rsidR="00B317C6" w:rsidRPr="0006219A" w:rsidRDefault="006D1E7B" w:rsidP="00EE2EB5">
      <w:pPr>
        <w:spacing w:line="480" w:lineRule="auto"/>
        <w:rPr>
          <w:szCs w:val="24"/>
        </w:rPr>
      </w:pPr>
      <w:r w:rsidRPr="0006219A">
        <w:rPr>
          <w:szCs w:val="24"/>
        </w:rPr>
        <w:tab/>
      </w:r>
      <w:r w:rsidR="004A2CAB" w:rsidRPr="0006219A">
        <w:rPr>
          <w:szCs w:val="24"/>
        </w:rPr>
        <w:t xml:space="preserve">Finally, we </w:t>
      </w:r>
      <w:r w:rsidRPr="0006219A">
        <w:rPr>
          <w:szCs w:val="24"/>
        </w:rPr>
        <w:t>recommend that costs be awarded to the State Bar in accordance with section 6086.10, such costs being enforceable as provided in section 6</w:t>
      </w:r>
      <w:r w:rsidR="00F4274F" w:rsidRPr="0006219A">
        <w:rPr>
          <w:szCs w:val="24"/>
        </w:rPr>
        <w:t>140.7 and as a money judgment.</w:t>
      </w:r>
    </w:p>
    <w:p w:rsidR="006D1E7B" w:rsidRPr="0006219A" w:rsidRDefault="006D1E7B" w:rsidP="00EE2EB5">
      <w:pPr>
        <w:spacing w:line="480" w:lineRule="auto"/>
        <w:jc w:val="center"/>
        <w:rPr>
          <w:b/>
          <w:szCs w:val="24"/>
        </w:rPr>
      </w:pPr>
      <w:r w:rsidRPr="0006219A">
        <w:rPr>
          <w:b/>
          <w:szCs w:val="24"/>
        </w:rPr>
        <w:t>VI.  ORDER OF INACTIVE ENROLLMENT</w:t>
      </w:r>
    </w:p>
    <w:p w:rsidR="00A3638B" w:rsidRPr="0006219A" w:rsidRDefault="006D1E7B" w:rsidP="00EE2EB5">
      <w:pPr>
        <w:tabs>
          <w:tab w:val="left" w:pos="720"/>
        </w:tabs>
        <w:spacing w:line="480" w:lineRule="auto"/>
        <w:rPr>
          <w:szCs w:val="24"/>
        </w:rPr>
      </w:pPr>
      <w:r w:rsidRPr="0006219A">
        <w:rPr>
          <w:szCs w:val="24"/>
        </w:rPr>
        <w:tab/>
      </w:r>
      <w:r w:rsidR="00C50140" w:rsidRPr="0006219A">
        <w:rPr>
          <w:szCs w:val="24"/>
        </w:rPr>
        <w:t>Pursuant to section</w:t>
      </w:r>
      <w:r w:rsidR="001D083F" w:rsidRPr="0006219A">
        <w:rPr>
          <w:szCs w:val="24"/>
        </w:rPr>
        <w:t> </w:t>
      </w:r>
      <w:r w:rsidR="00C50140" w:rsidRPr="0006219A">
        <w:rPr>
          <w:szCs w:val="24"/>
        </w:rPr>
        <w:t>6007, subdivision</w:t>
      </w:r>
      <w:r w:rsidR="001D083F" w:rsidRPr="0006219A">
        <w:rPr>
          <w:szCs w:val="24"/>
        </w:rPr>
        <w:t> </w:t>
      </w:r>
      <w:r w:rsidR="00C50140" w:rsidRPr="0006219A">
        <w:rPr>
          <w:szCs w:val="24"/>
        </w:rPr>
        <w:t xml:space="preserve">(c)(4), and </w:t>
      </w:r>
      <w:r w:rsidR="00DB3D27" w:rsidRPr="0006219A">
        <w:rPr>
          <w:szCs w:val="24"/>
        </w:rPr>
        <w:t>rule 5.111(D)(1) of the Rules of Procedure of the State Bar</w:t>
      </w:r>
      <w:r w:rsidR="00C50140" w:rsidRPr="0006219A">
        <w:rPr>
          <w:szCs w:val="24"/>
        </w:rPr>
        <w:t>, Michael Whitcomb Sganga is ordered enrolled inactive</w:t>
      </w:r>
      <w:r w:rsidR="00DB3D27" w:rsidRPr="0006219A">
        <w:rPr>
          <w:szCs w:val="24"/>
        </w:rPr>
        <w:t xml:space="preserve">, effective </w:t>
      </w:r>
      <w:r w:rsidR="00C50140" w:rsidRPr="0006219A">
        <w:rPr>
          <w:szCs w:val="24"/>
        </w:rPr>
        <w:t>three days after service of this opinion.  (</w:t>
      </w:r>
      <w:r w:rsidR="004A2CAB" w:rsidRPr="0006219A">
        <w:rPr>
          <w:szCs w:val="24"/>
        </w:rPr>
        <w:t>Rules Proc. of State Bar, rule 5.111(D)(1</w:t>
      </w:r>
      <w:r w:rsidR="00C50140" w:rsidRPr="0006219A">
        <w:rPr>
          <w:szCs w:val="24"/>
        </w:rPr>
        <w:t>).)</w:t>
      </w:r>
    </w:p>
    <w:p w:rsidR="00832223" w:rsidRPr="0006219A" w:rsidRDefault="00FC6F34" w:rsidP="00832223">
      <w:pPr>
        <w:rPr>
          <w:szCs w:val="24"/>
        </w:rPr>
      </w:pPr>
      <w:bookmarkStart w:id="8" w:name="judge"/>
      <w:bookmarkEnd w:id="8"/>
      <w:r w:rsidRPr="0006219A">
        <w:rPr>
          <w:szCs w:val="24"/>
        </w:rPr>
        <w:tab/>
      </w:r>
      <w:r w:rsidRPr="0006219A">
        <w:rPr>
          <w:szCs w:val="24"/>
        </w:rPr>
        <w:tab/>
      </w:r>
      <w:r w:rsidRPr="0006219A">
        <w:rPr>
          <w:szCs w:val="24"/>
        </w:rPr>
        <w:tab/>
      </w:r>
      <w:r w:rsidRPr="0006219A">
        <w:rPr>
          <w:szCs w:val="24"/>
        </w:rPr>
        <w:tab/>
      </w:r>
      <w:r w:rsidRPr="0006219A">
        <w:rPr>
          <w:szCs w:val="24"/>
        </w:rPr>
        <w:tab/>
      </w:r>
      <w:r w:rsidRPr="0006219A">
        <w:rPr>
          <w:szCs w:val="24"/>
        </w:rPr>
        <w:tab/>
      </w:r>
      <w:r w:rsidR="00565A5C" w:rsidRPr="0006219A">
        <w:rPr>
          <w:szCs w:val="24"/>
        </w:rPr>
        <w:t>McGILL, J.</w:t>
      </w:r>
    </w:p>
    <w:p w:rsidR="00832223" w:rsidRPr="0006219A" w:rsidRDefault="00832223" w:rsidP="00832223">
      <w:pPr>
        <w:rPr>
          <w:szCs w:val="24"/>
        </w:rPr>
      </w:pPr>
    </w:p>
    <w:p w:rsidR="00832223" w:rsidRPr="0006219A" w:rsidRDefault="00832223" w:rsidP="003F06DF">
      <w:pPr>
        <w:spacing w:line="480" w:lineRule="auto"/>
        <w:rPr>
          <w:szCs w:val="24"/>
        </w:rPr>
      </w:pPr>
      <w:r w:rsidRPr="0006219A">
        <w:rPr>
          <w:szCs w:val="24"/>
        </w:rPr>
        <w:t>WE CONCUR:</w:t>
      </w:r>
    </w:p>
    <w:p w:rsidR="00565A5C" w:rsidRPr="0006219A" w:rsidRDefault="00565A5C" w:rsidP="000E0A7C">
      <w:pPr>
        <w:rPr>
          <w:szCs w:val="24"/>
        </w:rPr>
      </w:pPr>
      <w:bookmarkStart w:id="9" w:name="multinames"/>
      <w:bookmarkEnd w:id="9"/>
      <w:r w:rsidRPr="0006219A">
        <w:rPr>
          <w:szCs w:val="24"/>
        </w:rPr>
        <w:t>PURCELL, P. J.</w:t>
      </w:r>
    </w:p>
    <w:p w:rsidR="00A62497" w:rsidRPr="0006219A" w:rsidRDefault="00A62497" w:rsidP="000E0A7C">
      <w:pPr>
        <w:rPr>
          <w:szCs w:val="24"/>
        </w:rPr>
      </w:pPr>
    </w:p>
    <w:p w:rsidR="00203644" w:rsidRPr="0006219A" w:rsidRDefault="00565A5C" w:rsidP="000E0A7C">
      <w:pPr>
        <w:rPr>
          <w:szCs w:val="24"/>
        </w:rPr>
      </w:pPr>
      <w:r w:rsidRPr="0006219A">
        <w:rPr>
          <w:szCs w:val="24"/>
        </w:rPr>
        <w:t>HONN, J.</w:t>
      </w:r>
    </w:p>
    <w:sectPr w:rsidR="00203644" w:rsidRPr="0006219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4F6" w:rsidRDefault="00F744F6" w:rsidP="00055C8A">
      <w:r>
        <w:separator/>
      </w:r>
    </w:p>
  </w:endnote>
  <w:endnote w:type="continuationSeparator" w:id="0">
    <w:p w:rsidR="00F744F6" w:rsidRDefault="00F744F6"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B4E40" w:rsidRDefault="00DB4E40" w:rsidP="0099101B">
        <w:pPr>
          <w:pStyle w:val="Footer"/>
          <w:spacing w:before="120"/>
          <w:jc w:val="center"/>
        </w:pPr>
        <w:r>
          <w:t>-</w:t>
        </w:r>
        <w:r>
          <w:fldChar w:fldCharType="begin"/>
        </w:r>
        <w:r>
          <w:instrText xml:space="preserve"> PAGE   \* MERGEFORMAT </w:instrText>
        </w:r>
        <w:r>
          <w:fldChar w:fldCharType="separate"/>
        </w:r>
        <w:r w:rsidR="004B5699">
          <w:rPr>
            <w:noProof/>
          </w:rPr>
          <w:t>3</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4F6" w:rsidRDefault="00F744F6" w:rsidP="00055C8A">
      <w:r>
        <w:separator/>
      </w:r>
    </w:p>
  </w:footnote>
  <w:footnote w:type="continuationSeparator" w:id="0">
    <w:p w:rsidR="00F744F6" w:rsidRDefault="00F744F6" w:rsidP="00055C8A">
      <w:r>
        <w:continuationSeparator/>
      </w:r>
    </w:p>
  </w:footnote>
  <w:footnote w:id="1">
    <w:p w:rsidR="00DB4E40" w:rsidRPr="0085408C" w:rsidRDefault="00DB4E40" w:rsidP="00FB01D6">
      <w:pPr>
        <w:pStyle w:val="TemplateFootnote"/>
        <w:rPr>
          <w:szCs w:val="24"/>
        </w:rPr>
      </w:pPr>
      <w:r w:rsidRPr="0085408C">
        <w:rPr>
          <w:rStyle w:val="FootnoteReference"/>
          <w:szCs w:val="24"/>
        </w:rPr>
        <w:footnoteRef/>
      </w:r>
      <w:r w:rsidRPr="0085408C">
        <w:rPr>
          <w:szCs w:val="24"/>
        </w:rPr>
        <w:t xml:space="preserve"> All further references to rules are to the </w:t>
      </w:r>
      <w:r w:rsidRPr="0085408C">
        <w:rPr>
          <w:rFonts w:eastAsia="Times New Roman"/>
          <w:szCs w:val="24"/>
        </w:rPr>
        <w:t xml:space="preserve">Rules of Professional Conduct </w:t>
      </w:r>
      <w:r w:rsidRPr="0085408C">
        <w:rPr>
          <w:szCs w:val="24"/>
        </w:rPr>
        <w:t>unless otherwise noted.  Rule 4-100(A) provides, “No funds belonging to the member . . . shall be deposited [into a CTA] or otherwise commingled therewith . . . .”</w:t>
      </w:r>
    </w:p>
  </w:footnote>
  <w:footnote w:id="2">
    <w:p w:rsidR="00DB4E40" w:rsidRPr="0085408C" w:rsidRDefault="00DB4E40" w:rsidP="009B51CD">
      <w:pPr>
        <w:pStyle w:val="TemplateFootnote"/>
        <w:rPr>
          <w:szCs w:val="24"/>
        </w:rPr>
      </w:pPr>
      <w:r w:rsidRPr="0085408C">
        <w:rPr>
          <w:rStyle w:val="FootnoteReference"/>
          <w:szCs w:val="24"/>
        </w:rPr>
        <w:footnoteRef/>
      </w:r>
      <w:r w:rsidRPr="0085408C">
        <w:rPr>
          <w:szCs w:val="24"/>
        </w:rPr>
        <w:t xml:space="preserve"> Rule 4-100(A)(2) provides, “In the case of funds belonging in part to a client and in part presently or potentially to the member . . . , the portion belonging to the member . . . must be withdrawn at the earliest reasonable time after the member’s interest in that portion becomes fixed.  However, when the right of the member . . . to receive a portion of trust funds is disputed by the client, the disputed portion shall not be withdrawn until the dispute is finally resolved.”</w:t>
      </w:r>
    </w:p>
  </w:footnote>
  <w:footnote w:id="3">
    <w:p w:rsidR="00DB4E40" w:rsidRPr="0085408C" w:rsidRDefault="00DB4E40" w:rsidP="00C43BC9">
      <w:pPr>
        <w:pStyle w:val="TemplateFootnote"/>
        <w:rPr>
          <w:szCs w:val="24"/>
        </w:rPr>
      </w:pPr>
      <w:r w:rsidRPr="0085408C">
        <w:rPr>
          <w:rStyle w:val="FootnoteReference"/>
          <w:szCs w:val="24"/>
        </w:rPr>
        <w:footnoteRef/>
      </w:r>
      <w:r w:rsidRPr="0085408C">
        <w:rPr>
          <w:szCs w:val="24"/>
        </w:rPr>
        <w:t xml:space="preserve"> Rule 4-100(A) provides, “All funds received or held for the benefit of clients by a member . . . shall be deposited in one or more identifiable bank accounts labeled ‘Trust Account,’ ‘Client’s Funds Account’ or words of similar import . . . .”</w:t>
      </w:r>
    </w:p>
  </w:footnote>
  <w:footnote w:id="4">
    <w:p w:rsidR="00DB4E40" w:rsidRPr="0085408C" w:rsidRDefault="00DB4E40" w:rsidP="006336DD">
      <w:pPr>
        <w:pStyle w:val="TemplateFootnote"/>
        <w:rPr>
          <w:szCs w:val="24"/>
        </w:rPr>
      </w:pPr>
      <w:r w:rsidRPr="0085408C">
        <w:rPr>
          <w:rStyle w:val="FootnoteReference"/>
          <w:szCs w:val="24"/>
        </w:rPr>
        <w:footnoteRef/>
      </w:r>
      <w:r w:rsidRPr="0085408C">
        <w:rPr>
          <w:szCs w:val="24"/>
        </w:rPr>
        <w:t xml:space="preserve"> All further references to sections are to the Business and Professions Code unless </w:t>
      </w:r>
      <w:r w:rsidR="005F2794">
        <w:rPr>
          <w:szCs w:val="24"/>
        </w:rPr>
        <w:t xml:space="preserve">otherwise </w:t>
      </w:r>
      <w:r w:rsidRPr="0085408C">
        <w:rPr>
          <w:szCs w:val="24"/>
        </w:rPr>
        <w:t>noted.  Section 6106, in relevant part, states, “The commission of any act involving moral turpitude, dishonesty or corruption . . . constitutes a cause for disbarment or suspension.”</w:t>
      </w:r>
    </w:p>
  </w:footnote>
  <w:footnote w:id="5">
    <w:p w:rsidR="00DB4E40" w:rsidRPr="0085408C" w:rsidRDefault="00DB4E40" w:rsidP="006336DD">
      <w:pPr>
        <w:pStyle w:val="FootnoteText"/>
        <w:rPr>
          <w:szCs w:val="24"/>
        </w:rPr>
      </w:pPr>
      <w:r w:rsidRPr="0085408C">
        <w:rPr>
          <w:rStyle w:val="FootnoteReference"/>
          <w:szCs w:val="24"/>
        </w:rPr>
        <w:footnoteRef/>
      </w:r>
      <w:r w:rsidRPr="0085408C">
        <w:rPr>
          <w:szCs w:val="24"/>
        </w:rPr>
        <w:t xml:space="preserve"> Section 6103 provides that an attorney’s “willful disobedience or violation of an order of the court requiring him to do or forbear an act connected with or in the course of his profession, which he ought in good faith to do or forbear, and any violation of the oath taken by him, or of his duties as such attorney, constitute causes for disbarment or suspension.”</w:t>
      </w:r>
    </w:p>
  </w:footnote>
  <w:footnote w:id="6">
    <w:p w:rsidR="00DB4E40" w:rsidRPr="0085408C" w:rsidRDefault="00DB4E40" w:rsidP="00F42401">
      <w:pPr>
        <w:pStyle w:val="FootnoteText"/>
        <w:spacing w:after="120"/>
        <w:rPr>
          <w:szCs w:val="24"/>
        </w:rPr>
      </w:pPr>
      <w:r w:rsidRPr="0085408C">
        <w:rPr>
          <w:rStyle w:val="FootnoteReference"/>
          <w:szCs w:val="24"/>
        </w:rPr>
        <w:footnoteRef/>
      </w:r>
      <w:r w:rsidRPr="0085408C">
        <w:rPr>
          <w:szCs w:val="24"/>
        </w:rPr>
        <w:t xml:space="preserve"> We note that the hearing judge included information in her decision (e.g., facts suggesting Sganga withdrew more than the stipulated amount) for which there is no supporting evidence in the record.  As to such information, we instead adopt the parties’ stipulated facts.</w:t>
      </w:r>
    </w:p>
  </w:footnote>
  <w:footnote w:id="7">
    <w:p w:rsidR="00DB4E40" w:rsidRPr="0085408C" w:rsidRDefault="00DB4E40">
      <w:pPr>
        <w:pStyle w:val="FootnoteText"/>
        <w:rPr>
          <w:szCs w:val="24"/>
        </w:rPr>
      </w:pPr>
      <w:r w:rsidRPr="0085408C">
        <w:rPr>
          <w:rStyle w:val="FootnoteReference"/>
          <w:szCs w:val="24"/>
        </w:rPr>
        <w:footnoteRef/>
      </w:r>
      <w:r w:rsidRPr="0085408C">
        <w:rPr>
          <w:szCs w:val="24"/>
        </w:rPr>
        <w:t xml:space="preserve"> </w:t>
      </w:r>
      <w:r w:rsidR="00FA7025" w:rsidRPr="0085408C">
        <w:rPr>
          <w:rFonts w:eastAsia="Times New Roman"/>
          <w:szCs w:val="24"/>
        </w:rPr>
        <w:t>T</w:t>
      </w:r>
      <w:r w:rsidRPr="0085408C">
        <w:rPr>
          <w:rFonts w:eastAsia="Times New Roman"/>
          <w:szCs w:val="24"/>
        </w:rPr>
        <w:t xml:space="preserve">he hearing judge found that Sganga credibly testified that </w:t>
      </w:r>
      <w:r w:rsidRPr="0085408C">
        <w:rPr>
          <w:szCs w:val="24"/>
        </w:rPr>
        <w:t>$150,000 of the $725,000 recovered was punitive damages</w:t>
      </w:r>
      <w:r w:rsidRPr="0085408C">
        <w:rPr>
          <w:rFonts w:eastAsia="Times New Roman"/>
          <w:szCs w:val="24"/>
        </w:rPr>
        <w:t xml:space="preserve">.  </w:t>
      </w:r>
      <w:r w:rsidR="00D77FB5" w:rsidRPr="0085408C">
        <w:rPr>
          <w:rFonts w:eastAsia="Times New Roman"/>
          <w:szCs w:val="24"/>
        </w:rPr>
        <w:t xml:space="preserve">Further, </w:t>
      </w:r>
      <w:r w:rsidR="0034206C" w:rsidRPr="0085408C">
        <w:rPr>
          <w:rFonts w:eastAsia="Times New Roman"/>
          <w:szCs w:val="24"/>
        </w:rPr>
        <w:t>t</w:t>
      </w:r>
      <w:r w:rsidR="00D77FB5" w:rsidRPr="0085408C">
        <w:rPr>
          <w:rFonts w:eastAsia="Times New Roman"/>
          <w:szCs w:val="24"/>
        </w:rPr>
        <w:t>he judge found that Sganga was entitled to at least $</w:t>
      </w:r>
      <w:r w:rsidR="00581430" w:rsidRPr="0085408C">
        <w:rPr>
          <w:rFonts w:eastAsia="Times New Roman"/>
          <w:szCs w:val="24"/>
        </w:rPr>
        <w:t>175,000 under the fee agreement</w:t>
      </w:r>
      <w:r w:rsidR="00D77FB5" w:rsidRPr="0085408C">
        <w:rPr>
          <w:rFonts w:eastAsia="Times New Roman"/>
          <w:szCs w:val="24"/>
        </w:rPr>
        <w:t>: ($150,000 [punitive damages] x 40 percent) + ($575,000 [compensatory damages] x 20 percent) = $175,000.</w:t>
      </w:r>
      <w:r w:rsidR="0034206C" w:rsidRPr="0085408C">
        <w:rPr>
          <w:rFonts w:eastAsia="Times New Roman"/>
          <w:szCs w:val="24"/>
        </w:rPr>
        <w:t xml:space="preserve">  </w:t>
      </w:r>
      <w:r w:rsidRPr="0085408C">
        <w:rPr>
          <w:rFonts w:eastAsia="Times New Roman"/>
          <w:szCs w:val="24"/>
        </w:rPr>
        <w:t>We</w:t>
      </w:r>
      <w:r w:rsidRPr="0085408C">
        <w:rPr>
          <w:szCs w:val="24"/>
        </w:rPr>
        <w:t xml:space="preserve"> give great weight to the judge’s credibility </w:t>
      </w:r>
      <w:r w:rsidR="0034206C" w:rsidRPr="0085408C">
        <w:rPr>
          <w:szCs w:val="24"/>
        </w:rPr>
        <w:t xml:space="preserve">and factual </w:t>
      </w:r>
      <w:r w:rsidRPr="0085408C">
        <w:rPr>
          <w:szCs w:val="24"/>
        </w:rPr>
        <w:t>findings.  (</w:t>
      </w:r>
      <w:r w:rsidRPr="0085408C">
        <w:rPr>
          <w:i/>
          <w:szCs w:val="24"/>
        </w:rPr>
        <w:t xml:space="preserve">McKnight v. State Bar </w:t>
      </w:r>
      <w:r w:rsidRPr="0085408C">
        <w:rPr>
          <w:szCs w:val="24"/>
        </w:rPr>
        <w:t>(1991) 53 Cal.3d 1025, 1032</w:t>
      </w:r>
      <w:r w:rsidR="0034206C" w:rsidRPr="0085408C">
        <w:rPr>
          <w:szCs w:val="24"/>
        </w:rPr>
        <w:t>; Rules Proc. of State Bar, rule 5.155(A)</w:t>
      </w:r>
      <w:r w:rsidRPr="0085408C">
        <w:rPr>
          <w:szCs w:val="24"/>
        </w:rPr>
        <w:t>.)</w:t>
      </w:r>
    </w:p>
  </w:footnote>
  <w:footnote w:id="8">
    <w:p w:rsidR="00DB4E40" w:rsidRPr="0085408C" w:rsidRDefault="00DB4E40" w:rsidP="00100F1C">
      <w:pPr>
        <w:pStyle w:val="FootnoteText"/>
        <w:spacing w:after="120"/>
        <w:rPr>
          <w:szCs w:val="24"/>
        </w:rPr>
      </w:pPr>
      <w:r w:rsidRPr="0085408C">
        <w:rPr>
          <w:rStyle w:val="FootnoteReference"/>
          <w:szCs w:val="24"/>
        </w:rPr>
        <w:footnoteRef/>
      </w:r>
      <w:r w:rsidRPr="0085408C">
        <w:rPr>
          <w:szCs w:val="24"/>
        </w:rPr>
        <w:t xml:space="preserve"> </w:t>
      </w:r>
      <w:r w:rsidRPr="0085408C">
        <w:rPr>
          <w:rFonts w:eastAsia="Times New Roman"/>
          <w:szCs w:val="24"/>
        </w:rPr>
        <w:t xml:space="preserve">While on vacation in Germany, Sganga fell and sustained serious injuries—a fractured clavicle, </w:t>
      </w:r>
      <w:r w:rsidR="005F2794">
        <w:rPr>
          <w:rFonts w:eastAsia="Times New Roman"/>
          <w:szCs w:val="24"/>
        </w:rPr>
        <w:t>broken foot</w:t>
      </w:r>
      <w:r w:rsidRPr="0085408C">
        <w:rPr>
          <w:rFonts w:eastAsia="Times New Roman"/>
          <w:szCs w:val="24"/>
        </w:rPr>
        <w:t>, and broken rib.  After receiving treatment in Germany, he returned to the United States.  Following a nine-hour flight, he collapsed at a New York airport and was rushed to a hospital, where he stayed from January 4 to 16, 2014</w:t>
      </w:r>
      <w:r w:rsidR="0022733A" w:rsidRPr="0085408C">
        <w:rPr>
          <w:rFonts w:eastAsia="Times New Roman"/>
          <w:szCs w:val="24"/>
        </w:rPr>
        <w:t xml:space="preserve">.  While hospitalized, Sganga was </w:t>
      </w:r>
      <w:r w:rsidRPr="0085408C">
        <w:rPr>
          <w:rFonts w:eastAsia="Times New Roman"/>
          <w:szCs w:val="24"/>
        </w:rPr>
        <w:t>diagnos</w:t>
      </w:r>
      <w:r w:rsidR="0022733A" w:rsidRPr="0085408C">
        <w:rPr>
          <w:rFonts w:eastAsia="Times New Roman"/>
          <w:szCs w:val="24"/>
        </w:rPr>
        <w:t>ed with</w:t>
      </w:r>
      <w:r w:rsidR="00413513">
        <w:rPr>
          <w:rFonts w:eastAsia="Times New Roman"/>
          <w:szCs w:val="24"/>
        </w:rPr>
        <w:t>, and treated for,</w:t>
      </w:r>
      <w:r w:rsidR="0022733A" w:rsidRPr="0085408C">
        <w:rPr>
          <w:rFonts w:eastAsia="Times New Roman"/>
          <w:szCs w:val="24"/>
        </w:rPr>
        <w:t xml:space="preserve"> </w:t>
      </w:r>
      <w:r w:rsidRPr="0085408C">
        <w:rPr>
          <w:rFonts w:eastAsia="Times New Roman"/>
          <w:szCs w:val="24"/>
        </w:rPr>
        <w:t>a bilateral pulmonary embolism.</w:t>
      </w:r>
    </w:p>
  </w:footnote>
  <w:footnote w:id="9">
    <w:p w:rsidR="00572E2C" w:rsidRPr="0085408C" w:rsidRDefault="00572E2C" w:rsidP="00572E2C">
      <w:pPr>
        <w:pStyle w:val="FootnoteText"/>
        <w:spacing w:after="120"/>
        <w:rPr>
          <w:szCs w:val="24"/>
        </w:rPr>
      </w:pPr>
      <w:r w:rsidRPr="0085408C">
        <w:rPr>
          <w:rStyle w:val="FootnoteReference"/>
          <w:szCs w:val="24"/>
        </w:rPr>
        <w:footnoteRef/>
      </w:r>
      <w:r w:rsidRPr="0085408C">
        <w:rPr>
          <w:szCs w:val="24"/>
        </w:rPr>
        <w:t xml:space="preserve"> OCTC and Sganga agreed that at all times after January 21, 2014, Sganga was entitled to a fee for the legal services he provided to his two clients.</w:t>
      </w:r>
    </w:p>
  </w:footnote>
  <w:footnote w:id="10">
    <w:p w:rsidR="00DB4E40" w:rsidRPr="0085408C" w:rsidRDefault="00DB4E40" w:rsidP="0063720D">
      <w:pPr>
        <w:pStyle w:val="TemplateFootnote"/>
        <w:spacing w:after="0"/>
        <w:rPr>
          <w:szCs w:val="24"/>
        </w:rPr>
      </w:pPr>
      <w:r w:rsidRPr="0085408C">
        <w:rPr>
          <w:rStyle w:val="FootnoteReference"/>
          <w:szCs w:val="24"/>
        </w:rPr>
        <w:footnoteRef/>
      </w:r>
      <w:r w:rsidRPr="0085408C">
        <w:rPr>
          <w:szCs w:val="24"/>
        </w:rPr>
        <w:t xml:space="preserve"> In response to OCTC’s questioning, Sganga testified that after he received the first settlement check ($20,000) from SAI, he sent </w:t>
      </w:r>
      <w:r w:rsidRPr="0085408C">
        <w:rPr>
          <w:rFonts w:eastAsia="Times New Roman"/>
          <w:szCs w:val="24"/>
        </w:rPr>
        <w:t>Amarnath and Velagapudi checks for what he believed they were entitled to under the fee agreement, but they did not cash them</w:t>
      </w:r>
      <w:r w:rsidR="002D0E92" w:rsidRPr="0085408C">
        <w:rPr>
          <w:rFonts w:eastAsia="Times New Roman"/>
          <w:szCs w:val="24"/>
        </w:rPr>
        <w:t xml:space="preserve"> because, Sganga assumed, they believed</w:t>
      </w:r>
      <w:r w:rsidRPr="0085408C">
        <w:rPr>
          <w:rFonts w:eastAsia="Times New Roman"/>
          <w:szCs w:val="24"/>
        </w:rPr>
        <w:t xml:space="preserve"> doing so</w:t>
      </w:r>
      <w:r w:rsidR="002D0E92" w:rsidRPr="0085408C">
        <w:rPr>
          <w:rFonts w:eastAsia="Times New Roman"/>
          <w:szCs w:val="24"/>
        </w:rPr>
        <w:t xml:space="preserve"> would acknowledge the proportions they were due.</w:t>
      </w:r>
    </w:p>
  </w:footnote>
  <w:footnote w:id="11">
    <w:p w:rsidR="00DB4E40" w:rsidRPr="0085408C" w:rsidRDefault="00DB4E40" w:rsidP="005F683B">
      <w:pPr>
        <w:pStyle w:val="FootnoteText"/>
        <w:rPr>
          <w:szCs w:val="24"/>
        </w:rPr>
      </w:pPr>
      <w:r w:rsidRPr="0085408C">
        <w:rPr>
          <w:rStyle w:val="FootnoteReference"/>
          <w:szCs w:val="24"/>
        </w:rPr>
        <w:footnoteRef/>
      </w:r>
      <w:r w:rsidRPr="0085408C">
        <w:rPr>
          <w:szCs w:val="24"/>
        </w:rPr>
        <w:t xml:space="preserve"> The NDC and the hearing judge cited May 13, 2015, as the order’s date.  The stipulation cited May 12, 2015, which we adopt.  This discrepancy is immaterial and harmless.</w:t>
      </w:r>
    </w:p>
  </w:footnote>
  <w:footnote w:id="12">
    <w:p w:rsidR="00DB4E40" w:rsidRPr="0085408C" w:rsidRDefault="00DB4E40" w:rsidP="00F438D7">
      <w:pPr>
        <w:pStyle w:val="TemplateFootnote"/>
        <w:rPr>
          <w:szCs w:val="24"/>
        </w:rPr>
      </w:pPr>
      <w:r w:rsidRPr="0085408C">
        <w:rPr>
          <w:rStyle w:val="FootnoteReference"/>
          <w:szCs w:val="24"/>
        </w:rPr>
        <w:footnoteRef/>
      </w:r>
      <w:r w:rsidRPr="0085408C">
        <w:rPr>
          <w:szCs w:val="24"/>
        </w:rPr>
        <w:t xml:space="preserve"> All further references to standards are to the Rules of Procedure of the State Bar, title IV, Standards for Attorney Sanctions for Professional Misconduct.</w:t>
      </w:r>
    </w:p>
  </w:footnote>
  <w:footnote w:id="13">
    <w:p w:rsidR="00DB4E40" w:rsidRPr="0085408C" w:rsidRDefault="00DB4E40" w:rsidP="00EF7FB6">
      <w:pPr>
        <w:pStyle w:val="FootnoteText"/>
        <w:rPr>
          <w:szCs w:val="24"/>
        </w:rPr>
      </w:pPr>
      <w:r w:rsidRPr="0085408C">
        <w:rPr>
          <w:rStyle w:val="FootnoteReference"/>
          <w:szCs w:val="24"/>
        </w:rPr>
        <w:footnoteRef/>
      </w:r>
      <w:r w:rsidRPr="0085408C">
        <w:rPr>
          <w:szCs w:val="24"/>
        </w:rPr>
        <w:t xml:space="preserve"> Clear and convincing evidence leaves no substantial doubt and is sufficiently strong to command the unhesitating assent of every reasonable mind.  (</w:t>
      </w:r>
      <w:r w:rsidRPr="0085408C">
        <w:rPr>
          <w:i/>
          <w:szCs w:val="24"/>
        </w:rPr>
        <w:t>Conservatorship of Wendland</w:t>
      </w:r>
      <w:r w:rsidRPr="0085408C">
        <w:rPr>
          <w:szCs w:val="24"/>
        </w:rPr>
        <w:t xml:space="preserve"> (2001) 26 Cal.4th 519, 552.)</w:t>
      </w:r>
    </w:p>
  </w:footnote>
  <w:footnote w:id="14">
    <w:p w:rsidR="00DB4E40" w:rsidRPr="0085408C" w:rsidRDefault="00DB4E40" w:rsidP="00E27F37">
      <w:pPr>
        <w:pStyle w:val="FootnoteText"/>
        <w:rPr>
          <w:szCs w:val="24"/>
        </w:rPr>
      </w:pPr>
      <w:r w:rsidRPr="0085408C">
        <w:rPr>
          <w:rStyle w:val="FootnoteReference"/>
          <w:szCs w:val="24"/>
        </w:rPr>
        <w:footnoteRef/>
      </w:r>
      <w:r w:rsidRPr="0085408C">
        <w:rPr>
          <w:szCs w:val="24"/>
        </w:rPr>
        <w:t xml:space="preserve"> In response to Sganga’s contentions on review, we note that we do not </w:t>
      </w:r>
      <w:r w:rsidR="00F452EB">
        <w:rPr>
          <w:szCs w:val="24"/>
        </w:rPr>
        <w:t>find additional</w:t>
      </w:r>
      <w:r w:rsidRPr="0085408C">
        <w:rPr>
          <w:szCs w:val="24"/>
        </w:rPr>
        <w:t xml:space="preserve"> culpability </w:t>
      </w:r>
      <w:r w:rsidR="00F452EB">
        <w:rPr>
          <w:szCs w:val="24"/>
        </w:rPr>
        <w:t>based on his accepting</w:t>
      </w:r>
      <w:r w:rsidRPr="0085408C">
        <w:rPr>
          <w:szCs w:val="24"/>
        </w:rPr>
        <w:t xml:space="preserve"> the settlement agreement term offered by new counsel and withh</w:t>
      </w:r>
      <w:r w:rsidR="00F452EB">
        <w:rPr>
          <w:szCs w:val="24"/>
        </w:rPr>
        <w:t>olding</w:t>
      </w:r>
      <w:r w:rsidRPr="0085408C">
        <w:rPr>
          <w:szCs w:val="24"/>
        </w:rPr>
        <w:t xml:space="preserve"> the $380,000</w:t>
      </w:r>
      <w:r w:rsidR="006C2597">
        <w:rPr>
          <w:szCs w:val="24"/>
        </w:rPr>
        <w:t>,</w:t>
      </w:r>
      <w:r w:rsidRPr="0085408C">
        <w:rPr>
          <w:szCs w:val="24"/>
        </w:rPr>
        <w:t xml:space="preserve"> </w:t>
      </w:r>
      <w:r w:rsidR="00F452EB">
        <w:rPr>
          <w:szCs w:val="24"/>
        </w:rPr>
        <w:t>given that</w:t>
      </w:r>
      <w:r w:rsidRPr="0085408C">
        <w:rPr>
          <w:szCs w:val="24"/>
        </w:rPr>
        <w:t xml:space="preserve"> the NDC did not reference these acts and OCTC did not amend the NDC to charge this misconduct.  (See </w:t>
      </w:r>
      <w:r w:rsidRPr="0085408C">
        <w:rPr>
          <w:i/>
          <w:szCs w:val="24"/>
        </w:rPr>
        <w:t>Edwards v. State Bar</w:t>
      </w:r>
      <w:r w:rsidRPr="0085408C">
        <w:rPr>
          <w:szCs w:val="24"/>
        </w:rPr>
        <w:t xml:space="preserve"> (1990) 52 Cal.3d 28, 35 [as general rule, attorney may not be disciplined for violation not alleged in NDC].)  </w:t>
      </w:r>
    </w:p>
  </w:footnote>
  <w:footnote w:id="15">
    <w:p w:rsidR="00DB4E40" w:rsidRPr="0085408C" w:rsidRDefault="00DB4E40" w:rsidP="005C1769">
      <w:pPr>
        <w:pStyle w:val="FootnoteText"/>
        <w:rPr>
          <w:szCs w:val="24"/>
        </w:rPr>
      </w:pPr>
      <w:r w:rsidRPr="0085408C">
        <w:rPr>
          <w:rStyle w:val="FootnoteReference"/>
          <w:szCs w:val="24"/>
        </w:rPr>
        <w:footnoteRef/>
      </w:r>
      <w:r w:rsidRPr="0085408C">
        <w:rPr>
          <w:szCs w:val="24"/>
        </w:rPr>
        <w:t xml:space="preserve"> The judge incorrectly credited Sganga with “over 11 years” </w:t>
      </w:r>
      <w:r w:rsidR="00C81A57" w:rsidRPr="0085408C">
        <w:rPr>
          <w:szCs w:val="24"/>
        </w:rPr>
        <w:t xml:space="preserve">of practice </w:t>
      </w:r>
      <w:r w:rsidRPr="0085408C">
        <w:rPr>
          <w:szCs w:val="24"/>
        </w:rPr>
        <w:t>with no prior discipline</w:t>
      </w:r>
      <w:r w:rsidR="00C81A57" w:rsidRPr="0085408C">
        <w:rPr>
          <w:szCs w:val="24"/>
        </w:rPr>
        <w:t>; we find instead that he had just over 10 years.</w:t>
      </w:r>
    </w:p>
  </w:footnote>
  <w:footnote w:id="16">
    <w:p w:rsidR="00DB4E40" w:rsidRPr="0085408C" w:rsidRDefault="00DB4E40" w:rsidP="00462B26">
      <w:pPr>
        <w:pStyle w:val="TemplateFootnote"/>
        <w:rPr>
          <w:szCs w:val="24"/>
        </w:rPr>
      </w:pPr>
      <w:r w:rsidRPr="0085408C">
        <w:rPr>
          <w:rStyle w:val="FootnoteReference"/>
          <w:szCs w:val="24"/>
        </w:rPr>
        <w:footnoteRef/>
      </w:r>
      <w:r w:rsidRPr="0085408C">
        <w:rPr>
          <w:szCs w:val="24"/>
        </w:rPr>
        <w:t xml:space="preserve"> The purpose of attorney discipline is not to punish the attorney, but to protect the public, the courts, and the legal profession; to maintain the highest professional standards for attorneys; and to preserve public confidence in the legal profession.  (Std. 1.1.)</w:t>
      </w:r>
    </w:p>
  </w:footnote>
  <w:footnote w:id="17">
    <w:p w:rsidR="00021A77" w:rsidRPr="0085408C" w:rsidRDefault="00021A77" w:rsidP="00021A77">
      <w:pPr>
        <w:pStyle w:val="FootnoteText"/>
        <w:rPr>
          <w:szCs w:val="24"/>
        </w:rPr>
      </w:pPr>
      <w:r w:rsidRPr="0085408C">
        <w:rPr>
          <w:rStyle w:val="FootnoteReference"/>
          <w:szCs w:val="24"/>
        </w:rPr>
        <w:footnoteRef/>
      </w:r>
      <w:r w:rsidRPr="0085408C">
        <w:rPr>
          <w:szCs w:val="24"/>
        </w:rPr>
        <w:t xml:space="preserve"> Standards 2.2(a), 2.2(b), 2.11, and 2.12(a) also apply and provide for presumed discipline ranging from reproval to disbarment.</w:t>
      </w:r>
    </w:p>
  </w:footnote>
  <w:footnote w:id="18">
    <w:p w:rsidR="00AE3825" w:rsidRPr="0085408C" w:rsidRDefault="00AE3825" w:rsidP="000528E4">
      <w:pPr>
        <w:pStyle w:val="FootnoteText"/>
        <w:spacing w:after="120"/>
        <w:rPr>
          <w:szCs w:val="24"/>
        </w:rPr>
      </w:pPr>
      <w:r w:rsidRPr="0085408C">
        <w:rPr>
          <w:rStyle w:val="FootnoteReference"/>
          <w:szCs w:val="24"/>
        </w:rPr>
        <w:footnoteRef/>
      </w:r>
      <w:r w:rsidRPr="0085408C">
        <w:rPr>
          <w:szCs w:val="24"/>
        </w:rPr>
        <w:t xml:space="preserve"> E.g., </w:t>
      </w:r>
      <w:r w:rsidRPr="0085408C">
        <w:rPr>
          <w:i/>
          <w:szCs w:val="24"/>
        </w:rPr>
        <w:t>In re Brown</w:t>
      </w:r>
      <w:r w:rsidRPr="0085408C">
        <w:rPr>
          <w:szCs w:val="24"/>
        </w:rPr>
        <w:t xml:space="preserve">, </w:t>
      </w:r>
      <w:r w:rsidRPr="0085408C">
        <w:rPr>
          <w:i/>
          <w:szCs w:val="24"/>
        </w:rPr>
        <w:t>supra</w:t>
      </w:r>
      <w:r w:rsidRPr="0085408C">
        <w:rPr>
          <w:szCs w:val="24"/>
        </w:rPr>
        <w:t xml:space="preserve">, 12 Cal.4th 205 [misdemeanor conviction for failure to remit to state funds withheld from employees’ wages; 60-day actual suspension]; </w:t>
      </w:r>
      <w:r w:rsidRPr="0085408C">
        <w:rPr>
          <w:i/>
          <w:szCs w:val="24"/>
        </w:rPr>
        <w:t>Dudugjian v. State Bar</w:t>
      </w:r>
      <w:r w:rsidRPr="0085408C">
        <w:rPr>
          <w:szCs w:val="24"/>
        </w:rPr>
        <w:t xml:space="preserve"> (1991) 52 Cal.3d 1092 [commingling and failure to promptly pay funds to client due to honest mistake; public reproval]; </w:t>
      </w:r>
      <w:r w:rsidRPr="0085408C">
        <w:rPr>
          <w:i/>
          <w:szCs w:val="24"/>
        </w:rPr>
        <w:t>In the Matter of Respondent K</w:t>
      </w:r>
      <w:r w:rsidRPr="0085408C">
        <w:rPr>
          <w:szCs w:val="24"/>
        </w:rPr>
        <w:t xml:space="preserve"> (Review Dept. 1993) 2 Cal. State Bar Ct. Rptr. 335 [failure to keep disputed legal fee in trust; private reproval]; </w:t>
      </w:r>
      <w:r w:rsidRPr="0085408C">
        <w:rPr>
          <w:i/>
          <w:szCs w:val="24"/>
        </w:rPr>
        <w:t>In the Matter of Respondent E</w:t>
      </w:r>
      <w:r w:rsidRPr="0085408C">
        <w:rPr>
          <w:szCs w:val="24"/>
        </w:rPr>
        <w:t xml:space="preserve"> (Review Dept. 1991) 1 Cal. State Bar Ct. Rptr. 716 [negligent handling of client’s check and failure to restore disputed funds; private reproval].</w:t>
      </w:r>
    </w:p>
  </w:footnote>
  <w:footnote w:id="19">
    <w:p w:rsidR="004C6FA3" w:rsidRPr="0085408C" w:rsidRDefault="004C6FA3" w:rsidP="000528E4">
      <w:pPr>
        <w:pStyle w:val="FootnoteText"/>
        <w:spacing w:after="120"/>
        <w:rPr>
          <w:szCs w:val="24"/>
        </w:rPr>
      </w:pPr>
      <w:r w:rsidRPr="0085408C">
        <w:rPr>
          <w:rStyle w:val="FootnoteReference"/>
          <w:szCs w:val="24"/>
        </w:rPr>
        <w:footnoteRef/>
      </w:r>
      <w:r w:rsidRPr="0085408C">
        <w:rPr>
          <w:szCs w:val="24"/>
        </w:rPr>
        <w:t xml:space="preserve"> E.g., </w:t>
      </w:r>
      <w:r w:rsidRPr="0085408C">
        <w:rPr>
          <w:i/>
          <w:szCs w:val="24"/>
        </w:rPr>
        <w:t>Edwards</w:t>
      </w:r>
      <w:r w:rsidR="00CE78EE">
        <w:rPr>
          <w:i/>
          <w:szCs w:val="24"/>
        </w:rPr>
        <w:t xml:space="preserve"> v. State Bar</w:t>
      </w:r>
      <w:r w:rsidRPr="0085408C">
        <w:rPr>
          <w:szCs w:val="24"/>
        </w:rPr>
        <w:t xml:space="preserve">, </w:t>
      </w:r>
      <w:r w:rsidRPr="0085408C">
        <w:rPr>
          <w:i/>
          <w:szCs w:val="24"/>
        </w:rPr>
        <w:t>supra</w:t>
      </w:r>
      <w:r w:rsidRPr="0085408C">
        <w:rPr>
          <w:szCs w:val="24"/>
        </w:rPr>
        <w:t xml:space="preserve">, 52 Cal.3d 28 [no prior discipline, no acts of deceit, full repayment made within three months and before aware of complaint to State Bar; one-year actual suspension]; </w:t>
      </w:r>
      <w:r w:rsidRPr="0085408C">
        <w:rPr>
          <w:i/>
          <w:szCs w:val="24"/>
        </w:rPr>
        <w:t>Howard v. State Bar</w:t>
      </w:r>
      <w:r w:rsidRPr="0085408C">
        <w:rPr>
          <w:szCs w:val="24"/>
        </w:rPr>
        <w:t xml:space="preserve"> (1990) 51 Cal.3d 215 [rehabilitation from alcoholism and drug dependency; six-month actual suspension]; </w:t>
      </w:r>
      <w:r w:rsidRPr="0085408C">
        <w:rPr>
          <w:i/>
          <w:szCs w:val="24"/>
        </w:rPr>
        <w:t>Friedman v. State Bar</w:t>
      </w:r>
      <w:r w:rsidRPr="0085408C">
        <w:rPr>
          <w:szCs w:val="24"/>
        </w:rPr>
        <w:t xml:space="preserve"> (1990) 50 Cal.3d 235 [over 20 years’ discipline-free practice, stress arising from marital problems; three-year actual suspension]; </w:t>
      </w:r>
      <w:r w:rsidRPr="0085408C">
        <w:rPr>
          <w:i/>
          <w:szCs w:val="24"/>
        </w:rPr>
        <w:t>Weller v. State Bar</w:t>
      </w:r>
      <w:r w:rsidRPr="0085408C">
        <w:rPr>
          <w:szCs w:val="24"/>
        </w:rPr>
        <w:t xml:space="preserve"> (1989) 49 Cal.3d 670 [prompt voluntary restitution and character evidence; three-year actual suspension]; </w:t>
      </w:r>
      <w:r w:rsidRPr="0085408C">
        <w:rPr>
          <w:i/>
          <w:szCs w:val="24"/>
        </w:rPr>
        <w:t>Chefsky v. State Bar</w:t>
      </w:r>
      <w:r w:rsidRPr="0085408C">
        <w:rPr>
          <w:szCs w:val="24"/>
        </w:rPr>
        <w:t xml:space="preserve"> (1984) 36 Cal.3d 116 [nearly 20 years’ discipline-free practice, illness, loss of full-time secretary, relocation of practice; 30-day actual suspension].</w:t>
      </w:r>
    </w:p>
  </w:footnote>
  <w:footnote w:id="20">
    <w:p w:rsidR="004C6FA3" w:rsidRPr="0085408C" w:rsidRDefault="004C6FA3">
      <w:pPr>
        <w:pStyle w:val="FootnoteText"/>
        <w:rPr>
          <w:szCs w:val="24"/>
        </w:rPr>
      </w:pPr>
      <w:r w:rsidRPr="0085408C">
        <w:rPr>
          <w:rStyle w:val="FootnoteReference"/>
          <w:szCs w:val="24"/>
        </w:rPr>
        <w:footnoteRef/>
      </w:r>
      <w:r w:rsidRPr="0085408C">
        <w:rPr>
          <w:szCs w:val="24"/>
        </w:rPr>
        <w:t xml:space="preserve"> </w:t>
      </w:r>
      <w:r w:rsidR="00D450C7" w:rsidRPr="0085408C">
        <w:rPr>
          <w:szCs w:val="24"/>
        </w:rPr>
        <w:t xml:space="preserve">E.g., </w:t>
      </w:r>
      <w:r w:rsidR="00D450C7" w:rsidRPr="0085408C">
        <w:rPr>
          <w:i/>
          <w:szCs w:val="24"/>
        </w:rPr>
        <w:t>Chasteen v. State Bar</w:t>
      </w:r>
      <w:r w:rsidR="00D450C7" w:rsidRPr="0085408C">
        <w:rPr>
          <w:szCs w:val="24"/>
        </w:rPr>
        <w:t xml:space="preserve"> (1985) 40 Cal.3d 586 [willful misappropriation and other misconduct, bulk of which appeared closely related to attorney’s alcohol abuse; 60-day actual suspension]; </w:t>
      </w:r>
      <w:r w:rsidR="00D450C7" w:rsidRPr="0085408C">
        <w:rPr>
          <w:i/>
          <w:szCs w:val="24"/>
        </w:rPr>
        <w:t>Most v. State Bar</w:t>
      </w:r>
      <w:r w:rsidR="00D450C7" w:rsidRPr="0085408C">
        <w:rPr>
          <w:szCs w:val="24"/>
        </w:rPr>
        <w:t xml:space="preserve"> (1967) 67 Cal.2d 589 [intentional misappropriation and other misconduc</w:t>
      </w:r>
      <w:r w:rsidR="000528E4" w:rsidRPr="0085408C">
        <w:rPr>
          <w:szCs w:val="24"/>
        </w:rPr>
        <w:t>t; two-year actual suspension].</w:t>
      </w:r>
    </w:p>
  </w:footnote>
  <w:footnote w:id="21">
    <w:p w:rsidR="00DB4E40" w:rsidRPr="0085408C" w:rsidRDefault="00DB4E40" w:rsidP="000528E4">
      <w:pPr>
        <w:pStyle w:val="TemplateFootnote"/>
        <w:spacing w:after="0"/>
        <w:rPr>
          <w:szCs w:val="24"/>
        </w:rPr>
      </w:pPr>
      <w:r w:rsidRPr="0085408C">
        <w:rPr>
          <w:rStyle w:val="FootnoteReference"/>
          <w:szCs w:val="24"/>
        </w:rPr>
        <w:footnoteRef/>
      </w:r>
      <w:r w:rsidRPr="0085408C">
        <w:rPr>
          <w:szCs w:val="24"/>
        </w:rPr>
        <w:t xml:space="preserve"> We note that Sganga’s violation of the court order in the Sganga action could, itself, result in disbarment.  (See std. 2.12(a) [</w:t>
      </w:r>
      <w:r w:rsidR="006802DC">
        <w:rPr>
          <w:szCs w:val="24"/>
        </w:rPr>
        <w:t>“D</w:t>
      </w:r>
      <w:r w:rsidRPr="0085408C">
        <w:rPr>
          <w:szCs w:val="24"/>
        </w:rPr>
        <w:t>isbarment or actual suspension is the presumed sanction for disobedience or violation of a court order related to the member’s practice of law”].)</w:t>
      </w:r>
    </w:p>
  </w:footnote>
  <w:footnote w:id="22">
    <w:p w:rsidR="00DB4E40" w:rsidRPr="0085408C" w:rsidRDefault="00DB4E40" w:rsidP="00BF6298">
      <w:pPr>
        <w:ind w:firstLine="720"/>
        <w:rPr>
          <w:szCs w:val="24"/>
        </w:rPr>
      </w:pPr>
      <w:r w:rsidRPr="0085408C">
        <w:rPr>
          <w:rStyle w:val="FootnoteReference"/>
          <w:szCs w:val="24"/>
        </w:rPr>
        <w:footnoteRef/>
      </w:r>
      <w:r w:rsidRPr="0085408C">
        <w:rPr>
          <w:szCs w:val="24"/>
        </w:rPr>
        <w:t xml:space="preserve"> E.g., </w:t>
      </w:r>
      <w:r w:rsidRPr="0085408C">
        <w:rPr>
          <w:i/>
          <w:szCs w:val="24"/>
        </w:rPr>
        <w:t>Kelly v. State Bar</w:t>
      </w:r>
      <w:r w:rsidRPr="0085408C">
        <w:rPr>
          <w:szCs w:val="24"/>
        </w:rPr>
        <w:t xml:space="preserve">, </w:t>
      </w:r>
      <w:r w:rsidRPr="0085408C">
        <w:rPr>
          <w:i/>
          <w:szCs w:val="24"/>
        </w:rPr>
        <w:t>supra</w:t>
      </w:r>
      <w:r w:rsidRPr="0085408C">
        <w:rPr>
          <w:szCs w:val="24"/>
        </w:rPr>
        <w:t>,</w:t>
      </w:r>
      <w:r w:rsidRPr="0085408C">
        <w:rPr>
          <w:i/>
          <w:szCs w:val="24"/>
        </w:rPr>
        <w:t xml:space="preserve"> </w:t>
      </w:r>
      <w:r w:rsidRPr="0085408C">
        <w:rPr>
          <w:szCs w:val="24"/>
        </w:rPr>
        <w:t xml:space="preserve">45 Cal.3d 649 (disbarment for misappropriating nearly $20,000, moral turpitude, dishonesty, and improper communication with adverse party, despite no prior record and no aggravation); </w:t>
      </w:r>
      <w:r w:rsidRPr="0085408C">
        <w:rPr>
          <w:i/>
          <w:szCs w:val="24"/>
        </w:rPr>
        <w:t>Gordon v. State Bar</w:t>
      </w:r>
      <w:r w:rsidRPr="0085408C">
        <w:rPr>
          <w:szCs w:val="24"/>
        </w:rPr>
        <w:t xml:space="preserve"> (1982) 31 Cal.3d 748 (disbarment for misappropriating around $30,000, despite mitigation, including 13 years of discipline-free practice, financial difficulties, emotional difficulties due to divorce, and remorse).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B2E99"/>
    <w:multiLevelType w:val="hybridMultilevel"/>
    <w:tmpl w:val="C868D3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nsid w:val="7FC3225E"/>
    <w:multiLevelType w:val="hybridMultilevel"/>
    <w:tmpl w:val="945E859A"/>
    <w:lvl w:ilvl="0" w:tplc="B85644DA">
      <w:start w:val="1"/>
      <w:numFmt w:val="upperRoman"/>
      <w:lvlText w:val="%1."/>
      <w:lvlJc w:val="left"/>
      <w:pPr>
        <w:ind w:left="1080" w:hanging="720"/>
      </w:pPr>
      <w:rPr>
        <w:rFonts w:hint="default"/>
      </w:rPr>
    </w:lvl>
    <w:lvl w:ilvl="1" w:tplc="37260052">
      <w:start w:val="1"/>
      <w:numFmt w:val="upperLetter"/>
      <w:lvlText w:val="%2."/>
      <w:lvlJc w:val="left"/>
      <w:pPr>
        <w:ind w:left="720" w:hanging="720"/>
      </w:pPr>
      <w:rPr>
        <w:rFonts w:hint="default"/>
        <w:b/>
      </w:rPr>
    </w:lvl>
    <w:lvl w:ilvl="2" w:tplc="22162434">
      <w:start w:val="1"/>
      <w:numFmt w:val="lowerRoman"/>
      <w:lvlText w:val="%3."/>
      <w:lvlJc w:val="right"/>
      <w:pPr>
        <w:ind w:left="2160" w:hanging="180"/>
      </w:pPr>
      <w:rPr>
        <w:rFonts w:hint="default"/>
      </w:rPr>
    </w:lvl>
    <w:lvl w:ilvl="3" w:tplc="0742C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18"/>
  </w:num>
  <w:num w:numId="5">
    <w:abstractNumId w:val="5"/>
  </w:num>
  <w:num w:numId="6">
    <w:abstractNumId w:val="14"/>
  </w:num>
  <w:num w:numId="7">
    <w:abstractNumId w:val="9"/>
  </w:num>
  <w:num w:numId="8">
    <w:abstractNumId w:val="8"/>
  </w:num>
  <w:num w:numId="9">
    <w:abstractNumId w:val="16"/>
  </w:num>
  <w:num w:numId="10">
    <w:abstractNumId w:val="15"/>
  </w:num>
  <w:num w:numId="11">
    <w:abstractNumId w:val="11"/>
  </w:num>
  <w:num w:numId="12">
    <w:abstractNumId w:val="7"/>
  </w:num>
  <w:num w:numId="13">
    <w:abstractNumId w:val="21"/>
  </w:num>
  <w:num w:numId="14">
    <w:abstractNumId w:val="17"/>
  </w:num>
  <w:num w:numId="15">
    <w:abstractNumId w:val="10"/>
  </w:num>
  <w:num w:numId="16">
    <w:abstractNumId w:val="4"/>
  </w:num>
  <w:num w:numId="17">
    <w:abstractNumId w:val="0"/>
  </w:num>
  <w:num w:numId="18">
    <w:abstractNumId w:val="20"/>
  </w:num>
  <w:num w:numId="19">
    <w:abstractNumId w:val="2"/>
  </w:num>
  <w:num w:numId="20">
    <w:abstractNumId w:val="3"/>
  </w:num>
  <w:num w:numId="21">
    <w:abstractNumId w:val="19"/>
  </w:num>
  <w:num w:numId="22">
    <w:abstractNumId w:val="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Norman">
    <w15:presenceInfo w15:providerId="Windows Live" w15:userId="3c6cfafa6ddc7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doNotTrackMoves/>
  <w:doNotTrackFormatting/>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DD465A8-FF65-4C38-BB71-CFBA263891C5}"/>
    <w:docVar w:name="dgnword-eventsink" w:val="111746408"/>
  </w:docVars>
  <w:rsids>
    <w:rsidRoot w:val="00565A5C"/>
    <w:rsid w:val="000001EF"/>
    <w:rsid w:val="0000057C"/>
    <w:rsid w:val="0000085E"/>
    <w:rsid w:val="000054AD"/>
    <w:rsid w:val="0000559F"/>
    <w:rsid w:val="00006337"/>
    <w:rsid w:val="00006BA4"/>
    <w:rsid w:val="00006CA2"/>
    <w:rsid w:val="000075F8"/>
    <w:rsid w:val="00010E99"/>
    <w:rsid w:val="00011B6A"/>
    <w:rsid w:val="00013782"/>
    <w:rsid w:val="00013FD4"/>
    <w:rsid w:val="00013FE6"/>
    <w:rsid w:val="0001451D"/>
    <w:rsid w:val="0001496F"/>
    <w:rsid w:val="000161FD"/>
    <w:rsid w:val="00017611"/>
    <w:rsid w:val="00021A77"/>
    <w:rsid w:val="00021E65"/>
    <w:rsid w:val="00022FFA"/>
    <w:rsid w:val="00023850"/>
    <w:rsid w:val="00023BCD"/>
    <w:rsid w:val="00024B39"/>
    <w:rsid w:val="00025D2F"/>
    <w:rsid w:val="00026101"/>
    <w:rsid w:val="00026F14"/>
    <w:rsid w:val="00027125"/>
    <w:rsid w:val="00027CE7"/>
    <w:rsid w:val="00030315"/>
    <w:rsid w:val="00030CAC"/>
    <w:rsid w:val="00033204"/>
    <w:rsid w:val="0003339E"/>
    <w:rsid w:val="00033E11"/>
    <w:rsid w:val="000343B3"/>
    <w:rsid w:val="00036FDC"/>
    <w:rsid w:val="0004008F"/>
    <w:rsid w:val="0004094A"/>
    <w:rsid w:val="00041158"/>
    <w:rsid w:val="000432A2"/>
    <w:rsid w:val="00043368"/>
    <w:rsid w:val="000453B1"/>
    <w:rsid w:val="000462E6"/>
    <w:rsid w:val="000464CA"/>
    <w:rsid w:val="00050CDF"/>
    <w:rsid w:val="00050E52"/>
    <w:rsid w:val="000528E4"/>
    <w:rsid w:val="00052A16"/>
    <w:rsid w:val="000535C7"/>
    <w:rsid w:val="0005404B"/>
    <w:rsid w:val="00054382"/>
    <w:rsid w:val="00054C4F"/>
    <w:rsid w:val="000556F5"/>
    <w:rsid w:val="00055C8A"/>
    <w:rsid w:val="000568CE"/>
    <w:rsid w:val="00056C70"/>
    <w:rsid w:val="00060670"/>
    <w:rsid w:val="0006219A"/>
    <w:rsid w:val="00062FF8"/>
    <w:rsid w:val="00063213"/>
    <w:rsid w:val="00065A44"/>
    <w:rsid w:val="00065CA1"/>
    <w:rsid w:val="000668E1"/>
    <w:rsid w:val="000679EF"/>
    <w:rsid w:val="00067D28"/>
    <w:rsid w:val="000709F8"/>
    <w:rsid w:val="00071298"/>
    <w:rsid w:val="00073E72"/>
    <w:rsid w:val="00076FB9"/>
    <w:rsid w:val="000772C3"/>
    <w:rsid w:val="000810F3"/>
    <w:rsid w:val="000814A5"/>
    <w:rsid w:val="00081D7F"/>
    <w:rsid w:val="000828BB"/>
    <w:rsid w:val="00084BC4"/>
    <w:rsid w:val="00084E0E"/>
    <w:rsid w:val="0008523A"/>
    <w:rsid w:val="000857EE"/>
    <w:rsid w:val="000859BA"/>
    <w:rsid w:val="00085ACA"/>
    <w:rsid w:val="00090ED9"/>
    <w:rsid w:val="00092189"/>
    <w:rsid w:val="00092F0C"/>
    <w:rsid w:val="00095574"/>
    <w:rsid w:val="000964A3"/>
    <w:rsid w:val="00096DD1"/>
    <w:rsid w:val="0009762C"/>
    <w:rsid w:val="000A1582"/>
    <w:rsid w:val="000A3D38"/>
    <w:rsid w:val="000A3F01"/>
    <w:rsid w:val="000A491B"/>
    <w:rsid w:val="000A4BF9"/>
    <w:rsid w:val="000A5822"/>
    <w:rsid w:val="000A6A2E"/>
    <w:rsid w:val="000A728E"/>
    <w:rsid w:val="000B09A5"/>
    <w:rsid w:val="000B1ECE"/>
    <w:rsid w:val="000B3BA7"/>
    <w:rsid w:val="000B3CBC"/>
    <w:rsid w:val="000B4D21"/>
    <w:rsid w:val="000B5932"/>
    <w:rsid w:val="000B5FD2"/>
    <w:rsid w:val="000B643A"/>
    <w:rsid w:val="000B7620"/>
    <w:rsid w:val="000B76D7"/>
    <w:rsid w:val="000C1380"/>
    <w:rsid w:val="000C2F53"/>
    <w:rsid w:val="000C3BF0"/>
    <w:rsid w:val="000C47B9"/>
    <w:rsid w:val="000C4D16"/>
    <w:rsid w:val="000C5C2E"/>
    <w:rsid w:val="000C60CE"/>
    <w:rsid w:val="000C66D2"/>
    <w:rsid w:val="000C6E89"/>
    <w:rsid w:val="000C707B"/>
    <w:rsid w:val="000C7699"/>
    <w:rsid w:val="000D0590"/>
    <w:rsid w:val="000D05A8"/>
    <w:rsid w:val="000D586B"/>
    <w:rsid w:val="000D5B71"/>
    <w:rsid w:val="000E036A"/>
    <w:rsid w:val="000E0A7C"/>
    <w:rsid w:val="000E0C84"/>
    <w:rsid w:val="000E23F8"/>
    <w:rsid w:val="000E279F"/>
    <w:rsid w:val="000E32B1"/>
    <w:rsid w:val="000E3AB6"/>
    <w:rsid w:val="000E5093"/>
    <w:rsid w:val="000E52A6"/>
    <w:rsid w:val="000E5982"/>
    <w:rsid w:val="000E602C"/>
    <w:rsid w:val="000E7EE1"/>
    <w:rsid w:val="000F4F9C"/>
    <w:rsid w:val="000F5014"/>
    <w:rsid w:val="000F504D"/>
    <w:rsid w:val="000F5444"/>
    <w:rsid w:val="000F56E3"/>
    <w:rsid w:val="000F6A56"/>
    <w:rsid w:val="0010046B"/>
    <w:rsid w:val="00100A7F"/>
    <w:rsid w:val="00100F1C"/>
    <w:rsid w:val="00102308"/>
    <w:rsid w:val="00102701"/>
    <w:rsid w:val="00102D8A"/>
    <w:rsid w:val="00102F90"/>
    <w:rsid w:val="001036B1"/>
    <w:rsid w:val="001036D7"/>
    <w:rsid w:val="00104283"/>
    <w:rsid w:val="00104623"/>
    <w:rsid w:val="001058B1"/>
    <w:rsid w:val="00106338"/>
    <w:rsid w:val="001071FE"/>
    <w:rsid w:val="00111FC8"/>
    <w:rsid w:val="00112D2E"/>
    <w:rsid w:val="001132BA"/>
    <w:rsid w:val="00113C30"/>
    <w:rsid w:val="00115263"/>
    <w:rsid w:val="00115D8A"/>
    <w:rsid w:val="00117A67"/>
    <w:rsid w:val="001202EB"/>
    <w:rsid w:val="00120A99"/>
    <w:rsid w:val="0012118F"/>
    <w:rsid w:val="001224D8"/>
    <w:rsid w:val="0012392D"/>
    <w:rsid w:val="00124139"/>
    <w:rsid w:val="00125AC8"/>
    <w:rsid w:val="001262BB"/>
    <w:rsid w:val="00130034"/>
    <w:rsid w:val="0013116E"/>
    <w:rsid w:val="00132D52"/>
    <w:rsid w:val="00137356"/>
    <w:rsid w:val="00141928"/>
    <w:rsid w:val="0014505A"/>
    <w:rsid w:val="0014686E"/>
    <w:rsid w:val="00147B50"/>
    <w:rsid w:val="00150476"/>
    <w:rsid w:val="001507EF"/>
    <w:rsid w:val="001517B1"/>
    <w:rsid w:val="00151B5F"/>
    <w:rsid w:val="00151D2B"/>
    <w:rsid w:val="001526D0"/>
    <w:rsid w:val="001538A2"/>
    <w:rsid w:val="0015453D"/>
    <w:rsid w:val="0015497C"/>
    <w:rsid w:val="0015527A"/>
    <w:rsid w:val="001566DB"/>
    <w:rsid w:val="00157715"/>
    <w:rsid w:val="00160894"/>
    <w:rsid w:val="001623FD"/>
    <w:rsid w:val="00162F27"/>
    <w:rsid w:val="001633B2"/>
    <w:rsid w:val="0016376C"/>
    <w:rsid w:val="00164EFB"/>
    <w:rsid w:val="00165C28"/>
    <w:rsid w:val="0016629A"/>
    <w:rsid w:val="00166681"/>
    <w:rsid w:val="00166E57"/>
    <w:rsid w:val="00167EB1"/>
    <w:rsid w:val="00170AD8"/>
    <w:rsid w:val="00172E38"/>
    <w:rsid w:val="001734A6"/>
    <w:rsid w:val="00173E89"/>
    <w:rsid w:val="00177719"/>
    <w:rsid w:val="00180839"/>
    <w:rsid w:val="0018140C"/>
    <w:rsid w:val="00181CE8"/>
    <w:rsid w:val="00185D9E"/>
    <w:rsid w:val="00185EBE"/>
    <w:rsid w:val="00187360"/>
    <w:rsid w:val="001945EE"/>
    <w:rsid w:val="001950A6"/>
    <w:rsid w:val="00195BF8"/>
    <w:rsid w:val="00196310"/>
    <w:rsid w:val="00196886"/>
    <w:rsid w:val="00197613"/>
    <w:rsid w:val="0019792D"/>
    <w:rsid w:val="001A3082"/>
    <w:rsid w:val="001A3F52"/>
    <w:rsid w:val="001A489A"/>
    <w:rsid w:val="001A4C67"/>
    <w:rsid w:val="001A5729"/>
    <w:rsid w:val="001A6CBD"/>
    <w:rsid w:val="001A6CD9"/>
    <w:rsid w:val="001A796A"/>
    <w:rsid w:val="001A7D0B"/>
    <w:rsid w:val="001B0733"/>
    <w:rsid w:val="001B12A4"/>
    <w:rsid w:val="001B16EE"/>
    <w:rsid w:val="001B208B"/>
    <w:rsid w:val="001B21E7"/>
    <w:rsid w:val="001B2C88"/>
    <w:rsid w:val="001B2F99"/>
    <w:rsid w:val="001B37AA"/>
    <w:rsid w:val="001B3B9E"/>
    <w:rsid w:val="001B74F9"/>
    <w:rsid w:val="001C05B8"/>
    <w:rsid w:val="001C0906"/>
    <w:rsid w:val="001C0964"/>
    <w:rsid w:val="001C23C5"/>
    <w:rsid w:val="001C433E"/>
    <w:rsid w:val="001C4B9D"/>
    <w:rsid w:val="001C4C35"/>
    <w:rsid w:val="001C6460"/>
    <w:rsid w:val="001C6A17"/>
    <w:rsid w:val="001C6B5B"/>
    <w:rsid w:val="001C73F7"/>
    <w:rsid w:val="001D083F"/>
    <w:rsid w:val="001D1795"/>
    <w:rsid w:val="001D1868"/>
    <w:rsid w:val="001D270D"/>
    <w:rsid w:val="001D31FF"/>
    <w:rsid w:val="001D350B"/>
    <w:rsid w:val="001D3A28"/>
    <w:rsid w:val="001D3DC2"/>
    <w:rsid w:val="001D3EC3"/>
    <w:rsid w:val="001D4E58"/>
    <w:rsid w:val="001D5459"/>
    <w:rsid w:val="001D5A30"/>
    <w:rsid w:val="001D5CC5"/>
    <w:rsid w:val="001D648C"/>
    <w:rsid w:val="001D69C0"/>
    <w:rsid w:val="001D6F05"/>
    <w:rsid w:val="001D7AF8"/>
    <w:rsid w:val="001E0224"/>
    <w:rsid w:val="001E09B4"/>
    <w:rsid w:val="001E127C"/>
    <w:rsid w:val="001E3610"/>
    <w:rsid w:val="001E5A9B"/>
    <w:rsid w:val="001E64A0"/>
    <w:rsid w:val="001E685C"/>
    <w:rsid w:val="001F05E7"/>
    <w:rsid w:val="001F10F3"/>
    <w:rsid w:val="001F121E"/>
    <w:rsid w:val="001F4A29"/>
    <w:rsid w:val="001F4E4D"/>
    <w:rsid w:val="001F5419"/>
    <w:rsid w:val="001F6187"/>
    <w:rsid w:val="001F70AC"/>
    <w:rsid w:val="002008EB"/>
    <w:rsid w:val="002008F9"/>
    <w:rsid w:val="00200FF9"/>
    <w:rsid w:val="00201768"/>
    <w:rsid w:val="00203644"/>
    <w:rsid w:val="00203D1F"/>
    <w:rsid w:val="00204326"/>
    <w:rsid w:val="0020482B"/>
    <w:rsid w:val="002051CA"/>
    <w:rsid w:val="002069AB"/>
    <w:rsid w:val="002069D5"/>
    <w:rsid w:val="00206A3B"/>
    <w:rsid w:val="00210316"/>
    <w:rsid w:val="00211B9A"/>
    <w:rsid w:val="002131A2"/>
    <w:rsid w:val="00213C9C"/>
    <w:rsid w:val="002148BA"/>
    <w:rsid w:val="00216C2E"/>
    <w:rsid w:val="00216D76"/>
    <w:rsid w:val="00216E6B"/>
    <w:rsid w:val="00217663"/>
    <w:rsid w:val="0022040C"/>
    <w:rsid w:val="00221208"/>
    <w:rsid w:val="00221277"/>
    <w:rsid w:val="00221C0D"/>
    <w:rsid w:val="00222DA5"/>
    <w:rsid w:val="00223504"/>
    <w:rsid w:val="00223B9C"/>
    <w:rsid w:val="00223BF0"/>
    <w:rsid w:val="00223E0E"/>
    <w:rsid w:val="00223ED6"/>
    <w:rsid w:val="00224FE5"/>
    <w:rsid w:val="00225EA4"/>
    <w:rsid w:val="00226899"/>
    <w:rsid w:val="0022725E"/>
    <w:rsid w:val="0022733A"/>
    <w:rsid w:val="002274F5"/>
    <w:rsid w:val="0023044F"/>
    <w:rsid w:val="002308C4"/>
    <w:rsid w:val="00232948"/>
    <w:rsid w:val="00232DE0"/>
    <w:rsid w:val="0023454F"/>
    <w:rsid w:val="00234D03"/>
    <w:rsid w:val="00234DC5"/>
    <w:rsid w:val="00235836"/>
    <w:rsid w:val="002360F3"/>
    <w:rsid w:val="00236C81"/>
    <w:rsid w:val="0023766E"/>
    <w:rsid w:val="00237EDC"/>
    <w:rsid w:val="00240852"/>
    <w:rsid w:val="00240C40"/>
    <w:rsid w:val="00240FB2"/>
    <w:rsid w:val="00241888"/>
    <w:rsid w:val="00241CA7"/>
    <w:rsid w:val="0024299E"/>
    <w:rsid w:val="00243A9D"/>
    <w:rsid w:val="00243B1E"/>
    <w:rsid w:val="00243E9D"/>
    <w:rsid w:val="002444C8"/>
    <w:rsid w:val="00244A80"/>
    <w:rsid w:val="00245A8B"/>
    <w:rsid w:val="002464C0"/>
    <w:rsid w:val="00250571"/>
    <w:rsid w:val="002507FF"/>
    <w:rsid w:val="00250831"/>
    <w:rsid w:val="002508B4"/>
    <w:rsid w:val="00251530"/>
    <w:rsid w:val="002515DD"/>
    <w:rsid w:val="002516A2"/>
    <w:rsid w:val="002518C1"/>
    <w:rsid w:val="0025191D"/>
    <w:rsid w:val="00252239"/>
    <w:rsid w:val="00252C67"/>
    <w:rsid w:val="002533F1"/>
    <w:rsid w:val="002535A3"/>
    <w:rsid w:val="00253A04"/>
    <w:rsid w:val="00253C2E"/>
    <w:rsid w:val="00254080"/>
    <w:rsid w:val="00254633"/>
    <w:rsid w:val="00254983"/>
    <w:rsid w:val="002552AD"/>
    <w:rsid w:val="0025588B"/>
    <w:rsid w:val="00256C11"/>
    <w:rsid w:val="00257887"/>
    <w:rsid w:val="00257DA1"/>
    <w:rsid w:val="00257E85"/>
    <w:rsid w:val="00261883"/>
    <w:rsid w:val="002622B2"/>
    <w:rsid w:val="00262AAE"/>
    <w:rsid w:val="00262DB5"/>
    <w:rsid w:val="00263281"/>
    <w:rsid w:val="002655B7"/>
    <w:rsid w:val="002656DA"/>
    <w:rsid w:val="00265E04"/>
    <w:rsid w:val="00266079"/>
    <w:rsid w:val="00267A3D"/>
    <w:rsid w:val="00270EE9"/>
    <w:rsid w:val="0027412E"/>
    <w:rsid w:val="00275742"/>
    <w:rsid w:val="00280E91"/>
    <w:rsid w:val="002811FC"/>
    <w:rsid w:val="002817BD"/>
    <w:rsid w:val="00281C7A"/>
    <w:rsid w:val="00281CE8"/>
    <w:rsid w:val="00283D4A"/>
    <w:rsid w:val="0028419E"/>
    <w:rsid w:val="00284B2D"/>
    <w:rsid w:val="00285CBC"/>
    <w:rsid w:val="0028625D"/>
    <w:rsid w:val="0029039D"/>
    <w:rsid w:val="00292F50"/>
    <w:rsid w:val="002933DB"/>
    <w:rsid w:val="00293579"/>
    <w:rsid w:val="0029389C"/>
    <w:rsid w:val="00294374"/>
    <w:rsid w:val="00294DA4"/>
    <w:rsid w:val="0029522F"/>
    <w:rsid w:val="00295249"/>
    <w:rsid w:val="00295689"/>
    <w:rsid w:val="00295987"/>
    <w:rsid w:val="00295D6F"/>
    <w:rsid w:val="00296258"/>
    <w:rsid w:val="00297268"/>
    <w:rsid w:val="00297EC3"/>
    <w:rsid w:val="002A010C"/>
    <w:rsid w:val="002A03E2"/>
    <w:rsid w:val="002A19B2"/>
    <w:rsid w:val="002A20F1"/>
    <w:rsid w:val="002A2972"/>
    <w:rsid w:val="002A3AAE"/>
    <w:rsid w:val="002A4AB0"/>
    <w:rsid w:val="002A4CF5"/>
    <w:rsid w:val="002A535A"/>
    <w:rsid w:val="002A57EA"/>
    <w:rsid w:val="002A62CB"/>
    <w:rsid w:val="002A639C"/>
    <w:rsid w:val="002A648F"/>
    <w:rsid w:val="002A75DC"/>
    <w:rsid w:val="002B08AC"/>
    <w:rsid w:val="002B1088"/>
    <w:rsid w:val="002B1E5B"/>
    <w:rsid w:val="002B30A5"/>
    <w:rsid w:val="002B4629"/>
    <w:rsid w:val="002B5673"/>
    <w:rsid w:val="002B5786"/>
    <w:rsid w:val="002B5928"/>
    <w:rsid w:val="002B5E34"/>
    <w:rsid w:val="002B69AB"/>
    <w:rsid w:val="002B72A4"/>
    <w:rsid w:val="002B7E22"/>
    <w:rsid w:val="002C01E0"/>
    <w:rsid w:val="002C1A11"/>
    <w:rsid w:val="002C1DF8"/>
    <w:rsid w:val="002C41FA"/>
    <w:rsid w:val="002C435F"/>
    <w:rsid w:val="002C44A5"/>
    <w:rsid w:val="002C4585"/>
    <w:rsid w:val="002C597E"/>
    <w:rsid w:val="002C6B61"/>
    <w:rsid w:val="002C6BEC"/>
    <w:rsid w:val="002C7FAE"/>
    <w:rsid w:val="002D0D30"/>
    <w:rsid w:val="002D0E92"/>
    <w:rsid w:val="002D1B2E"/>
    <w:rsid w:val="002D1CBB"/>
    <w:rsid w:val="002D3CDB"/>
    <w:rsid w:val="002D4314"/>
    <w:rsid w:val="002D4F0A"/>
    <w:rsid w:val="002D4F89"/>
    <w:rsid w:val="002D5BE3"/>
    <w:rsid w:val="002D7B1A"/>
    <w:rsid w:val="002D7DCD"/>
    <w:rsid w:val="002E0312"/>
    <w:rsid w:val="002E10B2"/>
    <w:rsid w:val="002E43C3"/>
    <w:rsid w:val="002E4CF0"/>
    <w:rsid w:val="002E4E18"/>
    <w:rsid w:val="002E52B8"/>
    <w:rsid w:val="002E54DD"/>
    <w:rsid w:val="002E6270"/>
    <w:rsid w:val="002E727F"/>
    <w:rsid w:val="002F0334"/>
    <w:rsid w:val="002F090C"/>
    <w:rsid w:val="002F0BE3"/>
    <w:rsid w:val="002F282C"/>
    <w:rsid w:val="002F2C5A"/>
    <w:rsid w:val="002F3BFA"/>
    <w:rsid w:val="002F45AA"/>
    <w:rsid w:val="002F6136"/>
    <w:rsid w:val="002F7250"/>
    <w:rsid w:val="002F727C"/>
    <w:rsid w:val="0030114A"/>
    <w:rsid w:val="0030282D"/>
    <w:rsid w:val="00302AB2"/>
    <w:rsid w:val="0030357C"/>
    <w:rsid w:val="00304A4A"/>
    <w:rsid w:val="0030549E"/>
    <w:rsid w:val="00305B8A"/>
    <w:rsid w:val="00306990"/>
    <w:rsid w:val="00311247"/>
    <w:rsid w:val="00311270"/>
    <w:rsid w:val="003127DF"/>
    <w:rsid w:val="00313650"/>
    <w:rsid w:val="003161A6"/>
    <w:rsid w:val="003162AB"/>
    <w:rsid w:val="00316782"/>
    <w:rsid w:val="003172D2"/>
    <w:rsid w:val="003172F0"/>
    <w:rsid w:val="00317943"/>
    <w:rsid w:val="00320059"/>
    <w:rsid w:val="003209BE"/>
    <w:rsid w:val="00320AFB"/>
    <w:rsid w:val="00321991"/>
    <w:rsid w:val="00321D01"/>
    <w:rsid w:val="00322033"/>
    <w:rsid w:val="003229AB"/>
    <w:rsid w:val="00322F49"/>
    <w:rsid w:val="003232C3"/>
    <w:rsid w:val="00323C0F"/>
    <w:rsid w:val="003244B2"/>
    <w:rsid w:val="00325E7D"/>
    <w:rsid w:val="0032629A"/>
    <w:rsid w:val="0032662A"/>
    <w:rsid w:val="0032710E"/>
    <w:rsid w:val="0033087E"/>
    <w:rsid w:val="0033129A"/>
    <w:rsid w:val="003313E4"/>
    <w:rsid w:val="003321B4"/>
    <w:rsid w:val="0033354F"/>
    <w:rsid w:val="00335168"/>
    <w:rsid w:val="003356D3"/>
    <w:rsid w:val="003366A2"/>
    <w:rsid w:val="00336F4E"/>
    <w:rsid w:val="00337181"/>
    <w:rsid w:val="003371E2"/>
    <w:rsid w:val="00337981"/>
    <w:rsid w:val="0034127D"/>
    <w:rsid w:val="00341D00"/>
    <w:rsid w:val="0034206C"/>
    <w:rsid w:val="003427DA"/>
    <w:rsid w:val="00345541"/>
    <w:rsid w:val="0034565D"/>
    <w:rsid w:val="0034571F"/>
    <w:rsid w:val="00346411"/>
    <w:rsid w:val="00346BF2"/>
    <w:rsid w:val="00350320"/>
    <w:rsid w:val="003514C2"/>
    <w:rsid w:val="00351AB8"/>
    <w:rsid w:val="00354025"/>
    <w:rsid w:val="0035432F"/>
    <w:rsid w:val="0035465D"/>
    <w:rsid w:val="00355969"/>
    <w:rsid w:val="00355C18"/>
    <w:rsid w:val="00356FE5"/>
    <w:rsid w:val="00357051"/>
    <w:rsid w:val="003570B3"/>
    <w:rsid w:val="00362CBB"/>
    <w:rsid w:val="003637BE"/>
    <w:rsid w:val="003639C3"/>
    <w:rsid w:val="003651EC"/>
    <w:rsid w:val="003655DE"/>
    <w:rsid w:val="00365BA2"/>
    <w:rsid w:val="00365CCF"/>
    <w:rsid w:val="00366180"/>
    <w:rsid w:val="003666D5"/>
    <w:rsid w:val="00366C15"/>
    <w:rsid w:val="00366E66"/>
    <w:rsid w:val="00367461"/>
    <w:rsid w:val="00371CFA"/>
    <w:rsid w:val="00373DB2"/>
    <w:rsid w:val="00374340"/>
    <w:rsid w:val="00374B32"/>
    <w:rsid w:val="00375FC6"/>
    <w:rsid w:val="0037666D"/>
    <w:rsid w:val="003800CB"/>
    <w:rsid w:val="00380FD9"/>
    <w:rsid w:val="00382790"/>
    <w:rsid w:val="003827BE"/>
    <w:rsid w:val="003834A8"/>
    <w:rsid w:val="00383A71"/>
    <w:rsid w:val="00383D7D"/>
    <w:rsid w:val="003849A9"/>
    <w:rsid w:val="00385303"/>
    <w:rsid w:val="003857E4"/>
    <w:rsid w:val="003873E3"/>
    <w:rsid w:val="0039039E"/>
    <w:rsid w:val="00390B28"/>
    <w:rsid w:val="00394205"/>
    <w:rsid w:val="00394930"/>
    <w:rsid w:val="00394E52"/>
    <w:rsid w:val="00394EB0"/>
    <w:rsid w:val="00395CFA"/>
    <w:rsid w:val="00395D88"/>
    <w:rsid w:val="00396DDC"/>
    <w:rsid w:val="003970EB"/>
    <w:rsid w:val="003A023F"/>
    <w:rsid w:val="003A12ED"/>
    <w:rsid w:val="003A1633"/>
    <w:rsid w:val="003A1D41"/>
    <w:rsid w:val="003A2FF8"/>
    <w:rsid w:val="003A3707"/>
    <w:rsid w:val="003A4DEF"/>
    <w:rsid w:val="003A5F40"/>
    <w:rsid w:val="003A64B0"/>
    <w:rsid w:val="003A736D"/>
    <w:rsid w:val="003A7E55"/>
    <w:rsid w:val="003A7EF8"/>
    <w:rsid w:val="003B13AA"/>
    <w:rsid w:val="003B1826"/>
    <w:rsid w:val="003B1B34"/>
    <w:rsid w:val="003B1F36"/>
    <w:rsid w:val="003B21FF"/>
    <w:rsid w:val="003B3566"/>
    <w:rsid w:val="003B3BF1"/>
    <w:rsid w:val="003B41E9"/>
    <w:rsid w:val="003B6541"/>
    <w:rsid w:val="003B6F2D"/>
    <w:rsid w:val="003B70CE"/>
    <w:rsid w:val="003C065B"/>
    <w:rsid w:val="003C2E62"/>
    <w:rsid w:val="003C317B"/>
    <w:rsid w:val="003C695C"/>
    <w:rsid w:val="003D07FB"/>
    <w:rsid w:val="003D09FD"/>
    <w:rsid w:val="003D146E"/>
    <w:rsid w:val="003D1C04"/>
    <w:rsid w:val="003D220F"/>
    <w:rsid w:val="003D2976"/>
    <w:rsid w:val="003D2F57"/>
    <w:rsid w:val="003D3F3F"/>
    <w:rsid w:val="003D41D0"/>
    <w:rsid w:val="003D5785"/>
    <w:rsid w:val="003D5B2D"/>
    <w:rsid w:val="003D5C01"/>
    <w:rsid w:val="003D617F"/>
    <w:rsid w:val="003D64FF"/>
    <w:rsid w:val="003D6FF5"/>
    <w:rsid w:val="003D788D"/>
    <w:rsid w:val="003D7D88"/>
    <w:rsid w:val="003E0CCC"/>
    <w:rsid w:val="003E1542"/>
    <w:rsid w:val="003E2412"/>
    <w:rsid w:val="003E2946"/>
    <w:rsid w:val="003E2BE1"/>
    <w:rsid w:val="003E3D47"/>
    <w:rsid w:val="003E3E2D"/>
    <w:rsid w:val="003E61AC"/>
    <w:rsid w:val="003E6574"/>
    <w:rsid w:val="003E6B92"/>
    <w:rsid w:val="003E79B0"/>
    <w:rsid w:val="003F06DF"/>
    <w:rsid w:val="003F0FB3"/>
    <w:rsid w:val="003F17FF"/>
    <w:rsid w:val="003F1832"/>
    <w:rsid w:val="003F194D"/>
    <w:rsid w:val="003F2982"/>
    <w:rsid w:val="003F2AC5"/>
    <w:rsid w:val="003F5A0E"/>
    <w:rsid w:val="003F6D3B"/>
    <w:rsid w:val="003F72B3"/>
    <w:rsid w:val="003F76A5"/>
    <w:rsid w:val="003F7BFD"/>
    <w:rsid w:val="00400AE1"/>
    <w:rsid w:val="004026DA"/>
    <w:rsid w:val="004028F4"/>
    <w:rsid w:val="00402A06"/>
    <w:rsid w:val="00403048"/>
    <w:rsid w:val="004044A2"/>
    <w:rsid w:val="00405EEF"/>
    <w:rsid w:val="00406C25"/>
    <w:rsid w:val="00406C8F"/>
    <w:rsid w:val="004077A2"/>
    <w:rsid w:val="00407CCE"/>
    <w:rsid w:val="00412026"/>
    <w:rsid w:val="004123FF"/>
    <w:rsid w:val="0041265C"/>
    <w:rsid w:val="00413513"/>
    <w:rsid w:val="00415EAF"/>
    <w:rsid w:val="00420957"/>
    <w:rsid w:val="0042162C"/>
    <w:rsid w:val="00421B10"/>
    <w:rsid w:val="0042265C"/>
    <w:rsid w:val="0042374D"/>
    <w:rsid w:val="00424DEC"/>
    <w:rsid w:val="00424DFA"/>
    <w:rsid w:val="00425059"/>
    <w:rsid w:val="0042539A"/>
    <w:rsid w:val="0042577C"/>
    <w:rsid w:val="00425CA6"/>
    <w:rsid w:val="00425FBD"/>
    <w:rsid w:val="00426015"/>
    <w:rsid w:val="00426B32"/>
    <w:rsid w:val="00430B61"/>
    <w:rsid w:val="00430FA8"/>
    <w:rsid w:val="00431DD5"/>
    <w:rsid w:val="00432DFF"/>
    <w:rsid w:val="004330DE"/>
    <w:rsid w:val="00433278"/>
    <w:rsid w:val="00433571"/>
    <w:rsid w:val="00433597"/>
    <w:rsid w:val="00434FA7"/>
    <w:rsid w:val="004363D3"/>
    <w:rsid w:val="00436EA5"/>
    <w:rsid w:val="004377B1"/>
    <w:rsid w:val="00440DC4"/>
    <w:rsid w:val="00443E12"/>
    <w:rsid w:val="00443E3F"/>
    <w:rsid w:val="004453A2"/>
    <w:rsid w:val="004460DC"/>
    <w:rsid w:val="00446CF4"/>
    <w:rsid w:val="004477DC"/>
    <w:rsid w:val="0045073B"/>
    <w:rsid w:val="00450CA9"/>
    <w:rsid w:val="00450DE2"/>
    <w:rsid w:val="00453949"/>
    <w:rsid w:val="00455A52"/>
    <w:rsid w:val="00456437"/>
    <w:rsid w:val="004565B8"/>
    <w:rsid w:val="0045674D"/>
    <w:rsid w:val="00457148"/>
    <w:rsid w:val="00460AED"/>
    <w:rsid w:val="00461529"/>
    <w:rsid w:val="00462757"/>
    <w:rsid w:val="004628D3"/>
    <w:rsid w:val="00462B26"/>
    <w:rsid w:val="00462BD0"/>
    <w:rsid w:val="00463C42"/>
    <w:rsid w:val="0046657E"/>
    <w:rsid w:val="00467806"/>
    <w:rsid w:val="00470114"/>
    <w:rsid w:val="00470466"/>
    <w:rsid w:val="00472A91"/>
    <w:rsid w:val="00473109"/>
    <w:rsid w:val="0047327A"/>
    <w:rsid w:val="004738F0"/>
    <w:rsid w:val="00474108"/>
    <w:rsid w:val="00474785"/>
    <w:rsid w:val="00474987"/>
    <w:rsid w:val="004753FE"/>
    <w:rsid w:val="00475EBB"/>
    <w:rsid w:val="004760D1"/>
    <w:rsid w:val="00476FED"/>
    <w:rsid w:val="00480A6B"/>
    <w:rsid w:val="00481BA8"/>
    <w:rsid w:val="0048203F"/>
    <w:rsid w:val="00483A07"/>
    <w:rsid w:val="00484E98"/>
    <w:rsid w:val="00486056"/>
    <w:rsid w:val="0048684B"/>
    <w:rsid w:val="00487C7F"/>
    <w:rsid w:val="00490432"/>
    <w:rsid w:val="00490980"/>
    <w:rsid w:val="00493169"/>
    <w:rsid w:val="00493890"/>
    <w:rsid w:val="00495227"/>
    <w:rsid w:val="00497E60"/>
    <w:rsid w:val="00497FB9"/>
    <w:rsid w:val="004A2CAB"/>
    <w:rsid w:val="004A5005"/>
    <w:rsid w:val="004A7A77"/>
    <w:rsid w:val="004B0AEB"/>
    <w:rsid w:val="004B2CCD"/>
    <w:rsid w:val="004B3791"/>
    <w:rsid w:val="004B3C41"/>
    <w:rsid w:val="004B3E21"/>
    <w:rsid w:val="004B54A0"/>
    <w:rsid w:val="004B5699"/>
    <w:rsid w:val="004B5FFA"/>
    <w:rsid w:val="004B67CC"/>
    <w:rsid w:val="004B688A"/>
    <w:rsid w:val="004C10A9"/>
    <w:rsid w:val="004C148B"/>
    <w:rsid w:val="004C4C18"/>
    <w:rsid w:val="004C6A45"/>
    <w:rsid w:val="004C6FA3"/>
    <w:rsid w:val="004C7BE7"/>
    <w:rsid w:val="004C7D14"/>
    <w:rsid w:val="004D1BFF"/>
    <w:rsid w:val="004D2ED0"/>
    <w:rsid w:val="004D3864"/>
    <w:rsid w:val="004D4E99"/>
    <w:rsid w:val="004D63D1"/>
    <w:rsid w:val="004D78DF"/>
    <w:rsid w:val="004E012D"/>
    <w:rsid w:val="004E0D84"/>
    <w:rsid w:val="004E0DB6"/>
    <w:rsid w:val="004E1640"/>
    <w:rsid w:val="004E4479"/>
    <w:rsid w:val="004E4B05"/>
    <w:rsid w:val="004E7E05"/>
    <w:rsid w:val="004F0125"/>
    <w:rsid w:val="004F0955"/>
    <w:rsid w:val="004F1D8B"/>
    <w:rsid w:val="004F2AD5"/>
    <w:rsid w:val="004F2C56"/>
    <w:rsid w:val="004F3446"/>
    <w:rsid w:val="004F40D6"/>
    <w:rsid w:val="004F4322"/>
    <w:rsid w:val="004F47C6"/>
    <w:rsid w:val="004F48ED"/>
    <w:rsid w:val="004F57A4"/>
    <w:rsid w:val="004F5F2D"/>
    <w:rsid w:val="004F622B"/>
    <w:rsid w:val="004F74E7"/>
    <w:rsid w:val="00500180"/>
    <w:rsid w:val="00500DBB"/>
    <w:rsid w:val="0050217F"/>
    <w:rsid w:val="00502654"/>
    <w:rsid w:val="0050396E"/>
    <w:rsid w:val="005100AB"/>
    <w:rsid w:val="005130A9"/>
    <w:rsid w:val="00513D5B"/>
    <w:rsid w:val="00513DDB"/>
    <w:rsid w:val="00513FF1"/>
    <w:rsid w:val="00514D79"/>
    <w:rsid w:val="00520784"/>
    <w:rsid w:val="0052264A"/>
    <w:rsid w:val="00525D56"/>
    <w:rsid w:val="00526F07"/>
    <w:rsid w:val="005270B2"/>
    <w:rsid w:val="00530EB2"/>
    <w:rsid w:val="00531AF4"/>
    <w:rsid w:val="00532F65"/>
    <w:rsid w:val="00533A9C"/>
    <w:rsid w:val="00533D1A"/>
    <w:rsid w:val="00533DE8"/>
    <w:rsid w:val="00534067"/>
    <w:rsid w:val="00534C5A"/>
    <w:rsid w:val="005358B7"/>
    <w:rsid w:val="00536165"/>
    <w:rsid w:val="00536A31"/>
    <w:rsid w:val="00537001"/>
    <w:rsid w:val="0054057B"/>
    <w:rsid w:val="005412E2"/>
    <w:rsid w:val="00542072"/>
    <w:rsid w:val="00545049"/>
    <w:rsid w:val="00545373"/>
    <w:rsid w:val="005458B6"/>
    <w:rsid w:val="00545A77"/>
    <w:rsid w:val="00546CD9"/>
    <w:rsid w:val="00547BDF"/>
    <w:rsid w:val="00547CBE"/>
    <w:rsid w:val="00547DEE"/>
    <w:rsid w:val="00547F88"/>
    <w:rsid w:val="00550307"/>
    <w:rsid w:val="00550A34"/>
    <w:rsid w:val="00551D96"/>
    <w:rsid w:val="00551FC7"/>
    <w:rsid w:val="005539CE"/>
    <w:rsid w:val="0055418B"/>
    <w:rsid w:val="00555BE3"/>
    <w:rsid w:val="00557886"/>
    <w:rsid w:val="00560D80"/>
    <w:rsid w:val="00560ED4"/>
    <w:rsid w:val="0056256C"/>
    <w:rsid w:val="00563523"/>
    <w:rsid w:val="00563E75"/>
    <w:rsid w:val="00564207"/>
    <w:rsid w:val="00564BB3"/>
    <w:rsid w:val="00565A5C"/>
    <w:rsid w:val="00565B01"/>
    <w:rsid w:val="00567D95"/>
    <w:rsid w:val="0057008C"/>
    <w:rsid w:val="0057040F"/>
    <w:rsid w:val="00570C3E"/>
    <w:rsid w:val="00571C45"/>
    <w:rsid w:val="005722F8"/>
    <w:rsid w:val="005723B8"/>
    <w:rsid w:val="005725C7"/>
    <w:rsid w:val="00572B43"/>
    <w:rsid w:val="00572E2C"/>
    <w:rsid w:val="00573BE1"/>
    <w:rsid w:val="00574090"/>
    <w:rsid w:val="00574EEC"/>
    <w:rsid w:val="005803B3"/>
    <w:rsid w:val="00580D38"/>
    <w:rsid w:val="00581430"/>
    <w:rsid w:val="00581B64"/>
    <w:rsid w:val="005842B0"/>
    <w:rsid w:val="005852D2"/>
    <w:rsid w:val="00585697"/>
    <w:rsid w:val="0058710C"/>
    <w:rsid w:val="00587F0A"/>
    <w:rsid w:val="00590A15"/>
    <w:rsid w:val="0059119B"/>
    <w:rsid w:val="00593552"/>
    <w:rsid w:val="0059375C"/>
    <w:rsid w:val="00595F73"/>
    <w:rsid w:val="00596CC6"/>
    <w:rsid w:val="005979A4"/>
    <w:rsid w:val="00597AF8"/>
    <w:rsid w:val="005A0D38"/>
    <w:rsid w:val="005A14A9"/>
    <w:rsid w:val="005A39B9"/>
    <w:rsid w:val="005A3D9C"/>
    <w:rsid w:val="005A46AB"/>
    <w:rsid w:val="005A6449"/>
    <w:rsid w:val="005B0CB9"/>
    <w:rsid w:val="005B1A81"/>
    <w:rsid w:val="005B2648"/>
    <w:rsid w:val="005B3C64"/>
    <w:rsid w:val="005B3E02"/>
    <w:rsid w:val="005B54CB"/>
    <w:rsid w:val="005B5B50"/>
    <w:rsid w:val="005B5EE6"/>
    <w:rsid w:val="005B6378"/>
    <w:rsid w:val="005C0177"/>
    <w:rsid w:val="005C0FEC"/>
    <w:rsid w:val="005C164A"/>
    <w:rsid w:val="005C1769"/>
    <w:rsid w:val="005C17BF"/>
    <w:rsid w:val="005C1C6E"/>
    <w:rsid w:val="005C4618"/>
    <w:rsid w:val="005C49CB"/>
    <w:rsid w:val="005C538C"/>
    <w:rsid w:val="005C6016"/>
    <w:rsid w:val="005C6301"/>
    <w:rsid w:val="005C6481"/>
    <w:rsid w:val="005C6BBB"/>
    <w:rsid w:val="005C7BD1"/>
    <w:rsid w:val="005D0FB8"/>
    <w:rsid w:val="005D1240"/>
    <w:rsid w:val="005D124A"/>
    <w:rsid w:val="005D22D7"/>
    <w:rsid w:val="005D2AC2"/>
    <w:rsid w:val="005D3E81"/>
    <w:rsid w:val="005D5965"/>
    <w:rsid w:val="005D66A1"/>
    <w:rsid w:val="005D6D90"/>
    <w:rsid w:val="005D7723"/>
    <w:rsid w:val="005E0180"/>
    <w:rsid w:val="005E0349"/>
    <w:rsid w:val="005E0951"/>
    <w:rsid w:val="005E150F"/>
    <w:rsid w:val="005E2482"/>
    <w:rsid w:val="005E2F79"/>
    <w:rsid w:val="005E3D69"/>
    <w:rsid w:val="005E6045"/>
    <w:rsid w:val="005F158D"/>
    <w:rsid w:val="005F2794"/>
    <w:rsid w:val="005F2FE9"/>
    <w:rsid w:val="005F4860"/>
    <w:rsid w:val="005F49E7"/>
    <w:rsid w:val="005F61CD"/>
    <w:rsid w:val="005F683B"/>
    <w:rsid w:val="005F72ED"/>
    <w:rsid w:val="005F74FB"/>
    <w:rsid w:val="00600370"/>
    <w:rsid w:val="00602809"/>
    <w:rsid w:val="0060374F"/>
    <w:rsid w:val="00603B67"/>
    <w:rsid w:val="00605473"/>
    <w:rsid w:val="00605E65"/>
    <w:rsid w:val="006064D2"/>
    <w:rsid w:val="006068C1"/>
    <w:rsid w:val="006068C7"/>
    <w:rsid w:val="0060692E"/>
    <w:rsid w:val="00606AB5"/>
    <w:rsid w:val="00606F10"/>
    <w:rsid w:val="006102C0"/>
    <w:rsid w:val="0061042B"/>
    <w:rsid w:val="006109F9"/>
    <w:rsid w:val="00611491"/>
    <w:rsid w:val="00611A40"/>
    <w:rsid w:val="0061222C"/>
    <w:rsid w:val="00612300"/>
    <w:rsid w:val="0061274E"/>
    <w:rsid w:val="00612DFC"/>
    <w:rsid w:val="006138F4"/>
    <w:rsid w:val="0061483F"/>
    <w:rsid w:val="00614CD6"/>
    <w:rsid w:val="0061538A"/>
    <w:rsid w:val="0061627A"/>
    <w:rsid w:val="006172EF"/>
    <w:rsid w:val="006174F4"/>
    <w:rsid w:val="00620684"/>
    <w:rsid w:val="006214E0"/>
    <w:rsid w:val="0062211C"/>
    <w:rsid w:val="00622286"/>
    <w:rsid w:val="00622B22"/>
    <w:rsid w:val="00622FB2"/>
    <w:rsid w:val="00625BF1"/>
    <w:rsid w:val="00625C5E"/>
    <w:rsid w:val="00630643"/>
    <w:rsid w:val="006336DD"/>
    <w:rsid w:val="00633B66"/>
    <w:rsid w:val="006343B6"/>
    <w:rsid w:val="00635802"/>
    <w:rsid w:val="00635BD5"/>
    <w:rsid w:val="0063720D"/>
    <w:rsid w:val="00641871"/>
    <w:rsid w:val="00641AE3"/>
    <w:rsid w:val="00642191"/>
    <w:rsid w:val="0064280F"/>
    <w:rsid w:val="00642CFD"/>
    <w:rsid w:val="006430E5"/>
    <w:rsid w:val="00643332"/>
    <w:rsid w:val="00643C10"/>
    <w:rsid w:val="00643FEA"/>
    <w:rsid w:val="006447A3"/>
    <w:rsid w:val="0064568A"/>
    <w:rsid w:val="006457D9"/>
    <w:rsid w:val="0064672A"/>
    <w:rsid w:val="00646E3A"/>
    <w:rsid w:val="006476AD"/>
    <w:rsid w:val="006478AB"/>
    <w:rsid w:val="0065009F"/>
    <w:rsid w:val="00650E13"/>
    <w:rsid w:val="00651EB4"/>
    <w:rsid w:val="0065246B"/>
    <w:rsid w:val="00652D0F"/>
    <w:rsid w:val="00653653"/>
    <w:rsid w:val="00653B9A"/>
    <w:rsid w:val="00653F65"/>
    <w:rsid w:val="00654C2E"/>
    <w:rsid w:val="00654FE3"/>
    <w:rsid w:val="0065707B"/>
    <w:rsid w:val="006613A4"/>
    <w:rsid w:val="00661795"/>
    <w:rsid w:val="00661C97"/>
    <w:rsid w:val="00663285"/>
    <w:rsid w:val="00663B5E"/>
    <w:rsid w:val="006647A6"/>
    <w:rsid w:val="0066554B"/>
    <w:rsid w:val="006655FF"/>
    <w:rsid w:val="00665B0B"/>
    <w:rsid w:val="00665CC8"/>
    <w:rsid w:val="00666457"/>
    <w:rsid w:val="006669B4"/>
    <w:rsid w:val="00666ADF"/>
    <w:rsid w:val="0066797F"/>
    <w:rsid w:val="00667B07"/>
    <w:rsid w:val="00667C14"/>
    <w:rsid w:val="00671581"/>
    <w:rsid w:val="00671737"/>
    <w:rsid w:val="00672C77"/>
    <w:rsid w:val="00673601"/>
    <w:rsid w:val="00673F29"/>
    <w:rsid w:val="00673F69"/>
    <w:rsid w:val="006752E7"/>
    <w:rsid w:val="00676704"/>
    <w:rsid w:val="00677B61"/>
    <w:rsid w:val="006802DC"/>
    <w:rsid w:val="006825A9"/>
    <w:rsid w:val="0068386A"/>
    <w:rsid w:val="00684B30"/>
    <w:rsid w:val="006869E9"/>
    <w:rsid w:val="00687074"/>
    <w:rsid w:val="00687597"/>
    <w:rsid w:val="00692405"/>
    <w:rsid w:val="00693623"/>
    <w:rsid w:val="00697770"/>
    <w:rsid w:val="00697E0B"/>
    <w:rsid w:val="006A0918"/>
    <w:rsid w:val="006A14C2"/>
    <w:rsid w:val="006A169C"/>
    <w:rsid w:val="006A2895"/>
    <w:rsid w:val="006A2A03"/>
    <w:rsid w:val="006A5DCD"/>
    <w:rsid w:val="006A7B20"/>
    <w:rsid w:val="006A7D51"/>
    <w:rsid w:val="006B0A93"/>
    <w:rsid w:val="006B19E9"/>
    <w:rsid w:val="006B1E21"/>
    <w:rsid w:val="006B2A29"/>
    <w:rsid w:val="006B2AFA"/>
    <w:rsid w:val="006B2F28"/>
    <w:rsid w:val="006B2F72"/>
    <w:rsid w:val="006B321E"/>
    <w:rsid w:val="006B3460"/>
    <w:rsid w:val="006B3E49"/>
    <w:rsid w:val="006B4024"/>
    <w:rsid w:val="006B55EB"/>
    <w:rsid w:val="006B5D4F"/>
    <w:rsid w:val="006B622D"/>
    <w:rsid w:val="006B6A81"/>
    <w:rsid w:val="006B767F"/>
    <w:rsid w:val="006B77C9"/>
    <w:rsid w:val="006C123B"/>
    <w:rsid w:val="006C13B3"/>
    <w:rsid w:val="006C1A27"/>
    <w:rsid w:val="006C2324"/>
    <w:rsid w:val="006C2597"/>
    <w:rsid w:val="006C3457"/>
    <w:rsid w:val="006C5C76"/>
    <w:rsid w:val="006C6334"/>
    <w:rsid w:val="006C64B1"/>
    <w:rsid w:val="006C6AAF"/>
    <w:rsid w:val="006C6DC6"/>
    <w:rsid w:val="006C746B"/>
    <w:rsid w:val="006D05B7"/>
    <w:rsid w:val="006D1100"/>
    <w:rsid w:val="006D1C89"/>
    <w:rsid w:val="006D1E7B"/>
    <w:rsid w:val="006D2071"/>
    <w:rsid w:val="006D2179"/>
    <w:rsid w:val="006D2D9D"/>
    <w:rsid w:val="006D3379"/>
    <w:rsid w:val="006D41D6"/>
    <w:rsid w:val="006D6D1C"/>
    <w:rsid w:val="006D73C4"/>
    <w:rsid w:val="006D7962"/>
    <w:rsid w:val="006E0A18"/>
    <w:rsid w:val="006E0A41"/>
    <w:rsid w:val="006E2E6A"/>
    <w:rsid w:val="006E3FA9"/>
    <w:rsid w:val="006E5140"/>
    <w:rsid w:val="006E5575"/>
    <w:rsid w:val="006E60E3"/>
    <w:rsid w:val="006E7224"/>
    <w:rsid w:val="006E73C2"/>
    <w:rsid w:val="006E7A95"/>
    <w:rsid w:val="006E7F1F"/>
    <w:rsid w:val="006F1261"/>
    <w:rsid w:val="006F3279"/>
    <w:rsid w:val="006F4081"/>
    <w:rsid w:val="006F4667"/>
    <w:rsid w:val="006F4682"/>
    <w:rsid w:val="006F562B"/>
    <w:rsid w:val="006F5AA0"/>
    <w:rsid w:val="006F5C74"/>
    <w:rsid w:val="006F5CAA"/>
    <w:rsid w:val="006F6453"/>
    <w:rsid w:val="006F6780"/>
    <w:rsid w:val="006F6B11"/>
    <w:rsid w:val="006F6F5A"/>
    <w:rsid w:val="00702FE3"/>
    <w:rsid w:val="00704398"/>
    <w:rsid w:val="00704F9C"/>
    <w:rsid w:val="007058C3"/>
    <w:rsid w:val="007079B8"/>
    <w:rsid w:val="00707ABD"/>
    <w:rsid w:val="0071058B"/>
    <w:rsid w:val="00710DD4"/>
    <w:rsid w:val="007112B2"/>
    <w:rsid w:val="00711E69"/>
    <w:rsid w:val="0071340D"/>
    <w:rsid w:val="00713517"/>
    <w:rsid w:val="007142AE"/>
    <w:rsid w:val="0071507A"/>
    <w:rsid w:val="007152B1"/>
    <w:rsid w:val="00716938"/>
    <w:rsid w:val="00717298"/>
    <w:rsid w:val="007174DA"/>
    <w:rsid w:val="00717B9F"/>
    <w:rsid w:val="00717F75"/>
    <w:rsid w:val="00722550"/>
    <w:rsid w:val="00722864"/>
    <w:rsid w:val="00722B7A"/>
    <w:rsid w:val="00723BD9"/>
    <w:rsid w:val="00723E7F"/>
    <w:rsid w:val="00724365"/>
    <w:rsid w:val="007244C0"/>
    <w:rsid w:val="00726DB8"/>
    <w:rsid w:val="00730B4C"/>
    <w:rsid w:val="00730CF5"/>
    <w:rsid w:val="007314DC"/>
    <w:rsid w:val="0073344B"/>
    <w:rsid w:val="0073346F"/>
    <w:rsid w:val="00735F3B"/>
    <w:rsid w:val="00735FF8"/>
    <w:rsid w:val="00740D2D"/>
    <w:rsid w:val="00740D7B"/>
    <w:rsid w:val="0074115D"/>
    <w:rsid w:val="00741729"/>
    <w:rsid w:val="00741A86"/>
    <w:rsid w:val="00741B93"/>
    <w:rsid w:val="0074426B"/>
    <w:rsid w:val="00745FBA"/>
    <w:rsid w:val="00750121"/>
    <w:rsid w:val="00750ADC"/>
    <w:rsid w:val="0075159C"/>
    <w:rsid w:val="007515F0"/>
    <w:rsid w:val="00752832"/>
    <w:rsid w:val="0075299B"/>
    <w:rsid w:val="007539CE"/>
    <w:rsid w:val="007549C3"/>
    <w:rsid w:val="00755132"/>
    <w:rsid w:val="0075519D"/>
    <w:rsid w:val="00755737"/>
    <w:rsid w:val="00756258"/>
    <w:rsid w:val="007567A5"/>
    <w:rsid w:val="007571FF"/>
    <w:rsid w:val="0075761E"/>
    <w:rsid w:val="0076035F"/>
    <w:rsid w:val="00760A42"/>
    <w:rsid w:val="007611CC"/>
    <w:rsid w:val="00761A7E"/>
    <w:rsid w:val="0076295F"/>
    <w:rsid w:val="007630B2"/>
    <w:rsid w:val="00763312"/>
    <w:rsid w:val="00763657"/>
    <w:rsid w:val="00764411"/>
    <w:rsid w:val="00765EBA"/>
    <w:rsid w:val="007664BD"/>
    <w:rsid w:val="00767986"/>
    <w:rsid w:val="00767C07"/>
    <w:rsid w:val="00772478"/>
    <w:rsid w:val="007728C4"/>
    <w:rsid w:val="00774007"/>
    <w:rsid w:val="00774CB1"/>
    <w:rsid w:val="00774E27"/>
    <w:rsid w:val="00776B44"/>
    <w:rsid w:val="007814A6"/>
    <w:rsid w:val="007824E4"/>
    <w:rsid w:val="0078319E"/>
    <w:rsid w:val="0078599D"/>
    <w:rsid w:val="007876C1"/>
    <w:rsid w:val="007908E1"/>
    <w:rsid w:val="00792427"/>
    <w:rsid w:val="0079450C"/>
    <w:rsid w:val="00794D8A"/>
    <w:rsid w:val="007953ED"/>
    <w:rsid w:val="00795963"/>
    <w:rsid w:val="0079666D"/>
    <w:rsid w:val="00797B36"/>
    <w:rsid w:val="007A07BD"/>
    <w:rsid w:val="007A098C"/>
    <w:rsid w:val="007A09D5"/>
    <w:rsid w:val="007A2F49"/>
    <w:rsid w:val="007A4B5F"/>
    <w:rsid w:val="007A5153"/>
    <w:rsid w:val="007A6480"/>
    <w:rsid w:val="007A6833"/>
    <w:rsid w:val="007A79AE"/>
    <w:rsid w:val="007A79FD"/>
    <w:rsid w:val="007A7A9C"/>
    <w:rsid w:val="007A7EB9"/>
    <w:rsid w:val="007B00A2"/>
    <w:rsid w:val="007B11D3"/>
    <w:rsid w:val="007B1875"/>
    <w:rsid w:val="007B1A0E"/>
    <w:rsid w:val="007B2D73"/>
    <w:rsid w:val="007B3BC3"/>
    <w:rsid w:val="007B4144"/>
    <w:rsid w:val="007B6752"/>
    <w:rsid w:val="007C0DD2"/>
    <w:rsid w:val="007C0F32"/>
    <w:rsid w:val="007C11B6"/>
    <w:rsid w:val="007C1A8A"/>
    <w:rsid w:val="007C24C9"/>
    <w:rsid w:val="007C257F"/>
    <w:rsid w:val="007C26E8"/>
    <w:rsid w:val="007C2C73"/>
    <w:rsid w:val="007C2F1F"/>
    <w:rsid w:val="007C309F"/>
    <w:rsid w:val="007C4855"/>
    <w:rsid w:val="007C4B0A"/>
    <w:rsid w:val="007C4CEF"/>
    <w:rsid w:val="007C5986"/>
    <w:rsid w:val="007C7C98"/>
    <w:rsid w:val="007D006C"/>
    <w:rsid w:val="007D11C8"/>
    <w:rsid w:val="007D2192"/>
    <w:rsid w:val="007D317A"/>
    <w:rsid w:val="007D40E3"/>
    <w:rsid w:val="007D4280"/>
    <w:rsid w:val="007D44A7"/>
    <w:rsid w:val="007D44BF"/>
    <w:rsid w:val="007D5129"/>
    <w:rsid w:val="007D567A"/>
    <w:rsid w:val="007D7A2B"/>
    <w:rsid w:val="007E05AA"/>
    <w:rsid w:val="007E0BF6"/>
    <w:rsid w:val="007E1C4E"/>
    <w:rsid w:val="007E1E4E"/>
    <w:rsid w:val="007E2D6B"/>
    <w:rsid w:val="007E4B7E"/>
    <w:rsid w:val="007E4FE0"/>
    <w:rsid w:val="007E5196"/>
    <w:rsid w:val="007E5547"/>
    <w:rsid w:val="007E5F95"/>
    <w:rsid w:val="007E761D"/>
    <w:rsid w:val="007E7934"/>
    <w:rsid w:val="007F0106"/>
    <w:rsid w:val="007F0FA1"/>
    <w:rsid w:val="007F1E5C"/>
    <w:rsid w:val="007F2721"/>
    <w:rsid w:val="007F2B1A"/>
    <w:rsid w:val="007F2D5B"/>
    <w:rsid w:val="007F3CF1"/>
    <w:rsid w:val="007F3E8A"/>
    <w:rsid w:val="007F44C1"/>
    <w:rsid w:val="007F543B"/>
    <w:rsid w:val="007F55DA"/>
    <w:rsid w:val="007F59F9"/>
    <w:rsid w:val="00800373"/>
    <w:rsid w:val="008010D1"/>
    <w:rsid w:val="008017E7"/>
    <w:rsid w:val="00802184"/>
    <w:rsid w:val="00802B69"/>
    <w:rsid w:val="00803337"/>
    <w:rsid w:val="00803AFA"/>
    <w:rsid w:val="00803B4F"/>
    <w:rsid w:val="00804244"/>
    <w:rsid w:val="00804FBF"/>
    <w:rsid w:val="008050A7"/>
    <w:rsid w:val="00806B7D"/>
    <w:rsid w:val="00806D15"/>
    <w:rsid w:val="00806E45"/>
    <w:rsid w:val="00806FD6"/>
    <w:rsid w:val="008072DB"/>
    <w:rsid w:val="008110D7"/>
    <w:rsid w:val="00812E41"/>
    <w:rsid w:val="00812F45"/>
    <w:rsid w:val="00813125"/>
    <w:rsid w:val="0081351D"/>
    <w:rsid w:val="00815347"/>
    <w:rsid w:val="0081720E"/>
    <w:rsid w:val="00817AF8"/>
    <w:rsid w:val="00820042"/>
    <w:rsid w:val="0082073F"/>
    <w:rsid w:val="00820B24"/>
    <w:rsid w:val="00820F25"/>
    <w:rsid w:val="00821490"/>
    <w:rsid w:val="00821A20"/>
    <w:rsid w:val="00821A3B"/>
    <w:rsid w:val="00822883"/>
    <w:rsid w:val="00822C01"/>
    <w:rsid w:val="008237BC"/>
    <w:rsid w:val="00824E47"/>
    <w:rsid w:val="0082501F"/>
    <w:rsid w:val="00825112"/>
    <w:rsid w:val="00825943"/>
    <w:rsid w:val="008267C1"/>
    <w:rsid w:val="00826AB9"/>
    <w:rsid w:val="008271B5"/>
    <w:rsid w:val="00830DC8"/>
    <w:rsid w:val="008316D3"/>
    <w:rsid w:val="00832223"/>
    <w:rsid w:val="00833504"/>
    <w:rsid w:val="00833776"/>
    <w:rsid w:val="00833F16"/>
    <w:rsid w:val="00835190"/>
    <w:rsid w:val="0083531B"/>
    <w:rsid w:val="00835CB9"/>
    <w:rsid w:val="00835ED5"/>
    <w:rsid w:val="00836D72"/>
    <w:rsid w:val="00837364"/>
    <w:rsid w:val="00837E8D"/>
    <w:rsid w:val="00840A6A"/>
    <w:rsid w:val="0084324A"/>
    <w:rsid w:val="00844015"/>
    <w:rsid w:val="0084441D"/>
    <w:rsid w:val="00844D34"/>
    <w:rsid w:val="00845AE1"/>
    <w:rsid w:val="008506AE"/>
    <w:rsid w:val="00851389"/>
    <w:rsid w:val="008513EF"/>
    <w:rsid w:val="008518D7"/>
    <w:rsid w:val="008538B2"/>
    <w:rsid w:val="00853CF6"/>
    <w:rsid w:val="00853DA2"/>
    <w:rsid w:val="00853FCB"/>
    <w:rsid w:val="0085408C"/>
    <w:rsid w:val="00854911"/>
    <w:rsid w:val="00854934"/>
    <w:rsid w:val="008553AD"/>
    <w:rsid w:val="00856441"/>
    <w:rsid w:val="0085670A"/>
    <w:rsid w:val="00856AF2"/>
    <w:rsid w:val="00857D8D"/>
    <w:rsid w:val="00857EBF"/>
    <w:rsid w:val="00860309"/>
    <w:rsid w:val="008622C3"/>
    <w:rsid w:val="00862C62"/>
    <w:rsid w:val="00863658"/>
    <w:rsid w:val="0086538B"/>
    <w:rsid w:val="0086548C"/>
    <w:rsid w:val="00866295"/>
    <w:rsid w:val="00866B1E"/>
    <w:rsid w:val="00866B2A"/>
    <w:rsid w:val="0086753E"/>
    <w:rsid w:val="00871077"/>
    <w:rsid w:val="008726CB"/>
    <w:rsid w:val="00872F13"/>
    <w:rsid w:val="00873624"/>
    <w:rsid w:val="00873791"/>
    <w:rsid w:val="00875B4D"/>
    <w:rsid w:val="00876483"/>
    <w:rsid w:val="00876F2D"/>
    <w:rsid w:val="00877C5F"/>
    <w:rsid w:val="008802BF"/>
    <w:rsid w:val="00881FAA"/>
    <w:rsid w:val="00882CCD"/>
    <w:rsid w:val="00882DA2"/>
    <w:rsid w:val="00883EE8"/>
    <w:rsid w:val="00885EA7"/>
    <w:rsid w:val="00886071"/>
    <w:rsid w:val="0088712B"/>
    <w:rsid w:val="00887ACA"/>
    <w:rsid w:val="00890459"/>
    <w:rsid w:val="00890747"/>
    <w:rsid w:val="0089134C"/>
    <w:rsid w:val="00892EC9"/>
    <w:rsid w:val="00892FBD"/>
    <w:rsid w:val="0089364A"/>
    <w:rsid w:val="008940A1"/>
    <w:rsid w:val="00894324"/>
    <w:rsid w:val="00894AF3"/>
    <w:rsid w:val="00895E6B"/>
    <w:rsid w:val="00896855"/>
    <w:rsid w:val="008975B5"/>
    <w:rsid w:val="00897CEE"/>
    <w:rsid w:val="00897FAE"/>
    <w:rsid w:val="00897FEA"/>
    <w:rsid w:val="008A1564"/>
    <w:rsid w:val="008A3661"/>
    <w:rsid w:val="008B02F1"/>
    <w:rsid w:val="008B0835"/>
    <w:rsid w:val="008B1007"/>
    <w:rsid w:val="008B1235"/>
    <w:rsid w:val="008B2621"/>
    <w:rsid w:val="008B29EA"/>
    <w:rsid w:val="008B2F31"/>
    <w:rsid w:val="008B322E"/>
    <w:rsid w:val="008B4BD0"/>
    <w:rsid w:val="008B4DE8"/>
    <w:rsid w:val="008B522C"/>
    <w:rsid w:val="008B5E7A"/>
    <w:rsid w:val="008B66FC"/>
    <w:rsid w:val="008B6BD8"/>
    <w:rsid w:val="008C0ED2"/>
    <w:rsid w:val="008C2C2D"/>
    <w:rsid w:val="008C3134"/>
    <w:rsid w:val="008C53D4"/>
    <w:rsid w:val="008C6B43"/>
    <w:rsid w:val="008C7554"/>
    <w:rsid w:val="008D0093"/>
    <w:rsid w:val="008D036C"/>
    <w:rsid w:val="008D1506"/>
    <w:rsid w:val="008D1FCD"/>
    <w:rsid w:val="008D25D6"/>
    <w:rsid w:val="008D2C8D"/>
    <w:rsid w:val="008D30B8"/>
    <w:rsid w:val="008D417C"/>
    <w:rsid w:val="008D545C"/>
    <w:rsid w:val="008D5FD7"/>
    <w:rsid w:val="008D6952"/>
    <w:rsid w:val="008E2E95"/>
    <w:rsid w:val="008E3270"/>
    <w:rsid w:val="008E4EA2"/>
    <w:rsid w:val="008E4F41"/>
    <w:rsid w:val="008E57F1"/>
    <w:rsid w:val="008E62DC"/>
    <w:rsid w:val="008E64A6"/>
    <w:rsid w:val="008E79D6"/>
    <w:rsid w:val="008E7BB4"/>
    <w:rsid w:val="008F0792"/>
    <w:rsid w:val="008F17CB"/>
    <w:rsid w:val="008F1E61"/>
    <w:rsid w:val="008F4223"/>
    <w:rsid w:val="008F4A18"/>
    <w:rsid w:val="008F52BA"/>
    <w:rsid w:val="008F5EE3"/>
    <w:rsid w:val="008F63B0"/>
    <w:rsid w:val="008F6914"/>
    <w:rsid w:val="008F6DA8"/>
    <w:rsid w:val="0090011B"/>
    <w:rsid w:val="009033E7"/>
    <w:rsid w:val="009037F6"/>
    <w:rsid w:val="00903BEA"/>
    <w:rsid w:val="00903D6E"/>
    <w:rsid w:val="009055FA"/>
    <w:rsid w:val="00910128"/>
    <w:rsid w:val="00912087"/>
    <w:rsid w:val="009126B7"/>
    <w:rsid w:val="00913027"/>
    <w:rsid w:val="0091377A"/>
    <w:rsid w:val="009159EB"/>
    <w:rsid w:val="00915B64"/>
    <w:rsid w:val="00920C97"/>
    <w:rsid w:val="00920DCF"/>
    <w:rsid w:val="00923F08"/>
    <w:rsid w:val="00924A24"/>
    <w:rsid w:val="00925746"/>
    <w:rsid w:val="0092586D"/>
    <w:rsid w:val="00925E1A"/>
    <w:rsid w:val="00926CDF"/>
    <w:rsid w:val="0092798C"/>
    <w:rsid w:val="00931512"/>
    <w:rsid w:val="00931D3A"/>
    <w:rsid w:val="00932D7B"/>
    <w:rsid w:val="0093774F"/>
    <w:rsid w:val="009422FE"/>
    <w:rsid w:val="00943E14"/>
    <w:rsid w:val="00944885"/>
    <w:rsid w:val="0094491B"/>
    <w:rsid w:val="009449EA"/>
    <w:rsid w:val="00944FB3"/>
    <w:rsid w:val="0094519A"/>
    <w:rsid w:val="009479C7"/>
    <w:rsid w:val="00947A0F"/>
    <w:rsid w:val="00947DD8"/>
    <w:rsid w:val="00951021"/>
    <w:rsid w:val="00952E3B"/>
    <w:rsid w:val="00952E53"/>
    <w:rsid w:val="00953FBC"/>
    <w:rsid w:val="00954848"/>
    <w:rsid w:val="00954E24"/>
    <w:rsid w:val="009550E7"/>
    <w:rsid w:val="00956446"/>
    <w:rsid w:val="00957D1C"/>
    <w:rsid w:val="00960FC9"/>
    <w:rsid w:val="00962AFE"/>
    <w:rsid w:val="0096500F"/>
    <w:rsid w:val="009650E1"/>
    <w:rsid w:val="00966FE4"/>
    <w:rsid w:val="0096752C"/>
    <w:rsid w:val="009702D7"/>
    <w:rsid w:val="009702F8"/>
    <w:rsid w:val="009709EC"/>
    <w:rsid w:val="00971065"/>
    <w:rsid w:val="00971A10"/>
    <w:rsid w:val="009736CA"/>
    <w:rsid w:val="00973A25"/>
    <w:rsid w:val="00973FE6"/>
    <w:rsid w:val="009742D2"/>
    <w:rsid w:val="009756F5"/>
    <w:rsid w:val="009763FA"/>
    <w:rsid w:val="00976DC4"/>
    <w:rsid w:val="00977E97"/>
    <w:rsid w:val="009814FE"/>
    <w:rsid w:val="00981705"/>
    <w:rsid w:val="0098398A"/>
    <w:rsid w:val="0098398D"/>
    <w:rsid w:val="00984C7A"/>
    <w:rsid w:val="00984D06"/>
    <w:rsid w:val="00986C76"/>
    <w:rsid w:val="00990028"/>
    <w:rsid w:val="0099101B"/>
    <w:rsid w:val="00991B69"/>
    <w:rsid w:val="00992789"/>
    <w:rsid w:val="00992A5D"/>
    <w:rsid w:val="0099454D"/>
    <w:rsid w:val="00994CA4"/>
    <w:rsid w:val="00994CAF"/>
    <w:rsid w:val="00995228"/>
    <w:rsid w:val="009958C1"/>
    <w:rsid w:val="00995EF2"/>
    <w:rsid w:val="0099632B"/>
    <w:rsid w:val="0099776A"/>
    <w:rsid w:val="009A046D"/>
    <w:rsid w:val="009A0807"/>
    <w:rsid w:val="009A4A1C"/>
    <w:rsid w:val="009A5CB7"/>
    <w:rsid w:val="009A5CD5"/>
    <w:rsid w:val="009A7BD7"/>
    <w:rsid w:val="009B2195"/>
    <w:rsid w:val="009B2706"/>
    <w:rsid w:val="009B2D58"/>
    <w:rsid w:val="009B354B"/>
    <w:rsid w:val="009B4736"/>
    <w:rsid w:val="009B494A"/>
    <w:rsid w:val="009B4981"/>
    <w:rsid w:val="009B4FF4"/>
    <w:rsid w:val="009B51CD"/>
    <w:rsid w:val="009B633D"/>
    <w:rsid w:val="009B718D"/>
    <w:rsid w:val="009B7619"/>
    <w:rsid w:val="009C08A4"/>
    <w:rsid w:val="009C1521"/>
    <w:rsid w:val="009C239B"/>
    <w:rsid w:val="009C3229"/>
    <w:rsid w:val="009C6992"/>
    <w:rsid w:val="009D0F4E"/>
    <w:rsid w:val="009D118C"/>
    <w:rsid w:val="009D1258"/>
    <w:rsid w:val="009D1BB3"/>
    <w:rsid w:val="009D415F"/>
    <w:rsid w:val="009D55DC"/>
    <w:rsid w:val="009D567D"/>
    <w:rsid w:val="009D5ECF"/>
    <w:rsid w:val="009D6097"/>
    <w:rsid w:val="009D7414"/>
    <w:rsid w:val="009D7E03"/>
    <w:rsid w:val="009E0E03"/>
    <w:rsid w:val="009E2A09"/>
    <w:rsid w:val="009E354C"/>
    <w:rsid w:val="009E4E49"/>
    <w:rsid w:val="009E57F5"/>
    <w:rsid w:val="009E649C"/>
    <w:rsid w:val="009E7412"/>
    <w:rsid w:val="009E7456"/>
    <w:rsid w:val="009E7736"/>
    <w:rsid w:val="009E7F99"/>
    <w:rsid w:val="009F4FDC"/>
    <w:rsid w:val="009F7BD5"/>
    <w:rsid w:val="00A00DCF"/>
    <w:rsid w:val="00A013B9"/>
    <w:rsid w:val="00A03287"/>
    <w:rsid w:val="00A0360D"/>
    <w:rsid w:val="00A038F0"/>
    <w:rsid w:val="00A0540A"/>
    <w:rsid w:val="00A06092"/>
    <w:rsid w:val="00A0726F"/>
    <w:rsid w:val="00A11DE0"/>
    <w:rsid w:val="00A130FE"/>
    <w:rsid w:val="00A1332E"/>
    <w:rsid w:val="00A137C1"/>
    <w:rsid w:val="00A14321"/>
    <w:rsid w:val="00A14908"/>
    <w:rsid w:val="00A14928"/>
    <w:rsid w:val="00A15491"/>
    <w:rsid w:val="00A15EFA"/>
    <w:rsid w:val="00A1611C"/>
    <w:rsid w:val="00A16495"/>
    <w:rsid w:val="00A179B3"/>
    <w:rsid w:val="00A20E9E"/>
    <w:rsid w:val="00A21A8E"/>
    <w:rsid w:val="00A21CC9"/>
    <w:rsid w:val="00A21CCD"/>
    <w:rsid w:val="00A22938"/>
    <w:rsid w:val="00A24C46"/>
    <w:rsid w:val="00A254FD"/>
    <w:rsid w:val="00A2681B"/>
    <w:rsid w:val="00A273E0"/>
    <w:rsid w:val="00A27CEF"/>
    <w:rsid w:val="00A30369"/>
    <w:rsid w:val="00A30738"/>
    <w:rsid w:val="00A32743"/>
    <w:rsid w:val="00A32775"/>
    <w:rsid w:val="00A34055"/>
    <w:rsid w:val="00A34892"/>
    <w:rsid w:val="00A349A2"/>
    <w:rsid w:val="00A34E51"/>
    <w:rsid w:val="00A35542"/>
    <w:rsid w:val="00A35FD9"/>
    <w:rsid w:val="00A36055"/>
    <w:rsid w:val="00A3638B"/>
    <w:rsid w:val="00A3714B"/>
    <w:rsid w:val="00A40A37"/>
    <w:rsid w:val="00A41B96"/>
    <w:rsid w:val="00A4359C"/>
    <w:rsid w:val="00A45197"/>
    <w:rsid w:val="00A46216"/>
    <w:rsid w:val="00A4658D"/>
    <w:rsid w:val="00A46A0A"/>
    <w:rsid w:val="00A47432"/>
    <w:rsid w:val="00A475F5"/>
    <w:rsid w:val="00A47ACD"/>
    <w:rsid w:val="00A47BB8"/>
    <w:rsid w:val="00A47C09"/>
    <w:rsid w:val="00A47EB4"/>
    <w:rsid w:val="00A5010E"/>
    <w:rsid w:val="00A505A6"/>
    <w:rsid w:val="00A50A7D"/>
    <w:rsid w:val="00A513C4"/>
    <w:rsid w:val="00A51544"/>
    <w:rsid w:val="00A53EA9"/>
    <w:rsid w:val="00A54AF9"/>
    <w:rsid w:val="00A54DE3"/>
    <w:rsid w:val="00A563DB"/>
    <w:rsid w:val="00A5713F"/>
    <w:rsid w:val="00A57BB5"/>
    <w:rsid w:val="00A600B1"/>
    <w:rsid w:val="00A62497"/>
    <w:rsid w:val="00A63EB8"/>
    <w:rsid w:val="00A646DB"/>
    <w:rsid w:val="00A649AA"/>
    <w:rsid w:val="00A64BD0"/>
    <w:rsid w:val="00A65136"/>
    <w:rsid w:val="00A655F4"/>
    <w:rsid w:val="00A65F54"/>
    <w:rsid w:val="00A713FC"/>
    <w:rsid w:val="00A71CEA"/>
    <w:rsid w:val="00A730FD"/>
    <w:rsid w:val="00A737D0"/>
    <w:rsid w:val="00A7538A"/>
    <w:rsid w:val="00A75694"/>
    <w:rsid w:val="00A75FAE"/>
    <w:rsid w:val="00A76E00"/>
    <w:rsid w:val="00A809EE"/>
    <w:rsid w:val="00A810C3"/>
    <w:rsid w:val="00A85319"/>
    <w:rsid w:val="00A856F1"/>
    <w:rsid w:val="00A85ED8"/>
    <w:rsid w:val="00A862E4"/>
    <w:rsid w:val="00A8646F"/>
    <w:rsid w:val="00A86CD3"/>
    <w:rsid w:val="00A86F9B"/>
    <w:rsid w:val="00A905BB"/>
    <w:rsid w:val="00A94B9A"/>
    <w:rsid w:val="00A9543A"/>
    <w:rsid w:val="00A954C7"/>
    <w:rsid w:val="00A97EB6"/>
    <w:rsid w:val="00AA3907"/>
    <w:rsid w:val="00AA58AE"/>
    <w:rsid w:val="00AA5976"/>
    <w:rsid w:val="00AA5979"/>
    <w:rsid w:val="00AA68E9"/>
    <w:rsid w:val="00AB3A6F"/>
    <w:rsid w:val="00AB4CC4"/>
    <w:rsid w:val="00AB5FC3"/>
    <w:rsid w:val="00AB6E5F"/>
    <w:rsid w:val="00AB7C52"/>
    <w:rsid w:val="00AC0D1D"/>
    <w:rsid w:val="00AC1B6E"/>
    <w:rsid w:val="00AC1DBB"/>
    <w:rsid w:val="00AC1E35"/>
    <w:rsid w:val="00AC297A"/>
    <w:rsid w:val="00AC5E09"/>
    <w:rsid w:val="00AC5FA6"/>
    <w:rsid w:val="00AC674E"/>
    <w:rsid w:val="00AC699D"/>
    <w:rsid w:val="00AC7164"/>
    <w:rsid w:val="00AC74E4"/>
    <w:rsid w:val="00AC7610"/>
    <w:rsid w:val="00AD0790"/>
    <w:rsid w:val="00AD0AC7"/>
    <w:rsid w:val="00AD1C64"/>
    <w:rsid w:val="00AD3F61"/>
    <w:rsid w:val="00AD4D37"/>
    <w:rsid w:val="00AD54F1"/>
    <w:rsid w:val="00AD5C36"/>
    <w:rsid w:val="00AD6D8B"/>
    <w:rsid w:val="00AD6EF1"/>
    <w:rsid w:val="00AD72A6"/>
    <w:rsid w:val="00AD7B0A"/>
    <w:rsid w:val="00AD7D0C"/>
    <w:rsid w:val="00AE0534"/>
    <w:rsid w:val="00AE2196"/>
    <w:rsid w:val="00AE2781"/>
    <w:rsid w:val="00AE2E1A"/>
    <w:rsid w:val="00AE3825"/>
    <w:rsid w:val="00AE58F3"/>
    <w:rsid w:val="00AE5C22"/>
    <w:rsid w:val="00AE6AAD"/>
    <w:rsid w:val="00AE6C69"/>
    <w:rsid w:val="00AE6EA9"/>
    <w:rsid w:val="00AE7B8B"/>
    <w:rsid w:val="00AE7DC7"/>
    <w:rsid w:val="00AF0D46"/>
    <w:rsid w:val="00AF1B10"/>
    <w:rsid w:val="00AF2107"/>
    <w:rsid w:val="00AF2108"/>
    <w:rsid w:val="00AF2297"/>
    <w:rsid w:val="00AF2562"/>
    <w:rsid w:val="00AF2B2D"/>
    <w:rsid w:val="00AF42A1"/>
    <w:rsid w:val="00AF455D"/>
    <w:rsid w:val="00AF5D00"/>
    <w:rsid w:val="00AF7121"/>
    <w:rsid w:val="00AF7802"/>
    <w:rsid w:val="00B003A6"/>
    <w:rsid w:val="00B009A6"/>
    <w:rsid w:val="00B03102"/>
    <w:rsid w:val="00B05826"/>
    <w:rsid w:val="00B05A5B"/>
    <w:rsid w:val="00B05DE2"/>
    <w:rsid w:val="00B061F9"/>
    <w:rsid w:val="00B07217"/>
    <w:rsid w:val="00B07B6E"/>
    <w:rsid w:val="00B10483"/>
    <w:rsid w:val="00B11422"/>
    <w:rsid w:val="00B134E9"/>
    <w:rsid w:val="00B14610"/>
    <w:rsid w:val="00B168E7"/>
    <w:rsid w:val="00B169B1"/>
    <w:rsid w:val="00B16F32"/>
    <w:rsid w:val="00B2065D"/>
    <w:rsid w:val="00B20913"/>
    <w:rsid w:val="00B226ED"/>
    <w:rsid w:val="00B231E1"/>
    <w:rsid w:val="00B24632"/>
    <w:rsid w:val="00B249AC"/>
    <w:rsid w:val="00B2507A"/>
    <w:rsid w:val="00B257C9"/>
    <w:rsid w:val="00B26065"/>
    <w:rsid w:val="00B2659E"/>
    <w:rsid w:val="00B26C81"/>
    <w:rsid w:val="00B27062"/>
    <w:rsid w:val="00B274A2"/>
    <w:rsid w:val="00B276B6"/>
    <w:rsid w:val="00B31060"/>
    <w:rsid w:val="00B314C1"/>
    <w:rsid w:val="00B317C6"/>
    <w:rsid w:val="00B31DFD"/>
    <w:rsid w:val="00B322AA"/>
    <w:rsid w:val="00B32A3C"/>
    <w:rsid w:val="00B32C40"/>
    <w:rsid w:val="00B354DE"/>
    <w:rsid w:val="00B3575C"/>
    <w:rsid w:val="00B36BCD"/>
    <w:rsid w:val="00B371C3"/>
    <w:rsid w:val="00B37928"/>
    <w:rsid w:val="00B400E6"/>
    <w:rsid w:val="00B4032E"/>
    <w:rsid w:val="00B40BF1"/>
    <w:rsid w:val="00B42246"/>
    <w:rsid w:val="00B434E1"/>
    <w:rsid w:val="00B45198"/>
    <w:rsid w:val="00B45D83"/>
    <w:rsid w:val="00B46457"/>
    <w:rsid w:val="00B464F4"/>
    <w:rsid w:val="00B4657D"/>
    <w:rsid w:val="00B46C05"/>
    <w:rsid w:val="00B51AE1"/>
    <w:rsid w:val="00B53306"/>
    <w:rsid w:val="00B539E8"/>
    <w:rsid w:val="00B53B3D"/>
    <w:rsid w:val="00B542E2"/>
    <w:rsid w:val="00B54459"/>
    <w:rsid w:val="00B55255"/>
    <w:rsid w:val="00B555A7"/>
    <w:rsid w:val="00B57B38"/>
    <w:rsid w:val="00B60EB8"/>
    <w:rsid w:val="00B616EE"/>
    <w:rsid w:val="00B61BB9"/>
    <w:rsid w:val="00B62BDA"/>
    <w:rsid w:val="00B62E10"/>
    <w:rsid w:val="00B62E82"/>
    <w:rsid w:val="00B642CC"/>
    <w:rsid w:val="00B651AA"/>
    <w:rsid w:val="00B659A1"/>
    <w:rsid w:val="00B65C0C"/>
    <w:rsid w:val="00B66BED"/>
    <w:rsid w:val="00B67EFB"/>
    <w:rsid w:val="00B705D6"/>
    <w:rsid w:val="00B7334A"/>
    <w:rsid w:val="00B73556"/>
    <w:rsid w:val="00B739FD"/>
    <w:rsid w:val="00B74BBB"/>
    <w:rsid w:val="00B762A0"/>
    <w:rsid w:val="00B771F3"/>
    <w:rsid w:val="00B80410"/>
    <w:rsid w:val="00B8069C"/>
    <w:rsid w:val="00B81D65"/>
    <w:rsid w:val="00B81E98"/>
    <w:rsid w:val="00B82C17"/>
    <w:rsid w:val="00B82D12"/>
    <w:rsid w:val="00B83A49"/>
    <w:rsid w:val="00B83CFA"/>
    <w:rsid w:val="00B85223"/>
    <w:rsid w:val="00B857F9"/>
    <w:rsid w:val="00B87B3C"/>
    <w:rsid w:val="00B90221"/>
    <w:rsid w:val="00B9222F"/>
    <w:rsid w:val="00B94611"/>
    <w:rsid w:val="00B94E3E"/>
    <w:rsid w:val="00B96780"/>
    <w:rsid w:val="00BA0B78"/>
    <w:rsid w:val="00BA1B9A"/>
    <w:rsid w:val="00BA3CA0"/>
    <w:rsid w:val="00BA3EAC"/>
    <w:rsid w:val="00BA4924"/>
    <w:rsid w:val="00BA4ADA"/>
    <w:rsid w:val="00BA599D"/>
    <w:rsid w:val="00BA5D24"/>
    <w:rsid w:val="00BA60A7"/>
    <w:rsid w:val="00BA7C50"/>
    <w:rsid w:val="00BB1095"/>
    <w:rsid w:val="00BB348A"/>
    <w:rsid w:val="00BB62C6"/>
    <w:rsid w:val="00BB6A74"/>
    <w:rsid w:val="00BB788C"/>
    <w:rsid w:val="00BC0C2A"/>
    <w:rsid w:val="00BC127B"/>
    <w:rsid w:val="00BC29C0"/>
    <w:rsid w:val="00BC4CEA"/>
    <w:rsid w:val="00BC53C2"/>
    <w:rsid w:val="00BC6E2C"/>
    <w:rsid w:val="00BC76C2"/>
    <w:rsid w:val="00BC7AAB"/>
    <w:rsid w:val="00BC7B60"/>
    <w:rsid w:val="00BD0653"/>
    <w:rsid w:val="00BD1640"/>
    <w:rsid w:val="00BD185B"/>
    <w:rsid w:val="00BD29F1"/>
    <w:rsid w:val="00BD2C6C"/>
    <w:rsid w:val="00BD2FF5"/>
    <w:rsid w:val="00BD717E"/>
    <w:rsid w:val="00BE09D2"/>
    <w:rsid w:val="00BE09E3"/>
    <w:rsid w:val="00BE0DB9"/>
    <w:rsid w:val="00BE0F0B"/>
    <w:rsid w:val="00BE3F65"/>
    <w:rsid w:val="00BE51E2"/>
    <w:rsid w:val="00BE746A"/>
    <w:rsid w:val="00BE7B80"/>
    <w:rsid w:val="00BF01FF"/>
    <w:rsid w:val="00BF0297"/>
    <w:rsid w:val="00BF098A"/>
    <w:rsid w:val="00BF0C47"/>
    <w:rsid w:val="00BF115A"/>
    <w:rsid w:val="00BF14C5"/>
    <w:rsid w:val="00BF2BDD"/>
    <w:rsid w:val="00BF3217"/>
    <w:rsid w:val="00BF323D"/>
    <w:rsid w:val="00BF38AA"/>
    <w:rsid w:val="00BF3BFA"/>
    <w:rsid w:val="00BF4B9E"/>
    <w:rsid w:val="00BF4E32"/>
    <w:rsid w:val="00BF562D"/>
    <w:rsid w:val="00BF5646"/>
    <w:rsid w:val="00BF5935"/>
    <w:rsid w:val="00BF6298"/>
    <w:rsid w:val="00BF779C"/>
    <w:rsid w:val="00BF7F4B"/>
    <w:rsid w:val="00C03B29"/>
    <w:rsid w:val="00C03E39"/>
    <w:rsid w:val="00C053BB"/>
    <w:rsid w:val="00C05766"/>
    <w:rsid w:val="00C07753"/>
    <w:rsid w:val="00C118B5"/>
    <w:rsid w:val="00C11995"/>
    <w:rsid w:val="00C121A8"/>
    <w:rsid w:val="00C13F27"/>
    <w:rsid w:val="00C14092"/>
    <w:rsid w:val="00C16795"/>
    <w:rsid w:val="00C16A63"/>
    <w:rsid w:val="00C2308D"/>
    <w:rsid w:val="00C23E33"/>
    <w:rsid w:val="00C243CB"/>
    <w:rsid w:val="00C2496B"/>
    <w:rsid w:val="00C27CC7"/>
    <w:rsid w:val="00C30265"/>
    <w:rsid w:val="00C30600"/>
    <w:rsid w:val="00C31BCD"/>
    <w:rsid w:val="00C31DB0"/>
    <w:rsid w:val="00C3202A"/>
    <w:rsid w:val="00C32388"/>
    <w:rsid w:val="00C331BA"/>
    <w:rsid w:val="00C33DDE"/>
    <w:rsid w:val="00C33F64"/>
    <w:rsid w:val="00C34661"/>
    <w:rsid w:val="00C35805"/>
    <w:rsid w:val="00C358E9"/>
    <w:rsid w:val="00C35C47"/>
    <w:rsid w:val="00C361CC"/>
    <w:rsid w:val="00C36D85"/>
    <w:rsid w:val="00C36D86"/>
    <w:rsid w:val="00C3784F"/>
    <w:rsid w:val="00C403B8"/>
    <w:rsid w:val="00C41162"/>
    <w:rsid w:val="00C417D9"/>
    <w:rsid w:val="00C427B8"/>
    <w:rsid w:val="00C427D3"/>
    <w:rsid w:val="00C429FA"/>
    <w:rsid w:val="00C431BD"/>
    <w:rsid w:val="00C43BC9"/>
    <w:rsid w:val="00C44D0B"/>
    <w:rsid w:val="00C44D74"/>
    <w:rsid w:val="00C46551"/>
    <w:rsid w:val="00C475AC"/>
    <w:rsid w:val="00C47EF4"/>
    <w:rsid w:val="00C50140"/>
    <w:rsid w:val="00C502C4"/>
    <w:rsid w:val="00C52234"/>
    <w:rsid w:val="00C526B6"/>
    <w:rsid w:val="00C5319C"/>
    <w:rsid w:val="00C53BB4"/>
    <w:rsid w:val="00C5477D"/>
    <w:rsid w:val="00C5493F"/>
    <w:rsid w:val="00C54FFF"/>
    <w:rsid w:val="00C56E74"/>
    <w:rsid w:val="00C57E9D"/>
    <w:rsid w:val="00C61436"/>
    <w:rsid w:val="00C61731"/>
    <w:rsid w:val="00C62956"/>
    <w:rsid w:val="00C63F7E"/>
    <w:rsid w:val="00C64BA0"/>
    <w:rsid w:val="00C6503E"/>
    <w:rsid w:val="00C651FB"/>
    <w:rsid w:val="00C6536E"/>
    <w:rsid w:val="00C65E07"/>
    <w:rsid w:val="00C6622B"/>
    <w:rsid w:val="00C66C00"/>
    <w:rsid w:val="00C724F1"/>
    <w:rsid w:val="00C72D84"/>
    <w:rsid w:val="00C73DD4"/>
    <w:rsid w:val="00C73F70"/>
    <w:rsid w:val="00C740F9"/>
    <w:rsid w:val="00C74AE0"/>
    <w:rsid w:val="00C77164"/>
    <w:rsid w:val="00C77834"/>
    <w:rsid w:val="00C77FBD"/>
    <w:rsid w:val="00C81A57"/>
    <w:rsid w:val="00C84223"/>
    <w:rsid w:val="00C851DE"/>
    <w:rsid w:val="00C85F80"/>
    <w:rsid w:val="00C879D0"/>
    <w:rsid w:val="00C9042E"/>
    <w:rsid w:val="00C91D57"/>
    <w:rsid w:val="00C92664"/>
    <w:rsid w:val="00C928EB"/>
    <w:rsid w:val="00C93725"/>
    <w:rsid w:val="00C939C4"/>
    <w:rsid w:val="00C9774C"/>
    <w:rsid w:val="00C97DAD"/>
    <w:rsid w:val="00CA0073"/>
    <w:rsid w:val="00CA1595"/>
    <w:rsid w:val="00CA1D3A"/>
    <w:rsid w:val="00CA21CE"/>
    <w:rsid w:val="00CA4B37"/>
    <w:rsid w:val="00CA532A"/>
    <w:rsid w:val="00CA749F"/>
    <w:rsid w:val="00CB160E"/>
    <w:rsid w:val="00CB20F6"/>
    <w:rsid w:val="00CB26E8"/>
    <w:rsid w:val="00CB31E8"/>
    <w:rsid w:val="00CB37C0"/>
    <w:rsid w:val="00CB4263"/>
    <w:rsid w:val="00CB46CF"/>
    <w:rsid w:val="00CB4820"/>
    <w:rsid w:val="00CB53C0"/>
    <w:rsid w:val="00CB562C"/>
    <w:rsid w:val="00CB7057"/>
    <w:rsid w:val="00CB7D2E"/>
    <w:rsid w:val="00CC0350"/>
    <w:rsid w:val="00CC2758"/>
    <w:rsid w:val="00CC2B4F"/>
    <w:rsid w:val="00CC3D6D"/>
    <w:rsid w:val="00CC4E70"/>
    <w:rsid w:val="00CC6EC4"/>
    <w:rsid w:val="00CD005A"/>
    <w:rsid w:val="00CD08C8"/>
    <w:rsid w:val="00CD11C4"/>
    <w:rsid w:val="00CD2C38"/>
    <w:rsid w:val="00CD5399"/>
    <w:rsid w:val="00CD5D01"/>
    <w:rsid w:val="00CD6FF3"/>
    <w:rsid w:val="00CD7248"/>
    <w:rsid w:val="00CD7802"/>
    <w:rsid w:val="00CD7D14"/>
    <w:rsid w:val="00CE02BA"/>
    <w:rsid w:val="00CE0675"/>
    <w:rsid w:val="00CE078C"/>
    <w:rsid w:val="00CE0844"/>
    <w:rsid w:val="00CE0CA5"/>
    <w:rsid w:val="00CE1277"/>
    <w:rsid w:val="00CE17BF"/>
    <w:rsid w:val="00CE1A50"/>
    <w:rsid w:val="00CE29C9"/>
    <w:rsid w:val="00CE3035"/>
    <w:rsid w:val="00CE366B"/>
    <w:rsid w:val="00CE461C"/>
    <w:rsid w:val="00CE4699"/>
    <w:rsid w:val="00CE5B1C"/>
    <w:rsid w:val="00CE5CA0"/>
    <w:rsid w:val="00CE6089"/>
    <w:rsid w:val="00CE6B53"/>
    <w:rsid w:val="00CE71C2"/>
    <w:rsid w:val="00CE78EE"/>
    <w:rsid w:val="00CE7DBB"/>
    <w:rsid w:val="00CF004D"/>
    <w:rsid w:val="00CF07AE"/>
    <w:rsid w:val="00CF0966"/>
    <w:rsid w:val="00CF1BCA"/>
    <w:rsid w:val="00CF281F"/>
    <w:rsid w:val="00CF3379"/>
    <w:rsid w:val="00CF3CDE"/>
    <w:rsid w:val="00CF3CFA"/>
    <w:rsid w:val="00CF44E3"/>
    <w:rsid w:val="00CF5B71"/>
    <w:rsid w:val="00CF5DA8"/>
    <w:rsid w:val="00D00F76"/>
    <w:rsid w:val="00D01F46"/>
    <w:rsid w:val="00D024DE"/>
    <w:rsid w:val="00D02E7C"/>
    <w:rsid w:val="00D0405A"/>
    <w:rsid w:val="00D0475D"/>
    <w:rsid w:val="00D048B7"/>
    <w:rsid w:val="00D05495"/>
    <w:rsid w:val="00D06903"/>
    <w:rsid w:val="00D10C32"/>
    <w:rsid w:val="00D11876"/>
    <w:rsid w:val="00D1218C"/>
    <w:rsid w:val="00D13182"/>
    <w:rsid w:val="00D168C1"/>
    <w:rsid w:val="00D16B66"/>
    <w:rsid w:val="00D16E78"/>
    <w:rsid w:val="00D17F9F"/>
    <w:rsid w:val="00D20D8C"/>
    <w:rsid w:val="00D2315B"/>
    <w:rsid w:val="00D251C8"/>
    <w:rsid w:val="00D26B36"/>
    <w:rsid w:val="00D26FFF"/>
    <w:rsid w:val="00D27D0C"/>
    <w:rsid w:val="00D306C7"/>
    <w:rsid w:val="00D30ADD"/>
    <w:rsid w:val="00D31A71"/>
    <w:rsid w:val="00D31E59"/>
    <w:rsid w:val="00D31E6A"/>
    <w:rsid w:val="00D32CDE"/>
    <w:rsid w:val="00D3300D"/>
    <w:rsid w:val="00D348E5"/>
    <w:rsid w:val="00D35974"/>
    <w:rsid w:val="00D36989"/>
    <w:rsid w:val="00D36AB6"/>
    <w:rsid w:val="00D3758B"/>
    <w:rsid w:val="00D424A5"/>
    <w:rsid w:val="00D441C7"/>
    <w:rsid w:val="00D4481A"/>
    <w:rsid w:val="00D44B8D"/>
    <w:rsid w:val="00D450C7"/>
    <w:rsid w:val="00D454FA"/>
    <w:rsid w:val="00D45A24"/>
    <w:rsid w:val="00D47B64"/>
    <w:rsid w:val="00D505DB"/>
    <w:rsid w:val="00D50CC0"/>
    <w:rsid w:val="00D51788"/>
    <w:rsid w:val="00D53860"/>
    <w:rsid w:val="00D5649E"/>
    <w:rsid w:val="00D575C1"/>
    <w:rsid w:val="00D57A25"/>
    <w:rsid w:val="00D60483"/>
    <w:rsid w:val="00D63043"/>
    <w:rsid w:val="00D6363C"/>
    <w:rsid w:val="00D63E4E"/>
    <w:rsid w:val="00D64136"/>
    <w:rsid w:val="00D64DA5"/>
    <w:rsid w:val="00D6552E"/>
    <w:rsid w:val="00D65710"/>
    <w:rsid w:val="00D65776"/>
    <w:rsid w:val="00D66666"/>
    <w:rsid w:val="00D66A73"/>
    <w:rsid w:val="00D67B6A"/>
    <w:rsid w:val="00D67EFF"/>
    <w:rsid w:val="00D714BF"/>
    <w:rsid w:val="00D71E47"/>
    <w:rsid w:val="00D72336"/>
    <w:rsid w:val="00D74041"/>
    <w:rsid w:val="00D74BEF"/>
    <w:rsid w:val="00D7542E"/>
    <w:rsid w:val="00D759E7"/>
    <w:rsid w:val="00D75B68"/>
    <w:rsid w:val="00D7747A"/>
    <w:rsid w:val="00D778CA"/>
    <w:rsid w:val="00D77EDB"/>
    <w:rsid w:val="00D77FB5"/>
    <w:rsid w:val="00D804B2"/>
    <w:rsid w:val="00D804D9"/>
    <w:rsid w:val="00D8171A"/>
    <w:rsid w:val="00D81782"/>
    <w:rsid w:val="00D856F9"/>
    <w:rsid w:val="00D8570A"/>
    <w:rsid w:val="00D8716D"/>
    <w:rsid w:val="00D878F6"/>
    <w:rsid w:val="00D9059E"/>
    <w:rsid w:val="00D91868"/>
    <w:rsid w:val="00D91F35"/>
    <w:rsid w:val="00D94656"/>
    <w:rsid w:val="00D947D2"/>
    <w:rsid w:val="00D963F8"/>
    <w:rsid w:val="00D973C7"/>
    <w:rsid w:val="00D97843"/>
    <w:rsid w:val="00D978FC"/>
    <w:rsid w:val="00D97FD0"/>
    <w:rsid w:val="00DA0876"/>
    <w:rsid w:val="00DA0C88"/>
    <w:rsid w:val="00DA1358"/>
    <w:rsid w:val="00DA1BC2"/>
    <w:rsid w:val="00DA2537"/>
    <w:rsid w:val="00DA2F92"/>
    <w:rsid w:val="00DA3709"/>
    <w:rsid w:val="00DA4106"/>
    <w:rsid w:val="00DA4288"/>
    <w:rsid w:val="00DA43E9"/>
    <w:rsid w:val="00DB1B90"/>
    <w:rsid w:val="00DB1D39"/>
    <w:rsid w:val="00DB2BF6"/>
    <w:rsid w:val="00DB3D27"/>
    <w:rsid w:val="00DB4258"/>
    <w:rsid w:val="00DB47BD"/>
    <w:rsid w:val="00DB4E40"/>
    <w:rsid w:val="00DB669B"/>
    <w:rsid w:val="00DC0E45"/>
    <w:rsid w:val="00DC13E8"/>
    <w:rsid w:val="00DC2CF7"/>
    <w:rsid w:val="00DC5622"/>
    <w:rsid w:val="00DC5915"/>
    <w:rsid w:val="00DC752D"/>
    <w:rsid w:val="00DD062C"/>
    <w:rsid w:val="00DD1B75"/>
    <w:rsid w:val="00DD352E"/>
    <w:rsid w:val="00DD43E2"/>
    <w:rsid w:val="00DD4CF4"/>
    <w:rsid w:val="00DD68AA"/>
    <w:rsid w:val="00DD7D0D"/>
    <w:rsid w:val="00DE075F"/>
    <w:rsid w:val="00DE1BCD"/>
    <w:rsid w:val="00DE2206"/>
    <w:rsid w:val="00DE3747"/>
    <w:rsid w:val="00DE4DC8"/>
    <w:rsid w:val="00DE6F20"/>
    <w:rsid w:val="00DE7DA7"/>
    <w:rsid w:val="00DF0993"/>
    <w:rsid w:val="00DF12F4"/>
    <w:rsid w:val="00DF1462"/>
    <w:rsid w:val="00DF1E93"/>
    <w:rsid w:val="00DF21C5"/>
    <w:rsid w:val="00DF254F"/>
    <w:rsid w:val="00DF2642"/>
    <w:rsid w:val="00DF30DC"/>
    <w:rsid w:val="00DF5AA0"/>
    <w:rsid w:val="00DF6C52"/>
    <w:rsid w:val="00DF6F99"/>
    <w:rsid w:val="00DF73C5"/>
    <w:rsid w:val="00DF74DD"/>
    <w:rsid w:val="00E00EB5"/>
    <w:rsid w:val="00E02333"/>
    <w:rsid w:val="00E02459"/>
    <w:rsid w:val="00E042C0"/>
    <w:rsid w:val="00E04BA3"/>
    <w:rsid w:val="00E05358"/>
    <w:rsid w:val="00E057E7"/>
    <w:rsid w:val="00E05DA5"/>
    <w:rsid w:val="00E07295"/>
    <w:rsid w:val="00E10C76"/>
    <w:rsid w:val="00E10FF9"/>
    <w:rsid w:val="00E11596"/>
    <w:rsid w:val="00E12246"/>
    <w:rsid w:val="00E13015"/>
    <w:rsid w:val="00E13293"/>
    <w:rsid w:val="00E13748"/>
    <w:rsid w:val="00E1376E"/>
    <w:rsid w:val="00E15BC9"/>
    <w:rsid w:val="00E164F8"/>
    <w:rsid w:val="00E17FB3"/>
    <w:rsid w:val="00E203A0"/>
    <w:rsid w:val="00E218D5"/>
    <w:rsid w:val="00E227A0"/>
    <w:rsid w:val="00E23991"/>
    <w:rsid w:val="00E2516F"/>
    <w:rsid w:val="00E254E1"/>
    <w:rsid w:val="00E259EB"/>
    <w:rsid w:val="00E2671C"/>
    <w:rsid w:val="00E26B8A"/>
    <w:rsid w:val="00E27052"/>
    <w:rsid w:val="00E27F37"/>
    <w:rsid w:val="00E312A0"/>
    <w:rsid w:val="00E31B7F"/>
    <w:rsid w:val="00E33E81"/>
    <w:rsid w:val="00E34305"/>
    <w:rsid w:val="00E34E92"/>
    <w:rsid w:val="00E35640"/>
    <w:rsid w:val="00E40DCD"/>
    <w:rsid w:val="00E41200"/>
    <w:rsid w:val="00E431DA"/>
    <w:rsid w:val="00E43397"/>
    <w:rsid w:val="00E43E87"/>
    <w:rsid w:val="00E44850"/>
    <w:rsid w:val="00E452C8"/>
    <w:rsid w:val="00E45E9A"/>
    <w:rsid w:val="00E4768E"/>
    <w:rsid w:val="00E5100D"/>
    <w:rsid w:val="00E51A1B"/>
    <w:rsid w:val="00E522CF"/>
    <w:rsid w:val="00E52B21"/>
    <w:rsid w:val="00E53171"/>
    <w:rsid w:val="00E53881"/>
    <w:rsid w:val="00E53B1D"/>
    <w:rsid w:val="00E543E6"/>
    <w:rsid w:val="00E545F1"/>
    <w:rsid w:val="00E63599"/>
    <w:rsid w:val="00E6360C"/>
    <w:rsid w:val="00E63FC3"/>
    <w:rsid w:val="00E64161"/>
    <w:rsid w:val="00E643BC"/>
    <w:rsid w:val="00E646F8"/>
    <w:rsid w:val="00E6660D"/>
    <w:rsid w:val="00E66B73"/>
    <w:rsid w:val="00E67BBD"/>
    <w:rsid w:val="00E70299"/>
    <w:rsid w:val="00E729D7"/>
    <w:rsid w:val="00E72B8E"/>
    <w:rsid w:val="00E7748F"/>
    <w:rsid w:val="00E77DDF"/>
    <w:rsid w:val="00E8013B"/>
    <w:rsid w:val="00E8030E"/>
    <w:rsid w:val="00E80494"/>
    <w:rsid w:val="00E8152A"/>
    <w:rsid w:val="00E82230"/>
    <w:rsid w:val="00E827FD"/>
    <w:rsid w:val="00E8359C"/>
    <w:rsid w:val="00E84AC9"/>
    <w:rsid w:val="00E8544B"/>
    <w:rsid w:val="00E85749"/>
    <w:rsid w:val="00E85926"/>
    <w:rsid w:val="00E85AA0"/>
    <w:rsid w:val="00E86FC3"/>
    <w:rsid w:val="00E87341"/>
    <w:rsid w:val="00E87AFB"/>
    <w:rsid w:val="00E90934"/>
    <w:rsid w:val="00E90D2F"/>
    <w:rsid w:val="00E9156E"/>
    <w:rsid w:val="00E9198D"/>
    <w:rsid w:val="00E91D06"/>
    <w:rsid w:val="00E92EE8"/>
    <w:rsid w:val="00E936A8"/>
    <w:rsid w:val="00E9386A"/>
    <w:rsid w:val="00E93876"/>
    <w:rsid w:val="00E95535"/>
    <w:rsid w:val="00E95852"/>
    <w:rsid w:val="00E976C4"/>
    <w:rsid w:val="00EA054C"/>
    <w:rsid w:val="00EA0F6E"/>
    <w:rsid w:val="00EA1B96"/>
    <w:rsid w:val="00EA283A"/>
    <w:rsid w:val="00EA284E"/>
    <w:rsid w:val="00EA527B"/>
    <w:rsid w:val="00EB0288"/>
    <w:rsid w:val="00EB0794"/>
    <w:rsid w:val="00EB0F3B"/>
    <w:rsid w:val="00EB120F"/>
    <w:rsid w:val="00EB18E6"/>
    <w:rsid w:val="00EB4BA9"/>
    <w:rsid w:val="00EB70AC"/>
    <w:rsid w:val="00EB7582"/>
    <w:rsid w:val="00EB7EB6"/>
    <w:rsid w:val="00EC078E"/>
    <w:rsid w:val="00EC1712"/>
    <w:rsid w:val="00EC1A51"/>
    <w:rsid w:val="00EC2F44"/>
    <w:rsid w:val="00EC34E3"/>
    <w:rsid w:val="00EC679E"/>
    <w:rsid w:val="00EC6C2E"/>
    <w:rsid w:val="00EC6C60"/>
    <w:rsid w:val="00EC74A1"/>
    <w:rsid w:val="00EC78A2"/>
    <w:rsid w:val="00EC7F5D"/>
    <w:rsid w:val="00ED07E5"/>
    <w:rsid w:val="00ED07FA"/>
    <w:rsid w:val="00ED0D98"/>
    <w:rsid w:val="00ED0E0B"/>
    <w:rsid w:val="00ED12E8"/>
    <w:rsid w:val="00ED2948"/>
    <w:rsid w:val="00ED31DD"/>
    <w:rsid w:val="00ED330C"/>
    <w:rsid w:val="00ED39A2"/>
    <w:rsid w:val="00ED3FC1"/>
    <w:rsid w:val="00ED4590"/>
    <w:rsid w:val="00ED49F2"/>
    <w:rsid w:val="00ED4E96"/>
    <w:rsid w:val="00ED576D"/>
    <w:rsid w:val="00ED5BD0"/>
    <w:rsid w:val="00ED5C9B"/>
    <w:rsid w:val="00EE075D"/>
    <w:rsid w:val="00EE0953"/>
    <w:rsid w:val="00EE1639"/>
    <w:rsid w:val="00EE1F3F"/>
    <w:rsid w:val="00EE2338"/>
    <w:rsid w:val="00EE2EB5"/>
    <w:rsid w:val="00EE3C49"/>
    <w:rsid w:val="00EE68BA"/>
    <w:rsid w:val="00EE79A4"/>
    <w:rsid w:val="00EE79BE"/>
    <w:rsid w:val="00EF36DA"/>
    <w:rsid w:val="00EF3AEC"/>
    <w:rsid w:val="00EF507E"/>
    <w:rsid w:val="00EF5683"/>
    <w:rsid w:val="00EF62DF"/>
    <w:rsid w:val="00EF76CE"/>
    <w:rsid w:val="00EF7FB6"/>
    <w:rsid w:val="00F00580"/>
    <w:rsid w:val="00F02EBE"/>
    <w:rsid w:val="00F03F3E"/>
    <w:rsid w:val="00F05B0C"/>
    <w:rsid w:val="00F0636B"/>
    <w:rsid w:val="00F0669C"/>
    <w:rsid w:val="00F06AB3"/>
    <w:rsid w:val="00F078F2"/>
    <w:rsid w:val="00F07939"/>
    <w:rsid w:val="00F10701"/>
    <w:rsid w:val="00F114E2"/>
    <w:rsid w:val="00F123B3"/>
    <w:rsid w:val="00F12800"/>
    <w:rsid w:val="00F130F1"/>
    <w:rsid w:val="00F13E30"/>
    <w:rsid w:val="00F14822"/>
    <w:rsid w:val="00F14E99"/>
    <w:rsid w:val="00F150B0"/>
    <w:rsid w:val="00F208BA"/>
    <w:rsid w:val="00F21C38"/>
    <w:rsid w:val="00F223E1"/>
    <w:rsid w:val="00F22592"/>
    <w:rsid w:val="00F22FBB"/>
    <w:rsid w:val="00F240C0"/>
    <w:rsid w:val="00F24123"/>
    <w:rsid w:val="00F24724"/>
    <w:rsid w:val="00F24A7A"/>
    <w:rsid w:val="00F2576F"/>
    <w:rsid w:val="00F25C4A"/>
    <w:rsid w:val="00F26A1F"/>
    <w:rsid w:val="00F26C1C"/>
    <w:rsid w:val="00F30332"/>
    <w:rsid w:val="00F3034E"/>
    <w:rsid w:val="00F30890"/>
    <w:rsid w:val="00F31398"/>
    <w:rsid w:val="00F31755"/>
    <w:rsid w:val="00F31E25"/>
    <w:rsid w:val="00F346C5"/>
    <w:rsid w:val="00F351DD"/>
    <w:rsid w:val="00F3590E"/>
    <w:rsid w:val="00F35A9B"/>
    <w:rsid w:val="00F369C7"/>
    <w:rsid w:val="00F37061"/>
    <w:rsid w:val="00F379FB"/>
    <w:rsid w:val="00F37FDC"/>
    <w:rsid w:val="00F41703"/>
    <w:rsid w:val="00F42401"/>
    <w:rsid w:val="00F4274F"/>
    <w:rsid w:val="00F427B6"/>
    <w:rsid w:val="00F438D7"/>
    <w:rsid w:val="00F44B67"/>
    <w:rsid w:val="00F452EB"/>
    <w:rsid w:val="00F45373"/>
    <w:rsid w:val="00F45557"/>
    <w:rsid w:val="00F45C39"/>
    <w:rsid w:val="00F466A8"/>
    <w:rsid w:val="00F46701"/>
    <w:rsid w:val="00F501D3"/>
    <w:rsid w:val="00F508BC"/>
    <w:rsid w:val="00F510E0"/>
    <w:rsid w:val="00F52504"/>
    <w:rsid w:val="00F527C5"/>
    <w:rsid w:val="00F53059"/>
    <w:rsid w:val="00F55673"/>
    <w:rsid w:val="00F56523"/>
    <w:rsid w:val="00F569FC"/>
    <w:rsid w:val="00F60943"/>
    <w:rsid w:val="00F60C90"/>
    <w:rsid w:val="00F613D9"/>
    <w:rsid w:val="00F6249F"/>
    <w:rsid w:val="00F626B9"/>
    <w:rsid w:val="00F62FE3"/>
    <w:rsid w:val="00F630E6"/>
    <w:rsid w:val="00F630F8"/>
    <w:rsid w:val="00F6366F"/>
    <w:rsid w:val="00F637B7"/>
    <w:rsid w:val="00F644B9"/>
    <w:rsid w:val="00F653A5"/>
    <w:rsid w:val="00F65AD0"/>
    <w:rsid w:val="00F666FC"/>
    <w:rsid w:val="00F66977"/>
    <w:rsid w:val="00F66C9F"/>
    <w:rsid w:val="00F6748D"/>
    <w:rsid w:val="00F6770D"/>
    <w:rsid w:val="00F709C8"/>
    <w:rsid w:val="00F70E4A"/>
    <w:rsid w:val="00F71143"/>
    <w:rsid w:val="00F725A6"/>
    <w:rsid w:val="00F725B7"/>
    <w:rsid w:val="00F73285"/>
    <w:rsid w:val="00F73806"/>
    <w:rsid w:val="00F73D2B"/>
    <w:rsid w:val="00F744F6"/>
    <w:rsid w:val="00F74B37"/>
    <w:rsid w:val="00F776C1"/>
    <w:rsid w:val="00F77C00"/>
    <w:rsid w:val="00F77E5F"/>
    <w:rsid w:val="00F81648"/>
    <w:rsid w:val="00F81742"/>
    <w:rsid w:val="00F8178F"/>
    <w:rsid w:val="00F82B09"/>
    <w:rsid w:val="00F82CF0"/>
    <w:rsid w:val="00F83FB1"/>
    <w:rsid w:val="00F844BE"/>
    <w:rsid w:val="00F8477E"/>
    <w:rsid w:val="00F84F9B"/>
    <w:rsid w:val="00F8645B"/>
    <w:rsid w:val="00F86A73"/>
    <w:rsid w:val="00F90CDC"/>
    <w:rsid w:val="00F91750"/>
    <w:rsid w:val="00F92350"/>
    <w:rsid w:val="00F92D81"/>
    <w:rsid w:val="00F93954"/>
    <w:rsid w:val="00F969E8"/>
    <w:rsid w:val="00F978A1"/>
    <w:rsid w:val="00F978B3"/>
    <w:rsid w:val="00F97B02"/>
    <w:rsid w:val="00F97DC5"/>
    <w:rsid w:val="00F97ED8"/>
    <w:rsid w:val="00FA0096"/>
    <w:rsid w:val="00FA1703"/>
    <w:rsid w:val="00FA17A9"/>
    <w:rsid w:val="00FA5721"/>
    <w:rsid w:val="00FA6871"/>
    <w:rsid w:val="00FA699B"/>
    <w:rsid w:val="00FA7025"/>
    <w:rsid w:val="00FA7889"/>
    <w:rsid w:val="00FA7E64"/>
    <w:rsid w:val="00FB01D6"/>
    <w:rsid w:val="00FB12DA"/>
    <w:rsid w:val="00FB139A"/>
    <w:rsid w:val="00FB1850"/>
    <w:rsid w:val="00FB252F"/>
    <w:rsid w:val="00FB2807"/>
    <w:rsid w:val="00FB335C"/>
    <w:rsid w:val="00FB3A50"/>
    <w:rsid w:val="00FB4276"/>
    <w:rsid w:val="00FB6F9C"/>
    <w:rsid w:val="00FC04F5"/>
    <w:rsid w:val="00FC12FE"/>
    <w:rsid w:val="00FC373B"/>
    <w:rsid w:val="00FC3C75"/>
    <w:rsid w:val="00FC458F"/>
    <w:rsid w:val="00FC463F"/>
    <w:rsid w:val="00FC63CE"/>
    <w:rsid w:val="00FC6F34"/>
    <w:rsid w:val="00FC778F"/>
    <w:rsid w:val="00FD08DC"/>
    <w:rsid w:val="00FD0957"/>
    <w:rsid w:val="00FD1D75"/>
    <w:rsid w:val="00FD2380"/>
    <w:rsid w:val="00FD3310"/>
    <w:rsid w:val="00FD3AD8"/>
    <w:rsid w:val="00FD4B18"/>
    <w:rsid w:val="00FD50E2"/>
    <w:rsid w:val="00FD6E8F"/>
    <w:rsid w:val="00FD7315"/>
    <w:rsid w:val="00FD7495"/>
    <w:rsid w:val="00FE1A7D"/>
    <w:rsid w:val="00FE2E0E"/>
    <w:rsid w:val="00FE364F"/>
    <w:rsid w:val="00FE6515"/>
    <w:rsid w:val="00FE6623"/>
    <w:rsid w:val="00FE68D0"/>
    <w:rsid w:val="00FE6EB1"/>
    <w:rsid w:val="00FE6F16"/>
    <w:rsid w:val="00FE73C0"/>
    <w:rsid w:val="00FF05E6"/>
    <w:rsid w:val="00FF1683"/>
    <w:rsid w:val="00FF238B"/>
    <w:rsid w:val="00FF2F10"/>
    <w:rsid w:val="00FF31AC"/>
    <w:rsid w:val="00FF3803"/>
    <w:rsid w:val="00FF4066"/>
    <w:rsid w:val="00FF4093"/>
    <w:rsid w:val="00FF593D"/>
    <w:rsid w:val="00FF5ADF"/>
    <w:rsid w:val="00FF64E3"/>
    <w:rsid w:val="00FF6C46"/>
    <w:rsid w:val="00FF759F"/>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9D6097"/>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D6097"/>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D17F9F"/>
    <w:rPr>
      <w:sz w:val="16"/>
      <w:szCs w:val="16"/>
    </w:rPr>
  </w:style>
  <w:style w:type="paragraph" w:styleId="CommentText">
    <w:name w:val="annotation text"/>
    <w:basedOn w:val="Normal"/>
    <w:link w:val="CommentTextChar"/>
    <w:uiPriority w:val="99"/>
    <w:semiHidden/>
    <w:unhideWhenUsed/>
    <w:rsid w:val="00D17F9F"/>
    <w:rPr>
      <w:sz w:val="20"/>
      <w:szCs w:val="20"/>
    </w:rPr>
  </w:style>
  <w:style w:type="character" w:customStyle="1" w:styleId="CommentTextChar">
    <w:name w:val="Comment Text Char"/>
    <w:basedOn w:val="DefaultParagraphFont"/>
    <w:link w:val="CommentText"/>
    <w:uiPriority w:val="99"/>
    <w:semiHidden/>
    <w:rsid w:val="00D17F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7F9F"/>
    <w:rPr>
      <w:b/>
      <w:bCs/>
    </w:rPr>
  </w:style>
  <w:style w:type="character" w:customStyle="1" w:styleId="CommentSubjectChar">
    <w:name w:val="Comment Subject Char"/>
    <w:basedOn w:val="CommentTextChar"/>
    <w:link w:val="CommentSubject"/>
    <w:uiPriority w:val="99"/>
    <w:semiHidden/>
    <w:rsid w:val="00D17F9F"/>
    <w:rPr>
      <w:rFonts w:ascii="Times New Roman" w:hAnsi="Times New Roman"/>
      <w:b/>
      <w:bCs/>
    </w:rPr>
  </w:style>
  <w:style w:type="paragraph" w:styleId="Revision">
    <w:name w:val="Revision"/>
    <w:hidden/>
    <w:uiPriority w:val="99"/>
    <w:semiHidden/>
    <w:rsid w:val="00DB1D39"/>
    <w:rPr>
      <w:rFonts w:ascii="Times New Roman" w:hAnsi="Times New Roman"/>
      <w:sz w:val="24"/>
      <w:szCs w:val="22"/>
    </w:rPr>
  </w:style>
  <w:style w:type="character" w:customStyle="1" w:styleId="Heading1Char">
    <w:name w:val="Heading 1 Char"/>
    <w:basedOn w:val="DefaultParagraphFont"/>
    <w:link w:val="Heading1"/>
    <w:uiPriority w:val="9"/>
    <w:rsid w:val="009D6097"/>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D6097"/>
    <w:rPr>
      <w:rFonts w:ascii="Times New Roman" w:eastAsiaTheme="majorEastAsia" w:hAnsi="Times New Roman" w:cstheme="majorBidi"/>
      <w:b/>
      <w:bCs/>
      <w:color w:val="000000" w:themeColor="text1"/>
      <w:sz w:val="24"/>
      <w:szCs w:val="26"/>
    </w:rPr>
  </w:style>
  <w:style w:type="paragraph" w:styleId="Title">
    <w:name w:val="Title"/>
    <w:basedOn w:val="Normal"/>
    <w:next w:val="Normal"/>
    <w:link w:val="TitleChar"/>
    <w:uiPriority w:val="10"/>
    <w:qFormat/>
    <w:rsid w:val="009D6097"/>
    <w:pPr>
      <w:pBdr>
        <w:bottom w:val="single" w:sz="8" w:space="4" w:color="4F81BD" w:themeColor="accent1"/>
      </w:pBdr>
      <w:spacing w:after="300"/>
      <w:contextualSpacing/>
    </w:pPr>
    <w:rPr>
      <w:rFonts w:eastAsiaTheme="majorEastAsia" w:cstheme="majorBidi"/>
      <w:color w:val="000000" w:themeColor="text1"/>
      <w:spacing w:val="5"/>
      <w:kern w:val="28"/>
      <w:szCs w:val="52"/>
    </w:rPr>
  </w:style>
  <w:style w:type="character" w:customStyle="1" w:styleId="TitleChar">
    <w:name w:val="Title Char"/>
    <w:basedOn w:val="DefaultParagraphFont"/>
    <w:link w:val="Title"/>
    <w:uiPriority w:val="10"/>
    <w:rsid w:val="009D6097"/>
    <w:rPr>
      <w:rFonts w:ascii="Times New Roman" w:eastAsiaTheme="majorEastAsia" w:hAnsi="Times New Roman" w:cstheme="majorBidi"/>
      <w:color w:val="000000" w:themeColor="text1"/>
      <w:spacing w:val="5"/>
      <w:kern w:val="28"/>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9D6097"/>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D6097"/>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D17F9F"/>
    <w:rPr>
      <w:sz w:val="16"/>
      <w:szCs w:val="16"/>
    </w:rPr>
  </w:style>
  <w:style w:type="paragraph" w:styleId="CommentText">
    <w:name w:val="annotation text"/>
    <w:basedOn w:val="Normal"/>
    <w:link w:val="CommentTextChar"/>
    <w:uiPriority w:val="99"/>
    <w:semiHidden/>
    <w:unhideWhenUsed/>
    <w:rsid w:val="00D17F9F"/>
    <w:rPr>
      <w:sz w:val="20"/>
      <w:szCs w:val="20"/>
    </w:rPr>
  </w:style>
  <w:style w:type="character" w:customStyle="1" w:styleId="CommentTextChar">
    <w:name w:val="Comment Text Char"/>
    <w:basedOn w:val="DefaultParagraphFont"/>
    <w:link w:val="CommentText"/>
    <w:uiPriority w:val="99"/>
    <w:semiHidden/>
    <w:rsid w:val="00D17F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7F9F"/>
    <w:rPr>
      <w:b/>
      <w:bCs/>
    </w:rPr>
  </w:style>
  <w:style w:type="character" w:customStyle="1" w:styleId="CommentSubjectChar">
    <w:name w:val="Comment Subject Char"/>
    <w:basedOn w:val="CommentTextChar"/>
    <w:link w:val="CommentSubject"/>
    <w:uiPriority w:val="99"/>
    <w:semiHidden/>
    <w:rsid w:val="00D17F9F"/>
    <w:rPr>
      <w:rFonts w:ascii="Times New Roman" w:hAnsi="Times New Roman"/>
      <w:b/>
      <w:bCs/>
    </w:rPr>
  </w:style>
  <w:style w:type="paragraph" w:styleId="Revision">
    <w:name w:val="Revision"/>
    <w:hidden/>
    <w:uiPriority w:val="99"/>
    <w:semiHidden/>
    <w:rsid w:val="00DB1D39"/>
    <w:rPr>
      <w:rFonts w:ascii="Times New Roman" w:hAnsi="Times New Roman"/>
      <w:sz w:val="24"/>
      <w:szCs w:val="22"/>
    </w:rPr>
  </w:style>
  <w:style w:type="character" w:customStyle="1" w:styleId="Heading1Char">
    <w:name w:val="Heading 1 Char"/>
    <w:basedOn w:val="DefaultParagraphFont"/>
    <w:link w:val="Heading1"/>
    <w:uiPriority w:val="9"/>
    <w:rsid w:val="009D6097"/>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D6097"/>
    <w:rPr>
      <w:rFonts w:ascii="Times New Roman" w:eastAsiaTheme="majorEastAsia" w:hAnsi="Times New Roman" w:cstheme="majorBidi"/>
      <w:b/>
      <w:bCs/>
      <w:color w:val="000000" w:themeColor="text1"/>
      <w:sz w:val="24"/>
      <w:szCs w:val="26"/>
    </w:rPr>
  </w:style>
  <w:style w:type="paragraph" w:styleId="Title">
    <w:name w:val="Title"/>
    <w:basedOn w:val="Normal"/>
    <w:next w:val="Normal"/>
    <w:link w:val="TitleChar"/>
    <w:uiPriority w:val="10"/>
    <w:qFormat/>
    <w:rsid w:val="009D6097"/>
    <w:pPr>
      <w:pBdr>
        <w:bottom w:val="single" w:sz="8" w:space="4" w:color="4F81BD" w:themeColor="accent1"/>
      </w:pBdr>
      <w:spacing w:after="300"/>
      <w:contextualSpacing/>
    </w:pPr>
    <w:rPr>
      <w:rFonts w:eastAsiaTheme="majorEastAsia" w:cstheme="majorBidi"/>
      <w:color w:val="000000" w:themeColor="text1"/>
      <w:spacing w:val="5"/>
      <w:kern w:val="28"/>
      <w:szCs w:val="52"/>
    </w:rPr>
  </w:style>
  <w:style w:type="character" w:customStyle="1" w:styleId="TitleChar">
    <w:name w:val="Title Char"/>
    <w:basedOn w:val="DefaultParagraphFont"/>
    <w:link w:val="Title"/>
    <w:uiPriority w:val="10"/>
    <w:rsid w:val="009D6097"/>
    <w:rPr>
      <w:rFonts w:ascii="Times New Roman" w:eastAsiaTheme="majorEastAsia" w:hAnsi="Times New Roman" w:cstheme="majorBidi"/>
      <w:color w:val="000000" w:themeColor="text1"/>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14137">
      <w:bodyDiv w:val="1"/>
      <w:marLeft w:val="0"/>
      <w:marRight w:val="0"/>
      <w:marTop w:val="0"/>
      <w:marBottom w:val="0"/>
      <w:divBdr>
        <w:top w:val="none" w:sz="0" w:space="0" w:color="auto"/>
        <w:left w:val="none" w:sz="0" w:space="0" w:color="auto"/>
        <w:bottom w:val="none" w:sz="0" w:space="0" w:color="auto"/>
        <w:right w:val="none" w:sz="0" w:space="0" w:color="auto"/>
      </w:divBdr>
    </w:div>
    <w:div w:id="1354065035">
      <w:bodyDiv w:val="1"/>
      <w:marLeft w:val="0"/>
      <w:marRight w:val="0"/>
      <w:marTop w:val="0"/>
      <w:marBottom w:val="0"/>
      <w:divBdr>
        <w:top w:val="none" w:sz="0" w:space="0" w:color="auto"/>
        <w:left w:val="none" w:sz="0" w:space="0" w:color="auto"/>
        <w:bottom w:val="none" w:sz="0" w:space="0" w:color="auto"/>
        <w:right w:val="none" w:sz="0" w:space="0" w:color="auto"/>
      </w:divBdr>
    </w:div>
    <w:div w:id="18135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0554-59FE-4B17-B86D-E0DA7595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5394</Words>
  <Characters>29043</Characters>
  <Application>Microsoft Office Word</Application>
  <DocSecurity>0</DocSecurity>
  <Lines>434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Whitcomb Sganga Opinion</dc:title>
  <cp:keywords>Case No. 15-O-11512</cp:keywords>
  <cp:lastModifiedBy/>
  <cp:revision>1</cp:revision>
  <dcterms:created xsi:type="dcterms:W3CDTF">2018-03-13T22:09:00Z</dcterms:created>
  <dcterms:modified xsi:type="dcterms:W3CDTF">2018-03-13T22:21:00Z</dcterms:modified>
</cp:coreProperties>
</file>