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6A3567" w:rsidP="00C13F27">
      <w:bookmarkStart w:id="0" w:name="designation"/>
      <w:bookmarkStart w:id="1" w:name="_GoBack"/>
      <w:bookmarkEnd w:id="0"/>
      <w:bookmarkEnd w:id="1"/>
      <w:r>
        <w:t>PUBLIC MATTER</w:t>
      </w:r>
      <w:r w:rsidR="00357ED2">
        <w:t>—D</w:t>
      </w:r>
      <w:r>
        <w:t>ESIGNATED FOR PUBLICATION</w:t>
      </w:r>
    </w:p>
    <w:p w:rsidR="00832223" w:rsidRDefault="00832223" w:rsidP="00C13F27"/>
    <w:p w:rsidR="00474987" w:rsidRDefault="00AF41B2" w:rsidP="00273415">
      <w:pPr>
        <w:contextualSpacing/>
        <w:jc w:val="both"/>
      </w:pPr>
      <w:r>
        <w:tab/>
      </w:r>
      <w:r>
        <w:tab/>
      </w:r>
      <w:r>
        <w:tab/>
      </w:r>
      <w:r>
        <w:tab/>
      </w:r>
      <w:r>
        <w:tab/>
      </w:r>
      <w:r>
        <w:tab/>
      </w:r>
      <w:r>
        <w:tab/>
        <w:t>Filed June 26, 2020</w:t>
      </w:r>
      <w:r>
        <w:tab/>
      </w:r>
    </w:p>
    <w:p w:rsidR="00357ED2" w:rsidRPr="00D50330" w:rsidRDefault="00357ED2" w:rsidP="00273415">
      <w:pPr>
        <w:contextualSpacing/>
        <w:jc w:val="both"/>
      </w:pPr>
    </w:p>
    <w:p w:rsidR="00832223" w:rsidRPr="00C11CC8" w:rsidRDefault="00832223" w:rsidP="00C13F27"/>
    <w:p w:rsidR="00832223" w:rsidRPr="00B76F6A" w:rsidRDefault="00832223" w:rsidP="00B76F6A">
      <w:pPr>
        <w:pStyle w:val="OpinionHeading"/>
      </w:pPr>
      <w:r w:rsidRPr="00B76F6A">
        <w:t>STATE BAR COURT OF CALIFORNIA</w:t>
      </w:r>
    </w:p>
    <w:p w:rsidR="00832223" w:rsidRPr="00B76F6A" w:rsidRDefault="00832223" w:rsidP="00B76F6A">
      <w:pPr>
        <w:pStyle w:val="OpinionHeading"/>
      </w:pPr>
    </w:p>
    <w:p w:rsidR="00832223" w:rsidRPr="00B76F6A" w:rsidRDefault="00832223" w:rsidP="00B76F6A">
      <w:pPr>
        <w:pStyle w:val="OpinionHeading"/>
      </w:pPr>
      <w:r w:rsidRPr="00B76F6A">
        <w:t>REVIEW DEPARTMENT</w:t>
      </w:r>
    </w:p>
    <w:p w:rsidR="00832223" w:rsidRPr="00C11CC8" w:rsidRDefault="00832223" w:rsidP="00832223">
      <w:pPr>
        <w:jc w:val="center"/>
        <w:rPr>
          <w:b/>
        </w:rPr>
      </w:pPr>
    </w:p>
    <w:p w:rsidR="00832223" w:rsidRPr="00C11CC8"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357051">
            <w:r>
              <w:t>In the Matter of</w:t>
            </w:r>
          </w:p>
          <w:p w:rsidR="00832223" w:rsidRDefault="00832223" w:rsidP="00357051"/>
          <w:p w:rsidR="00832223" w:rsidRPr="008F3169" w:rsidRDefault="006A3567" w:rsidP="00357051">
            <w:bookmarkStart w:id="2" w:name="Respondent"/>
            <w:bookmarkEnd w:id="2"/>
            <w:r>
              <w:t xml:space="preserve">BRET </w:t>
            </w:r>
            <w:r w:rsidR="00A00B62">
              <w:t xml:space="preserve">MERRICK </w:t>
            </w:r>
            <w:r>
              <w:t>SAXON</w:t>
            </w:r>
            <w:r w:rsidR="00832223" w:rsidRPr="008F3169">
              <w:t>,</w:t>
            </w:r>
          </w:p>
          <w:p w:rsidR="00832223" w:rsidRDefault="00832223" w:rsidP="00357051"/>
          <w:p w:rsidR="00832223" w:rsidRPr="00C11CC8" w:rsidRDefault="006A3567" w:rsidP="00F95A83">
            <w:bookmarkStart w:id="3" w:name="type"/>
            <w:bookmarkEnd w:id="3"/>
            <w:r>
              <w:t>State Bar No.</w:t>
            </w:r>
            <w:r w:rsidR="00832223">
              <w:t xml:space="preserve"> </w:t>
            </w:r>
            <w:bookmarkStart w:id="4" w:name="memno"/>
            <w:bookmarkStart w:id="5" w:name="MemberNo"/>
            <w:bookmarkEnd w:id="4"/>
            <w:bookmarkEnd w:id="5"/>
            <w:r>
              <w:t>205100.</w:t>
            </w:r>
          </w:p>
        </w:tc>
        <w:tc>
          <w:tcPr>
            <w:tcW w:w="497" w:type="dxa"/>
            <w:tcBorders>
              <w:top w:val="nil"/>
              <w:left w:val="nil"/>
              <w:bottom w:val="nil"/>
              <w:right w:val="nil"/>
            </w:tcBorders>
            <w:tcMar>
              <w:left w:w="0" w:type="dxa"/>
              <w:right w:w="0" w:type="dxa"/>
            </w:tcMar>
          </w:tcPr>
          <w:p w:rsidR="00832223" w:rsidRPr="004D32E9" w:rsidRDefault="00832223" w:rsidP="00357051">
            <w:r w:rsidRPr="004D32E9">
              <w:t>)</w:t>
            </w:r>
          </w:p>
          <w:p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rsidR="00832223" w:rsidRPr="005E6703" w:rsidRDefault="006A3567" w:rsidP="00357051">
            <w:bookmarkStart w:id="6" w:name="caseno"/>
            <w:bookmarkEnd w:id="6"/>
            <w:r>
              <w:t>17-O-01259</w:t>
            </w:r>
          </w:p>
          <w:p w:rsidR="00832223" w:rsidRDefault="00832223" w:rsidP="00357051"/>
          <w:p w:rsidR="00832223" w:rsidRPr="00D90643" w:rsidRDefault="00FA4097" w:rsidP="00357051">
            <w:bookmarkStart w:id="7" w:name="title"/>
            <w:bookmarkEnd w:id="7"/>
            <w:r>
              <w:t>OPINION AND ORDER</w:t>
            </w:r>
          </w:p>
        </w:tc>
      </w:tr>
    </w:tbl>
    <w:p w:rsidR="00832223" w:rsidRDefault="00832223" w:rsidP="00832223"/>
    <w:p w:rsidR="00CF62CA" w:rsidRDefault="009D1BB3" w:rsidP="002518C1">
      <w:pPr>
        <w:spacing w:line="480" w:lineRule="auto"/>
      </w:pPr>
      <w:r>
        <w:tab/>
      </w:r>
      <w:bookmarkStart w:id="8" w:name="start"/>
      <w:bookmarkEnd w:id="8"/>
      <w:r w:rsidR="006A3567">
        <w:t>A hearing judge dismissed this matter with prejudice</w:t>
      </w:r>
      <w:r w:rsidR="00DD3918">
        <w:t>, finding that the Notice of Disciplinary Charges</w:t>
      </w:r>
      <w:r w:rsidR="007C51AD">
        <w:t xml:space="preserve"> (NDC)</w:t>
      </w:r>
      <w:r w:rsidR="00DD3918">
        <w:t xml:space="preserve"> was filed beyond the </w:t>
      </w:r>
      <w:r w:rsidR="00357ED2">
        <w:t>five-year</w:t>
      </w:r>
      <w:r w:rsidR="00DD3918">
        <w:t xml:space="preserve"> </w:t>
      </w:r>
      <w:r w:rsidR="007C51AD">
        <w:t>rule</w:t>
      </w:r>
      <w:r w:rsidR="00DD3918">
        <w:t xml:space="preserve"> of limitations.</w:t>
      </w:r>
      <w:r w:rsidR="00F95A83">
        <w:t xml:space="preserve">  (Rules Proc. o</w:t>
      </w:r>
      <w:r w:rsidR="007C51AD">
        <w:t xml:space="preserve">f State Bar, </w:t>
      </w:r>
      <w:r w:rsidR="00DE5D00">
        <w:t>r</w:t>
      </w:r>
      <w:r w:rsidR="00F95A83">
        <w:t>ule </w:t>
      </w:r>
      <w:r w:rsidR="007C51AD">
        <w:t>5.21</w:t>
      </w:r>
      <w:r w:rsidR="003C1294">
        <w:t>(A)</w:t>
      </w:r>
      <w:r w:rsidR="007C51AD">
        <w:t>.)</w:t>
      </w:r>
      <w:r w:rsidR="007C51AD">
        <w:rPr>
          <w:rStyle w:val="FootnoteReference"/>
        </w:rPr>
        <w:footnoteReference w:id="1"/>
      </w:r>
      <w:r w:rsidR="00532249">
        <w:t xml:space="preserve">  The Office of Chief Trial Counsel</w:t>
      </w:r>
      <w:r w:rsidR="00F95A83">
        <w:t xml:space="preserve"> of the State Bar</w:t>
      </w:r>
      <w:r w:rsidR="00532249">
        <w:t xml:space="preserve"> (OCTC) appealed, contending that the hearing judge erred in finding the limitations period had expired because</w:t>
      </w:r>
      <w:r w:rsidR="009919A6">
        <w:t xml:space="preserve"> </w:t>
      </w:r>
      <w:r w:rsidR="003B3E9F">
        <w:t>it</w:t>
      </w:r>
      <w:r w:rsidR="009919A6">
        <w:t xml:space="preserve"> should be tolled </w:t>
      </w:r>
      <w:r w:rsidR="00941E72">
        <w:t>(1) </w:t>
      </w:r>
      <w:r w:rsidR="009919A6">
        <w:t xml:space="preserve">while </w:t>
      </w:r>
      <w:r w:rsidR="00AB4E4C">
        <w:t>the complaining witness</w:t>
      </w:r>
      <w:r w:rsidR="00CF0BC6">
        <w:t xml:space="preserve"> </w:t>
      </w:r>
      <w:r w:rsidR="00AB4E4C">
        <w:t xml:space="preserve">pursued </w:t>
      </w:r>
      <w:r w:rsidR="009919A6">
        <w:t xml:space="preserve">civil remedies </w:t>
      </w:r>
      <w:r w:rsidR="00AB4E4C">
        <w:t>a</w:t>
      </w:r>
      <w:r w:rsidR="009919A6">
        <w:t>gainst</w:t>
      </w:r>
      <w:r w:rsidR="003C1294">
        <w:t xml:space="preserve"> Bret Saxon</w:t>
      </w:r>
      <w:r w:rsidR="00941E72">
        <w:t xml:space="preserve"> and (2) </w:t>
      </w:r>
      <w:r w:rsidR="00182BEC">
        <w:t>during Saxon’s continued breach of his fiduciary duties</w:t>
      </w:r>
      <w:r w:rsidR="003B3E9F">
        <w:t>.</w:t>
      </w:r>
    </w:p>
    <w:p w:rsidR="00D6119E" w:rsidRDefault="00CF62CA" w:rsidP="002518C1">
      <w:pPr>
        <w:spacing w:line="480" w:lineRule="auto"/>
      </w:pPr>
      <w:r>
        <w:tab/>
      </w:r>
      <w:r w:rsidR="00212599">
        <w:t>In reviewing this order of dismissal</w:t>
      </w:r>
      <w:r w:rsidR="00942D65">
        <w:t xml:space="preserve">, </w:t>
      </w:r>
      <w:r w:rsidR="001D5382">
        <w:t xml:space="preserve">we look only to the </w:t>
      </w:r>
      <w:r w:rsidR="00357ED2">
        <w:t>operative</w:t>
      </w:r>
      <w:r w:rsidR="009F1FA6">
        <w:t xml:space="preserve"> </w:t>
      </w:r>
      <w:r w:rsidR="00A81089">
        <w:t>NDC</w:t>
      </w:r>
      <w:r w:rsidR="001D5382">
        <w:t xml:space="preserve"> and </w:t>
      </w:r>
      <w:r w:rsidR="00942D65">
        <w:t xml:space="preserve">we deem all allegations in </w:t>
      </w:r>
      <w:r w:rsidR="007076D9">
        <w:t xml:space="preserve">the </w:t>
      </w:r>
      <w:r w:rsidR="00942D65">
        <w:t xml:space="preserve">NDC </w:t>
      </w:r>
      <w:r w:rsidR="00357ED2">
        <w:t xml:space="preserve">and </w:t>
      </w:r>
      <w:r w:rsidR="00942D65">
        <w:t>the Amended NDC (ANDC) to be true</w:t>
      </w:r>
      <w:r w:rsidR="00BF2907">
        <w:t xml:space="preserve">. </w:t>
      </w:r>
      <w:r w:rsidR="00C66563">
        <w:t xml:space="preserve"> (</w:t>
      </w:r>
      <w:r w:rsidR="007076D9">
        <w:rPr>
          <w:i/>
        </w:rPr>
        <w:t>In the Matter of McCarthy</w:t>
      </w:r>
      <w:r w:rsidR="00941E72">
        <w:t xml:space="preserve"> (Review Dept. 2002) 4 </w:t>
      </w:r>
      <w:r w:rsidR="007076D9">
        <w:t>Cal. State Bar Ct. Rptr. 364, 377</w:t>
      </w:r>
      <w:r w:rsidR="00941E72">
        <w:t>–</w:t>
      </w:r>
      <w:r w:rsidR="007076D9">
        <w:t xml:space="preserve">378; </w:t>
      </w:r>
      <w:r w:rsidR="00C66563">
        <w:rPr>
          <w:i/>
        </w:rPr>
        <w:t>In the Matter of Tady</w:t>
      </w:r>
      <w:r w:rsidR="00941E72">
        <w:t xml:space="preserve"> (Review Dept. 1992) 2 </w:t>
      </w:r>
      <w:r w:rsidR="00C66563">
        <w:t>Cal. State Bar Ct. Rptr. 121, 124.)</w:t>
      </w:r>
      <w:r w:rsidR="007076D9">
        <w:t xml:space="preserve">  </w:t>
      </w:r>
      <w:r w:rsidR="00D6119E">
        <w:t xml:space="preserve">We also </w:t>
      </w:r>
      <w:r w:rsidR="00940561">
        <w:t>may rely on any judicially noticed fact</w:t>
      </w:r>
      <w:r w:rsidR="00FD22E1">
        <w:t>s</w:t>
      </w:r>
      <w:r w:rsidR="00940561">
        <w:t xml:space="preserve"> for the </w:t>
      </w:r>
      <w:r w:rsidR="00FD22E1">
        <w:t xml:space="preserve">limited </w:t>
      </w:r>
      <w:r w:rsidR="00940561">
        <w:t xml:space="preserve">purpose of </w:t>
      </w:r>
      <w:r w:rsidR="00A81089">
        <w:t>assessing</w:t>
      </w:r>
      <w:r w:rsidR="00940561">
        <w:t xml:space="preserve"> the sufficiency of the </w:t>
      </w:r>
      <w:r w:rsidR="002D5181">
        <w:t xml:space="preserve">operative </w:t>
      </w:r>
      <w:r w:rsidR="00940561">
        <w:t>NDC</w:t>
      </w:r>
      <w:r w:rsidR="00D6119E">
        <w:t>.  (</w:t>
      </w:r>
      <w:r w:rsidR="00DE6E48" w:rsidRPr="003569C9">
        <w:t>S</w:t>
      </w:r>
      <w:r w:rsidR="00940561" w:rsidRPr="003569C9">
        <w:t xml:space="preserve">ee </w:t>
      </w:r>
      <w:r w:rsidR="00686F2C" w:rsidRPr="003569C9">
        <w:t>Code Civ. Proc.</w:t>
      </w:r>
      <w:r w:rsidR="00DE6E48" w:rsidRPr="003569C9">
        <w:t xml:space="preserve">, </w:t>
      </w:r>
      <w:r w:rsidR="00686F2C" w:rsidRPr="003569C9">
        <w:t xml:space="preserve">§ </w:t>
      </w:r>
      <w:r w:rsidR="00DE6E48" w:rsidRPr="003569C9">
        <w:t>430.30</w:t>
      </w:r>
      <w:r w:rsidR="00EB274C" w:rsidRPr="003569C9">
        <w:t xml:space="preserve">, </w:t>
      </w:r>
      <w:proofErr w:type="spellStart"/>
      <w:r w:rsidR="00EB274C" w:rsidRPr="003569C9">
        <w:t>subd</w:t>
      </w:r>
      <w:proofErr w:type="spellEnd"/>
      <w:r w:rsidR="00686F2C" w:rsidRPr="003569C9">
        <w:t xml:space="preserve">. </w:t>
      </w:r>
      <w:r w:rsidR="00DE6E48" w:rsidRPr="003569C9">
        <w:t>(a)</w:t>
      </w:r>
      <w:r w:rsidR="00DE6E48">
        <w:t xml:space="preserve"> [ground of objection “appears on the face </w:t>
      </w:r>
      <w:r w:rsidR="00B431BD">
        <w:t>[of the complaint]</w:t>
      </w:r>
      <w:r w:rsidR="00DE6E48">
        <w:t>, or from any matter of which the court is required to or may take judicial notice</w:t>
      </w:r>
      <w:r w:rsidR="00C42566">
        <w:t>”</w:t>
      </w:r>
      <w:r w:rsidR="00360DFE">
        <w:t>];</w:t>
      </w:r>
      <w:r w:rsidR="00DE6E48">
        <w:t xml:space="preserve"> see also </w:t>
      </w:r>
      <w:r w:rsidR="0061561A">
        <w:t>5</w:t>
      </w:r>
      <w:r w:rsidR="00A14755">
        <w:t> </w:t>
      </w:r>
      <w:proofErr w:type="spellStart"/>
      <w:r w:rsidR="00940561">
        <w:t>Witkin</w:t>
      </w:r>
      <w:proofErr w:type="spellEnd"/>
      <w:r w:rsidR="00940561">
        <w:t xml:space="preserve">, </w:t>
      </w:r>
      <w:r w:rsidR="0061561A">
        <w:t>Cal</w:t>
      </w:r>
      <w:r w:rsidR="005F67A8">
        <w:t>.</w:t>
      </w:r>
      <w:r w:rsidR="0061561A">
        <w:t xml:space="preserve"> Procedure</w:t>
      </w:r>
      <w:r w:rsidR="004346ED">
        <w:t xml:space="preserve"> (5</w:t>
      </w:r>
      <w:r w:rsidR="00360DFE">
        <w:t>th</w:t>
      </w:r>
      <w:r w:rsidR="004346ED">
        <w:t xml:space="preserve"> ed. 2008)</w:t>
      </w:r>
      <w:r w:rsidR="00940561">
        <w:t xml:space="preserve"> Pleading, §</w:t>
      </w:r>
      <w:r w:rsidR="00360DFE">
        <w:t> </w:t>
      </w:r>
      <w:r w:rsidR="00FD22E1">
        <w:t>948</w:t>
      </w:r>
      <w:r w:rsidR="00360DFE">
        <w:t>,</w:t>
      </w:r>
      <w:r w:rsidR="004346ED">
        <w:t xml:space="preserve"> pp.</w:t>
      </w:r>
      <w:r w:rsidR="00360DFE">
        <w:t> </w:t>
      </w:r>
      <w:r w:rsidR="004346ED">
        <w:t>362-364</w:t>
      </w:r>
      <w:r w:rsidR="00FD22E1">
        <w:t>.</w:t>
      </w:r>
      <w:r w:rsidR="00D6119E">
        <w:t xml:space="preserve">) </w:t>
      </w:r>
      <w:r w:rsidR="00DA0000">
        <w:t xml:space="preserve"> Further, we independently review th</w:t>
      </w:r>
      <w:r w:rsidR="00360DFE">
        <w:t>e entire record de novo.  (</w:t>
      </w:r>
      <w:r w:rsidR="003569C9">
        <w:t xml:space="preserve">Rules Proc. of State Bar, </w:t>
      </w:r>
      <w:r w:rsidR="003569C9" w:rsidRPr="003569C9">
        <w:t>r</w:t>
      </w:r>
      <w:r w:rsidR="00360DFE" w:rsidRPr="003569C9">
        <w:t>ule </w:t>
      </w:r>
      <w:r w:rsidR="00DA0000" w:rsidRPr="003569C9">
        <w:t>5.155.)</w:t>
      </w:r>
      <w:r w:rsidR="00D6119E">
        <w:t xml:space="preserve"> </w:t>
      </w:r>
    </w:p>
    <w:p w:rsidR="00876CA8" w:rsidRDefault="00FC138C" w:rsidP="00BC25F4">
      <w:pPr>
        <w:spacing w:line="480" w:lineRule="auto"/>
        <w:ind w:firstLine="720"/>
      </w:pPr>
      <w:r>
        <w:lastRenderedPageBreak/>
        <w:t>W</w:t>
      </w:r>
      <w:r w:rsidR="007076D9">
        <w:t xml:space="preserve">e </w:t>
      </w:r>
      <w:r w:rsidR="004953D5">
        <w:t>disagree with</w:t>
      </w:r>
      <w:r w:rsidR="0035533F">
        <w:t xml:space="preserve"> </w:t>
      </w:r>
      <w:r w:rsidR="00E1424A">
        <w:t>the hearing judge’s</w:t>
      </w:r>
      <w:r w:rsidR="0035533F">
        <w:t xml:space="preserve"> </w:t>
      </w:r>
      <w:r w:rsidR="00895752">
        <w:t xml:space="preserve">ultimate </w:t>
      </w:r>
      <w:r w:rsidR="0035533F">
        <w:t xml:space="preserve">dismissal </w:t>
      </w:r>
      <w:r w:rsidR="0035533F" w:rsidRPr="00C2306D">
        <w:t>with</w:t>
      </w:r>
      <w:r w:rsidR="0035533F">
        <w:rPr>
          <w:i/>
        </w:rPr>
        <w:t xml:space="preserve"> </w:t>
      </w:r>
      <w:r w:rsidR="0035533F">
        <w:t>prejudice</w:t>
      </w:r>
      <w:r w:rsidR="002B450D">
        <w:t>.  The</w:t>
      </w:r>
      <w:r w:rsidR="00337EC9">
        <w:t xml:space="preserve"> </w:t>
      </w:r>
      <w:r w:rsidR="002B450D">
        <w:t xml:space="preserve">ANDC and documents judicially noticed </w:t>
      </w:r>
      <w:r w:rsidR="005E79F7">
        <w:t>satisfactorily</w:t>
      </w:r>
      <w:r w:rsidR="00E93754">
        <w:t xml:space="preserve"> plead</w:t>
      </w:r>
      <w:r w:rsidR="00C2306D">
        <w:t xml:space="preserve"> </w:t>
      </w:r>
      <w:r w:rsidR="00AB35B6">
        <w:t xml:space="preserve">that </w:t>
      </w:r>
      <w:r w:rsidR="00C2306D">
        <w:t xml:space="preserve">the </w:t>
      </w:r>
      <w:r w:rsidR="002B450D">
        <w:t xml:space="preserve">single charge of </w:t>
      </w:r>
      <w:r w:rsidR="00C2306D">
        <w:t xml:space="preserve">moral turpitude </w:t>
      </w:r>
      <w:r w:rsidR="002B450D">
        <w:t>by misappropriation</w:t>
      </w:r>
      <w:r w:rsidR="00C2306D">
        <w:t xml:space="preserve"> occurred within five years </w:t>
      </w:r>
      <w:r w:rsidR="00B01827">
        <w:t>of</w:t>
      </w:r>
      <w:r w:rsidR="00C2306D">
        <w:t xml:space="preserve"> the filing of the original NDC</w:t>
      </w:r>
      <w:r w:rsidR="00BC25F4">
        <w:t xml:space="preserve">, as </w:t>
      </w:r>
      <w:r w:rsidR="00E1424A">
        <w:t>tolled</w:t>
      </w:r>
      <w:r w:rsidR="00BC25F4">
        <w:t xml:space="preserve"> by the continuing fiduciary duty Saxon</w:t>
      </w:r>
      <w:r w:rsidR="00E1424A">
        <w:t xml:space="preserve"> owed </w:t>
      </w:r>
      <w:r w:rsidR="000B1341">
        <w:t>his client</w:t>
      </w:r>
      <w:r w:rsidR="00C2306D">
        <w:t>.</w:t>
      </w:r>
      <w:r w:rsidR="00BC25F4">
        <w:t xml:space="preserve">  </w:t>
      </w:r>
      <w:r w:rsidR="002B450D">
        <w:t xml:space="preserve">We </w:t>
      </w:r>
      <w:r w:rsidR="00B20AF5">
        <w:t>emphasize</w:t>
      </w:r>
      <w:r w:rsidR="002B450D">
        <w:t xml:space="preserve"> that the rule of limitations is tolled during </w:t>
      </w:r>
      <w:r w:rsidR="00AB4025">
        <w:t>the</w:t>
      </w:r>
      <w:r w:rsidR="002B450D" w:rsidRPr="00AB4025">
        <w:t xml:space="preserve"> </w:t>
      </w:r>
      <w:r w:rsidR="002B450D">
        <w:t xml:space="preserve">period of time that the attorney acts in a fiduciary relationship, even </w:t>
      </w:r>
      <w:r w:rsidR="00636DEC">
        <w:t xml:space="preserve">if it is </w:t>
      </w:r>
      <w:r w:rsidR="00337EC9">
        <w:t>other</w:t>
      </w:r>
      <w:r w:rsidR="00636DEC">
        <w:t xml:space="preserve"> than</w:t>
      </w:r>
      <w:r w:rsidR="002B450D">
        <w:t xml:space="preserve"> an attorney-client relationship.  </w:t>
      </w:r>
      <w:r w:rsidR="00636DEC">
        <w:t>Accordingly,</w:t>
      </w:r>
      <w:r w:rsidR="00EA7EEF">
        <w:t xml:space="preserve"> we remand this case to the Hearing D</w:t>
      </w:r>
      <w:r w:rsidR="00876CA8">
        <w:t xml:space="preserve">epartment for further proceedings consistent with this </w:t>
      </w:r>
      <w:r w:rsidR="00165964">
        <w:t xml:space="preserve">opinion and </w:t>
      </w:r>
      <w:r w:rsidR="00876CA8">
        <w:t>order.</w:t>
      </w:r>
    </w:p>
    <w:p w:rsidR="00AB35B6" w:rsidRPr="00737EB7" w:rsidRDefault="00737EB7" w:rsidP="00737EB7">
      <w:pPr>
        <w:spacing w:line="480" w:lineRule="auto"/>
        <w:jc w:val="center"/>
        <w:rPr>
          <w:b/>
        </w:rPr>
      </w:pPr>
      <w:r w:rsidRPr="00737EB7">
        <w:rPr>
          <w:b/>
        </w:rPr>
        <w:t xml:space="preserve">I.  </w:t>
      </w:r>
      <w:r w:rsidR="00AB35B6" w:rsidRPr="00737EB7">
        <w:rPr>
          <w:b/>
        </w:rPr>
        <w:t>PROCEDURAL BACKGROUND</w:t>
      </w:r>
    </w:p>
    <w:p w:rsidR="00532EA2" w:rsidRDefault="00737EB7" w:rsidP="002518C1">
      <w:pPr>
        <w:spacing w:line="480" w:lineRule="auto"/>
      </w:pPr>
      <w:r>
        <w:tab/>
        <w:t xml:space="preserve">On </w:t>
      </w:r>
      <w:r w:rsidR="00EA7EEF">
        <w:t>December </w:t>
      </w:r>
      <w:r w:rsidR="009F4311">
        <w:t>19, 2018, OCTC filed the</w:t>
      </w:r>
      <w:r>
        <w:t xml:space="preserve"> </w:t>
      </w:r>
      <w:r w:rsidR="00EA7EEF">
        <w:t>NDC in this matter.  On January </w:t>
      </w:r>
      <w:r>
        <w:t>30, 2019, Saxon filed a motion to dismiss</w:t>
      </w:r>
      <w:r w:rsidR="009F4311">
        <w:t xml:space="preserve"> on the grounds that the alleged misconduct (</w:t>
      </w:r>
      <w:r w:rsidR="00987A6C">
        <w:t>moral turpitude—</w:t>
      </w:r>
      <w:r w:rsidR="009F4311">
        <w:t>misappropriation) occurred more than five years prior to the NDC</w:t>
      </w:r>
      <w:r w:rsidR="00DE5D00">
        <w:t xml:space="preserve">’s filing, and </w:t>
      </w:r>
      <w:r w:rsidR="00B01827">
        <w:t xml:space="preserve">was </w:t>
      </w:r>
      <w:r w:rsidR="003569C9">
        <w:t>therefore barred by r</w:t>
      </w:r>
      <w:r w:rsidR="00EA7EEF">
        <w:t>ule </w:t>
      </w:r>
      <w:r w:rsidR="00DE5D00">
        <w:t xml:space="preserve">5.21.  </w:t>
      </w:r>
      <w:r w:rsidR="00D6119E">
        <w:t xml:space="preserve">OCTC </w:t>
      </w:r>
      <w:r w:rsidR="002B1098">
        <w:t>opposed</w:t>
      </w:r>
      <w:r w:rsidR="00EA7EEF">
        <w:t xml:space="preserve"> the motion.  On April </w:t>
      </w:r>
      <w:r w:rsidR="00D6119E">
        <w:t xml:space="preserve">3, </w:t>
      </w:r>
      <w:r w:rsidR="00532EA2">
        <w:t xml:space="preserve">the hearing judge granted the motion and filed an order dismissing the case without prejudice.  </w:t>
      </w:r>
    </w:p>
    <w:p w:rsidR="00876CA8" w:rsidRDefault="00EA7EEF">
      <w:pPr>
        <w:spacing w:line="480" w:lineRule="auto"/>
      </w:pPr>
      <w:r>
        <w:tab/>
        <w:t>On May </w:t>
      </w:r>
      <w:r w:rsidR="00532EA2">
        <w:t>30, 2019, OCTC filed the ANDC</w:t>
      </w:r>
      <w:r w:rsidR="00165964">
        <w:t>, which</w:t>
      </w:r>
      <w:r w:rsidR="00532EA2">
        <w:t xml:space="preserve"> alleged more facts regarding the relationship between</w:t>
      </w:r>
      <w:r>
        <w:t xml:space="preserve"> </w:t>
      </w:r>
      <w:r w:rsidR="00DE25A4">
        <w:t xml:space="preserve">the complaining witness, </w:t>
      </w:r>
      <w:r w:rsidR="002B1098">
        <w:t xml:space="preserve">Jon </w:t>
      </w:r>
      <w:r>
        <w:t>Yarborough</w:t>
      </w:r>
      <w:r w:rsidR="00DE25A4">
        <w:t>,</w:t>
      </w:r>
      <w:r>
        <w:t xml:space="preserve"> and Saxon.  On June </w:t>
      </w:r>
      <w:r w:rsidR="00532EA2">
        <w:t>12, Saxon filed a second motion to dismiss</w:t>
      </w:r>
      <w:r w:rsidR="00956ED8">
        <w:t xml:space="preserve"> on the same grounds, adding argument to </w:t>
      </w:r>
      <w:r w:rsidR="00182BEC">
        <w:t>address issues raised in</w:t>
      </w:r>
      <w:r w:rsidR="00956ED8">
        <w:t xml:space="preserve"> OCTC’s opposition to the first motion.</w:t>
      </w:r>
      <w:r w:rsidR="00D6119E">
        <w:t xml:space="preserve"> </w:t>
      </w:r>
      <w:r w:rsidR="00956ED8">
        <w:t xml:space="preserve"> </w:t>
      </w:r>
      <w:r w:rsidR="001D1A0D">
        <w:t>On July</w:t>
      </w:r>
      <w:r>
        <w:t> </w:t>
      </w:r>
      <w:r w:rsidR="001D1A0D">
        <w:t>2,</w:t>
      </w:r>
      <w:r w:rsidR="00427A84">
        <w:t xml:space="preserve"> OCTC filed a request for judicial notice of </w:t>
      </w:r>
      <w:r w:rsidR="00311340">
        <w:t>many</w:t>
      </w:r>
      <w:r w:rsidR="00427A84">
        <w:t xml:space="preserve"> documents </w:t>
      </w:r>
      <w:r w:rsidR="00602E9B">
        <w:t>from</w:t>
      </w:r>
      <w:r w:rsidR="00DD3C53">
        <w:t xml:space="preserve"> </w:t>
      </w:r>
      <w:r w:rsidR="00427A84">
        <w:t>a Tennessee civil proceeding</w:t>
      </w:r>
      <w:r w:rsidR="00315B5B">
        <w:t>.</w:t>
      </w:r>
      <w:r w:rsidR="0031407D">
        <w:rPr>
          <w:rStyle w:val="FootnoteReference"/>
        </w:rPr>
        <w:footnoteReference w:id="2"/>
      </w:r>
      <w:r w:rsidR="00427A84">
        <w:t xml:space="preserve"> </w:t>
      </w:r>
      <w:r w:rsidR="00315B5B">
        <w:t xml:space="preserve"> </w:t>
      </w:r>
      <w:r w:rsidR="00315B5B" w:rsidRPr="00315B5B">
        <w:t xml:space="preserve">The Tennessee Action was brought by Yarborough against Saxon, alleging, among other things, that Saxon committed fraud in his use of funds Yarborough provided to him in trust.  Yarborough prevailed and was awarded $2.25 million in damages.  </w:t>
      </w:r>
      <w:r w:rsidR="00315B5B">
        <w:t xml:space="preserve">OCTC </w:t>
      </w:r>
      <w:r w:rsidR="00A965CB">
        <w:t xml:space="preserve">requested </w:t>
      </w:r>
      <w:r w:rsidR="00315B5B">
        <w:t xml:space="preserve">judicial notice of </w:t>
      </w:r>
      <w:r w:rsidR="00427A84">
        <w:t xml:space="preserve">a related </w:t>
      </w:r>
      <w:r w:rsidR="00B01827">
        <w:t>s</w:t>
      </w:r>
      <w:r w:rsidR="00427A84">
        <w:t>ister-</w:t>
      </w:r>
      <w:r w:rsidR="00B01827">
        <w:t>s</w:t>
      </w:r>
      <w:r w:rsidR="00427A84">
        <w:t xml:space="preserve">tate proceeding in </w:t>
      </w:r>
      <w:r w:rsidR="00427A84">
        <w:lastRenderedPageBreak/>
        <w:t>California</w:t>
      </w:r>
      <w:r w:rsidR="00B01827">
        <w:t>,</w:t>
      </w:r>
      <w:r w:rsidR="00E83CBE">
        <w:rPr>
          <w:rStyle w:val="FootnoteReference"/>
        </w:rPr>
        <w:footnoteReference w:id="3"/>
      </w:r>
      <w:r w:rsidR="00427A84">
        <w:t xml:space="preserve"> and a</w:t>
      </w:r>
      <w:r w:rsidR="0078525B">
        <w:t xml:space="preserve">n adversary </w:t>
      </w:r>
      <w:r w:rsidR="00DD3C53">
        <w:t>p</w:t>
      </w:r>
      <w:r w:rsidR="0078525B">
        <w:t xml:space="preserve">roceeding in </w:t>
      </w:r>
      <w:r w:rsidR="00427A84">
        <w:t xml:space="preserve">bankruptcy </w:t>
      </w:r>
      <w:r w:rsidR="0078525B">
        <w:t>court</w:t>
      </w:r>
      <w:r w:rsidR="009D7334">
        <w:t xml:space="preserve"> in the Central District of California</w:t>
      </w:r>
      <w:r w:rsidR="00B01827">
        <w:t>.</w:t>
      </w:r>
      <w:r w:rsidR="00434102">
        <w:rPr>
          <w:rStyle w:val="FootnoteReference"/>
        </w:rPr>
        <w:footnoteReference w:id="4"/>
      </w:r>
      <w:r w:rsidR="009D7334">
        <w:t xml:space="preserve">  </w:t>
      </w:r>
      <w:r>
        <w:t>Also on July </w:t>
      </w:r>
      <w:r w:rsidR="0031407D">
        <w:t xml:space="preserve">2, </w:t>
      </w:r>
      <w:r w:rsidR="00DA1FEF">
        <w:t xml:space="preserve">OCTC filed </w:t>
      </w:r>
      <w:r w:rsidR="008F3162">
        <w:t xml:space="preserve">its </w:t>
      </w:r>
      <w:r w:rsidR="00DA1FEF">
        <w:t>opposition to the second motion</w:t>
      </w:r>
      <w:r w:rsidR="0031407D">
        <w:t xml:space="preserve"> referencing the dates of the above proceedings</w:t>
      </w:r>
      <w:r w:rsidR="00B3058F">
        <w:t>, arg</w:t>
      </w:r>
      <w:r w:rsidR="0031407D">
        <w:t>u</w:t>
      </w:r>
      <w:r w:rsidR="00B3058F">
        <w:t>ing</w:t>
      </w:r>
      <w:r w:rsidR="0031407D">
        <w:t xml:space="preserve"> that</w:t>
      </w:r>
      <w:r w:rsidR="000D2272">
        <w:t>, together,</w:t>
      </w:r>
      <w:r w:rsidR="008F3162">
        <w:t xml:space="preserve"> they</w:t>
      </w:r>
      <w:r w:rsidR="000D2272">
        <w:t xml:space="preserve"> t</w:t>
      </w:r>
      <w:r w:rsidR="0031407D">
        <w:t xml:space="preserve">olled the rule of limitations in sufficient time to </w:t>
      </w:r>
      <w:r w:rsidR="008F3162">
        <w:t>render</w:t>
      </w:r>
      <w:r w:rsidR="0031407D">
        <w:t xml:space="preserve"> the filing of the initial NDC timely</w:t>
      </w:r>
      <w:r w:rsidR="00DA1FEF">
        <w:t>.</w:t>
      </w:r>
      <w:r w:rsidR="0031407D">
        <w:t xml:space="preserve">  </w:t>
      </w:r>
      <w:r>
        <w:t>On July </w:t>
      </w:r>
      <w:r w:rsidR="00B73617">
        <w:t xml:space="preserve">17, 2019, the hearing </w:t>
      </w:r>
      <w:r w:rsidR="00DA1FEF">
        <w:t xml:space="preserve">judge </w:t>
      </w:r>
      <w:r w:rsidR="00B73617">
        <w:t xml:space="preserve">again granted the motion </w:t>
      </w:r>
      <w:r w:rsidR="00DA1FEF">
        <w:t xml:space="preserve">to dismiss </w:t>
      </w:r>
      <w:r w:rsidR="00B73617">
        <w:t>without prejudice.</w:t>
      </w:r>
    </w:p>
    <w:p w:rsidR="00262BD9" w:rsidRDefault="00262BD9" w:rsidP="009C7D67">
      <w:pPr>
        <w:spacing w:line="480" w:lineRule="auto"/>
      </w:pPr>
      <w:r>
        <w:tab/>
        <w:t>The hearing judge conduc</w:t>
      </w:r>
      <w:r w:rsidR="00EA7EEF">
        <w:t>ted a status conference on July </w:t>
      </w:r>
      <w:r>
        <w:t xml:space="preserve">17, </w:t>
      </w:r>
      <w:r w:rsidR="00C35654">
        <w:t>2019.</w:t>
      </w:r>
      <w:r w:rsidR="00C35654">
        <w:rPr>
          <w:rStyle w:val="FootnoteReference"/>
        </w:rPr>
        <w:footnoteReference w:id="5"/>
      </w:r>
      <w:r w:rsidR="00077569">
        <w:t xml:space="preserve">  </w:t>
      </w:r>
      <w:r w:rsidR="00E9784C">
        <w:t>The</w:t>
      </w:r>
      <w:r w:rsidR="00030E4E">
        <w:t>reafter, the</w:t>
      </w:r>
      <w:r w:rsidR="00E9784C">
        <w:t xml:space="preserve"> hearing judge</w:t>
      </w:r>
      <w:r w:rsidR="005E1B76">
        <w:t xml:space="preserve"> filed another order on</w:t>
      </w:r>
      <w:r w:rsidR="00E9784C">
        <w:t xml:space="preserve"> J</w:t>
      </w:r>
      <w:r w:rsidR="0061142A">
        <w:t>uly </w:t>
      </w:r>
      <w:r w:rsidR="00E9784C">
        <w:t>31, 2019</w:t>
      </w:r>
      <w:r w:rsidR="00AE3B5D">
        <w:t>,</w:t>
      </w:r>
      <w:r w:rsidR="00E9784C">
        <w:t xml:space="preserve"> </w:t>
      </w:r>
      <w:r w:rsidR="005E1B76">
        <w:t>granting</w:t>
      </w:r>
      <w:r w:rsidR="00E9784C">
        <w:t xml:space="preserve"> </w:t>
      </w:r>
      <w:r w:rsidR="00502414">
        <w:t>Saxon’s</w:t>
      </w:r>
      <w:r w:rsidR="00E9784C">
        <w:t xml:space="preserve"> motion to dismiss</w:t>
      </w:r>
      <w:r w:rsidR="005E1B76">
        <w:t>, this time</w:t>
      </w:r>
      <w:r w:rsidR="00E9784C">
        <w:t xml:space="preserve"> </w:t>
      </w:r>
      <w:r w:rsidR="00E9784C" w:rsidRPr="005E1B76">
        <w:rPr>
          <w:i/>
        </w:rPr>
        <w:t>with</w:t>
      </w:r>
      <w:r w:rsidR="00E9784C">
        <w:t xml:space="preserve"> prejudice.  She found that the alleged </w:t>
      </w:r>
      <w:r w:rsidR="00502414">
        <w:t>misappropriation</w:t>
      </w:r>
      <w:r w:rsidR="00E9784C">
        <w:t xml:space="preserve"> would have been complete when the money was taken, and absent tolling, the five-year period would begin immediately.  As to tolling, she found that the five-year period elapsed despite being tolled during the Tennessee Action.  She did not find OCTC’s arguments </w:t>
      </w:r>
      <w:r w:rsidR="00521348">
        <w:t>persuasive</w:t>
      </w:r>
      <w:r w:rsidR="002D68FB">
        <w:t xml:space="preserve"> </w:t>
      </w:r>
      <w:r w:rsidR="00E9784C">
        <w:t xml:space="preserve">that the period should be tolled during the pendency of the California Action and the Bankruptcy Action.  </w:t>
      </w:r>
      <w:r w:rsidR="00920AF5">
        <w:t>She also found that Saxon’</w:t>
      </w:r>
      <w:r w:rsidR="000711BA">
        <w:t>s conduct was no</w:t>
      </w:r>
      <w:r w:rsidR="003569C9">
        <w:t>t a continuing violation under r</w:t>
      </w:r>
      <w:r w:rsidR="000711BA">
        <w:t>ule 5.21(B).</w:t>
      </w:r>
      <w:r w:rsidR="007E73D5">
        <w:t xml:space="preserve">  The hearing judge did not address Saxon’s fiduciary duty.</w:t>
      </w:r>
    </w:p>
    <w:p w:rsidR="002B50DD" w:rsidRDefault="00B34410" w:rsidP="002B50DD">
      <w:pPr>
        <w:spacing w:line="480" w:lineRule="auto"/>
      </w:pPr>
      <w:r>
        <w:tab/>
      </w:r>
      <w:r w:rsidR="00017A2E">
        <w:t>On August 20, 2019, OCTC filed its request for review.  O</w:t>
      </w:r>
      <w:r w:rsidR="0061142A">
        <w:t>n November </w:t>
      </w:r>
      <w:r w:rsidR="006876CA">
        <w:t>12,</w:t>
      </w:r>
      <w:r w:rsidR="00017A2E">
        <w:t xml:space="preserve"> </w:t>
      </w:r>
      <w:r w:rsidR="009755C6">
        <w:t>OCTC filed its opening brief in this appeal.  Saxon filed his responsive brief on January</w:t>
      </w:r>
      <w:r w:rsidR="0061142A">
        <w:t> </w:t>
      </w:r>
      <w:r w:rsidR="009755C6">
        <w:t>15</w:t>
      </w:r>
      <w:r w:rsidR="00762797">
        <w:t>,</w:t>
      </w:r>
      <w:r w:rsidR="009755C6">
        <w:t xml:space="preserve"> 2020, and OCTC file</w:t>
      </w:r>
      <w:r w:rsidR="0061142A">
        <w:t>d its rebuttal brief on January </w:t>
      </w:r>
      <w:r w:rsidR="009755C6">
        <w:t>30.</w:t>
      </w:r>
      <w:r w:rsidR="00010156">
        <w:t xml:space="preserve">  At the close of </w:t>
      </w:r>
      <w:r w:rsidR="0061142A">
        <w:t xml:space="preserve">oral </w:t>
      </w:r>
      <w:r w:rsidR="00010156">
        <w:t>arguments, the Review Department offered the parties an opportunity to brief certain issues</w:t>
      </w:r>
      <w:r w:rsidR="00B72A0C">
        <w:t xml:space="preserve"> regarding the rule of limitations</w:t>
      </w:r>
      <w:r w:rsidR="00521348">
        <w:t xml:space="preserve">, and the parties </w:t>
      </w:r>
      <w:r w:rsidR="007E73D5">
        <w:t>agreed to do</w:t>
      </w:r>
      <w:r w:rsidR="00521348">
        <w:t xml:space="preserve"> so</w:t>
      </w:r>
      <w:r w:rsidR="00147337">
        <w:t>.  The Review Depa</w:t>
      </w:r>
      <w:r w:rsidR="0061142A">
        <w:t>rtment issued an order on March </w:t>
      </w:r>
      <w:r w:rsidR="00147337">
        <w:t>13, 2020</w:t>
      </w:r>
      <w:r w:rsidR="0061142A">
        <w:t>,</w:t>
      </w:r>
      <w:r w:rsidR="00147337">
        <w:t xml:space="preserve"> specifying </w:t>
      </w:r>
      <w:r w:rsidR="00147337">
        <w:lastRenderedPageBreak/>
        <w:t xml:space="preserve">the issues to be </w:t>
      </w:r>
      <w:r w:rsidR="00521348">
        <w:t>addressed</w:t>
      </w:r>
      <w:r w:rsidR="0036693B">
        <w:t>, and</w:t>
      </w:r>
      <w:r w:rsidR="00147337">
        <w:t xml:space="preserve"> OCTC and Saxon filed supplemental briefs on</w:t>
      </w:r>
      <w:r w:rsidR="0061142A">
        <w:t xml:space="preserve"> April </w:t>
      </w:r>
      <w:r w:rsidR="00147337">
        <w:t>15 and 17, 2020, respectively</w:t>
      </w:r>
      <w:r w:rsidR="0069330E">
        <w:t xml:space="preserve"> (Supplemental Brief(s))</w:t>
      </w:r>
      <w:r w:rsidR="00A850A7">
        <w:t>.</w:t>
      </w:r>
    </w:p>
    <w:p w:rsidR="001D1A0D" w:rsidRDefault="002B50DD" w:rsidP="00581943">
      <w:pPr>
        <w:spacing w:line="480" w:lineRule="auto"/>
        <w:jc w:val="center"/>
      </w:pPr>
      <w:r>
        <w:rPr>
          <w:b/>
        </w:rPr>
        <w:t>II</w:t>
      </w:r>
      <w:r w:rsidR="00581943">
        <w:rPr>
          <w:b/>
        </w:rPr>
        <w:t xml:space="preserve">.  RELEVANT ALLEGATIONS IN </w:t>
      </w:r>
      <w:r w:rsidR="007408AA">
        <w:rPr>
          <w:b/>
        </w:rPr>
        <w:t xml:space="preserve">THE </w:t>
      </w:r>
      <w:r w:rsidR="00581943">
        <w:rPr>
          <w:b/>
        </w:rPr>
        <w:t>ANDC</w:t>
      </w:r>
    </w:p>
    <w:p w:rsidR="00FF14AD" w:rsidRDefault="002B50DD" w:rsidP="00581943">
      <w:pPr>
        <w:spacing w:line="480" w:lineRule="auto"/>
      </w:pPr>
      <w:r>
        <w:tab/>
        <w:t xml:space="preserve">Recognizing that we are limited to the “four corners” of the ANDC, plus any judicially noticed documents, we now look to </w:t>
      </w:r>
      <w:r w:rsidR="00385948">
        <w:t>the ANDC</w:t>
      </w:r>
      <w:r>
        <w:t xml:space="preserve"> to determine the facts that are all</w:t>
      </w:r>
      <w:r w:rsidR="00FF14AD">
        <w:t>eged to show a misappropriation.  The following is a summary of the relevant allegations:</w:t>
      </w:r>
    </w:p>
    <w:p w:rsidR="00B910DF" w:rsidRDefault="00633FF9" w:rsidP="002F3A97">
      <w:pPr>
        <w:pStyle w:val="ListParagraph"/>
        <w:spacing w:line="480" w:lineRule="auto"/>
        <w:ind w:left="0" w:right="-144"/>
      </w:pPr>
      <w:r>
        <w:tab/>
      </w:r>
      <w:r w:rsidR="00B228E9">
        <w:t>Saxon is a movie producer</w:t>
      </w:r>
      <w:r w:rsidR="006551E9">
        <w:t xml:space="preserve"> who sought</w:t>
      </w:r>
      <w:r w:rsidR="00B228E9">
        <w:t xml:space="preserve"> investments to fund a movie called “Fandango.”  One investor was Jon Yarborough, a resident of Tennessee.  </w:t>
      </w:r>
      <w:r w:rsidR="00D41404">
        <w:t>On or about October </w:t>
      </w:r>
      <w:r w:rsidR="002C7A0D">
        <w:t xml:space="preserve">6, 2009, </w:t>
      </w:r>
      <w:r w:rsidR="00B228E9">
        <w:t xml:space="preserve">Saxon and Yarborough entered into </w:t>
      </w:r>
      <w:r w:rsidR="009F6CAD">
        <w:t>a</w:t>
      </w:r>
      <w:r w:rsidR="00B228E9">
        <w:t xml:space="preserve"> Financing Agreement, whereby Yarborough and Saxon would invest $1.5 million a</w:t>
      </w:r>
      <w:r w:rsidR="00762797">
        <w:t xml:space="preserve">nd $3.5 million, respectively </w:t>
      </w:r>
      <w:r w:rsidR="00220C92">
        <w:t xml:space="preserve">(the Combined Financing).  The Financing Agreement also stated that </w:t>
      </w:r>
      <w:r w:rsidR="009F6CAD">
        <w:t>all</w:t>
      </w:r>
      <w:r w:rsidR="00220C92">
        <w:t xml:space="preserve"> funds </w:t>
      </w:r>
      <w:r w:rsidR="00636558">
        <w:t>would</w:t>
      </w:r>
      <w:r w:rsidR="00220C92">
        <w:t xml:space="preserve"> be placed in </w:t>
      </w:r>
      <w:r w:rsidR="005C23C2">
        <w:t>a certain account</w:t>
      </w:r>
      <w:r w:rsidR="005C23C2" w:rsidRPr="005C23C2">
        <w:t xml:space="preserve"> </w:t>
      </w:r>
      <w:r w:rsidR="005C23C2">
        <w:t>defined as the “</w:t>
      </w:r>
      <w:r w:rsidR="002D68FB">
        <w:t>P</w:t>
      </w:r>
      <w:r w:rsidR="005C23C2">
        <w:t>icture Account</w:t>
      </w:r>
      <w:r w:rsidR="00CE240E">
        <w:t>,</w:t>
      </w:r>
      <w:r w:rsidR="00636558">
        <w:t>”</w:t>
      </w:r>
      <w:r w:rsidR="00220C92">
        <w:t xml:space="preserve"> or </w:t>
      </w:r>
      <w:r w:rsidR="005C23C2">
        <w:t>an</w:t>
      </w:r>
      <w:r w:rsidR="00220C92">
        <w:t xml:space="preserve">other account approved by Yarborough and Saxon.  The funds were to be segregated and </w:t>
      </w:r>
      <w:r w:rsidR="009F6CAD">
        <w:t xml:space="preserve">used </w:t>
      </w:r>
      <w:r w:rsidR="005C23C2">
        <w:t xml:space="preserve">only </w:t>
      </w:r>
      <w:r w:rsidR="009F6CAD">
        <w:t>f</w:t>
      </w:r>
      <w:r w:rsidR="005C23C2">
        <w:t>o</w:t>
      </w:r>
      <w:r w:rsidR="009F6CAD">
        <w:t>r</w:t>
      </w:r>
      <w:r w:rsidR="005C23C2">
        <w:t xml:space="preserve"> production costs</w:t>
      </w:r>
      <w:r w:rsidR="00636558">
        <w:t>, and</w:t>
      </w:r>
      <w:r w:rsidR="00A850A7">
        <w:t xml:space="preserve"> </w:t>
      </w:r>
      <w:r w:rsidR="00191EA9">
        <w:t>the Financing Agreement provided that</w:t>
      </w:r>
      <w:r w:rsidR="00BB18BD">
        <w:t xml:space="preserve"> </w:t>
      </w:r>
      <w:r w:rsidR="00667DC8">
        <w:t>“</w:t>
      </w:r>
      <w:r w:rsidR="00636558">
        <w:t>[a]</w:t>
      </w:r>
      <w:proofErr w:type="spellStart"/>
      <w:r w:rsidR="00667DC8">
        <w:t>ny</w:t>
      </w:r>
      <w:proofErr w:type="spellEnd"/>
      <w:r w:rsidR="005C23C2">
        <w:t xml:space="preserve"> </w:t>
      </w:r>
      <w:r w:rsidR="00F702E1">
        <w:t>funds</w:t>
      </w:r>
      <w:r w:rsidR="005C23C2">
        <w:t xml:space="preserve"> advanced to the </w:t>
      </w:r>
      <w:r w:rsidR="00667DC8">
        <w:t>Picture A</w:t>
      </w:r>
      <w:r w:rsidR="005C23C2">
        <w:t xml:space="preserve">ccount </w:t>
      </w:r>
      <w:r w:rsidR="00191EA9">
        <w:t>shall</w:t>
      </w:r>
      <w:r w:rsidR="005C23C2">
        <w:t xml:space="preserve"> be held in trust.”</w:t>
      </w:r>
      <w:r w:rsidR="00220C92">
        <w:t xml:space="preserve"> </w:t>
      </w:r>
      <w:r w:rsidR="00B228E9">
        <w:t xml:space="preserve"> </w:t>
      </w:r>
      <w:r w:rsidR="009608A1">
        <w:t xml:space="preserve">Under the Financing Agreement, </w:t>
      </w:r>
      <w:r w:rsidR="00667DC8">
        <w:t>Saxon was required to maintain the funds in the Picture Account until receipt of 100</w:t>
      </w:r>
      <w:r w:rsidR="00CE240E">
        <w:t xml:space="preserve"> percent</w:t>
      </w:r>
      <w:r w:rsidR="00667DC8">
        <w:t xml:space="preserve"> of the Combined Financing</w:t>
      </w:r>
      <w:r w:rsidR="00062104">
        <w:t>.  He</w:t>
      </w:r>
      <w:r w:rsidR="00667DC8">
        <w:t xml:space="preserve"> could not withdraw </w:t>
      </w:r>
      <w:r w:rsidR="00062104">
        <w:t>money</w:t>
      </w:r>
      <w:r w:rsidR="00667DC8">
        <w:t xml:space="preserve"> from the </w:t>
      </w:r>
      <w:r w:rsidR="002F3A97">
        <w:t>a</w:t>
      </w:r>
      <w:r w:rsidR="00667DC8">
        <w:t xml:space="preserve">ccount until it was fully funded with the Combined Financing.  </w:t>
      </w:r>
    </w:p>
    <w:p w:rsidR="008F3F45" w:rsidRDefault="00C00951" w:rsidP="00B910DF">
      <w:pPr>
        <w:spacing w:line="480" w:lineRule="auto"/>
        <w:ind w:firstLine="720"/>
      </w:pPr>
      <w:r>
        <w:t>Yarborough wired $1.5 million to the Picture Account</w:t>
      </w:r>
      <w:r w:rsidR="00D41404">
        <w:t xml:space="preserve"> on October </w:t>
      </w:r>
      <w:r w:rsidR="002C7A0D">
        <w:t>21, 2009</w:t>
      </w:r>
      <w:r>
        <w:t xml:space="preserve">.  </w:t>
      </w:r>
      <w:r w:rsidR="00667DC8">
        <w:t>Saxon never contributed his</w:t>
      </w:r>
      <w:r w:rsidR="00062104">
        <w:t xml:space="preserve"> $3.5 million</w:t>
      </w:r>
      <w:r w:rsidR="00667DC8">
        <w:t xml:space="preserve"> share.  </w:t>
      </w:r>
      <w:r>
        <w:t xml:space="preserve">Instead, it is alleged that </w:t>
      </w:r>
      <w:r w:rsidR="002C7A0D">
        <w:t xml:space="preserve">the day </w:t>
      </w:r>
      <w:r w:rsidR="00212681">
        <w:t>that</w:t>
      </w:r>
      <w:r w:rsidR="002C7A0D">
        <w:t xml:space="preserve"> Yarborough’s funds were wired to the Picture Account, </w:t>
      </w:r>
      <w:r w:rsidR="00FF14AD">
        <w:t>Saxon</w:t>
      </w:r>
      <w:r>
        <w:t xml:space="preserve"> transferred the entire $1.5 million to a different account</w:t>
      </w:r>
      <w:r w:rsidR="00FF14AD">
        <w:t>, not approved by the parties</w:t>
      </w:r>
      <w:r>
        <w:t>.</w:t>
      </w:r>
      <w:r w:rsidR="00B910DF">
        <w:t xml:space="preserve">  </w:t>
      </w:r>
    </w:p>
    <w:p w:rsidR="007F1112" w:rsidRDefault="00B910DF" w:rsidP="00B910DF">
      <w:pPr>
        <w:spacing w:line="480" w:lineRule="auto"/>
        <w:ind w:firstLine="720"/>
      </w:pPr>
      <w:r>
        <w:t>Y</w:t>
      </w:r>
      <w:r w:rsidR="005008C5">
        <w:t>arboroug</w:t>
      </w:r>
      <w:r w:rsidR="00D41404">
        <w:t>h filed a complaint on February </w:t>
      </w:r>
      <w:r w:rsidR="005008C5">
        <w:t>9, 2010</w:t>
      </w:r>
      <w:r w:rsidR="00D70E17">
        <w:t>,</w:t>
      </w:r>
      <w:r w:rsidR="005008C5">
        <w:t xml:space="preserve"> in </w:t>
      </w:r>
      <w:r w:rsidR="009163D2">
        <w:t xml:space="preserve">the </w:t>
      </w:r>
      <w:r w:rsidR="005008C5">
        <w:t>Tennessee</w:t>
      </w:r>
      <w:r w:rsidR="009163D2">
        <w:t xml:space="preserve"> </w:t>
      </w:r>
      <w:r w:rsidR="00953C3C">
        <w:t>Action</w:t>
      </w:r>
      <w:r w:rsidR="005008C5">
        <w:t xml:space="preserve"> for, among other things, Saxon’s fraudulent misuse of the funds. </w:t>
      </w:r>
      <w:r w:rsidR="00D41404">
        <w:t xml:space="preserve"> That lawsuit continued to judgment on </w:t>
      </w:r>
      <w:r w:rsidR="00D41404">
        <w:lastRenderedPageBreak/>
        <w:t>October </w:t>
      </w:r>
      <w:r w:rsidR="00895725">
        <w:t>27, 2010</w:t>
      </w:r>
      <w:r w:rsidR="006B6AC7">
        <w:t xml:space="preserve">.  </w:t>
      </w:r>
      <w:r w:rsidR="00895725">
        <w:t>Saxon was found liable for breach of contract and fraud</w:t>
      </w:r>
      <w:r w:rsidR="00D81C2B">
        <w:t>,</w:t>
      </w:r>
      <w:r w:rsidR="00895725">
        <w:t xml:space="preserve"> and Yarborough was awarded $2</w:t>
      </w:r>
      <w:r w:rsidR="00D81C2B">
        <w:t>.25</w:t>
      </w:r>
      <w:r w:rsidR="00895725">
        <w:t xml:space="preserve"> million in damages.</w:t>
      </w:r>
      <w:r w:rsidR="00FF14AD">
        <w:t xml:space="preserve">  </w:t>
      </w:r>
    </w:p>
    <w:p w:rsidR="007F1112" w:rsidRDefault="007F1112" w:rsidP="00B910DF">
      <w:pPr>
        <w:spacing w:line="480" w:lineRule="auto"/>
        <w:ind w:firstLine="720"/>
      </w:pPr>
      <w:r>
        <w:t>Yarborough</w:t>
      </w:r>
      <w:r w:rsidR="00FF14AD">
        <w:t xml:space="preserve"> sought to collect these damages by filing </w:t>
      </w:r>
      <w:r w:rsidR="009163D2">
        <w:t xml:space="preserve">the California </w:t>
      </w:r>
      <w:r w:rsidR="00953C3C">
        <w:t>Action</w:t>
      </w:r>
      <w:r w:rsidR="009163D2">
        <w:t xml:space="preserve">, </w:t>
      </w:r>
      <w:r w:rsidR="00D70E17">
        <w:t>a sister-s</w:t>
      </w:r>
      <w:r w:rsidR="009809BB">
        <w:t>tate proceeding in California</w:t>
      </w:r>
      <w:r w:rsidR="00D41404">
        <w:t>, on November 9, 2012.  On June </w:t>
      </w:r>
      <w:r w:rsidR="009809BB">
        <w:t xml:space="preserve">28, 2013, he was successful </w:t>
      </w:r>
      <w:r w:rsidR="000A4C76">
        <w:t>in</w:t>
      </w:r>
      <w:r w:rsidR="009809BB">
        <w:t xml:space="preserve"> obtain</w:t>
      </w:r>
      <w:r w:rsidR="000A4C76">
        <w:t>ing</w:t>
      </w:r>
      <w:r w:rsidR="009809BB">
        <w:t xml:space="preserve"> a California judgment against Saxon of over </w:t>
      </w:r>
      <w:r w:rsidR="00D41404">
        <w:t xml:space="preserve">$2 million.  </w:t>
      </w:r>
    </w:p>
    <w:p w:rsidR="00054A14" w:rsidRDefault="00D41404" w:rsidP="001060F4">
      <w:pPr>
        <w:spacing w:line="480" w:lineRule="auto"/>
        <w:ind w:firstLine="720"/>
      </w:pPr>
      <w:r>
        <w:t>On September </w:t>
      </w:r>
      <w:r w:rsidR="00385948">
        <w:t>5, 2013, Saxon</w:t>
      </w:r>
      <w:r w:rsidR="00C71E83">
        <w:t xml:space="preserve"> </w:t>
      </w:r>
      <w:r w:rsidR="00385948">
        <w:t xml:space="preserve">filed </w:t>
      </w:r>
      <w:r>
        <w:t>a C</w:t>
      </w:r>
      <w:r w:rsidR="00385948">
        <w:t xml:space="preserve">hapter 7 </w:t>
      </w:r>
      <w:r w:rsidR="007F1112">
        <w:t xml:space="preserve">bankruptcy </w:t>
      </w:r>
      <w:r w:rsidR="00385948">
        <w:t>petition</w:t>
      </w:r>
      <w:r w:rsidR="003355F7">
        <w:t xml:space="preserve">.  Yarborough filed </w:t>
      </w:r>
      <w:r w:rsidR="009163D2">
        <w:t xml:space="preserve">the Bankruptcy </w:t>
      </w:r>
      <w:r w:rsidR="00953C3C">
        <w:t>Action</w:t>
      </w:r>
      <w:r w:rsidR="009163D2">
        <w:t xml:space="preserve">, </w:t>
      </w:r>
      <w:r w:rsidR="003355F7">
        <w:t>an adversary proceeding</w:t>
      </w:r>
      <w:r w:rsidR="009163D2">
        <w:t xml:space="preserve">, </w:t>
      </w:r>
      <w:r w:rsidR="003355F7">
        <w:t>claiming that the judgment</w:t>
      </w:r>
      <w:r w:rsidR="00DD2171">
        <w:t>s</w:t>
      </w:r>
      <w:r w:rsidR="003355F7">
        <w:t xml:space="preserve"> obtained </w:t>
      </w:r>
      <w:r w:rsidR="00DD2171">
        <w:t>were</w:t>
      </w:r>
      <w:r w:rsidR="003355F7">
        <w:t xml:space="preserve"> not dischargeable by the bankruptcy.  </w:t>
      </w:r>
      <w:r w:rsidR="009163D2">
        <w:t xml:space="preserve">The bankruptcy court determined that </w:t>
      </w:r>
      <w:r w:rsidR="00343BC2">
        <w:t xml:space="preserve">Saxon defalcated the $1.5 million when he fraudulently transferred the funds from the Picture Account without having first deposited his own $3.5 million in that account.  </w:t>
      </w:r>
      <w:r w:rsidR="003355F7">
        <w:t xml:space="preserve">The Bankruptcy </w:t>
      </w:r>
      <w:r w:rsidR="00953C3C">
        <w:t>Action</w:t>
      </w:r>
      <w:r>
        <w:t xml:space="preserve"> terminated on December </w:t>
      </w:r>
      <w:r w:rsidR="003355F7">
        <w:t>5, 2016.</w:t>
      </w:r>
      <w:r w:rsidR="00385948">
        <w:t xml:space="preserve"> </w:t>
      </w:r>
      <w:r w:rsidR="001060F4">
        <w:t xml:space="preserve"> </w:t>
      </w:r>
      <w:r w:rsidR="00FE44CD">
        <w:t>Finally, it is alleged that, a</w:t>
      </w:r>
      <w:r w:rsidR="00343BC2">
        <w:t>s a result of the above, Saxon willfully and</w:t>
      </w:r>
      <w:r w:rsidR="004B3A87">
        <w:t xml:space="preserve"> intentionally misappropriated </w:t>
      </w:r>
      <w:r w:rsidR="00343BC2">
        <w:t>$1.5 million, thereby committing an act involving moral turpitude, dishonesty</w:t>
      </w:r>
      <w:r w:rsidR="004B3A87">
        <w:t>,</w:t>
      </w:r>
      <w:r w:rsidR="00343BC2">
        <w:t xml:space="preserve"> or corruption</w:t>
      </w:r>
      <w:r w:rsidR="004B3A87">
        <w:t>,</w:t>
      </w:r>
      <w:r w:rsidR="00343BC2">
        <w:t xml:space="preserve"> in willful violation of Busines</w:t>
      </w:r>
      <w:r w:rsidR="004B3A87">
        <w:t>s and Professions Code, section </w:t>
      </w:r>
      <w:r w:rsidR="00343BC2">
        <w:t>6106.</w:t>
      </w:r>
      <w:r w:rsidR="00CC745A">
        <w:rPr>
          <w:rStyle w:val="FootnoteReference"/>
        </w:rPr>
        <w:footnoteReference w:id="6"/>
      </w:r>
    </w:p>
    <w:p w:rsidR="005474F1" w:rsidRDefault="007C2176" w:rsidP="00054A14">
      <w:pPr>
        <w:spacing w:line="480" w:lineRule="auto"/>
        <w:jc w:val="center"/>
        <w:rPr>
          <w:b/>
        </w:rPr>
      </w:pPr>
      <w:r>
        <w:rPr>
          <w:b/>
        </w:rPr>
        <w:t xml:space="preserve">III.  </w:t>
      </w:r>
      <w:r w:rsidR="00CA245C">
        <w:rPr>
          <w:b/>
        </w:rPr>
        <w:t>DISCUSSION</w:t>
      </w:r>
    </w:p>
    <w:p w:rsidR="00B910DF" w:rsidRDefault="00054A14" w:rsidP="00B910DF">
      <w:pPr>
        <w:spacing w:line="480" w:lineRule="auto"/>
        <w:rPr>
          <w:b/>
        </w:rPr>
      </w:pPr>
      <w:r>
        <w:rPr>
          <w:b/>
        </w:rPr>
        <w:t>A.</w:t>
      </w:r>
      <w:r>
        <w:rPr>
          <w:b/>
        </w:rPr>
        <w:tab/>
        <w:t>The Rule of Limitations</w:t>
      </w:r>
    </w:p>
    <w:p w:rsidR="00F702E1" w:rsidRDefault="00B910DF" w:rsidP="00B910DF">
      <w:pPr>
        <w:spacing w:line="480" w:lineRule="auto"/>
      </w:pPr>
      <w:r>
        <w:rPr>
          <w:b/>
        </w:rPr>
        <w:tab/>
      </w:r>
      <w:r w:rsidR="00A47373">
        <w:t xml:space="preserve">Rule 5.21(A) states: </w:t>
      </w:r>
      <w:r w:rsidR="007C2176">
        <w:t>“If a disciplinary proceeding is based solely on a complainant’s allegations of a violation of the State Bar Act or Rules of Professional Conduct, the proceeding must begin within five years from the date of the violation.”  The partie</w:t>
      </w:r>
      <w:r w:rsidR="002C3213">
        <w:t xml:space="preserve">s do not dispute that this </w:t>
      </w:r>
      <w:r w:rsidR="007C2176">
        <w:t xml:space="preserve">proceeding was based solely on a complainant’s allegation of a violation.  </w:t>
      </w:r>
      <w:r w:rsidR="00E3356B">
        <w:t>A statute</w:t>
      </w:r>
      <w:r w:rsidR="00F45AA6">
        <w:t xml:space="preserve"> or rule</w:t>
      </w:r>
      <w:r w:rsidR="00E3356B">
        <w:t xml:space="preserve"> is violated “when every element of a violation has occurred.  But if the violation is a continuing offense, the violation occurs when the </w:t>
      </w:r>
      <w:r w:rsidR="004B3A87">
        <w:t>offensive conduct ends.”  (</w:t>
      </w:r>
      <w:r w:rsidR="003569C9">
        <w:t>Rules Proc. of State Bar, r</w:t>
      </w:r>
      <w:r w:rsidR="004B3A87">
        <w:t>ule </w:t>
      </w:r>
      <w:r w:rsidR="00E3356B">
        <w:t>5.21(B).)</w:t>
      </w:r>
    </w:p>
    <w:p w:rsidR="00CC3C94" w:rsidRDefault="00E3356B" w:rsidP="00B910DF">
      <w:pPr>
        <w:spacing w:line="480" w:lineRule="auto"/>
      </w:pPr>
      <w:r>
        <w:lastRenderedPageBreak/>
        <w:tab/>
      </w:r>
      <w:r w:rsidR="002F718F">
        <w:t xml:space="preserve">The rule </w:t>
      </w:r>
      <w:r w:rsidR="00F702E1">
        <w:t xml:space="preserve">of limitations </w:t>
      </w:r>
      <w:r w:rsidR="002F718F">
        <w:t>provides for various situations where the five-year limit is to</w:t>
      </w:r>
      <w:r w:rsidR="004B3A87">
        <w:t xml:space="preserve">lled, including: </w:t>
      </w:r>
      <w:r w:rsidR="002F718F">
        <w:t>“</w:t>
      </w:r>
      <w:r w:rsidR="00A47373">
        <w:t>[W]</w:t>
      </w:r>
      <w:proofErr w:type="spellStart"/>
      <w:r w:rsidR="002F718F">
        <w:t>hile</w:t>
      </w:r>
      <w:proofErr w:type="spellEnd"/>
      <w:r w:rsidR="002F718F">
        <w:t xml:space="preserve"> the attorney represents the complainant, the complainant’s family member</w:t>
      </w:r>
      <w:r w:rsidR="00F45AA6">
        <w:t>,</w:t>
      </w:r>
      <w:r w:rsidR="002F718F">
        <w:t xml:space="preserve"> or the complainant’s business</w:t>
      </w:r>
      <w:r w:rsidR="005E15B6">
        <w:t xml:space="preserve"> or employer” </w:t>
      </w:r>
      <w:r w:rsidR="002C3213">
        <w:t>(</w:t>
      </w:r>
      <w:r w:rsidR="003C3CEC">
        <w:t>Rules Proc. of State Bar, r</w:t>
      </w:r>
      <w:r w:rsidR="004B3A87">
        <w:t>ule </w:t>
      </w:r>
      <w:r w:rsidR="00D70E17">
        <w:t>5.21(C)(1))</w:t>
      </w:r>
      <w:r w:rsidR="00056D84">
        <w:t>,</w:t>
      </w:r>
      <w:r w:rsidR="00D70E17">
        <w:t xml:space="preserve"> </w:t>
      </w:r>
      <w:r w:rsidR="005E15B6">
        <w:t xml:space="preserve">and “while civil, criminal, or administrative investigations or proceedings based on the same acts or circumstances as the violation are pending with any governmental agency, court, or tribunal.”  </w:t>
      </w:r>
      <w:r w:rsidR="00D70E17">
        <w:t>(</w:t>
      </w:r>
      <w:r w:rsidR="003C3CEC">
        <w:t>Rules Proc. of State Bar, r</w:t>
      </w:r>
      <w:r w:rsidR="00D70E17">
        <w:t>ule</w:t>
      </w:r>
      <w:r w:rsidR="004B3A87">
        <w:t> </w:t>
      </w:r>
      <w:r w:rsidR="00D70E17">
        <w:t>5.21(C)(3).)</w:t>
      </w:r>
    </w:p>
    <w:p w:rsidR="00B278E3" w:rsidRDefault="004B3A87" w:rsidP="00CC3C94">
      <w:pPr>
        <w:pStyle w:val="ListParagraph"/>
        <w:ind w:left="0"/>
        <w:rPr>
          <w:b/>
        </w:rPr>
      </w:pPr>
      <w:r>
        <w:rPr>
          <w:b/>
        </w:rPr>
        <w:t>B.</w:t>
      </w:r>
      <w:r>
        <w:rPr>
          <w:b/>
        </w:rPr>
        <w:tab/>
      </w:r>
      <w:r w:rsidR="00054A14">
        <w:rPr>
          <w:b/>
        </w:rPr>
        <w:t xml:space="preserve">The </w:t>
      </w:r>
      <w:r w:rsidR="00054A14" w:rsidRPr="00900F49">
        <w:rPr>
          <w:b/>
        </w:rPr>
        <w:t>Five-Year</w:t>
      </w:r>
      <w:r w:rsidR="00054A14">
        <w:rPr>
          <w:b/>
        </w:rPr>
        <w:t xml:space="preserve"> Period Did Not Commence Until t</w:t>
      </w:r>
      <w:r w:rsidR="00054A14" w:rsidRPr="00900F49">
        <w:rPr>
          <w:b/>
        </w:rPr>
        <w:t xml:space="preserve">he </w:t>
      </w:r>
      <w:r w:rsidR="00054A14">
        <w:rPr>
          <w:b/>
        </w:rPr>
        <w:t>Conclusion o</w:t>
      </w:r>
      <w:r w:rsidR="00054A14" w:rsidRPr="00900F49">
        <w:rPr>
          <w:b/>
        </w:rPr>
        <w:t xml:space="preserve">f Saxon’s </w:t>
      </w:r>
      <w:r w:rsidR="00054A14">
        <w:rPr>
          <w:b/>
        </w:rPr>
        <w:tab/>
      </w:r>
      <w:r w:rsidR="00054A14" w:rsidRPr="00900F49">
        <w:rPr>
          <w:b/>
        </w:rPr>
        <w:t>Fiduciary Obligations</w:t>
      </w:r>
    </w:p>
    <w:p w:rsidR="00CC3C94" w:rsidRDefault="00CC3C94" w:rsidP="00CC3C94">
      <w:pPr>
        <w:pStyle w:val="ListParagraph"/>
        <w:ind w:left="0"/>
        <w:rPr>
          <w:b/>
        </w:rPr>
      </w:pPr>
    </w:p>
    <w:p w:rsidR="00B278E3" w:rsidRPr="00B278E3" w:rsidRDefault="00CC3C94" w:rsidP="00CC3C94">
      <w:pPr>
        <w:spacing w:line="480" w:lineRule="auto"/>
        <w:rPr>
          <w:b/>
        </w:rPr>
      </w:pPr>
      <w:r>
        <w:tab/>
      </w:r>
      <w:r w:rsidR="005500D8">
        <w:t>Under the Financing Agreement</w:t>
      </w:r>
      <w:r w:rsidR="002C3213">
        <w:t>, as</w:t>
      </w:r>
      <w:r w:rsidR="005500D8">
        <w:t xml:space="preserve"> alleged in the ANDC, Saxon agreed to hold Yarborough’s funds in a segregated account and use them </w:t>
      </w:r>
      <w:r w:rsidR="00056D84">
        <w:t xml:space="preserve">only </w:t>
      </w:r>
      <w:r w:rsidR="005500D8">
        <w:t xml:space="preserve">to </w:t>
      </w:r>
      <w:r w:rsidR="000942EC">
        <w:t>“fund production costs.”  The</w:t>
      </w:r>
      <w:r w:rsidR="00056D84">
        <w:t xml:space="preserve"> money was</w:t>
      </w:r>
      <w:r w:rsidR="000942EC">
        <w:t xml:space="preserve"> to be held in trust, and Saxon was required to maintain the funds in the Picture Account until receipt of all of the Combined Financing.</w:t>
      </w:r>
      <w:r w:rsidR="006C143A">
        <w:t xml:space="preserve">  According to the allegations, Saxon did not comply with these terms, but rather removed </w:t>
      </w:r>
      <w:r w:rsidR="00B154C0">
        <w:t xml:space="preserve">the funds </w:t>
      </w:r>
      <w:r w:rsidR="00056D84">
        <w:t>without placing</w:t>
      </w:r>
      <w:r w:rsidR="006C143A">
        <w:t xml:space="preserve"> the</w:t>
      </w:r>
      <w:r w:rsidR="00B154C0">
        <w:t>m</w:t>
      </w:r>
      <w:r w:rsidR="006C143A">
        <w:t xml:space="preserve"> in another account approved by the parties.</w:t>
      </w:r>
    </w:p>
    <w:p w:rsidR="00B278E3" w:rsidRDefault="00B278E3" w:rsidP="008134EE">
      <w:pPr>
        <w:spacing w:line="480" w:lineRule="auto"/>
        <w:ind w:right="-144"/>
      </w:pPr>
      <w:r>
        <w:tab/>
      </w:r>
      <w:r w:rsidR="00BE1FBF">
        <w:t xml:space="preserve">Under </w:t>
      </w:r>
      <w:r w:rsidR="007408AA">
        <w:t>section </w:t>
      </w:r>
      <w:r w:rsidR="00BE1FBF">
        <w:t>6106,</w:t>
      </w:r>
      <w:r w:rsidR="006623CA">
        <w:t xml:space="preserve"> the L</w:t>
      </w:r>
      <w:r w:rsidR="00CC745A">
        <w:t>egislature ma</w:t>
      </w:r>
      <w:r w:rsidR="00E1065D">
        <w:t>d</w:t>
      </w:r>
      <w:r w:rsidR="00CC745A">
        <w:t>e an attorney’s commission of any act involvin</w:t>
      </w:r>
      <w:r w:rsidR="00621E51">
        <w:t xml:space="preserve">g moral turpitude, dishonesty, or corruption a cause for disbarment “whether the act is committed in the course of his relations as an attorney </w:t>
      </w:r>
      <w:r w:rsidR="00621E51">
        <w:rPr>
          <w:i/>
        </w:rPr>
        <w:t>or otherwise.</w:t>
      </w:r>
      <w:r w:rsidR="00CE6DDF">
        <w:t>”</w:t>
      </w:r>
      <w:r w:rsidR="00621E51">
        <w:t xml:space="preserve">  </w:t>
      </w:r>
      <w:r w:rsidR="00315007">
        <w:t xml:space="preserve">(Italics added.)  </w:t>
      </w:r>
      <w:r w:rsidR="00A850A7">
        <w:t>“</w:t>
      </w:r>
      <w:r w:rsidR="00B154C0">
        <w:t>‘An attorney who accepts the responsibility of a fiduciary nature is held to the high standards of the legal profession whether or not he acts in his capacity of an attorney</w:t>
      </w:r>
      <w:r w:rsidR="00073F2E">
        <w:t>.</w:t>
      </w:r>
      <w:r w:rsidR="00B154C0">
        <w:t>’”  (</w:t>
      </w:r>
      <w:r w:rsidR="00B154C0">
        <w:rPr>
          <w:i/>
        </w:rPr>
        <w:t>In the Matter of McCarthy</w:t>
      </w:r>
      <w:r w:rsidR="007408AA">
        <w:t xml:space="preserve">, </w:t>
      </w:r>
      <w:r w:rsidR="007408AA">
        <w:rPr>
          <w:i/>
        </w:rPr>
        <w:t>supra</w:t>
      </w:r>
      <w:r w:rsidR="007408AA">
        <w:t>, 4 </w:t>
      </w:r>
      <w:r w:rsidR="00B154C0">
        <w:t xml:space="preserve">Cal. State Bar Ct. Rptr. </w:t>
      </w:r>
      <w:r w:rsidR="007408AA">
        <w:t>at p. </w:t>
      </w:r>
      <w:r w:rsidR="00B154C0">
        <w:t xml:space="preserve">373, quoting </w:t>
      </w:r>
      <w:r w:rsidR="00BE1FBF">
        <w:rPr>
          <w:i/>
        </w:rPr>
        <w:t>Worth v. State Bar</w:t>
      </w:r>
      <w:r w:rsidR="00E415CF">
        <w:rPr>
          <w:i/>
        </w:rPr>
        <w:t xml:space="preserve"> </w:t>
      </w:r>
      <w:r w:rsidR="00BE1FBF">
        <w:t xml:space="preserve">(1976) </w:t>
      </w:r>
      <w:r w:rsidR="007408AA">
        <w:t>17 </w:t>
      </w:r>
      <w:r w:rsidR="00BE1FBF">
        <w:t>Cal.3d 337, 341.)</w:t>
      </w:r>
      <w:r w:rsidR="00621E51">
        <w:t xml:space="preserve">  </w:t>
      </w:r>
    </w:p>
    <w:p w:rsidR="00B278E3" w:rsidRDefault="00000289" w:rsidP="009441A4">
      <w:pPr>
        <w:spacing w:line="480" w:lineRule="auto"/>
        <w:ind w:firstLine="720"/>
      </w:pPr>
      <w:r>
        <w:t xml:space="preserve">As noted above, </w:t>
      </w:r>
      <w:r w:rsidR="008F6916">
        <w:t>rule </w:t>
      </w:r>
      <w:r w:rsidR="00B05097">
        <w:t>5.21(C)(1) tolls the five-year limit</w:t>
      </w:r>
      <w:r>
        <w:t xml:space="preserve"> “while the attorney </w:t>
      </w:r>
      <w:r w:rsidRPr="00166145">
        <w:rPr>
          <w:i/>
        </w:rPr>
        <w:t>represents</w:t>
      </w:r>
      <w:r>
        <w:t xml:space="preserve"> the complainant, the complainant’s family member, or the complainant’s business or employer.”</w:t>
      </w:r>
      <w:r w:rsidR="00D050F9">
        <w:t xml:space="preserve"> </w:t>
      </w:r>
      <w:r w:rsidR="00B05097">
        <w:t xml:space="preserve"> (</w:t>
      </w:r>
      <w:r w:rsidR="00315007">
        <w:t>Italics</w:t>
      </w:r>
      <w:r w:rsidR="00B05097">
        <w:t xml:space="preserve"> added.)  </w:t>
      </w:r>
      <w:r w:rsidR="00F73A60">
        <w:t xml:space="preserve">Appellate courts have used the word “represents” to describe the limited agency of an escrow relationship, stating that the agent “only </w:t>
      </w:r>
      <w:r w:rsidR="00F73A60" w:rsidRPr="00A571F0">
        <w:rPr>
          <w:i/>
        </w:rPr>
        <w:t xml:space="preserve">represents </w:t>
      </w:r>
      <w:r w:rsidR="00A850A7">
        <w:t>his</w:t>
      </w:r>
      <w:r w:rsidR="00F73A60">
        <w:t xml:space="preserve"> principal insofar as he carries out the escrow instructions.”  (</w:t>
      </w:r>
      <w:r w:rsidR="00F73A60" w:rsidRPr="008C382B">
        <w:rPr>
          <w:i/>
        </w:rPr>
        <w:t>Hannon v. Western Title Ins</w:t>
      </w:r>
      <w:r w:rsidR="00F73A60">
        <w:rPr>
          <w:i/>
        </w:rPr>
        <w:t>urance</w:t>
      </w:r>
      <w:r w:rsidR="00F73A60" w:rsidRPr="008C382B">
        <w:rPr>
          <w:i/>
        </w:rPr>
        <w:t xml:space="preserve"> Co.</w:t>
      </w:r>
      <w:r w:rsidR="00F73A60">
        <w:t xml:space="preserve"> (1989) </w:t>
      </w:r>
      <w:r w:rsidR="00F73A60">
        <w:lastRenderedPageBreak/>
        <w:t>211 Cal.App.3d 1122, 1127</w:t>
      </w:r>
      <w:r w:rsidR="00A850A7">
        <w:t xml:space="preserve"> (italics added)</w:t>
      </w:r>
      <w:r w:rsidR="00F73A60">
        <w:t xml:space="preserve">; </w:t>
      </w:r>
      <w:r w:rsidR="000A6F7F">
        <w:t xml:space="preserve">see </w:t>
      </w:r>
      <w:r w:rsidR="00F73A60" w:rsidRPr="00A571F0">
        <w:rPr>
          <w:i/>
        </w:rPr>
        <w:t>Lee v. Escrow Consultants, Inc</w:t>
      </w:r>
      <w:r w:rsidR="00F73A60" w:rsidRPr="003D00DD">
        <w:t>.</w:t>
      </w:r>
      <w:r w:rsidR="00F73A60">
        <w:t xml:space="preserve"> (1989) 210 Cal.App.3d </w:t>
      </w:r>
      <w:r w:rsidR="00A850A7">
        <w:t xml:space="preserve">915, </w:t>
      </w:r>
      <w:r w:rsidR="00F73A60">
        <w:t>920–</w:t>
      </w:r>
      <w:r w:rsidR="00F73A60" w:rsidRPr="00A92168">
        <w:t xml:space="preserve">921, citing </w:t>
      </w:r>
      <w:r w:rsidR="00F73A60" w:rsidRPr="00A92168">
        <w:rPr>
          <w:i/>
        </w:rPr>
        <w:t>Kirby v. Palos</w:t>
      </w:r>
      <w:r w:rsidR="00F73A60" w:rsidRPr="003D00DD">
        <w:rPr>
          <w:i/>
        </w:rPr>
        <w:t xml:space="preserve"> Verdes Escrow Co</w:t>
      </w:r>
      <w:r w:rsidR="00B05097">
        <w:t>. (1986) 183 Cal.App.3d 57, 64</w:t>
      </w:r>
      <w:r w:rsidR="00143628">
        <w:t>.</w:t>
      </w:r>
      <w:r w:rsidR="00A850A7">
        <w:t>)  Further, rule 5.4(15</w:t>
      </w:r>
      <w:r w:rsidR="00F73A60">
        <w:t xml:space="preserve">) defines </w:t>
      </w:r>
      <w:r w:rsidR="00143628">
        <w:t>“</w:t>
      </w:r>
      <w:r w:rsidR="00F73A60">
        <w:t>complainant</w:t>
      </w:r>
      <w:r w:rsidR="00143628">
        <w:t>”</w:t>
      </w:r>
      <w:r w:rsidR="00F73A60">
        <w:t xml:space="preserve"> as “a person who alleges misconduct by a State Bar </w:t>
      </w:r>
      <w:r w:rsidR="00A850A7">
        <w:t>attorney</w:t>
      </w:r>
      <w:r w:rsidR="00F73A60">
        <w:t xml:space="preserve">” </w:t>
      </w:r>
      <w:r w:rsidR="00FC364B">
        <w:t xml:space="preserve">and </w:t>
      </w:r>
      <w:r w:rsidR="002A01DB">
        <w:t>does not</w:t>
      </w:r>
      <w:r w:rsidR="00F73A60">
        <w:t xml:space="preserve"> requir</w:t>
      </w:r>
      <w:r w:rsidR="002A01DB">
        <w:t>e</w:t>
      </w:r>
      <w:r w:rsidR="00F73A60">
        <w:t xml:space="preserve"> that the complainant be a client or fo</w:t>
      </w:r>
      <w:r w:rsidR="00FC364B">
        <w:t>rmer client.  Thus, neither the Rules of Procedure</w:t>
      </w:r>
      <w:r w:rsidR="00F73A60">
        <w:t xml:space="preserve"> </w:t>
      </w:r>
      <w:r w:rsidR="00FC364B">
        <w:t xml:space="preserve">of the State Bar </w:t>
      </w:r>
      <w:r w:rsidR="00F73A60">
        <w:t xml:space="preserve">nor case law requires us to limit the tolling provision </w:t>
      </w:r>
      <w:r w:rsidR="00A850A7">
        <w:t>in rule 5.21</w:t>
      </w:r>
      <w:r w:rsidR="00FC364B">
        <w:t xml:space="preserve"> </w:t>
      </w:r>
      <w:r w:rsidR="00F73A60">
        <w:t>to attorney-client relationships.  To do so would subvert long-established Supreme Court and legislative authority regarding the regulation of attorneys who commit misconduct while acting as fiduciaries.</w:t>
      </w:r>
    </w:p>
    <w:p w:rsidR="00F702E1" w:rsidRDefault="00B278E3" w:rsidP="00B278E3">
      <w:pPr>
        <w:spacing w:line="480" w:lineRule="auto"/>
      </w:pPr>
      <w:r>
        <w:tab/>
      </w:r>
      <w:r w:rsidR="004F5702">
        <w:t>Based on the facts as alleged, we find</w:t>
      </w:r>
      <w:r w:rsidR="008267B0">
        <w:t xml:space="preserve"> that </w:t>
      </w:r>
      <w:r w:rsidR="00C21EB3">
        <w:t xml:space="preserve">Saxon was acting as </w:t>
      </w:r>
      <w:r w:rsidR="00F73A60">
        <w:t xml:space="preserve">a fiduciary </w:t>
      </w:r>
      <w:r w:rsidR="00143628">
        <w:t>by</w:t>
      </w:r>
      <w:r w:rsidR="00F73A60">
        <w:t xml:space="preserve"> holding funds in escrow</w:t>
      </w:r>
      <w:r w:rsidR="00FE44CD">
        <w:t>,</w:t>
      </w:r>
      <w:r w:rsidR="00F73A60">
        <w:t xml:space="preserve"> </w:t>
      </w:r>
      <w:r w:rsidR="00FA4097">
        <w:t>having been</w:t>
      </w:r>
      <w:r w:rsidR="00C21EB3">
        <w:t xml:space="preserve"> given precise instructions by the </w:t>
      </w:r>
      <w:r w:rsidR="000A6F7F">
        <w:t>Financing A</w:t>
      </w:r>
      <w:r w:rsidR="00C21EB3">
        <w:t xml:space="preserve">greement.  </w:t>
      </w:r>
      <w:r w:rsidR="00841E3C">
        <w:t xml:space="preserve">He remained </w:t>
      </w:r>
      <w:r w:rsidR="00175CD3">
        <w:t xml:space="preserve">in the capacity of a fiduciary with an obligation to hold the escrowed funds “in trust” </w:t>
      </w:r>
      <w:r w:rsidR="00841E3C">
        <w:t xml:space="preserve">until the </w:t>
      </w:r>
      <w:r w:rsidR="00175CD3">
        <w:t xml:space="preserve">Fandango </w:t>
      </w:r>
      <w:r w:rsidR="00C54FC9">
        <w:t xml:space="preserve">production was </w:t>
      </w:r>
      <w:r w:rsidR="002A01DB">
        <w:t>completed</w:t>
      </w:r>
      <w:r w:rsidR="00C54FC9">
        <w:t xml:space="preserve"> and the purpose of the escrow </w:t>
      </w:r>
      <w:r w:rsidR="006911CC">
        <w:t>fulfilled</w:t>
      </w:r>
      <w:r w:rsidR="00C54FC9">
        <w:t>.</w:t>
      </w:r>
      <w:r w:rsidR="00175CD3">
        <w:t xml:space="preserve">  As such, contrary to Saxon’s argument, the </w:t>
      </w:r>
      <w:r w:rsidR="00890EB8">
        <w:t xml:space="preserve">extension of the </w:t>
      </w:r>
      <w:r w:rsidR="009B0F59">
        <w:t>period of</w:t>
      </w:r>
      <w:r w:rsidR="00890EB8">
        <w:t xml:space="preserve"> limitations was not</w:t>
      </w:r>
      <w:r w:rsidR="00037E91">
        <w:t xml:space="preserve"> </w:t>
      </w:r>
      <w:r w:rsidR="00143628">
        <w:t>endless</w:t>
      </w:r>
      <w:r w:rsidR="008F6916">
        <w:t>—</w:t>
      </w:r>
      <w:r w:rsidR="00143628">
        <w:t>i</w:t>
      </w:r>
      <w:r w:rsidR="009B0F59">
        <w:t>t ended when its purpose ended, and its purpose was the production.</w:t>
      </w:r>
      <w:r w:rsidR="006A2B58">
        <w:t xml:space="preserve">  </w:t>
      </w:r>
      <w:r w:rsidR="00B041BE">
        <w:t xml:space="preserve">The ANDC states that the film was released in 2014, which would indicate that Saxon’s escrow responsibilities would be terminated </w:t>
      </w:r>
      <w:r w:rsidR="00A07BB4">
        <w:t>at</w:t>
      </w:r>
      <w:r w:rsidR="00B041BE">
        <w:t xml:space="preserve"> that time.</w:t>
      </w:r>
      <w:r w:rsidR="00B041BE">
        <w:rPr>
          <w:rStyle w:val="FootnoteReference"/>
        </w:rPr>
        <w:footnoteReference w:id="7"/>
      </w:r>
    </w:p>
    <w:p w:rsidR="00E93CE7" w:rsidRDefault="00E93CE7" w:rsidP="00B278E3">
      <w:pPr>
        <w:rPr>
          <w:b/>
        </w:rPr>
      </w:pPr>
    </w:p>
    <w:p w:rsidR="00B278E3" w:rsidRDefault="00CC3C94" w:rsidP="00B278E3">
      <w:pPr>
        <w:rPr>
          <w:b/>
        </w:rPr>
      </w:pPr>
      <w:r>
        <w:rPr>
          <w:b/>
        </w:rPr>
        <w:lastRenderedPageBreak/>
        <w:t>C</w:t>
      </w:r>
      <w:r w:rsidR="006623CA">
        <w:rPr>
          <w:b/>
        </w:rPr>
        <w:t>.</w:t>
      </w:r>
      <w:r w:rsidR="006623CA">
        <w:rPr>
          <w:b/>
        </w:rPr>
        <w:tab/>
        <w:t xml:space="preserve">The Rule of Limitations Was Not Sufficiently Tolled as </w:t>
      </w:r>
      <w:r>
        <w:rPr>
          <w:b/>
        </w:rPr>
        <w:t>a</w:t>
      </w:r>
      <w:r w:rsidR="006623CA">
        <w:rPr>
          <w:b/>
        </w:rPr>
        <w:t xml:space="preserve"> Result of the Pending </w:t>
      </w:r>
      <w:r w:rsidR="006623CA">
        <w:rPr>
          <w:b/>
        </w:rPr>
        <w:tab/>
        <w:t xml:space="preserve">Civil or Administrative Actions </w:t>
      </w:r>
    </w:p>
    <w:p w:rsidR="00B278E3" w:rsidRDefault="00B278E3" w:rsidP="00B278E3">
      <w:pPr>
        <w:rPr>
          <w:b/>
        </w:rPr>
      </w:pPr>
    </w:p>
    <w:p w:rsidR="00900F49" w:rsidRDefault="00B278E3" w:rsidP="006623CA">
      <w:pPr>
        <w:spacing w:line="480" w:lineRule="auto"/>
      </w:pPr>
      <w:r>
        <w:tab/>
      </w:r>
      <w:r w:rsidR="00D44B89">
        <w:t>As noted above, r</w:t>
      </w:r>
      <w:r>
        <w:t>ule </w:t>
      </w:r>
      <w:r w:rsidR="00900F49">
        <w:t>5.21(C)(3) requires that pending civil, criminal, or administrative investigations or proceedings must be “based on the same acts or circumstances as the violation” in order to toll the running of the five-year limit</w:t>
      </w:r>
      <w:r w:rsidR="00C21574">
        <w:t>ations period</w:t>
      </w:r>
      <w:r w:rsidR="00900F49">
        <w:t xml:space="preserve">.  </w:t>
      </w:r>
      <w:r w:rsidR="00E415CF">
        <w:t>The</w:t>
      </w:r>
      <w:r w:rsidR="00900F49">
        <w:t xml:space="preserve"> Tennessee Action</w:t>
      </w:r>
      <w:r w:rsidR="00E415CF">
        <w:t xml:space="preserve"> met this criterion since it</w:t>
      </w:r>
      <w:r w:rsidR="00900F49">
        <w:t xml:space="preserve"> directly found that Yarborough had been defrauded by Sa</w:t>
      </w:r>
      <w:r w:rsidR="00E415CF">
        <w:t>xon and was entitled to damages.  But</w:t>
      </w:r>
      <w:r w:rsidR="00900F49">
        <w:t xml:space="preserve"> the California Action and the Bankruptcy Action were derivative actions to the Tennessee Action</w:t>
      </w:r>
      <w:r w:rsidR="00CC3C94">
        <w:t>—</w:t>
      </w:r>
      <w:r w:rsidR="00900F49">
        <w:t>only filed to collect an outstanding debt</w:t>
      </w:r>
      <w:r w:rsidR="00E415CF">
        <w:t xml:space="preserve"> (the Tennessee judgment)</w:t>
      </w:r>
      <w:r w:rsidR="005C4F41">
        <w:t>.</w:t>
      </w:r>
      <w:r w:rsidR="00900F49">
        <w:t xml:space="preserve">  As such, they were not based on the same acts or circumstances as the violation.  While it is true that the </w:t>
      </w:r>
      <w:r w:rsidR="00182BEC">
        <w:t xml:space="preserve">court in the </w:t>
      </w:r>
      <w:r w:rsidR="00900F49">
        <w:t>Bankruptcy Action found that “Saxon defalcated the $1.5 million when he fraudulently transferred the funds,” it did so only to determine if the debt was dischargeable in bankruptcy.</w:t>
      </w:r>
      <w:r w:rsidR="00D44B89">
        <w:t xml:space="preserve">  Therefore, we agree </w:t>
      </w:r>
      <w:r w:rsidR="0079487D">
        <w:t xml:space="preserve">with </w:t>
      </w:r>
      <w:r w:rsidR="00D44B89">
        <w:t>the hearing judge’s finding</w:t>
      </w:r>
      <w:r w:rsidR="0079487D">
        <w:t xml:space="preserve"> that the rule of limitations was on</w:t>
      </w:r>
      <w:r w:rsidR="00AB4B18">
        <w:t>ly tolled during the Tennessee Ac</w:t>
      </w:r>
      <w:r w:rsidR="0079487D">
        <w:t xml:space="preserve">tion and that period of time was insufficient to </w:t>
      </w:r>
      <w:r w:rsidR="007505F9">
        <w:t xml:space="preserve">avoid the bar of the rule.  </w:t>
      </w:r>
    </w:p>
    <w:p w:rsidR="00010156" w:rsidRDefault="00DE182F" w:rsidP="00B278E3">
      <w:pPr>
        <w:spacing w:line="480" w:lineRule="auto"/>
        <w:rPr>
          <w:b/>
        </w:rPr>
      </w:pPr>
      <w:r>
        <w:rPr>
          <w:b/>
        </w:rPr>
        <w:t>D</w:t>
      </w:r>
      <w:r w:rsidR="00010156">
        <w:rPr>
          <w:b/>
        </w:rPr>
        <w:t>.</w:t>
      </w:r>
      <w:r w:rsidR="00010156">
        <w:rPr>
          <w:b/>
        </w:rPr>
        <w:tab/>
      </w:r>
      <w:r w:rsidR="00CC3C94">
        <w:rPr>
          <w:b/>
        </w:rPr>
        <w:t>Saxon’s Arguments in his Supplemental Brief Lack Merit</w:t>
      </w:r>
    </w:p>
    <w:p w:rsidR="0069330E" w:rsidRDefault="00AB4B18" w:rsidP="00D44B89">
      <w:pPr>
        <w:spacing w:line="480" w:lineRule="auto"/>
        <w:ind w:firstLine="720"/>
      </w:pPr>
      <w:r>
        <w:t xml:space="preserve">Though Saxon did not seek review, he raised several arguments </w:t>
      </w:r>
      <w:r w:rsidR="005C4F41">
        <w:t>i</w:t>
      </w:r>
      <w:r w:rsidR="00010156">
        <w:t xml:space="preserve">n his </w:t>
      </w:r>
      <w:r w:rsidR="0069330E">
        <w:t>Su</w:t>
      </w:r>
      <w:r w:rsidR="00C35326">
        <w:t>pplemental Brief filed on April </w:t>
      </w:r>
      <w:r w:rsidR="0069330E">
        <w:t>17, 2020</w:t>
      </w:r>
      <w:r>
        <w:t>.  We find that none has merit</w:t>
      </w:r>
      <w:r w:rsidR="00B72A0C">
        <w:t xml:space="preserve">.  We </w:t>
      </w:r>
      <w:r w:rsidR="00DE7B84">
        <w:t>summarize</w:t>
      </w:r>
      <w:r w:rsidR="00B72A0C">
        <w:t xml:space="preserve"> </w:t>
      </w:r>
      <w:r w:rsidR="009441A4">
        <w:t>his</w:t>
      </w:r>
      <w:r w:rsidR="00B72A0C">
        <w:t xml:space="preserve"> arguments </w:t>
      </w:r>
      <w:r w:rsidR="00DE7B84">
        <w:t>below</w:t>
      </w:r>
      <w:r w:rsidR="0069330E">
        <w:t>.</w:t>
      </w:r>
      <w:r w:rsidR="0069330E">
        <w:rPr>
          <w:rStyle w:val="FootnoteReference"/>
        </w:rPr>
        <w:footnoteReference w:id="8"/>
      </w:r>
      <w:r w:rsidR="0069330E">
        <w:t xml:space="preserve">  </w:t>
      </w:r>
    </w:p>
    <w:p w:rsidR="0069330E" w:rsidRPr="00AD2C00" w:rsidRDefault="00FC3EF0" w:rsidP="007D0D35">
      <w:pPr>
        <w:pStyle w:val="ListParagraph"/>
        <w:ind w:left="1080" w:right="-144"/>
        <w:rPr>
          <w:b/>
          <w:i/>
        </w:rPr>
      </w:pPr>
      <w:r>
        <w:rPr>
          <w:b/>
        </w:rPr>
        <w:t xml:space="preserve">1.  </w:t>
      </w:r>
      <w:r w:rsidR="00F04B49">
        <w:rPr>
          <w:b/>
          <w:i/>
        </w:rPr>
        <w:t>Rule 5.21(C</w:t>
      </w:r>
      <w:r w:rsidR="0069330E" w:rsidRPr="00AD2C00">
        <w:rPr>
          <w:b/>
          <w:i/>
        </w:rPr>
        <w:t xml:space="preserve">)(1) tolling does not apply and </w:t>
      </w:r>
      <w:r w:rsidR="0066364A">
        <w:rPr>
          <w:b/>
          <w:i/>
        </w:rPr>
        <w:t>this</w:t>
      </w:r>
      <w:r w:rsidR="00AD2C00" w:rsidRPr="00AD2C00">
        <w:rPr>
          <w:b/>
          <w:i/>
        </w:rPr>
        <w:t xml:space="preserve"> issue </w:t>
      </w:r>
      <w:r w:rsidR="0069330E" w:rsidRPr="00AD2C00">
        <w:rPr>
          <w:b/>
          <w:i/>
        </w:rPr>
        <w:t xml:space="preserve">was not raised by the </w:t>
      </w:r>
      <w:r w:rsidR="009441A4" w:rsidRPr="00AD2C00">
        <w:rPr>
          <w:b/>
          <w:i/>
        </w:rPr>
        <w:t>p</w:t>
      </w:r>
      <w:r w:rsidR="0069330E" w:rsidRPr="00AD2C00">
        <w:rPr>
          <w:b/>
          <w:i/>
        </w:rPr>
        <w:t>arties</w:t>
      </w:r>
    </w:p>
    <w:p w:rsidR="00D272A5" w:rsidRPr="00AD2C00" w:rsidRDefault="00D272A5" w:rsidP="00D272A5">
      <w:pPr>
        <w:pStyle w:val="ListParagraph"/>
        <w:ind w:left="1080"/>
        <w:rPr>
          <w:b/>
          <w:i/>
        </w:rPr>
      </w:pPr>
    </w:p>
    <w:p w:rsidR="0069330E" w:rsidRDefault="0069330E" w:rsidP="00D44B89">
      <w:pPr>
        <w:spacing w:line="480" w:lineRule="auto"/>
        <w:ind w:firstLine="720"/>
      </w:pPr>
      <w:r>
        <w:t xml:space="preserve">As discussed above, a complainant need not be a client, and an attorney can commit acts of moral turpitude </w:t>
      </w:r>
      <w:r w:rsidR="00496CDF">
        <w:t xml:space="preserve">under section 6106 </w:t>
      </w:r>
      <w:r>
        <w:t>whether the misconduct occurred in the course o</w:t>
      </w:r>
      <w:r w:rsidR="00C35326">
        <w:t xml:space="preserve">f his relations as an attorney </w:t>
      </w:r>
      <w:r w:rsidR="00C35326" w:rsidRPr="005C4F41">
        <w:t>“</w:t>
      </w:r>
      <w:r>
        <w:rPr>
          <w:i/>
        </w:rPr>
        <w:t>or otherwise</w:t>
      </w:r>
      <w:r>
        <w:t>.</w:t>
      </w:r>
      <w:r w:rsidR="007C3931">
        <w:t>”</w:t>
      </w:r>
      <w:r>
        <w:t xml:space="preserve">  Further, if an attorney accepts a relationship of trust</w:t>
      </w:r>
      <w:r w:rsidR="007C3931">
        <w:t>,</w:t>
      </w:r>
      <w:r>
        <w:t xml:space="preserve"> he or she is held to the </w:t>
      </w:r>
      <w:r w:rsidR="00890EB8">
        <w:t>high standards of a fiduciary</w:t>
      </w:r>
      <w:r>
        <w:t xml:space="preserve">.  Common usage of the term </w:t>
      </w:r>
      <w:r>
        <w:rPr>
          <w:i/>
        </w:rPr>
        <w:t>represents</w:t>
      </w:r>
      <w:r>
        <w:t xml:space="preserve"> </w:t>
      </w:r>
      <w:r w:rsidR="00E415CF">
        <w:lastRenderedPageBreak/>
        <w:t xml:space="preserve">additionally </w:t>
      </w:r>
      <w:r>
        <w:t xml:space="preserve">contemplates </w:t>
      </w:r>
      <w:r w:rsidR="007C3931">
        <w:t xml:space="preserve">relationships </w:t>
      </w:r>
      <w:r>
        <w:t>other than those of attorney and client, including receiving funds as an escrow holder.</w:t>
      </w:r>
    </w:p>
    <w:p w:rsidR="0069330E" w:rsidRDefault="007C3931" w:rsidP="00D44B89">
      <w:pPr>
        <w:spacing w:line="480" w:lineRule="auto"/>
        <w:ind w:firstLine="720"/>
      </w:pPr>
      <w:r>
        <w:t>T</w:t>
      </w:r>
      <w:r w:rsidR="0069330E">
        <w:t>he claim that the arguments</w:t>
      </w:r>
      <w:r w:rsidR="00787168">
        <w:t xml:space="preserve"> regarding r</w:t>
      </w:r>
      <w:r w:rsidR="00411230">
        <w:t>ule 5.21(C</w:t>
      </w:r>
      <w:r w:rsidR="00F8403A">
        <w:t>)(1)</w:t>
      </w:r>
      <w:r w:rsidR="0069330E">
        <w:t xml:space="preserve"> were not raised by the parties is both factually and legally incorrect.  OCTC did raise </w:t>
      </w:r>
      <w:r w:rsidR="00E71E32">
        <w:t>Saxon's fiduciary relationship i</w:t>
      </w:r>
      <w:r w:rsidR="0069330E">
        <w:t>n</w:t>
      </w:r>
      <w:r w:rsidR="00435B61">
        <w:t xml:space="preserve"> its pretrial statement in </w:t>
      </w:r>
      <w:r w:rsidR="0069330E">
        <w:t xml:space="preserve">the </w:t>
      </w:r>
      <w:r w:rsidR="00435B61">
        <w:t>H</w:t>
      </w:r>
      <w:r w:rsidR="0069330E">
        <w:t xml:space="preserve">earing </w:t>
      </w:r>
      <w:r w:rsidR="00435B61">
        <w:t>D</w:t>
      </w:r>
      <w:r w:rsidR="0069330E">
        <w:t xml:space="preserve">epartment (citing </w:t>
      </w:r>
      <w:r w:rsidR="0069330E">
        <w:rPr>
          <w:i/>
        </w:rPr>
        <w:t>In the Matter of McCarthy</w:t>
      </w:r>
      <w:r w:rsidR="00393111">
        <w:t>,</w:t>
      </w:r>
      <w:r w:rsidR="0069330E" w:rsidRPr="00393111">
        <w:t xml:space="preserve"> </w:t>
      </w:r>
      <w:r w:rsidR="0069330E" w:rsidRPr="00126D23">
        <w:rPr>
          <w:i/>
        </w:rPr>
        <w:t>supra</w:t>
      </w:r>
      <w:r w:rsidR="0069330E" w:rsidRPr="00126D23">
        <w:t>,</w:t>
      </w:r>
      <w:r w:rsidR="00126D23" w:rsidRPr="00126D23">
        <w:t xml:space="preserve"> </w:t>
      </w:r>
      <w:r w:rsidR="00393111">
        <w:t>4 </w:t>
      </w:r>
      <w:r w:rsidR="0069330E">
        <w:t>Cal. State Bar Ct. Rptr.</w:t>
      </w:r>
      <w:r w:rsidR="00393111">
        <w:t xml:space="preserve"> </w:t>
      </w:r>
      <w:r w:rsidR="0069330E">
        <w:t xml:space="preserve">364) and in both its opening and rebuttal briefs on review.  </w:t>
      </w:r>
      <w:r w:rsidR="00EC06ED">
        <w:t>R</w:t>
      </w:r>
      <w:r w:rsidR="0069330E">
        <w:t xml:space="preserve">egardless of whether the issue was fully developed at the </w:t>
      </w:r>
      <w:r w:rsidR="00435B61">
        <w:t>H</w:t>
      </w:r>
      <w:r w:rsidR="0069330E">
        <w:t xml:space="preserve">earing </w:t>
      </w:r>
      <w:r w:rsidR="002D5A51">
        <w:t>D</w:t>
      </w:r>
      <w:r w:rsidR="0069330E">
        <w:t>epartment, the Re</w:t>
      </w:r>
      <w:r w:rsidR="00393111">
        <w:t>view Department is required to “</w:t>
      </w:r>
      <w:r w:rsidR="0069330E">
        <w:t>independently review the record and may make any findings, conclusions, or a decision or recommendation different from thos</w:t>
      </w:r>
      <w:r w:rsidR="00393111">
        <w:t>e of the hearing judge.”  (</w:t>
      </w:r>
      <w:r w:rsidR="00787168">
        <w:t>Rules Proc. of State Bar, r</w:t>
      </w:r>
      <w:r w:rsidR="00393111">
        <w:t>ule </w:t>
      </w:r>
      <w:r w:rsidR="0069330E">
        <w:t xml:space="preserve">5.155(A).)  Further, the Review Department may take action on an issue not raised in the request for review, provided the parties have an opportunity to brief that matter, which </w:t>
      </w:r>
      <w:r w:rsidR="002D5A51">
        <w:t>they did</w:t>
      </w:r>
      <w:r w:rsidR="0069330E">
        <w:t xml:space="preserve"> in </w:t>
      </w:r>
      <w:r w:rsidR="00BF7240">
        <w:t>their post-oral argument briefs</w:t>
      </w:r>
      <w:r w:rsidR="0069330E">
        <w:t>.  (</w:t>
      </w:r>
      <w:r w:rsidR="00787168">
        <w:t>Rules Proc. of State Bar, r</w:t>
      </w:r>
      <w:r w:rsidR="0069330E">
        <w:t>ule</w:t>
      </w:r>
      <w:r w:rsidR="00393111">
        <w:t> </w:t>
      </w:r>
      <w:r w:rsidR="007A162D">
        <w:t>5.</w:t>
      </w:r>
      <w:r w:rsidR="0069330E">
        <w:t>155(C).)</w:t>
      </w:r>
    </w:p>
    <w:p w:rsidR="00D272A5" w:rsidRDefault="00FC3EF0" w:rsidP="00D272A5">
      <w:pPr>
        <w:pStyle w:val="ListParagraph"/>
        <w:ind w:left="1080"/>
        <w:rPr>
          <w:b/>
        </w:rPr>
      </w:pPr>
      <w:r>
        <w:rPr>
          <w:b/>
        </w:rPr>
        <w:t xml:space="preserve">2.  </w:t>
      </w:r>
      <w:r w:rsidR="00094EE1" w:rsidRPr="00A6268E">
        <w:rPr>
          <w:b/>
          <w:i/>
        </w:rPr>
        <w:t>N</w:t>
      </w:r>
      <w:r w:rsidR="007D0D35" w:rsidRPr="00A6268E">
        <w:rPr>
          <w:b/>
          <w:i/>
        </w:rPr>
        <w:t>o</w:t>
      </w:r>
      <w:r w:rsidR="0069330E" w:rsidRPr="00A6268E">
        <w:rPr>
          <w:b/>
          <w:i/>
        </w:rPr>
        <w:t xml:space="preserve"> fiduciary relationship </w:t>
      </w:r>
      <w:r w:rsidR="00094EE1" w:rsidRPr="00A6268E">
        <w:rPr>
          <w:b/>
          <w:i/>
        </w:rPr>
        <w:t xml:space="preserve">exists </w:t>
      </w:r>
      <w:r w:rsidR="0069330E" w:rsidRPr="00A6268E">
        <w:rPr>
          <w:b/>
          <w:i/>
        </w:rPr>
        <w:t>between lender and borrower</w:t>
      </w:r>
      <w:r w:rsidR="00D272A5" w:rsidRPr="00D272A5">
        <w:rPr>
          <w:b/>
        </w:rPr>
        <w:t xml:space="preserve"> and </w:t>
      </w:r>
      <w:r w:rsidR="00D272A5" w:rsidRPr="00A6268E">
        <w:rPr>
          <w:b/>
          <w:i/>
        </w:rPr>
        <w:t>Saxon was</w:t>
      </w:r>
      <w:r w:rsidR="007D0D35" w:rsidRPr="00A6268E">
        <w:rPr>
          <w:b/>
          <w:i/>
        </w:rPr>
        <w:t xml:space="preserve"> </w:t>
      </w:r>
      <w:r w:rsidR="00D272A5" w:rsidRPr="00A6268E">
        <w:rPr>
          <w:b/>
          <w:i/>
        </w:rPr>
        <w:t>not a party to the Financing Agreement</w:t>
      </w:r>
    </w:p>
    <w:p w:rsidR="00AD2C00" w:rsidRPr="00D272A5" w:rsidRDefault="00AD2C00" w:rsidP="00D272A5">
      <w:pPr>
        <w:pStyle w:val="ListParagraph"/>
        <w:ind w:left="1080"/>
        <w:rPr>
          <w:b/>
        </w:rPr>
      </w:pPr>
    </w:p>
    <w:p w:rsidR="008C07A6" w:rsidRDefault="00364BE3" w:rsidP="00E51E94">
      <w:pPr>
        <w:spacing w:line="480" w:lineRule="auto"/>
        <w:ind w:firstLine="720"/>
      </w:pPr>
      <w:r>
        <w:t>Saxon argues that no fiduc</w:t>
      </w:r>
      <w:r w:rsidR="00EC06ED">
        <w:t xml:space="preserve">iary relationship exists between a lender and </w:t>
      </w:r>
      <w:r w:rsidR="00BF7240">
        <w:t>a borrower.  B</w:t>
      </w:r>
      <w:r>
        <w:t>ut t</w:t>
      </w:r>
      <w:r w:rsidR="0069330E">
        <w:t>he ANDC does not allege a relationship</w:t>
      </w:r>
      <w:r w:rsidR="00795C5F">
        <w:t xml:space="preserve"> of lender and borrower</w:t>
      </w:r>
      <w:r>
        <w:t>.</w:t>
      </w:r>
      <w:r w:rsidR="0069330E">
        <w:t xml:space="preserve">  </w:t>
      </w:r>
      <w:r w:rsidR="001F77ED">
        <w:t xml:space="preserve">In fact, the ANDC refers to the payments contemplated by Saxon and Yarborough as “equity investments.”  </w:t>
      </w:r>
      <w:r w:rsidR="0069330E">
        <w:t xml:space="preserve">Discussing a relationship </w:t>
      </w:r>
      <w:r w:rsidR="001F77ED">
        <w:t xml:space="preserve">of lender and borrower </w:t>
      </w:r>
      <w:r w:rsidR="0069330E">
        <w:t xml:space="preserve">goes beyond the </w:t>
      </w:r>
      <w:r w:rsidR="00BF7240">
        <w:t xml:space="preserve">factual </w:t>
      </w:r>
      <w:r w:rsidR="0069330E">
        <w:t>allegations in the ANDC, something we are not permitted to do in this procedural setting.</w:t>
      </w:r>
      <w:r w:rsidR="00EF366C">
        <w:t xml:space="preserve">  The same reasoning applies to Saxon’s argument that </w:t>
      </w:r>
      <w:r w:rsidR="002D5A51">
        <w:t>he</w:t>
      </w:r>
      <w:r w:rsidR="00EF366C">
        <w:t xml:space="preserve"> was not a party to the Financing Agreement.  This fact was not alleged in the ANDC.  </w:t>
      </w:r>
    </w:p>
    <w:p w:rsidR="0069330E" w:rsidRDefault="0069330E" w:rsidP="00F83698">
      <w:pPr>
        <w:ind w:left="1080"/>
        <w:rPr>
          <w:b/>
          <w:i/>
        </w:rPr>
      </w:pPr>
      <w:r w:rsidRPr="00130083">
        <w:rPr>
          <w:b/>
        </w:rPr>
        <w:t xml:space="preserve">3.  </w:t>
      </w:r>
      <w:r w:rsidR="00A6268E" w:rsidRPr="00130083">
        <w:rPr>
          <w:b/>
          <w:i/>
        </w:rPr>
        <w:t>T</w:t>
      </w:r>
      <w:r w:rsidR="00E51E94" w:rsidRPr="00130083">
        <w:rPr>
          <w:b/>
          <w:i/>
        </w:rPr>
        <w:t xml:space="preserve">he fiduciary relationship </w:t>
      </w:r>
      <w:r w:rsidR="0051453C" w:rsidRPr="00130083">
        <w:rPr>
          <w:b/>
          <w:i/>
        </w:rPr>
        <w:t xml:space="preserve">between Saxon and Yarborough </w:t>
      </w:r>
      <w:r w:rsidR="00E51E94" w:rsidRPr="00130083">
        <w:rPr>
          <w:b/>
          <w:i/>
        </w:rPr>
        <w:t>terminated upon misappropriation of the funds</w:t>
      </w:r>
    </w:p>
    <w:p w:rsidR="00F83698" w:rsidRPr="008C07A6" w:rsidRDefault="00F83698" w:rsidP="00F83698">
      <w:pPr>
        <w:ind w:firstLine="1080"/>
      </w:pPr>
    </w:p>
    <w:p w:rsidR="00BE62A0" w:rsidRDefault="00126D23" w:rsidP="00126D23">
      <w:pPr>
        <w:autoSpaceDE w:val="0"/>
        <w:autoSpaceDN w:val="0"/>
        <w:adjustRightInd w:val="0"/>
        <w:spacing w:line="480" w:lineRule="auto"/>
        <w:rPr>
          <w:szCs w:val="24"/>
        </w:rPr>
      </w:pPr>
      <w:r>
        <w:tab/>
      </w:r>
      <w:r w:rsidR="00795C5F">
        <w:t xml:space="preserve">The ANDC alleges that Saxon was required to hold Yarborough’s funds in trust.  </w:t>
      </w:r>
      <w:r w:rsidR="00E51E94">
        <w:t>OCTC correctly points out that t</w:t>
      </w:r>
      <w:r w:rsidR="006E7BB0">
        <w:t>h</w:t>
      </w:r>
      <w:r w:rsidR="00795C5F">
        <w:t>is</w:t>
      </w:r>
      <w:r w:rsidR="006E7BB0">
        <w:t xml:space="preserve"> fiduciary relationship would </w:t>
      </w:r>
      <w:r w:rsidR="00E51E94">
        <w:t xml:space="preserve">terminate, but only upon the </w:t>
      </w:r>
      <w:r w:rsidR="00E51E94">
        <w:lastRenderedPageBreak/>
        <w:t xml:space="preserve">completion of its purpose.  As such, </w:t>
      </w:r>
      <w:r w:rsidR="00E51E94">
        <w:rPr>
          <w:szCs w:val="24"/>
        </w:rPr>
        <w:t>the misappropriation of the $1</w:t>
      </w:r>
      <w:r w:rsidR="005C4F41">
        <w:rPr>
          <w:szCs w:val="24"/>
        </w:rPr>
        <w:t>.5 million</w:t>
      </w:r>
      <w:r w:rsidR="00E51E94">
        <w:rPr>
          <w:szCs w:val="24"/>
        </w:rPr>
        <w:t xml:space="preserve"> was an ongoing violation through the completion and </w:t>
      </w:r>
      <w:r w:rsidR="00100C5C">
        <w:rPr>
          <w:szCs w:val="24"/>
        </w:rPr>
        <w:t>production</w:t>
      </w:r>
      <w:r w:rsidR="00E51E94">
        <w:rPr>
          <w:szCs w:val="24"/>
        </w:rPr>
        <w:t xml:space="preserve"> of the movie in 2014, the </w:t>
      </w:r>
      <w:r w:rsidR="003236DD">
        <w:rPr>
          <w:szCs w:val="24"/>
        </w:rPr>
        <w:t>objective</w:t>
      </w:r>
      <w:r w:rsidR="00E51E94">
        <w:rPr>
          <w:szCs w:val="24"/>
        </w:rPr>
        <w:t xml:space="preserve"> of the agreement between Yarb</w:t>
      </w:r>
      <w:r w:rsidR="00FA5416">
        <w:rPr>
          <w:szCs w:val="24"/>
        </w:rPr>
        <w:t>o</w:t>
      </w:r>
      <w:r w:rsidR="00E51E94">
        <w:rPr>
          <w:szCs w:val="24"/>
        </w:rPr>
        <w:t xml:space="preserve">rough and </w:t>
      </w:r>
      <w:r w:rsidR="00BE62A0">
        <w:rPr>
          <w:szCs w:val="24"/>
        </w:rPr>
        <w:t>Saxon</w:t>
      </w:r>
      <w:r w:rsidR="00E51E94">
        <w:rPr>
          <w:szCs w:val="24"/>
        </w:rPr>
        <w:t>.</w:t>
      </w:r>
      <w:r w:rsidR="003236DD">
        <w:rPr>
          <w:szCs w:val="24"/>
        </w:rPr>
        <w:t xml:space="preserve"> </w:t>
      </w:r>
      <w:r w:rsidR="00E51E94">
        <w:rPr>
          <w:szCs w:val="24"/>
        </w:rPr>
        <w:t xml:space="preserve"> (See</w:t>
      </w:r>
      <w:r w:rsidR="003236DD">
        <w:rPr>
          <w:szCs w:val="24"/>
        </w:rPr>
        <w:t>,</w:t>
      </w:r>
      <w:r w:rsidR="00E51E94">
        <w:rPr>
          <w:szCs w:val="24"/>
        </w:rPr>
        <w:t xml:space="preserve"> e.g.</w:t>
      </w:r>
      <w:r w:rsidR="003236DD">
        <w:rPr>
          <w:szCs w:val="24"/>
        </w:rPr>
        <w:t>,</w:t>
      </w:r>
      <w:r w:rsidR="00E51E94">
        <w:rPr>
          <w:szCs w:val="24"/>
        </w:rPr>
        <w:t xml:space="preserve"> </w:t>
      </w:r>
      <w:r w:rsidR="00E51E94">
        <w:rPr>
          <w:i/>
          <w:iCs/>
          <w:szCs w:val="24"/>
        </w:rPr>
        <w:t xml:space="preserve">In the Matter of Dyson </w:t>
      </w:r>
      <w:r w:rsidR="00B314EA">
        <w:rPr>
          <w:szCs w:val="24"/>
        </w:rPr>
        <w:t>(Review Dept. 1990) 1 </w:t>
      </w:r>
      <w:r w:rsidR="00E51E94">
        <w:rPr>
          <w:szCs w:val="24"/>
        </w:rPr>
        <w:t xml:space="preserve">Cal. State Bar Ct. Rptr. 280, 286 [attorney had ongoing fiduciary duty to client to hold in trust settlement funds subject to </w:t>
      </w:r>
      <w:r w:rsidR="003236DD">
        <w:rPr>
          <w:szCs w:val="24"/>
        </w:rPr>
        <w:t>medical</w:t>
      </w:r>
      <w:r w:rsidR="00E51E94">
        <w:rPr>
          <w:szCs w:val="24"/>
        </w:rPr>
        <w:t xml:space="preserve"> lien</w:t>
      </w:r>
      <w:r w:rsidR="003236DD">
        <w:rPr>
          <w:szCs w:val="24"/>
        </w:rPr>
        <w:t>s</w:t>
      </w:r>
      <w:r w:rsidR="00E51E94">
        <w:rPr>
          <w:szCs w:val="24"/>
        </w:rPr>
        <w:t>; attorney’s duty to clients lasted until debt paid].)</w:t>
      </w:r>
      <w:r w:rsidR="000C2015">
        <w:rPr>
          <w:szCs w:val="24"/>
        </w:rPr>
        <w:t xml:space="preserve">   </w:t>
      </w:r>
    </w:p>
    <w:p w:rsidR="00667EE5" w:rsidRPr="000B62CD" w:rsidRDefault="00667EE5" w:rsidP="00E51E94">
      <w:pPr>
        <w:autoSpaceDE w:val="0"/>
        <w:autoSpaceDN w:val="0"/>
        <w:adjustRightInd w:val="0"/>
        <w:spacing w:line="480" w:lineRule="auto"/>
        <w:rPr>
          <w:szCs w:val="24"/>
        </w:rPr>
      </w:pPr>
      <w:r>
        <w:rPr>
          <w:szCs w:val="24"/>
        </w:rPr>
        <w:tab/>
        <w:t xml:space="preserve">Saxon refers to </w:t>
      </w:r>
      <w:r>
        <w:rPr>
          <w:i/>
        </w:rPr>
        <w:t>In the Matter of McCarthy</w:t>
      </w:r>
      <w:r w:rsidR="00B314EA">
        <w:t>,</w:t>
      </w:r>
      <w:r>
        <w:t xml:space="preserve"> </w:t>
      </w:r>
      <w:r w:rsidRPr="00B910DF">
        <w:rPr>
          <w:i/>
        </w:rPr>
        <w:t>supra</w:t>
      </w:r>
      <w:r w:rsidR="00B314EA">
        <w:t xml:space="preserve">, </w:t>
      </w:r>
      <w:r w:rsidR="005420BE">
        <w:t>4</w:t>
      </w:r>
      <w:r w:rsidR="00B314EA">
        <w:t> </w:t>
      </w:r>
      <w:r w:rsidR="005420BE">
        <w:t>Cal. State Bar Ct. Rptr.</w:t>
      </w:r>
      <w:r w:rsidR="00B314EA">
        <w:t xml:space="preserve"> at p</w:t>
      </w:r>
      <w:r w:rsidR="00AD6623">
        <w:t>p</w:t>
      </w:r>
      <w:r w:rsidR="00B314EA">
        <w:t>. </w:t>
      </w:r>
      <w:r w:rsidR="00777A09">
        <w:t>377-</w:t>
      </w:r>
      <w:r w:rsidR="005420BE">
        <w:t xml:space="preserve">378, </w:t>
      </w:r>
      <w:r>
        <w:t xml:space="preserve">for the proposition that the rule of limitations started to run </w:t>
      </w:r>
      <w:r w:rsidR="000A4C05">
        <w:t>when every element of the alleged violation occurred.</w:t>
      </w:r>
      <w:r>
        <w:t xml:space="preserve">  </w:t>
      </w:r>
      <w:r w:rsidR="003236DD">
        <w:t>He</w:t>
      </w:r>
      <w:r w:rsidR="00856798">
        <w:t xml:space="preserve"> failed to note the language of the opinion immediately </w:t>
      </w:r>
      <w:r w:rsidR="005420BE">
        <w:t>surrounding</w:t>
      </w:r>
      <w:r w:rsidR="00856798">
        <w:t xml:space="preserve"> </w:t>
      </w:r>
      <w:r w:rsidR="005420BE">
        <w:t>his</w:t>
      </w:r>
      <w:r w:rsidR="00856798">
        <w:t xml:space="preserve"> reference</w:t>
      </w:r>
      <w:r w:rsidR="005420BE">
        <w:t xml:space="preserve">.  </w:t>
      </w:r>
      <w:r>
        <w:t xml:space="preserve">While </w:t>
      </w:r>
      <w:r w:rsidR="005420BE">
        <w:t>the general rule is usually</w:t>
      </w:r>
      <w:r>
        <w:t xml:space="preserve"> applied, </w:t>
      </w:r>
      <w:r w:rsidR="00E71E32">
        <w:t>the court noted</w:t>
      </w:r>
      <w:r w:rsidR="00856798">
        <w:t xml:space="preserve"> that </w:t>
      </w:r>
      <w:r w:rsidR="000A4C05">
        <w:t>it</w:t>
      </w:r>
      <w:r w:rsidR="00856798">
        <w:t xml:space="preserve"> does not </w:t>
      </w:r>
      <w:r w:rsidR="00B314EA">
        <w:t>apply where the violation is a “</w:t>
      </w:r>
      <w:r w:rsidR="00856798">
        <w:t>continuing offense</w:t>
      </w:r>
      <w:r w:rsidR="005420BE" w:rsidRPr="005420BE">
        <w:t>,</w:t>
      </w:r>
      <w:r w:rsidR="005420BE" w:rsidRPr="005420BE">
        <w:rPr>
          <w:color w:val="212121"/>
          <w:shd w:val="clear" w:color="auto" w:fill="FFFFFF"/>
        </w:rPr>
        <w:t xml:space="preserve"> in which case the violation is deemed to have been committed at the termination of the entire course of conduct</w:t>
      </w:r>
      <w:r w:rsidR="005420BE">
        <w:rPr>
          <w:color w:val="212121"/>
          <w:shd w:val="clear" w:color="auto" w:fill="FFFFFF"/>
        </w:rPr>
        <w:t>.</w:t>
      </w:r>
      <w:r w:rsidR="00B314EA">
        <w:rPr>
          <w:color w:val="212121"/>
          <w:shd w:val="clear" w:color="auto" w:fill="FFFFFF"/>
        </w:rPr>
        <w:t>”</w:t>
      </w:r>
      <w:r w:rsidR="005420BE">
        <w:t xml:space="preserve">  </w:t>
      </w:r>
      <w:r w:rsidR="0039700B">
        <w:t>(</w:t>
      </w:r>
      <w:r w:rsidR="0039700B" w:rsidRPr="0039700B">
        <w:rPr>
          <w:i/>
        </w:rPr>
        <w:t>Ibid</w:t>
      </w:r>
      <w:r w:rsidR="0039700B">
        <w:t xml:space="preserve">.)  </w:t>
      </w:r>
      <w:r w:rsidR="005420BE">
        <w:t xml:space="preserve">Similarly, the court found that </w:t>
      </w:r>
      <w:r>
        <w:t>where the</w:t>
      </w:r>
      <w:r w:rsidR="005420BE">
        <w:t xml:space="preserve"> charge is based on a</w:t>
      </w:r>
      <w:r>
        <w:t xml:space="preserve"> fiduciary relationship, the breach is </w:t>
      </w:r>
      <w:r w:rsidR="00B314EA">
        <w:t>“</w:t>
      </w:r>
      <w:r>
        <w:t xml:space="preserve">not only </w:t>
      </w:r>
      <w:r w:rsidR="00856798">
        <w:t>from his</w:t>
      </w:r>
      <w:r>
        <w:t xml:space="preserve"> initial failure</w:t>
      </w:r>
      <w:r w:rsidR="00856798">
        <w:t xml:space="preserve"> [to maintain the funds]</w:t>
      </w:r>
      <w:r w:rsidR="00297DF5">
        <w:t>,</w:t>
      </w:r>
      <w:r w:rsidR="00856798">
        <w:t xml:space="preserve"> but from his</w:t>
      </w:r>
      <w:r w:rsidR="00B314EA">
        <w:t xml:space="preserve"> ultimate failure to distribute”</w:t>
      </w:r>
      <w:r w:rsidR="00856798">
        <w:t xml:space="preserve"> them.</w:t>
      </w:r>
      <w:r w:rsidR="000B62CD">
        <w:t xml:space="preserve">  (</w:t>
      </w:r>
      <w:r w:rsidR="000B62CD">
        <w:rPr>
          <w:i/>
        </w:rPr>
        <w:t>Ibid.</w:t>
      </w:r>
      <w:r w:rsidR="000B62CD">
        <w:t>)</w:t>
      </w:r>
      <w:r w:rsidR="00F23059">
        <w:t xml:space="preserve">  Here, </w:t>
      </w:r>
      <w:r w:rsidR="00994B00">
        <w:t xml:space="preserve">it is alleged that </w:t>
      </w:r>
      <w:r w:rsidR="00F23059">
        <w:t>Saxon</w:t>
      </w:r>
      <w:r w:rsidR="001C495F">
        <w:t xml:space="preserve"> breached his fiduciary duty under the Financ</w:t>
      </w:r>
      <w:r w:rsidR="00D35EE0">
        <w:t>ing</w:t>
      </w:r>
      <w:r w:rsidR="001C495F">
        <w:t xml:space="preserve"> Agreement to hold the funds in escrow until the close of production, which created a continuing violation beyond the time when he withdrew Yarb</w:t>
      </w:r>
      <w:r w:rsidR="00994B00">
        <w:t>o</w:t>
      </w:r>
      <w:r w:rsidR="001C495F">
        <w:t xml:space="preserve">rough’s money from the escrow account.  </w:t>
      </w:r>
    </w:p>
    <w:p w:rsidR="000C2015" w:rsidRPr="00B314EA" w:rsidRDefault="000C2015" w:rsidP="00E51E94">
      <w:pPr>
        <w:autoSpaceDE w:val="0"/>
        <w:autoSpaceDN w:val="0"/>
        <w:adjustRightInd w:val="0"/>
        <w:spacing w:line="480" w:lineRule="auto"/>
        <w:rPr>
          <w:b/>
          <w:szCs w:val="24"/>
        </w:rPr>
      </w:pPr>
      <w:r>
        <w:rPr>
          <w:szCs w:val="24"/>
        </w:rPr>
        <w:tab/>
      </w:r>
      <w:r w:rsidR="00A95BD5">
        <w:rPr>
          <w:szCs w:val="24"/>
        </w:rPr>
        <w:t xml:space="preserve">   </w:t>
      </w:r>
      <w:r w:rsidRPr="00591ED1">
        <w:rPr>
          <w:b/>
          <w:szCs w:val="24"/>
        </w:rPr>
        <w:t xml:space="preserve">4.  </w:t>
      </w:r>
      <w:r w:rsidR="00A61E68" w:rsidRPr="00591ED1">
        <w:rPr>
          <w:b/>
          <w:i/>
          <w:szCs w:val="24"/>
        </w:rPr>
        <w:t>The ANDC cannot be cured by amendment</w:t>
      </w:r>
    </w:p>
    <w:p w:rsidR="00A61E68" w:rsidRPr="000C2015" w:rsidRDefault="00A61E68" w:rsidP="00E51E94">
      <w:pPr>
        <w:autoSpaceDE w:val="0"/>
        <w:autoSpaceDN w:val="0"/>
        <w:adjustRightInd w:val="0"/>
        <w:spacing w:line="480" w:lineRule="auto"/>
      </w:pPr>
      <w:r>
        <w:rPr>
          <w:szCs w:val="24"/>
        </w:rPr>
        <w:tab/>
        <w:t xml:space="preserve">Saxon further asserts that the allegations of the ANDC cannot be amended to cure the defect.  </w:t>
      </w:r>
      <w:r w:rsidR="0081681B">
        <w:rPr>
          <w:szCs w:val="24"/>
        </w:rPr>
        <w:t>But</w:t>
      </w:r>
      <w:r>
        <w:rPr>
          <w:szCs w:val="24"/>
        </w:rPr>
        <w:t xml:space="preserve"> it is not clear that there is a defect in the pleading</w:t>
      </w:r>
      <w:r w:rsidR="000F11E0">
        <w:rPr>
          <w:szCs w:val="24"/>
        </w:rPr>
        <w:t xml:space="preserve"> that needs a cure</w:t>
      </w:r>
      <w:r>
        <w:rPr>
          <w:szCs w:val="24"/>
        </w:rPr>
        <w:t xml:space="preserve">.  While not a model of draftsmanship, </w:t>
      </w:r>
      <w:r w:rsidR="00100C5C">
        <w:rPr>
          <w:szCs w:val="24"/>
        </w:rPr>
        <w:t xml:space="preserve">the ANDC </w:t>
      </w:r>
      <w:r>
        <w:rPr>
          <w:szCs w:val="24"/>
        </w:rPr>
        <w:t>alleged sufficient facts to provide notice to Saxon of the charges against him and to overcome a motion to dismiss.</w:t>
      </w:r>
      <w:r w:rsidR="000F11E0">
        <w:rPr>
          <w:szCs w:val="24"/>
        </w:rPr>
        <w:t xml:space="preserve">  </w:t>
      </w:r>
    </w:p>
    <w:p w:rsidR="00126D23" w:rsidRDefault="00B314EA" w:rsidP="00B910DF">
      <w:pPr>
        <w:jc w:val="center"/>
        <w:rPr>
          <w:b/>
        </w:rPr>
      </w:pPr>
      <w:r>
        <w:rPr>
          <w:b/>
        </w:rPr>
        <w:t xml:space="preserve">IV.  </w:t>
      </w:r>
      <w:r w:rsidR="00D663D5">
        <w:rPr>
          <w:b/>
        </w:rPr>
        <w:t>THE ANDC RELATED BACK TO TH</w:t>
      </w:r>
      <w:r w:rsidR="000F4FAC">
        <w:rPr>
          <w:b/>
        </w:rPr>
        <w:t>E</w:t>
      </w:r>
      <w:r w:rsidR="00D663D5">
        <w:rPr>
          <w:b/>
        </w:rPr>
        <w:t xml:space="preserve"> FILING DATE</w:t>
      </w:r>
    </w:p>
    <w:p w:rsidR="00D663D5" w:rsidRDefault="000F4FAC" w:rsidP="00B910DF">
      <w:pPr>
        <w:jc w:val="center"/>
        <w:rPr>
          <w:b/>
        </w:rPr>
      </w:pPr>
      <w:r>
        <w:rPr>
          <w:b/>
        </w:rPr>
        <w:t xml:space="preserve">OF THE </w:t>
      </w:r>
      <w:r w:rsidR="00E71E32">
        <w:rPr>
          <w:b/>
        </w:rPr>
        <w:t xml:space="preserve">ORIGINAL </w:t>
      </w:r>
      <w:r>
        <w:rPr>
          <w:b/>
        </w:rPr>
        <w:t>NDC,</w:t>
      </w:r>
      <w:r w:rsidR="00126D23">
        <w:rPr>
          <w:b/>
        </w:rPr>
        <w:t xml:space="preserve"> </w:t>
      </w:r>
      <w:r>
        <w:rPr>
          <w:b/>
        </w:rPr>
        <w:t xml:space="preserve">SO </w:t>
      </w:r>
      <w:r w:rsidR="00A01856">
        <w:rPr>
          <w:b/>
        </w:rPr>
        <w:t>THE ANDC</w:t>
      </w:r>
      <w:r>
        <w:rPr>
          <w:b/>
        </w:rPr>
        <w:t xml:space="preserve"> WAS TIMELY FILED</w:t>
      </w:r>
    </w:p>
    <w:p w:rsidR="00B910DF" w:rsidRDefault="00B910DF" w:rsidP="00B910DF">
      <w:pPr>
        <w:jc w:val="center"/>
        <w:rPr>
          <w:b/>
        </w:rPr>
      </w:pPr>
    </w:p>
    <w:p w:rsidR="000F4FAC" w:rsidRDefault="00D1739D" w:rsidP="00050DBB">
      <w:pPr>
        <w:spacing w:line="480" w:lineRule="auto"/>
        <w:ind w:right="-144"/>
      </w:pPr>
      <w:r>
        <w:tab/>
        <w:t xml:space="preserve">As </w:t>
      </w:r>
      <w:r w:rsidR="00462110">
        <w:t>the ANDC alleges and the record shows</w:t>
      </w:r>
      <w:r w:rsidR="0096688C">
        <w:t>,</w:t>
      </w:r>
      <w:r w:rsidR="00462110">
        <w:t xml:space="preserve"> </w:t>
      </w:r>
      <w:r>
        <w:t>the movie was produced in 2014</w:t>
      </w:r>
      <w:r w:rsidR="00A23F54">
        <w:t>, which marked the date the escrow ended</w:t>
      </w:r>
      <w:r>
        <w:t>.  The</w:t>
      </w:r>
      <w:r w:rsidR="00294ADE">
        <w:t>refore, the</w:t>
      </w:r>
      <w:r>
        <w:t xml:space="preserve"> purpose of the Financing Agreement under </w:t>
      </w:r>
      <w:r>
        <w:lastRenderedPageBreak/>
        <w:t xml:space="preserve">which Saxon had a </w:t>
      </w:r>
      <w:r w:rsidR="00A23F54">
        <w:t xml:space="preserve">fiduciary </w:t>
      </w:r>
      <w:r>
        <w:t>duty to hold Yarborough’</w:t>
      </w:r>
      <w:r w:rsidR="00294ADE">
        <w:t xml:space="preserve">s funds in trust also ceased to exist in 2014.  </w:t>
      </w:r>
      <w:r w:rsidR="00D447AF">
        <w:t>When</w:t>
      </w:r>
      <w:r w:rsidR="00294ADE">
        <w:t xml:space="preserve"> </w:t>
      </w:r>
      <w:r w:rsidR="00CE6DDF">
        <w:t xml:space="preserve">Saxon no longer </w:t>
      </w:r>
      <w:r w:rsidR="008068A4" w:rsidRPr="008068A4">
        <w:rPr>
          <w:i/>
        </w:rPr>
        <w:t>represented</w:t>
      </w:r>
      <w:r w:rsidR="008068A4">
        <w:t xml:space="preserve"> Yarbor</w:t>
      </w:r>
      <w:r w:rsidR="00126D23">
        <w:t>ough within the meaning of rule </w:t>
      </w:r>
      <w:r w:rsidR="008068A4">
        <w:t>5.21</w:t>
      </w:r>
      <w:r w:rsidR="00CE6DDF">
        <w:t>(C)</w:t>
      </w:r>
      <w:r w:rsidR="00D447AF">
        <w:t>(1)</w:t>
      </w:r>
      <w:r w:rsidR="008068A4">
        <w:t xml:space="preserve">, </w:t>
      </w:r>
      <w:r w:rsidR="00294ADE" w:rsidRPr="008068A4">
        <w:t>the</w:t>
      </w:r>
      <w:r w:rsidR="00294ADE">
        <w:t xml:space="preserve"> five-year limit was no longer tolled</w:t>
      </w:r>
      <w:r w:rsidR="00CD77F9">
        <w:t>, and began to run</w:t>
      </w:r>
      <w:r w:rsidR="008068A4">
        <w:t>.</w:t>
      </w:r>
      <w:r w:rsidR="004F4F91">
        <w:t xml:space="preserve">  </w:t>
      </w:r>
      <w:r w:rsidR="00D447AF">
        <w:t xml:space="preserve">But since we </w:t>
      </w:r>
      <w:r w:rsidR="00220D81">
        <w:t>calculate</w:t>
      </w:r>
      <w:r w:rsidR="00D447AF">
        <w:t xml:space="preserve"> </w:t>
      </w:r>
      <w:r w:rsidR="00A23F54">
        <w:t xml:space="preserve">the limitations period </w:t>
      </w:r>
      <w:r w:rsidR="00D447AF">
        <w:t>from the date of the filing of the original NDC</w:t>
      </w:r>
      <w:r w:rsidR="004F4F91">
        <w:t xml:space="preserve">, </w:t>
      </w:r>
      <w:r w:rsidR="0096688C">
        <w:t>which was</w:t>
      </w:r>
      <w:r w:rsidR="000C2420">
        <w:t xml:space="preserve"> December</w:t>
      </w:r>
      <w:r w:rsidR="00126D23">
        <w:t> </w:t>
      </w:r>
      <w:r w:rsidR="000C2420">
        <w:t>19, 2018</w:t>
      </w:r>
      <w:r w:rsidR="00220D81">
        <w:t>,</w:t>
      </w:r>
      <w:r w:rsidR="000C2420">
        <w:t xml:space="preserve"> </w:t>
      </w:r>
      <w:r w:rsidR="00A23F54">
        <w:t xml:space="preserve">we find </w:t>
      </w:r>
      <w:r w:rsidR="00220D81">
        <w:t xml:space="preserve">it </w:t>
      </w:r>
      <w:r w:rsidR="000C2420">
        <w:t>was</w:t>
      </w:r>
      <w:r w:rsidR="00661806">
        <w:t xml:space="preserve"> </w:t>
      </w:r>
      <w:r w:rsidR="00220D81">
        <w:t xml:space="preserve">timely </w:t>
      </w:r>
      <w:r w:rsidR="00143628">
        <w:t xml:space="preserve">filed </w:t>
      </w:r>
      <w:r w:rsidR="00661806">
        <w:t>within</w:t>
      </w:r>
      <w:r w:rsidR="00126D23">
        <w:t xml:space="preserve"> five</w:t>
      </w:r>
      <w:r w:rsidR="00661806">
        <w:t xml:space="preserve"> years from </w:t>
      </w:r>
      <w:r w:rsidR="0013606B">
        <w:t xml:space="preserve">the </w:t>
      </w:r>
      <w:r w:rsidR="00E71478">
        <w:t xml:space="preserve">2014 </w:t>
      </w:r>
      <w:r w:rsidR="00A23F54">
        <w:t>co</w:t>
      </w:r>
      <w:r w:rsidR="00413D5D">
        <w:t xml:space="preserve">mpletion </w:t>
      </w:r>
      <w:r w:rsidR="0013606B">
        <w:t>of the escrow arrangement</w:t>
      </w:r>
      <w:r w:rsidR="00CD77F9">
        <w:t xml:space="preserve"> alleged in the ANDC</w:t>
      </w:r>
      <w:r w:rsidR="004F4F91">
        <w:t xml:space="preserve">.  </w:t>
      </w:r>
      <w:r w:rsidR="00126D23">
        <w:t>(See 5 </w:t>
      </w:r>
      <w:r w:rsidR="00C615AF">
        <w:t xml:space="preserve">Witkin, Cal. </w:t>
      </w:r>
      <w:r w:rsidR="00312B44">
        <w:t>Procedure (5</w:t>
      </w:r>
      <w:r w:rsidR="00126D23">
        <w:t>th</w:t>
      </w:r>
      <w:r w:rsidR="00312B44">
        <w:t xml:space="preserve"> ed. 2008) Pleading, §</w:t>
      </w:r>
      <w:r w:rsidR="00126D23">
        <w:t> </w:t>
      </w:r>
      <w:r w:rsidR="00312B44">
        <w:t>1188, pp.</w:t>
      </w:r>
      <w:r w:rsidR="00126D23">
        <w:t> </w:t>
      </w:r>
      <w:r w:rsidR="00312B44">
        <w:t>619</w:t>
      </w:r>
      <w:r w:rsidR="00126D23">
        <w:t>–</w:t>
      </w:r>
      <w:r w:rsidR="00312B44">
        <w:t>620 [despite amended complaint, time of filing original complaint</w:t>
      </w:r>
      <w:r w:rsidR="000C2420">
        <w:t xml:space="preserve"> is date of commencement of action for purposes of statute of limitations].)</w:t>
      </w:r>
      <w:r w:rsidR="00312B44">
        <w:t xml:space="preserve"> </w:t>
      </w:r>
    </w:p>
    <w:p w:rsidR="0062022B" w:rsidRDefault="00126D23" w:rsidP="00633FF9">
      <w:pPr>
        <w:spacing w:line="480" w:lineRule="auto"/>
        <w:jc w:val="center"/>
      </w:pPr>
      <w:r>
        <w:rPr>
          <w:b/>
        </w:rPr>
        <w:t>V</w:t>
      </w:r>
      <w:r w:rsidR="0062022B">
        <w:rPr>
          <w:b/>
        </w:rPr>
        <w:t>.</w:t>
      </w:r>
      <w:r>
        <w:rPr>
          <w:b/>
        </w:rPr>
        <w:t xml:space="preserve"> </w:t>
      </w:r>
      <w:r w:rsidR="0062022B">
        <w:rPr>
          <w:b/>
        </w:rPr>
        <w:t xml:space="preserve"> ORDER</w:t>
      </w:r>
    </w:p>
    <w:p w:rsidR="0062022B" w:rsidRPr="0062022B" w:rsidRDefault="00126D23" w:rsidP="0062022B">
      <w:pPr>
        <w:spacing w:line="480" w:lineRule="auto"/>
      </w:pPr>
      <w:r>
        <w:tab/>
        <w:t>This case is remanded to the Hearing D</w:t>
      </w:r>
      <w:r w:rsidR="0062022B">
        <w:t>epartment for further proceedings consistent with this opinion.</w:t>
      </w:r>
    </w:p>
    <w:p w:rsidR="00832223" w:rsidRDefault="008068A4" w:rsidP="0062022B">
      <w:pPr>
        <w:spacing w:line="480" w:lineRule="auto"/>
      </w:pPr>
      <w:r>
        <w:tab/>
      </w:r>
      <w:r w:rsidR="00832223" w:rsidRPr="007768C9">
        <w:tab/>
      </w:r>
      <w:r w:rsidR="00832223" w:rsidRPr="007768C9">
        <w:tab/>
      </w:r>
      <w:r w:rsidR="00832223" w:rsidRPr="007768C9">
        <w:tab/>
      </w:r>
      <w:r w:rsidR="00832223" w:rsidRPr="007768C9">
        <w:tab/>
      </w:r>
      <w:r w:rsidR="00832223" w:rsidRPr="007768C9">
        <w:tab/>
      </w:r>
      <w:r w:rsidR="00832223" w:rsidRPr="007768C9">
        <w:tab/>
      </w:r>
      <w:bookmarkStart w:id="9" w:name="judge"/>
      <w:bookmarkEnd w:id="9"/>
      <w:r w:rsidR="006A3567">
        <w:t>HONN, J.</w:t>
      </w:r>
    </w:p>
    <w:p w:rsidR="00832223" w:rsidRDefault="00832223" w:rsidP="003F06DF">
      <w:pPr>
        <w:spacing w:line="480" w:lineRule="auto"/>
      </w:pPr>
      <w:r>
        <w:t>WE CONCUR:</w:t>
      </w:r>
    </w:p>
    <w:p w:rsidR="006A3567" w:rsidRDefault="006A3567" w:rsidP="003F06DF">
      <w:pPr>
        <w:spacing w:line="480" w:lineRule="auto"/>
      </w:pPr>
      <w:r>
        <w:t>PURCELL, P.</w:t>
      </w:r>
      <w:r w:rsidR="00FF160E">
        <w:t xml:space="preserve"> </w:t>
      </w:r>
      <w:r>
        <w:t>J.</w:t>
      </w:r>
    </w:p>
    <w:p w:rsidR="006A3567" w:rsidRDefault="006A3567" w:rsidP="003F06DF">
      <w:pPr>
        <w:spacing w:line="480" w:lineRule="auto"/>
      </w:pPr>
      <w:r>
        <w:t>McGILL, J.</w:t>
      </w:r>
    </w:p>
    <w:p w:rsidR="00364C87" w:rsidRDefault="00364C87">
      <w:bookmarkStart w:id="10" w:name="multinames"/>
      <w:bookmarkEnd w:id="10"/>
      <w:r>
        <w:br w:type="page"/>
      </w:r>
    </w:p>
    <w:p w:rsidR="00364C87" w:rsidRDefault="00364C87" w:rsidP="00364C87">
      <w:pPr>
        <w:tabs>
          <w:tab w:val="left" w:pos="4994"/>
        </w:tabs>
        <w:rPr>
          <w:b/>
          <w:bCs/>
          <w:sz w:val="28"/>
          <w:szCs w:val="28"/>
        </w:rPr>
      </w:pPr>
      <w:r>
        <w:rPr>
          <w:lang w:val="en-CA"/>
        </w:rPr>
        <w:lastRenderedPageBreak/>
        <w:fldChar w:fldCharType="begin"/>
      </w:r>
      <w:r>
        <w:rPr>
          <w:lang w:val="en-CA"/>
        </w:rPr>
        <w:instrText xml:space="preserve"> SEQ CHAPTER \h \r 1</w:instrText>
      </w:r>
      <w:r>
        <w:rPr>
          <w:lang w:val="en-CA"/>
        </w:rPr>
        <w:fldChar w:fldCharType="end"/>
      </w:r>
    </w:p>
    <w:p w:rsidR="00364C87" w:rsidRDefault="00364C87" w:rsidP="00364C87">
      <w:pPr>
        <w:jc w:val="center"/>
        <w:rPr>
          <w:b/>
          <w:bCs/>
          <w:sz w:val="34"/>
          <w:szCs w:val="34"/>
        </w:rPr>
      </w:pPr>
    </w:p>
    <w:p w:rsidR="00364C87" w:rsidRDefault="00364C87" w:rsidP="00364C87">
      <w:pPr>
        <w:jc w:val="center"/>
        <w:outlineLvl w:val="0"/>
        <w:rPr>
          <w:b/>
          <w:bCs/>
          <w:sz w:val="34"/>
          <w:szCs w:val="34"/>
        </w:rPr>
      </w:pPr>
    </w:p>
    <w:p w:rsidR="00364C87" w:rsidRDefault="00364C87" w:rsidP="00364C87">
      <w:pPr>
        <w:jc w:val="center"/>
        <w:outlineLvl w:val="0"/>
        <w:rPr>
          <w:b/>
          <w:bCs/>
          <w:szCs w:val="34"/>
        </w:rPr>
      </w:pPr>
      <w:r>
        <w:rPr>
          <w:b/>
          <w:bCs/>
          <w:szCs w:val="34"/>
        </w:rPr>
        <w:t>No. 17-O</w:t>
      </w:r>
      <w:r w:rsidRPr="000166CC">
        <w:rPr>
          <w:b/>
          <w:bCs/>
          <w:szCs w:val="34"/>
        </w:rPr>
        <w:t>-</w:t>
      </w:r>
      <w:r>
        <w:rPr>
          <w:b/>
          <w:bCs/>
          <w:szCs w:val="34"/>
        </w:rPr>
        <w:t>01259</w:t>
      </w:r>
    </w:p>
    <w:p w:rsidR="00364C87" w:rsidRDefault="00364C87" w:rsidP="00364C87">
      <w:pPr>
        <w:jc w:val="center"/>
        <w:outlineLvl w:val="0"/>
        <w:rPr>
          <w:szCs w:val="34"/>
        </w:rPr>
      </w:pPr>
    </w:p>
    <w:p w:rsidR="00364C87" w:rsidRDefault="00364C87" w:rsidP="00364C87">
      <w:pPr>
        <w:jc w:val="center"/>
        <w:rPr>
          <w:b/>
          <w:bCs/>
          <w:i/>
          <w:iCs/>
          <w:szCs w:val="34"/>
        </w:rPr>
      </w:pPr>
    </w:p>
    <w:p w:rsidR="00364C87" w:rsidRDefault="00364C87" w:rsidP="00364C87">
      <w:pPr>
        <w:jc w:val="center"/>
        <w:rPr>
          <w:b/>
          <w:bCs/>
          <w:i/>
          <w:iCs/>
          <w:szCs w:val="34"/>
        </w:rPr>
      </w:pPr>
      <w:r>
        <w:rPr>
          <w:b/>
          <w:bCs/>
          <w:i/>
          <w:iCs/>
          <w:szCs w:val="34"/>
        </w:rPr>
        <w:br/>
      </w:r>
    </w:p>
    <w:p w:rsidR="00364C87" w:rsidRDefault="00364C87" w:rsidP="00364C87">
      <w:pPr>
        <w:spacing w:line="360" w:lineRule="auto"/>
        <w:jc w:val="center"/>
        <w:outlineLvl w:val="0"/>
        <w:rPr>
          <w:b/>
          <w:bCs/>
          <w:i/>
          <w:iCs/>
          <w:szCs w:val="34"/>
        </w:rPr>
      </w:pPr>
      <w:r>
        <w:rPr>
          <w:b/>
          <w:bCs/>
          <w:i/>
          <w:iCs/>
          <w:szCs w:val="34"/>
        </w:rPr>
        <w:t xml:space="preserve">In the Matter of </w:t>
      </w:r>
    </w:p>
    <w:p w:rsidR="00364C87" w:rsidRDefault="00364C87" w:rsidP="00364C87">
      <w:pPr>
        <w:spacing w:line="360" w:lineRule="auto"/>
        <w:jc w:val="center"/>
        <w:outlineLvl w:val="0"/>
        <w:rPr>
          <w:szCs w:val="28"/>
        </w:rPr>
      </w:pPr>
      <w:r>
        <w:rPr>
          <w:b/>
          <w:bCs/>
          <w:szCs w:val="34"/>
        </w:rPr>
        <w:t>BRET MERRICK SAXON</w:t>
      </w:r>
    </w:p>
    <w:p w:rsidR="00364C87" w:rsidRDefault="00364C87" w:rsidP="00364C87">
      <w:pPr>
        <w:spacing w:line="360" w:lineRule="auto"/>
        <w:jc w:val="center"/>
        <w:rPr>
          <w:szCs w:val="28"/>
        </w:rPr>
      </w:pPr>
    </w:p>
    <w:p w:rsidR="00364C87" w:rsidRDefault="00364C87" w:rsidP="00364C87">
      <w:pPr>
        <w:spacing w:line="360" w:lineRule="auto"/>
        <w:jc w:val="center"/>
        <w:rPr>
          <w:szCs w:val="28"/>
        </w:rPr>
      </w:pPr>
    </w:p>
    <w:p w:rsidR="00364C87" w:rsidRDefault="00364C87" w:rsidP="00364C87">
      <w:pPr>
        <w:spacing w:line="360" w:lineRule="auto"/>
        <w:jc w:val="center"/>
        <w:rPr>
          <w:szCs w:val="28"/>
        </w:rPr>
      </w:pPr>
    </w:p>
    <w:p w:rsidR="00364C87" w:rsidRDefault="00364C87" w:rsidP="00364C87">
      <w:pPr>
        <w:spacing w:line="360" w:lineRule="auto"/>
        <w:jc w:val="center"/>
        <w:rPr>
          <w:szCs w:val="28"/>
        </w:rPr>
      </w:pPr>
    </w:p>
    <w:p w:rsidR="00364C87" w:rsidRDefault="00364C87" w:rsidP="00364C87">
      <w:pPr>
        <w:spacing w:line="360" w:lineRule="auto"/>
        <w:jc w:val="center"/>
        <w:rPr>
          <w:szCs w:val="28"/>
        </w:rPr>
      </w:pPr>
    </w:p>
    <w:p w:rsidR="00364C87" w:rsidRDefault="00364C87" w:rsidP="00364C87">
      <w:pPr>
        <w:jc w:val="center"/>
        <w:outlineLvl w:val="0"/>
        <w:rPr>
          <w:i/>
          <w:iCs/>
          <w:szCs w:val="28"/>
        </w:rPr>
      </w:pPr>
      <w:r>
        <w:rPr>
          <w:i/>
          <w:iCs/>
          <w:szCs w:val="28"/>
        </w:rPr>
        <w:t>Hearing Judge</w:t>
      </w:r>
    </w:p>
    <w:p w:rsidR="00364C87" w:rsidRDefault="00364C87" w:rsidP="00364C87">
      <w:pPr>
        <w:jc w:val="center"/>
        <w:outlineLvl w:val="0"/>
        <w:rPr>
          <w:szCs w:val="28"/>
        </w:rPr>
      </w:pPr>
      <w:r>
        <w:rPr>
          <w:b/>
          <w:bCs/>
          <w:szCs w:val="32"/>
        </w:rPr>
        <w:t>Hon. Yvette D. Roland</w:t>
      </w:r>
    </w:p>
    <w:p w:rsidR="00364C87" w:rsidRDefault="00364C87" w:rsidP="00364C87">
      <w:pPr>
        <w:jc w:val="center"/>
        <w:rPr>
          <w:szCs w:val="28"/>
        </w:rPr>
      </w:pPr>
    </w:p>
    <w:p w:rsidR="00364C87" w:rsidRDefault="00364C87" w:rsidP="00364C87">
      <w:pPr>
        <w:jc w:val="center"/>
        <w:rPr>
          <w:szCs w:val="28"/>
        </w:rPr>
      </w:pPr>
    </w:p>
    <w:p w:rsidR="00364C87" w:rsidRDefault="00364C87" w:rsidP="00364C87">
      <w:pPr>
        <w:jc w:val="center"/>
        <w:rPr>
          <w:szCs w:val="28"/>
        </w:rPr>
      </w:pPr>
    </w:p>
    <w:p w:rsidR="00364C87" w:rsidRDefault="00364C87" w:rsidP="00364C87">
      <w:pPr>
        <w:jc w:val="center"/>
        <w:rPr>
          <w:szCs w:val="28"/>
        </w:rPr>
      </w:pPr>
    </w:p>
    <w:p w:rsidR="00364C87" w:rsidRDefault="00364C87" w:rsidP="00364C87">
      <w:pPr>
        <w:jc w:val="center"/>
        <w:rPr>
          <w:szCs w:val="28"/>
        </w:rPr>
      </w:pPr>
    </w:p>
    <w:p w:rsidR="00364C87" w:rsidRDefault="00364C87" w:rsidP="00364C87">
      <w:pPr>
        <w:jc w:val="center"/>
        <w:rPr>
          <w:szCs w:val="28"/>
        </w:rPr>
      </w:pPr>
    </w:p>
    <w:p w:rsidR="00364C87" w:rsidRDefault="00364C87" w:rsidP="00364C87">
      <w:pPr>
        <w:jc w:val="center"/>
        <w:rPr>
          <w:szCs w:val="28"/>
        </w:rPr>
      </w:pPr>
    </w:p>
    <w:p w:rsidR="00364C87" w:rsidRDefault="00364C87" w:rsidP="00364C87">
      <w:pPr>
        <w:rPr>
          <w:szCs w:val="28"/>
        </w:rPr>
      </w:pPr>
    </w:p>
    <w:p w:rsidR="00364C87" w:rsidRDefault="00364C87" w:rsidP="00364C87">
      <w:pPr>
        <w:jc w:val="center"/>
        <w:outlineLvl w:val="0"/>
        <w:rPr>
          <w:b/>
          <w:bCs/>
          <w:i/>
          <w:iCs/>
          <w:szCs w:val="28"/>
        </w:rPr>
      </w:pPr>
      <w:r>
        <w:rPr>
          <w:i/>
          <w:iCs/>
          <w:szCs w:val="28"/>
        </w:rPr>
        <w:t>Counsel for the Parties</w:t>
      </w:r>
    </w:p>
    <w:p w:rsidR="00364C87" w:rsidRDefault="00364C87" w:rsidP="00364C87">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364C87" w:rsidTr="000511AD">
        <w:trPr>
          <w:cantSplit/>
        </w:trPr>
        <w:tc>
          <w:tcPr>
            <w:tcW w:w="5310" w:type="dxa"/>
          </w:tcPr>
          <w:p w:rsidR="00364C87" w:rsidRDefault="00364C87" w:rsidP="000511AD">
            <w:pPr>
              <w:spacing w:before="100" w:after="48"/>
              <w:rPr>
                <w:szCs w:val="28"/>
              </w:rPr>
            </w:pPr>
            <w:r>
              <w:rPr>
                <w:b/>
                <w:bCs/>
                <w:szCs w:val="28"/>
              </w:rPr>
              <w:tab/>
            </w:r>
            <w:r>
              <w:rPr>
                <w:szCs w:val="28"/>
              </w:rPr>
              <w:t>For Office of Chief Trial Counsel:</w:t>
            </w:r>
          </w:p>
        </w:tc>
        <w:tc>
          <w:tcPr>
            <w:tcW w:w="4140" w:type="dxa"/>
          </w:tcPr>
          <w:p w:rsidR="00364C87" w:rsidRPr="00E73147" w:rsidRDefault="00364C87" w:rsidP="000511AD">
            <w:pPr>
              <w:rPr>
                <w:rFonts w:eastAsia="Times New Roman"/>
              </w:rPr>
            </w:pPr>
            <w:r w:rsidRPr="00E73147">
              <w:rPr>
                <w:rFonts w:eastAsia="Times New Roman"/>
              </w:rPr>
              <w:t>Alex James Hackert</w:t>
            </w:r>
          </w:p>
          <w:p w:rsidR="00364C87" w:rsidRDefault="00364C87" w:rsidP="000511AD">
            <w:pPr>
              <w:rPr>
                <w:szCs w:val="28"/>
              </w:rPr>
            </w:pPr>
            <w:r>
              <w:rPr>
                <w:szCs w:val="28"/>
              </w:rPr>
              <w:t>Office of Chief Trial Counsel</w:t>
            </w:r>
          </w:p>
          <w:p w:rsidR="00364C87" w:rsidRDefault="00364C87" w:rsidP="000511AD">
            <w:pPr>
              <w:rPr>
                <w:szCs w:val="28"/>
              </w:rPr>
            </w:pPr>
            <w:r>
              <w:rPr>
                <w:szCs w:val="28"/>
              </w:rPr>
              <w:t>The State Bar of California</w:t>
            </w:r>
          </w:p>
          <w:p w:rsidR="00364C87" w:rsidRDefault="00364C87" w:rsidP="000511AD">
            <w:pPr>
              <w:rPr>
                <w:szCs w:val="28"/>
              </w:rPr>
            </w:pPr>
            <w:r>
              <w:rPr>
                <w:szCs w:val="28"/>
              </w:rPr>
              <w:t>845 S. Figueroa Street</w:t>
            </w:r>
          </w:p>
          <w:p w:rsidR="00364C87" w:rsidRDefault="00364C87" w:rsidP="000511AD">
            <w:pPr>
              <w:rPr>
                <w:szCs w:val="28"/>
              </w:rPr>
            </w:pPr>
            <w:r>
              <w:rPr>
                <w:szCs w:val="28"/>
              </w:rPr>
              <w:t>Los Angeles, CA 90017</w:t>
            </w:r>
          </w:p>
          <w:p w:rsidR="00364C87" w:rsidRDefault="00586374" w:rsidP="000511AD">
            <w:pPr>
              <w:rPr>
                <w:szCs w:val="28"/>
              </w:rPr>
            </w:pPr>
            <w:hyperlink r:id="rId9" w:history="1">
              <w:r w:rsidR="00364C87" w:rsidRPr="00E73147">
                <w:rPr>
                  <w:rStyle w:val="Hyperlink"/>
                  <w:rFonts w:eastAsia="Times New Roman"/>
                </w:rPr>
                <w:t>Alex.Hackert@calbar.ca.gov</w:t>
              </w:r>
            </w:hyperlink>
          </w:p>
          <w:p w:rsidR="00364C87" w:rsidRDefault="00364C87" w:rsidP="000511AD">
            <w:pPr>
              <w:spacing w:after="48"/>
              <w:rPr>
                <w:szCs w:val="28"/>
              </w:rPr>
            </w:pPr>
          </w:p>
        </w:tc>
      </w:tr>
      <w:tr w:rsidR="00364C87" w:rsidTr="000511AD">
        <w:trPr>
          <w:cantSplit/>
        </w:trPr>
        <w:tc>
          <w:tcPr>
            <w:tcW w:w="5310" w:type="dxa"/>
          </w:tcPr>
          <w:p w:rsidR="00364C87" w:rsidRDefault="00364C87" w:rsidP="000511AD">
            <w:pPr>
              <w:spacing w:before="100" w:after="48"/>
              <w:rPr>
                <w:szCs w:val="28"/>
              </w:rPr>
            </w:pPr>
            <w:r>
              <w:rPr>
                <w:b/>
                <w:bCs/>
                <w:szCs w:val="28"/>
              </w:rPr>
              <w:tab/>
            </w:r>
            <w:r>
              <w:rPr>
                <w:szCs w:val="28"/>
              </w:rPr>
              <w:t>For Bret Merrick Saxon:</w:t>
            </w:r>
          </w:p>
        </w:tc>
        <w:tc>
          <w:tcPr>
            <w:tcW w:w="4140" w:type="dxa"/>
          </w:tcPr>
          <w:p w:rsidR="00364C87" w:rsidRPr="00E73147" w:rsidRDefault="00364C87" w:rsidP="000511AD">
            <w:pPr>
              <w:rPr>
                <w:rFonts w:eastAsia="Times New Roman"/>
              </w:rPr>
            </w:pPr>
            <w:r>
              <w:t>Ronald Neil Richards</w:t>
            </w:r>
          </w:p>
          <w:p w:rsidR="00364C87" w:rsidRPr="00E73147" w:rsidRDefault="00364C87" w:rsidP="000511AD">
            <w:pPr>
              <w:rPr>
                <w:rFonts w:eastAsia="Times New Roman"/>
              </w:rPr>
            </w:pPr>
            <w:r w:rsidRPr="00E73147">
              <w:rPr>
                <w:rFonts w:eastAsia="Times New Roman"/>
              </w:rPr>
              <w:t>Ronald Richards and Associates, A.P.C</w:t>
            </w:r>
          </w:p>
          <w:p w:rsidR="00364C87" w:rsidRPr="00E73147" w:rsidRDefault="00364C87" w:rsidP="000511AD">
            <w:pPr>
              <w:rPr>
                <w:rFonts w:eastAsia="Times New Roman"/>
              </w:rPr>
            </w:pPr>
            <w:r w:rsidRPr="00E73147">
              <w:rPr>
                <w:rFonts w:eastAsia="Times New Roman"/>
              </w:rPr>
              <w:t>P.O. Box 11480</w:t>
            </w:r>
          </w:p>
          <w:p w:rsidR="00364C87" w:rsidRPr="00E73147" w:rsidRDefault="00364C87" w:rsidP="000511AD">
            <w:pPr>
              <w:rPr>
                <w:rFonts w:eastAsia="Times New Roman"/>
              </w:rPr>
            </w:pPr>
            <w:r w:rsidRPr="00E73147">
              <w:rPr>
                <w:rFonts w:eastAsia="Times New Roman"/>
              </w:rPr>
              <w:t>Beverly Hills, CA 90213</w:t>
            </w:r>
          </w:p>
          <w:p w:rsidR="00364C87" w:rsidRDefault="00586374" w:rsidP="000511AD">
            <w:hyperlink r:id="rId10" w:history="1">
              <w:r w:rsidR="00364C87" w:rsidRPr="00E73147">
                <w:rPr>
                  <w:rStyle w:val="Hyperlink"/>
                  <w:rFonts w:eastAsia="Times New Roman"/>
                </w:rPr>
                <w:t>ron@ronaldrichards.com</w:t>
              </w:r>
            </w:hyperlink>
          </w:p>
          <w:p w:rsidR="00364C87" w:rsidRDefault="00364C87" w:rsidP="000511AD">
            <w:pPr>
              <w:rPr>
                <w:szCs w:val="28"/>
              </w:rPr>
            </w:pPr>
          </w:p>
        </w:tc>
      </w:tr>
    </w:tbl>
    <w:p w:rsidR="00364C87" w:rsidRDefault="00364C87" w:rsidP="00364C87"/>
    <w:p w:rsidR="00203644" w:rsidRPr="00E26B8A" w:rsidRDefault="00203644" w:rsidP="000E0A7C"/>
    <w:sectPr w:rsidR="00203644" w:rsidRPr="00E26B8A"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374" w:rsidRDefault="00586374" w:rsidP="00055C8A">
      <w:r>
        <w:separator/>
      </w:r>
    </w:p>
  </w:endnote>
  <w:endnote w:type="continuationSeparator" w:id="0">
    <w:p w:rsidR="00586374" w:rsidRDefault="00586374"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667EE5" w:rsidRDefault="00667EE5" w:rsidP="0099101B">
        <w:pPr>
          <w:pStyle w:val="Footer"/>
          <w:spacing w:before="120"/>
          <w:jc w:val="center"/>
        </w:pPr>
        <w:r>
          <w:t>-</w:t>
        </w:r>
        <w:r w:rsidR="00D35EE0">
          <w:fldChar w:fldCharType="begin"/>
        </w:r>
        <w:r w:rsidR="00D35EE0">
          <w:instrText xml:space="preserve"> PAGE   \* MERGEFORMAT </w:instrText>
        </w:r>
        <w:r w:rsidR="00D35EE0">
          <w:fldChar w:fldCharType="separate"/>
        </w:r>
        <w:r w:rsidR="004C34E5">
          <w:rPr>
            <w:noProof/>
          </w:rPr>
          <w:t>12</w:t>
        </w:r>
        <w:r w:rsidR="00D35EE0">
          <w:rPr>
            <w:noProof/>
          </w:rPr>
          <w:fldChar w:fldCharType="end"/>
        </w:r>
        <w: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E5" w:rsidRPr="005F17DC" w:rsidRDefault="00667EE5" w:rsidP="001A6CD9">
    <w:pPr>
      <w:pStyle w:val="Footer"/>
      <w:rPr>
        <w:rFonts w:ascii="Arial" w:hAnsi="Arial"/>
        <w:color w:val="FFFFFF" w:themeColor="background1"/>
        <w:sz w:val="14"/>
        <w:szCs w:val="14"/>
      </w:rPr>
    </w:pPr>
    <w:r w:rsidRPr="005F17DC">
      <w:rPr>
        <w:rFonts w:ascii="Arial" w:hAnsi="Arial"/>
        <w:color w:val="FFFFFF" w:themeColor="background1"/>
        <w:sz w:val="14"/>
        <w:szCs w:val="14"/>
      </w:rPr>
      <w:t>Opinion Frm (20190813)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374" w:rsidRDefault="00586374" w:rsidP="00055C8A">
      <w:r>
        <w:separator/>
      </w:r>
    </w:p>
  </w:footnote>
  <w:footnote w:type="continuationSeparator" w:id="0">
    <w:p w:rsidR="00586374" w:rsidRDefault="00586374" w:rsidP="00055C8A">
      <w:r>
        <w:continuationSeparator/>
      </w:r>
    </w:p>
  </w:footnote>
  <w:footnote w:id="1">
    <w:p w:rsidR="00667EE5" w:rsidRDefault="00667EE5">
      <w:pPr>
        <w:pStyle w:val="FootnoteText"/>
      </w:pPr>
      <w:r>
        <w:rPr>
          <w:rStyle w:val="FootnoteReference"/>
        </w:rPr>
        <w:footnoteRef/>
      </w:r>
      <w:r w:rsidR="00941E72">
        <w:t xml:space="preserve"> All further references to </w:t>
      </w:r>
      <w:r>
        <w:t>rule</w:t>
      </w:r>
      <w:r w:rsidR="00452980">
        <w:t>(</w:t>
      </w:r>
      <w:r w:rsidR="00360DFE">
        <w:t>s</w:t>
      </w:r>
      <w:r w:rsidR="00452980">
        <w:t>)</w:t>
      </w:r>
      <w:r>
        <w:t xml:space="preserve"> </w:t>
      </w:r>
      <w:r w:rsidR="00941E72">
        <w:t>are</w:t>
      </w:r>
      <w:r>
        <w:t xml:space="preserve"> to this source</w:t>
      </w:r>
      <w:r w:rsidR="00941E72">
        <w:t xml:space="preserve">, unless otherwise noted.  </w:t>
      </w:r>
    </w:p>
  </w:footnote>
  <w:footnote w:id="2">
    <w:p w:rsidR="00667EE5" w:rsidRPr="00E83CBE" w:rsidRDefault="00667EE5" w:rsidP="00EA7EEF">
      <w:pPr>
        <w:pStyle w:val="TemplateFootnote"/>
        <w:rPr>
          <w:i/>
        </w:rPr>
      </w:pPr>
      <w:r>
        <w:rPr>
          <w:rStyle w:val="FootnoteReference"/>
        </w:rPr>
        <w:footnoteRef/>
      </w:r>
      <w:r>
        <w:t xml:space="preserve"> </w:t>
      </w:r>
      <w:r>
        <w:rPr>
          <w:i/>
        </w:rPr>
        <w:t>Yarborough Production Company LLC v. Bret Saxon et al</w:t>
      </w:r>
      <w:r w:rsidRPr="00E83CBE">
        <w:t xml:space="preserve">., </w:t>
      </w:r>
      <w:r>
        <w:t>February</w:t>
      </w:r>
      <w:r w:rsidR="00602E9B">
        <w:t> </w:t>
      </w:r>
      <w:r>
        <w:t>9, 2010, Chance</w:t>
      </w:r>
      <w:r w:rsidR="00EA7EEF">
        <w:t>ry Court of Tennessee, case no. </w:t>
      </w:r>
      <w:r>
        <w:t>37602</w:t>
      </w:r>
      <w:r w:rsidR="00EA7EEF">
        <w:t xml:space="preserve"> (t</w:t>
      </w:r>
      <w:r>
        <w:t xml:space="preserve">he Tennessee Action.)  </w:t>
      </w:r>
    </w:p>
  </w:footnote>
  <w:footnote w:id="3">
    <w:p w:rsidR="00667EE5" w:rsidRPr="00434102" w:rsidRDefault="00667EE5" w:rsidP="00273415">
      <w:pPr>
        <w:pStyle w:val="TemplateFootnote"/>
      </w:pPr>
      <w:r>
        <w:rPr>
          <w:rStyle w:val="FootnoteReference"/>
        </w:rPr>
        <w:footnoteRef/>
      </w:r>
      <w:r>
        <w:t xml:space="preserve"> </w:t>
      </w:r>
      <w:r>
        <w:rPr>
          <w:i/>
        </w:rPr>
        <w:t>Yarborough Production Company LLC v. Bret Saxon, et al.</w:t>
      </w:r>
      <w:r w:rsidRPr="00191EA9">
        <w:t xml:space="preserve">, </w:t>
      </w:r>
      <w:r w:rsidR="00191EA9">
        <w:t xml:space="preserve">November 9, 2012, </w:t>
      </w:r>
      <w:r>
        <w:t xml:space="preserve">Los Angeles </w:t>
      </w:r>
      <w:r w:rsidR="00EA7EEF">
        <w:t>County Superior Court, case no. BS140169 (t</w:t>
      </w:r>
      <w:r>
        <w:t>he California Action)</w:t>
      </w:r>
      <w:r w:rsidR="00B21393">
        <w:t>.</w:t>
      </w:r>
    </w:p>
  </w:footnote>
  <w:footnote w:id="4">
    <w:p w:rsidR="00667EE5" w:rsidRPr="0078525B" w:rsidRDefault="00667EE5" w:rsidP="0061142A">
      <w:pPr>
        <w:pStyle w:val="TemplateFootnote"/>
      </w:pPr>
      <w:r>
        <w:rPr>
          <w:rStyle w:val="FootnoteReference"/>
        </w:rPr>
        <w:footnoteRef/>
      </w:r>
      <w:r>
        <w:t xml:space="preserve"> </w:t>
      </w:r>
      <w:r>
        <w:rPr>
          <w:i/>
        </w:rPr>
        <w:t>Yarborough Production Company LLC v. Bret Merrick Saxon</w:t>
      </w:r>
      <w:r>
        <w:t xml:space="preserve">, </w:t>
      </w:r>
      <w:r w:rsidR="00E10595">
        <w:t xml:space="preserve">United States </w:t>
      </w:r>
      <w:r w:rsidRPr="00E10595">
        <w:t>Bankruptcy Court for the Central D</w:t>
      </w:r>
      <w:r w:rsidR="0061142A" w:rsidRPr="00E10595">
        <w:t>istrict of California</w:t>
      </w:r>
      <w:r w:rsidR="0061142A">
        <w:t>, November 30, 2013, case no. </w:t>
      </w:r>
      <w:r>
        <w:t>2:13-ap-02141-SK</w:t>
      </w:r>
      <w:r w:rsidR="0061142A">
        <w:t xml:space="preserve"> (t</w:t>
      </w:r>
      <w:r>
        <w:t>he Bankruptcy Action)</w:t>
      </w:r>
      <w:r w:rsidR="00B21393">
        <w:t>.</w:t>
      </w:r>
    </w:p>
  </w:footnote>
  <w:footnote w:id="5">
    <w:p w:rsidR="00667EE5" w:rsidRDefault="00667EE5" w:rsidP="00401591">
      <w:pPr>
        <w:pStyle w:val="TemplateFootnote"/>
      </w:pPr>
      <w:r>
        <w:rPr>
          <w:rStyle w:val="FootnoteReference"/>
        </w:rPr>
        <w:footnoteRef/>
      </w:r>
      <w:r w:rsidR="00502414">
        <w:t xml:space="preserve"> The record</w:t>
      </w:r>
      <w:r>
        <w:t xml:space="preserve"> is uncl</w:t>
      </w:r>
      <w:r w:rsidR="0061142A">
        <w:t xml:space="preserve">ear </w:t>
      </w:r>
      <w:r w:rsidR="00502414">
        <w:t>a</w:t>
      </w:r>
      <w:r w:rsidR="005B4B6E">
        <w:t>s to</w:t>
      </w:r>
      <w:r w:rsidR="00502414">
        <w:t xml:space="preserve"> whether</w:t>
      </w:r>
      <w:r w:rsidR="0061142A">
        <w:t xml:space="preserve"> the July </w:t>
      </w:r>
      <w:r>
        <w:t xml:space="preserve">17, 2019 status conference was conducted before or after the order </w:t>
      </w:r>
      <w:r w:rsidR="00B21393">
        <w:t xml:space="preserve">of the same date </w:t>
      </w:r>
      <w:r>
        <w:t xml:space="preserve">granting the motion to dismiss. </w:t>
      </w:r>
    </w:p>
  </w:footnote>
  <w:footnote w:id="6">
    <w:p w:rsidR="00667EE5" w:rsidRDefault="00667EE5">
      <w:pPr>
        <w:pStyle w:val="FootnoteText"/>
      </w:pPr>
      <w:r>
        <w:rPr>
          <w:rStyle w:val="FootnoteReference"/>
        </w:rPr>
        <w:footnoteRef/>
      </w:r>
      <w:r>
        <w:t xml:space="preserve"> All </w:t>
      </w:r>
      <w:r w:rsidR="004B3A87">
        <w:t xml:space="preserve">further </w:t>
      </w:r>
      <w:r>
        <w:t>references to section</w:t>
      </w:r>
      <w:r w:rsidR="004B3A87">
        <w:t>s</w:t>
      </w:r>
      <w:r>
        <w:t xml:space="preserve"> </w:t>
      </w:r>
      <w:r w:rsidR="004B3A87">
        <w:t>are</w:t>
      </w:r>
      <w:r>
        <w:t xml:space="preserve"> to this source, unless otherwise noted.</w:t>
      </w:r>
    </w:p>
  </w:footnote>
  <w:footnote w:id="7">
    <w:p w:rsidR="00667EE5" w:rsidRDefault="00667EE5" w:rsidP="009441A4">
      <w:pPr>
        <w:pStyle w:val="TemplateFootnote"/>
        <w:spacing w:after="0"/>
      </w:pPr>
      <w:r>
        <w:rPr>
          <w:rStyle w:val="FootnoteReference"/>
        </w:rPr>
        <w:footnoteRef/>
      </w:r>
      <w:r>
        <w:t xml:space="preserve"> </w:t>
      </w:r>
      <w:r w:rsidR="00B72A0C">
        <w:t>T</w:t>
      </w:r>
      <w:r>
        <w:t>he ANDC does not state the date the</w:t>
      </w:r>
      <w:r w:rsidR="00DD3C53">
        <w:t xml:space="preserve"> “production” ended, but rather</w:t>
      </w:r>
      <w:r>
        <w:t xml:space="preserve"> the date that the film was “released” which, by logical reasoning, would be after the date production ceased.  </w:t>
      </w:r>
      <w:r w:rsidR="00B848D2">
        <w:t>But</w:t>
      </w:r>
      <w:r>
        <w:t xml:space="preserve">, for purposes of determining whether the ANDC states a cause of action within the period of limitations, this is sufficient to allege that the production was completed in 2014.  </w:t>
      </w:r>
      <w:r w:rsidR="00B848D2">
        <w:t>However</w:t>
      </w:r>
      <w:r>
        <w:t>, we note that Saxon’s P</w:t>
      </w:r>
      <w:r w:rsidR="006623CA">
        <w:t xml:space="preserve">retrial Statement filed in the Hearing Department on March 26, 2019, clarifies at page five </w:t>
      </w:r>
      <w:r>
        <w:t>that “</w:t>
      </w:r>
      <w:r w:rsidR="006623CA">
        <w:t xml:space="preserve">. . . </w:t>
      </w:r>
      <w:r>
        <w:t xml:space="preserve">the movie cost $3,000,000.00 to produce, </w:t>
      </w:r>
      <w:r>
        <w:rPr>
          <w:i/>
        </w:rPr>
        <w:t>and was produced in 2014</w:t>
      </w:r>
      <w:r>
        <w:t xml:space="preserve">.”  </w:t>
      </w:r>
      <w:r w:rsidR="00822A7B">
        <w:t xml:space="preserve">(Italics added.)  </w:t>
      </w:r>
      <w:r>
        <w:t>This document is part of the record on appeal and ca</w:t>
      </w:r>
      <w:r w:rsidR="00C35326">
        <w:t>n be judicially noticed by the H</w:t>
      </w:r>
      <w:r>
        <w:t xml:space="preserve">earing </w:t>
      </w:r>
      <w:r w:rsidR="00C35326">
        <w:t>D</w:t>
      </w:r>
      <w:r>
        <w:t xml:space="preserve">epartment.  It would be Saxon’s burden on remand to prove the facts to show a rule of limitation </w:t>
      </w:r>
      <w:r w:rsidR="00ED1A67">
        <w:t xml:space="preserve">applies.  </w:t>
      </w:r>
      <w:r>
        <w:t>(</w:t>
      </w:r>
      <w:proofErr w:type="spellStart"/>
      <w:r>
        <w:t>Evid</w:t>
      </w:r>
      <w:proofErr w:type="spellEnd"/>
      <w:r>
        <w:t>. Code, §</w:t>
      </w:r>
      <w:r w:rsidR="00C35326">
        <w:t> </w:t>
      </w:r>
      <w:r>
        <w:t xml:space="preserve">500; </w:t>
      </w:r>
      <w:r>
        <w:rPr>
          <w:i/>
        </w:rPr>
        <w:t>In the Matter of Wolff</w:t>
      </w:r>
      <w:r>
        <w:t xml:space="preserve"> (Review Dept. 2006) 5</w:t>
      </w:r>
      <w:r w:rsidR="00C35326">
        <w:t> </w:t>
      </w:r>
      <w:r>
        <w:t>Cal. State Bar Ct. Rptr. 1, 8</w:t>
      </w:r>
      <w:r w:rsidR="005964DE">
        <w:t>–</w:t>
      </w:r>
      <w:r w:rsidR="00AA229E">
        <w:t>9; s</w:t>
      </w:r>
      <w:r>
        <w:t xml:space="preserve">ee also </w:t>
      </w:r>
      <w:r>
        <w:rPr>
          <w:i/>
        </w:rPr>
        <w:t>Guardian North Bay, Inc. v. Superior Court</w:t>
      </w:r>
      <w:r>
        <w:t xml:space="preserve"> (2001)</w:t>
      </w:r>
      <w:r w:rsidR="005964DE">
        <w:t xml:space="preserve"> 94 </w:t>
      </w:r>
      <w:r>
        <w:t>Cal.App.4</w:t>
      </w:r>
      <w:r w:rsidR="005964DE">
        <w:t>th</w:t>
      </w:r>
      <w:r w:rsidR="005C4F41">
        <w:t xml:space="preserve"> 963, 971–972</w:t>
      </w:r>
      <w:r w:rsidR="002352F7">
        <w:t xml:space="preserve"> </w:t>
      </w:r>
      <w:r>
        <w:t xml:space="preserve">[in demurrer based on statute of limitations, defect must clearly and affirmatively appear on face of complaint; not enough that complaint shows that action </w:t>
      </w:r>
      <w:r w:rsidRPr="008001E2">
        <w:rPr>
          <w:i/>
        </w:rPr>
        <w:t>may</w:t>
      </w:r>
      <w:r w:rsidR="002352F7">
        <w:t xml:space="preserve"> be barred</w:t>
      </w:r>
      <w:r>
        <w:t xml:space="preserve">].)  </w:t>
      </w:r>
    </w:p>
  </w:footnote>
  <w:footnote w:id="8">
    <w:p w:rsidR="00667EE5" w:rsidRDefault="00667EE5">
      <w:pPr>
        <w:pStyle w:val="FootnoteText"/>
      </w:pPr>
      <w:r>
        <w:rPr>
          <w:rStyle w:val="FootnoteReference"/>
        </w:rPr>
        <w:footnoteRef/>
      </w:r>
      <w:r>
        <w:t xml:space="preserve"> Arguments raised </w:t>
      </w:r>
      <w:r w:rsidR="00496CDF">
        <w:t>and</w:t>
      </w:r>
      <w:r>
        <w:t xml:space="preserve"> addressed earlier in this opinion will not be discussed again</w:t>
      </w:r>
      <w:r w:rsidRPr="005964DE">
        <w:t>.</w:t>
      </w:r>
      <w:r w:rsidR="005964DE">
        <w:t xml:space="preserve">  </w:t>
      </w:r>
      <w:r w:rsidR="00F23059" w:rsidRPr="005964DE">
        <w:t xml:space="preserve">Other arguments </w:t>
      </w:r>
      <w:r w:rsidR="00496CDF">
        <w:t xml:space="preserve">that Saxon has </w:t>
      </w:r>
      <w:r w:rsidR="00F23059" w:rsidRPr="005964DE">
        <w:t>raised</w:t>
      </w:r>
      <w:r w:rsidR="00496CDF">
        <w:t>,</w:t>
      </w:r>
      <w:r w:rsidR="00F23059" w:rsidRPr="005964DE">
        <w:t xml:space="preserve"> </w:t>
      </w:r>
      <w:r w:rsidR="00496CDF">
        <w:t>and we have not specifically discussed,</w:t>
      </w:r>
      <w:r w:rsidR="00F23059" w:rsidRPr="005964DE">
        <w:t xml:space="preserve"> have been considered and rejected as without merit.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A4C09"/>
    <w:multiLevelType w:val="hybridMultilevel"/>
    <w:tmpl w:val="B84E2BE2"/>
    <w:lvl w:ilvl="0" w:tplc="9FAE43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5">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71DF6"/>
    <w:multiLevelType w:val="hybridMultilevel"/>
    <w:tmpl w:val="64AC9658"/>
    <w:lvl w:ilvl="0" w:tplc="EA960C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9">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C2C69"/>
    <w:multiLevelType w:val="hybridMultilevel"/>
    <w:tmpl w:val="1E18C40E"/>
    <w:lvl w:ilvl="0" w:tplc="0F5A65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nsid w:val="3FC77BB4"/>
    <w:multiLevelType w:val="hybridMultilevel"/>
    <w:tmpl w:val="22964BDC"/>
    <w:lvl w:ilvl="0" w:tplc="C9D0A3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64178"/>
    <w:multiLevelType w:val="hybridMultilevel"/>
    <w:tmpl w:val="BDF4C37C"/>
    <w:lvl w:ilvl="0" w:tplc="61742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6"/>
  </w:num>
  <w:num w:numId="2">
    <w:abstractNumId w:val="15"/>
  </w:num>
  <w:num w:numId="3">
    <w:abstractNumId w:val="6"/>
  </w:num>
  <w:num w:numId="4">
    <w:abstractNumId w:val="22"/>
  </w:num>
  <w:num w:numId="5">
    <w:abstractNumId w:val="5"/>
  </w:num>
  <w:num w:numId="6">
    <w:abstractNumId w:val="17"/>
  </w:num>
  <w:num w:numId="7">
    <w:abstractNumId w:val="10"/>
  </w:num>
  <w:num w:numId="8">
    <w:abstractNumId w:val="9"/>
  </w:num>
  <w:num w:numId="9">
    <w:abstractNumId w:val="20"/>
  </w:num>
  <w:num w:numId="10">
    <w:abstractNumId w:val="19"/>
  </w:num>
  <w:num w:numId="11">
    <w:abstractNumId w:val="13"/>
  </w:num>
  <w:num w:numId="12">
    <w:abstractNumId w:val="8"/>
  </w:num>
  <w:num w:numId="13">
    <w:abstractNumId w:val="25"/>
  </w:num>
  <w:num w:numId="14">
    <w:abstractNumId w:val="21"/>
  </w:num>
  <w:num w:numId="15">
    <w:abstractNumId w:val="12"/>
  </w:num>
  <w:num w:numId="16">
    <w:abstractNumId w:val="4"/>
  </w:num>
  <w:num w:numId="17">
    <w:abstractNumId w:val="0"/>
  </w:num>
  <w:num w:numId="18">
    <w:abstractNumId w:val="24"/>
  </w:num>
  <w:num w:numId="19">
    <w:abstractNumId w:val="1"/>
  </w:num>
  <w:num w:numId="20">
    <w:abstractNumId w:val="3"/>
  </w:num>
  <w:num w:numId="21">
    <w:abstractNumId w:val="23"/>
  </w:num>
  <w:num w:numId="22">
    <w:abstractNumId w:val="7"/>
  </w:num>
  <w:num w:numId="23">
    <w:abstractNumId w:val="14"/>
  </w:num>
  <w:num w:numId="24">
    <w:abstractNumId w:val="2"/>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567"/>
    <w:rsid w:val="00000289"/>
    <w:rsid w:val="00007E5F"/>
    <w:rsid w:val="00010156"/>
    <w:rsid w:val="000161FD"/>
    <w:rsid w:val="00017A2E"/>
    <w:rsid w:val="00027125"/>
    <w:rsid w:val="00030E4E"/>
    <w:rsid w:val="0003339E"/>
    <w:rsid w:val="00037E91"/>
    <w:rsid w:val="000432A2"/>
    <w:rsid w:val="0004435B"/>
    <w:rsid w:val="000449F5"/>
    <w:rsid w:val="00050DBB"/>
    <w:rsid w:val="00054A14"/>
    <w:rsid w:val="00055C8A"/>
    <w:rsid w:val="00056D84"/>
    <w:rsid w:val="00062104"/>
    <w:rsid w:val="00065A44"/>
    <w:rsid w:val="000711BA"/>
    <w:rsid w:val="000721C2"/>
    <w:rsid w:val="00073E72"/>
    <w:rsid w:val="00073F2E"/>
    <w:rsid w:val="00075655"/>
    <w:rsid w:val="00076FB9"/>
    <w:rsid w:val="00077569"/>
    <w:rsid w:val="000910D3"/>
    <w:rsid w:val="00092189"/>
    <w:rsid w:val="000942EC"/>
    <w:rsid w:val="00094EE1"/>
    <w:rsid w:val="000A4C05"/>
    <w:rsid w:val="000A4C76"/>
    <w:rsid w:val="000A5822"/>
    <w:rsid w:val="000A6F7F"/>
    <w:rsid w:val="000B1341"/>
    <w:rsid w:val="000B3BA7"/>
    <w:rsid w:val="000B4AAB"/>
    <w:rsid w:val="000B62CD"/>
    <w:rsid w:val="000C2015"/>
    <w:rsid w:val="000C2420"/>
    <w:rsid w:val="000C4D16"/>
    <w:rsid w:val="000C6125"/>
    <w:rsid w:val="000D2272"/>
    <w:rsid w:val="000E0A7C"/>
    <w:rsid w:val="000E23F8"/>
    <w:rsid w:val="000F11E0"/>
    <w:rsid w:val="000F4FAC"/>
    <w:rsid w:val="00100B11"/>
    <w:rsid w:val="00100C5C"/>
    <w:rsid w:val="001060F4"/>
    <w:rsid w:val="00126D23"/>
    <w:rsid w:val="00130083"/>
    <w:rsid w:val="0013606B"/>
    <w:rsid w:val="00143628"/>
    <w:rsid w:val="001439B5"/>
    <w:rsid w:val="00147337"/>
    <w:rsid w:val="0015497C"/>
    <w:rsid w:val="00160894"/>
    <w:rsid w:val="001633B2"/>
    <w:rsid w:val="00165964"/>
    <w:rsid w:val="00166145"/>
    <w:rsid w:val="00175568"/>
    <w:rsid w:val="00175CD3"/>
    <w:rsid w:val="00182BEC"/>
    <w:rsid w:val="00191EA9"/>
    <w:rsid w:val="001A3082"/>
    <w:rsid w:val="001A6CD9"/>
    <w:rsid w:val="001B0733"/>
    <w:rsid w:val="001B12A4"/>
    <w:rsid w:val="001B208B"/>
    <w:rsid w:val="001B21E7"/>
    <w:rsid w:val="001B2F99"/>
    <w:rsid w:val="001B3B9E"/>
    <w:rsid w:val="001C0964"/>
    <w:rsid w:val="001C495F"/>
    <w:rsid w:val="001D1A0D"/>
    <w:rsid w:val="001D3A28"/>
    <w:rsid w:val="001D5382"/>
    <w:rsid w:val="001D69C0"/>
    <w:rsid w:val="001D7AF8"/>
    <w:rsid w:val="001E595A"/>
    <w:rsid w:val="001E5A9B"/>
    <w:rsid w:val="001E64A0"/>
    <w:rsid w:val="001F77ED"/>
    <w:rsid w:val="00203644"/>
    <w:rsid w:val="00212599"/>
    <w:rsid w:val="00212681"/>
    <w:rsid w:val="00215571"/>
    <w:rsid w:val="00220C92"/>
    <w:rsid w:val="00220D81"/>
    <w:rsid w:val="00223504"/>
    <w:rsid w:val="00223BF0"/>
    <w:rsid w:val="0023336C"/>
    <w:rsid w:val="00234D03"/>
    <w:rsid w:val="002352F7"/>
    <w:rsid w:val="0023766E"/>
    <w:rsid w:val="0024299E"/>
    <w:rsid w:val="00243A9D"/>
    <w:rsid w:val="00244A80"/>
    <w:rsid w:val="002464C0"/>
    <w:rsid w:val="002508B4"/>
    <w:rsid w:val="002518C1"/>
    <w:rsid w:val="00252C67"/>
    <w:rsid w:val="00262BD9"/>
    <w:rsid w:val="00273415"/>
    <w:rsid w:val="0028625D"/>
    <w:rsid w:val="00293579"/>
    <w:rsid w:val="00294ADE"/>
    <w:rsid w:val="00297DF5"/>
    <w:rsid w:val="002A010C"/>
    <w:rsid w:val="002A01DB"/>
    <w:rsid w:val="002A535A"/>
    <w:rsid w:val="002B1098"/>
    <w:rsid w:val="002B450D"/>
    <w:rsid w:val="002B50DD"/>
    <w:rsid w:val="002C1AFA"/>
    <w:rsid w:val="002C1DF8"/>
    <w:rsid w:val="002C3213"/>
    <w:rsid w:val="002C7A0D"/>
    <w:rsid w:val="002D32F8"/>
    <w:rsid w:val="002D5181"/>
    <w:rsid w:val="002D5A51"/>
    <w:rsid w:val="002D68FB"/>
    <w:rsid w:val="002E6394"/>
    <w:rsid w:val="002F3A97"/>
    <w:rsid w:val="002F3BFA"/>
    <w:rsid w:val="002F45AA"/>
    <w:rsid w:val="002F718F"/>
    <w:rsid w:val="003033DF"/>
    <w:rsid w:val="00311270"/>
    <w:rsid w:val="00311340"/>
    <w:rsid w:val="00312B44"/>
    <w:rsid w:val="0031407D"/>
    <w:rsid w:val="00315007"/>
    <w:rsid w:val="00315B5B"/>
    <w:rsid w:val="003209BE"/>
    <w:rsid w:val="003236DD"/>
    <w:rsid w:val="003313E4"/>
    <w:rsid w:val="003355F7"/>
    <w:rsid w:val="00337EC9"/>
    <w:rsid w:val="00342159"/>
    <w:rsid w:val="003427DA"/>
    <w:rsid w:val="00343BC2"/>
    <w:rsid w:val="00345541"/>
    <w:rsid w:val="0035432F"/>
    <w:rsid w:val="0035533F"/>
    <w:rsid w:val="003569C9"/>
    <w:rsid w:val="00357051"/>
    <w:rsid w:val="00357ED2"/>
    <w:rsid w:val="00360DFE"/>
    <w:rsid w:val="00364BE3"/>
    <w:rsid w:val="00364C87"/>
    <w:rsid w:val="0036693B"/>
    <w:rsid w:val="00367461"/>
    <w:rsid w:val="00374340"/>
    <w:rsid w:val="00376A30"/>
    <w:rsid w:val="00382790"/>
    <w:rsid w:val="00385948"/>
    <w:rsid w:val="003866BD"/>
    <w:rsid w:val="00393111"/>
    <w:rsid w:val="0039700B"/>
    <w:rsid w:val="003A023F"/>
    <w:rsid w:val="003A5F40"/>
    <w:rsid w:val="003B3E9F"/>
    <w:rsid w:val="003C1294"/>
    <w:rsid w:val="003C3CEC"/>
    <w:rsid w:val="003D09FD"/>
    <w:rsid w:val="003D41D0"/>
    <w:rsid w:val="003D7D88"/>
    <w:rsid w:val="003E2BE1"/>
    <w:rsid w:val="003F06DF"/>
    <w:rsid w:val="003F5A0E"/>
    <w:rsid w:val="003F76A5"/>
    <w:rsid w:val="00401591"/>
    <w:rsid w:val="00411230"/>
    <w:rsid w:val="00413D5D"/>
    <w:rsid w:val="00415A9C"/>
    <w:rsid w:val="00426015"/>
    <w:rsid w:val="00427A84"/>
    <w:rsid w:val="004330DE"/>
    <w:rsid w:val="00434102"/>
    <w:rsid w:val="004346ED"/>
    <w:rsid w:val="00434FA7"/>
    <w:rsid w:val="00435B61"/>
    <w:rsid w:val="00452980"/>
    <w:rsid w:val="00453603"/>
    <w:rsid w:val="004565B8"/>
    <w:rsid w:val="00462110"/>
    <w:rsid w:val="004738F0"/>
    <w:rsid w:val="00474987"/>
    <w:rsid w:val="00482FCD"/>
    <w:rsid w:val="0048479B"/>
    <w:rsid w:val="00486056"/>
    <w:rsid w:val="004953D5"/>
    <w:rsid w:val="00496CDF"/>
    <w:rsid w:val="004B3A87"/>
    <w:rsid w:val="004C34E5"/>
    <w:rsid w:val="004C6A45"/>
    <w:rsid w:val="004D32E9"/>
    <w:rsid w:val="004D67A5"/>
    <w:rsid w:val="004D67F7"/>
    <w:rsid w:val="004E0D84"/>
    <w:rsid w:val="004E58D0"/>
    <w:rsid w:val="004E5AF4"/>
    <w:rsid w:val="004F4322"/>
    <w:rsid w:val="004F4F91"/>
    <w:rsid w:val="004F5702"/>
    <w:rsid w:val="004F622B"/>
    <w:rsid w:val="005008C5"/>
    <w:rsid w:val="00502414"/>
    <w:rsid w:val="00507BA9"/>
    <w:rsid w:val="005138BC"/>
    <w:rsid w:val="0051453C"/>
    <w:rsid w:val="00514D79"/>
    <w:rsid w:val="00521348"/>
    <w:rsid w:val="00523DDD"/>
    <w:rsid w:val="00532249"/>
    <w:rsid w:val="00532EA2"/>
    <w:rsid w:val="005420BE"/>
    <w:rsid w:val="00546CD9"/>
    <w:rsid w:val="005474F1"/>
    <w:rsid w:val="005500D8"/>
    <w:rsid w:val="005539CE"/>
    <w:rsid w:val="00560ED4"/>
    <w:rsid w:val="00567D95"/>
    <w:rsid w:val="00570C3E"/>
    <w:rsid w:val="005722F8"/>
    <w:rsid w:val="005725C7"/>
    <w:rsid w:val="00581943"/>
    <w:rsid w:val="00581B64"/>
    <w:rsid w:val="00586374"/>
    <w:rsid w:val="00591ED1"/>
    <w:rsid w:val="005964DE"/>
    <w:rsid w:val="005B4B6E"/>
    <w:rsid w:val="005C17BF"/>
    <w:rsid w:val="005C23C2"/>
    <w:rsid w:val="005C4F41"/>
    <w:rsid w:val="005E0349"/>
    <w:rsid w:val="005E15B6"/>
    <w:rsid w:val="005E1B76"/>
    <w:rsid w:val="005E79F7"/>
    <w:rsid w:val="005F17DC"/>
    <w:rsid w:val="005F67A8"/>
    <w:rsid w:val="006024F7"/>
    <w:rsid w:val="00602E9B"/>
    <w:rsid w:val="00605473"/>
    <w:rsid w:val="006102C0"/>
    <w:rsid w:val="0061142A"/>
    <w:rsid w:val="0061274E"/>
    <w:rsid w:val="006138F4"/>
    <w:rsid w:val="0061561A"/>
    <w:rsid w:val="0062022B"/>
    <w:rsid w:val="00621E51"/>
    <w:rsid w:val="00625BF1"/>
    <w:rsid w:val="00633904"/>
    <w:rsid w:val="00633FF9"/>
    <w:rsid w:val="00636558"/>
    <w:rsid w:val="00636DEC"/>
    <w:rsid w:val="00642191"/>
    <w:rsid w:val="00643332"/>
    <w:rsid w:val="006451AC"/>
    <w:rsid w:val="006476AD"/>
    <w:rsid w:val="0065009F"/>
    <w:rsid w:val="00650E13"/>
    <w:rsid w:val="00651EB4"/>
    <w:rsid w:val="006548E0"/>
    <w:rsid w:val="006551E9"/>
    <w:rsid w:val="00661806"/>
    <w:rsid w:val="00661C97"/>
    <w:rsid w:val="006623CA"/>
    <w:rsid w:val="0066364A"/>
    <w:rsid w:val="00667DC8"/>
    <w:rsid w:val="00667EE5"/>
    <w:rsid w:val="00672C77"/>
    <w:rsid w:val="00673F29"/>
    <w:rsid w:val="00674101"/>
    <w:rsid w:val="00675177"/>
    <w:rsid w:val="006802C8"/>
    <w:rsid w:val="00685976"/>
    <w:rsid w:val="00686F2C"/>
    <w:rsid w:val="006876CA"/>
    <w:rsid w:val="006911CC"/>
    <w:rsid w:val="0069330E"/>
    <w:rsid w:val="00696F60"/>
    <w:rsid w:val="006A2B58"/>
    <w:rsid w:val="006A3567"/>
    <w:rsid w:val="006A3C4D"/>
    <w:rsid w:val="006B0A93"/>
    <w:rsid w:val="006B1E21"/>
    <w:rsid w:val="006B3460"/>
    <w:rsid w:val="006B6AC7"/>
    <w:rsid w:val="006C143A"/>
    <w:rsid w:val="006E0A41"/>
    <w:rsid w:val="006E3CC4"/>
    <w:rsid w:val="006E7BB0"/>
    <w:rsid w:val="006F0A5D"/>
    <w:rsid w:val="006F4667"/>
    <w:rsid w:val="00702FE3"/>
    <w:rsid w:val="007076D9"/>
    <w:rsid w:val="00712C19"/>
    <w:rsid w:val="007152B1"/>
    <w:rsid w:val="00717F75"/>
    <w:rsid w:val="007225F1"/>
    <w:rsid w:val="00722C7A"/>
    <w:rsid w:val="00727886"/>
    <w:rsid w:val="00730B4C"/>
    <w:rsid w:val="007314DC"/>
    <w:rsid w:val="00734C96"/>
    <w:rsid w:val="00735FF8"/>
    <w:rsid w:val="00737EB7"/>
    <w:rsid w:val="007408AA"/>
    <w:rsid w:val="00741B93"/>
    <w:rsid w:val="0074426B"/>
    <w:rsid w:val="007505F9"/>
    <w:rsid w:val="007616FE"/>
    <w:rsid w:val="00762797"/>
    <w:rsid w:val="00763312"/>
    <w:rsid w:val="00767C07"/>
    <w:rsid w:val="00776B44"/>
    <w:rsid w:val="00777A09"/>
    <w:rsid w:val="0078319E"/>
    <w:rsid w:val="0078525B"/>
    <w:rsid w:val="00787168"/>
    <w:rsid w:val="0079450C"/>
    <w:rsid w:val="0079487D"/>
    <w:rsid w:val="00794D8A"/>
    <w:rsid w:val="00795963"/>
    <w:rsid w:val="00795C5F"/>
    <w:rsid w:val="007A162D"/>
    <w:rsid w:val="007B3BC3"/>
    <w:rsid w:val="007B621A"/>
    <w:rsid w:val="007C2176"/>
    <w:rsid w:val="007C26E8"/>
    <w:rsid w:val="007C3931"/>
    <w:rsid w:val="007C51AD"/>
    <w:rsid w:val="007D0D35"/>
    <w:rsid w:val="007D4F7C"/>
    <w:rsid w:val="007E1C4E"/>
    <w:rsid w:val="007E5547"/>
    <w:rsid w:val="007E73D5"/>
    <w:rsid w:val="007E761D"/>
    <w:rsid w:val="007F1112"/>
    <w:rsid w:val="008001E2"/>
    <w:rsid w:val="00800373"/>
    <w:rsid w:val="00801FC7"/>
    <w:rsid w:val="00806261"/>
    <w:rsid w:val="008068A4"/>
    <w:rsid w:val="008109A8"/>
    <w:rsid w:val="00812E41"/>
    <w:rsid w:val="00813125"/>
    <w:rsid w:val="00813221"/>
    <w:rsid w:val="008134EE"/>
    <w:rsid w:val="00815347"/>
    <w:rsid w:val="0081681B"/>
    <w:rsid w:val="00822A7B"/>
    <w:rsid w:val="00824E47"/>
    <w:rsid w:val="00825E21"/>
    <w:rsid w:val="008267B0"/>
    <w:rsid w:val="00832223"/>
    <w:rsid w:val="00841E3C"/>
    <w:rsid w:val="0084324A"/>
    <w:rsid w:val="00846EF0"/>
    <w:rsid w:val="00853CF6"/>
    <w:rsid w:val="00856798"/>
    <w:rsid w:val="008726CB"/>
    <w:rsid w:val="00876CA8"/>
    <w:rsid w:val="00885EA7"/>
    <w:rsid w:val="00890EB8"/>
    <w:rsid w:val="00894EDF"/>
    <w:rsid w:val="00895725"/>
    <w:rsid w:val="00895752"/>
    <w:rsid w:val="008B02F1"/>
    <w:rsid w:val="008B0939"/>
    <w:rsid w:val="008B522C"/>
    <w:rsid w:val="008B7ECF"/>
    <w:rsid w:val="008C07A6"/>
    <w:rsid w:val="008C2C2D"/>
    <w:rsid w:val="008C347B"/>
    <w:rsid w:val="008D6952"/>
    <w:rsid w:val="008F3162"/>
    <w:rsid w:val="008F3F45"/>
    <w:rsid w:val="008F6916"/>
    <w:rsid w:val="00900F49"/>
    <w:rsid w:val="009033E7"/>
    <w:rsid w:val="00903787"/>
    <w:rsid w:val="00910128"/>
    <w:rsid w:val="00913027"/>
    <w:rsid w:val="009134D6"/>
    <w:rsid w:val="009163D2"/>
    <w:rsid w:val="00920AF5"/>
    <w:rsid w:val="0092580A"/>
    <w:rsid w:val="00940561"/>
    <w:rsid w:val="00941E72"/>
    <w:rsid w:val="009422FE"/>
    <w:rsid w:val="00942D65"/>
    <w:rsid w:val="009441A4"/>
    <w:rsid w:val="0094519A"/>
    <w:rsid w:val="009512D4"/>
    <w:rsid w:val="00953C3C"/>
    <w:rsid w:val="00956ED8"/>
    <w:rsid w:val="009608A1"/>
    <w:rsid w:val="0096688C"/>
    <w:rsid w:val="009742D2"/>
    <w:rsid w:val="009755C6"/>
    <w:rsid w:val="009809BB"/>
    <w:rsid w:val="00984C7A"/>
    <w:rsid w:val="00986021"/>
    <w:rsid w:val="00987A6C"/>
    <w:rsid w:val="0099101B"/>
    <w:rsid w:val="009919A6"/>
    <w:rsid w:val="00994B00"/>
    <w:rsid w:val="009A4A12"/>
    <w:rsid w:val="009A5CB7"/>
    <w:rsid w:val="009B0F59"/>
    <w:rsid w:val="009B3CBF"/>
    <w:rsid w:val="009B4736"/>
    <w:rsid w:val="009C3229"/>
    <w:rsid w:val="009C6992"/>
    <w:rsid w:val="009C7D67"/>
    <w:rsid w:val="009D1BB3"/>
    <w:rsid w:val="009D3537"/>
    <w:rsid w:val="009D7334"/>
    <w:rsid w:val="009E45E7"/>
    <w:rsid w:val="009E7736"/>
    <w:rsid w:val="009F1FA6"/>
    <w:rsid w:val="009F40A3"/>
    <w:rsid w:val="009F4311"/>
    <w:rsid w:val="009F5A37"/>
    <w:rsid w:val="009F6CAD"/>
    <w:rsid w:val="00A00B62"/>
    <w:rsid w:val="00A01856"/>
    <w:rsid w:val="00A07BB4"/>
    <w:rsid w:val="00A11DE0"/>
    <w:rsid w:val="00A137C1"/>
    <w:rsid w:val="00A14755"/>
    <w:rsid w:val="00A15EFA"/>
    <w:rsid w:val="00A23F54"/>
    <w:rsid w:val="00A43E7F"/>
    <w:rsid w:val="00A45E35"/>
    <w:rsid w:val="00A47373"/>
    <w:rsid w:val="00A61E68"/>
    <w:rsid w:val="00A6268E"/>
    <w:rsid w:val="00A649AA"/>
    <w:rsid w:val="00A71CEA"/>
    <w:rsid w:val="00A728C9"/>
    <w:rsid w:val="00A81089"/>
    <w:rsid w:val="00A850A7"/>
    <w:rsid w:val="00A905BB"/>
    <w:rsid w:val="00A94B9A"/>
    <w:rsid w:val="00A95BD5"/>
    <w:rsid w:val="00A965CB"/>
    <w:rsid w:val="00AA229E"/>
    <w:rsid w:val="00AA68E9"/>
    <w:rsid w:val="00AB35B6"/>
    <w:rsid w:val="00AB3E5F"/>
    <w:rsid w:val="00AB4025"/>
    <w:rsid w:val="00AB4B18"/>
    <w:rsid w:val="00AB4E4C"/>
    <w:rsid w:val="00AC113C"/>
    <w:rsid w:val="00AD239F"/>
    <w:rsid w:val="00AD2C00"/>
    <w:rsid w:val="00AD5B75"/>
    <w:rsid w:val="00AD6623"/>
    <w:rsid w:val="00AE3B5D"/>
    <w:rsid w:val="00AF0D46"/>
    <w:rsid w:val="00AF41B2"/>
    <w:rsid w:val="00AF6E7B"/>
    <w:rsid w:val="00AF7121"/>
    <w:rsid w:val="00B01827"/>
    <w:rsid w:val="00B041BE"/>
    <w:rsid w:val="00B05097"/>
    <w:rsid w:val="00B05826"/>
    <w:rsid w:val="00B15301"/>
    <w:rsid w:val="00B154C0"/>
    <w:rsid w:val="00B20AF5"/>
    <w:rsid w:val="00B21393"/>
    <w:rsid w:val="00B228E9"/>
    <w:rsid w:val="00B231E1"/>
    <w:rsid w:val="00B2507A"/>
    <w:rsid w:val="00B278E3"/>
    <w:rsid w:val="00B303F9"/>
    <w:rsid w:val="00B3058F"/>
    <w:rsid w:val="00B314EA"/>
    <w:rsid w:val="00B34410"/>
    <w:rsid w:val="00B431BD"/>
    <w:rsid w:val="00B616EE"/>
    <w:rsid w:val="00B705D6"/>
    <w:rsid w:val="00B72A0C"/>
    <w:rsid w:val="00B73617"/>
    <w:rsid w:val="00B76F6A"/>
    <w:rsid w:val="00B848D2"/>
    <w:rsid w:val="00B87B3C"/>
    <w:rsid w:val="00B910DF"/>
    <w:rsid w:val="00B9152E"/>
    <w:rsid w:val="00BA7C50"/>
    <w:rsid w:val="00BB18BD"/>
    <w:rsid w:val="00BB62C6"/>
    <w:rsid w:val="00BC25F4"/>
    <w:rsid w:val="00BC53C2"/>
    <w:rsid w:val="00BD0653"/>
    <w:rsid w:val="00BD430D"/>
    <w:rsid w:val="00BD6FE3"/>
    <w:rsid w:val="00BE1FBF"/>
    <w:rsid w:val="00BE62A0"/>
    <w:rsid w:val="00BF098A"/>
    <w:rsid w:val="00BF1881"/>
    <w:rsid w:val="00BF2907"/>
    <w:rsid w:val="00BF2BDD"/>
    <w:rsid w:val="00BF3217"/>
    <w:rsid w:val="00BF38AA"/>
    <w:rsid w:val="00BF562D"/>
    <w:rsid w:val="00BF7240"/>
    <w:rsid w:val="00C001C7"/>
    <w:rsid w:val="00C00951"/>
    <w:rsid w:val="00C13F27"/>
    <w:rsid w:val="00C21574"/>
    <w:rsid w:val="00C21EB3"/>
    <w:rsid w:val="00C2306D"/>
    <w:rsid w:val="00C23E33"/>
    <w:rsid w:val="00C2496B"/>
    <w:rsid w:val="00C31B79"/>
    <w:rsid w:val="00C35326"/>
    <w:rsid w:val="00C35654"/>
    <w:rsid w:val="00C42566"/>
    <w:rsid w:val="00C44D74"/>
    <w:rsid w:val="00C54FC9"/>
    <w:rsid w:val="00C615AF"/>
    <w:rsid w:val="00C66563"/>
    <w:rsid w:val="00C71E83"/>
    <w:rsid w:val="00C740F9"/>
    <w:rsid w:val="00C74195"/>
    <w:rsid w:val="00C77164"/>
    <w:rsid w:val="00C85F80"/>
    <w:rsid w:val="00C9774C"/>
    <w:rsid w:val="00CA0073"/>
    <w:rsid w:val="00CA1595"/>
    <w:rsid w:val="00CA245C"/>
    <w:rsid w:val="00CA32D8"/>
    <w:rsid w:val="00CA4DD9"/>
    <w:rsid w:val="00CB160E"/>
    <w:rsid w:val="00CB44B3"/>
    <w:rsid w:val="00CB4820"/>
    <w:rsid w:val="00CB48CC"/>
    <w:rsid w:val="00CB7057"/>
    <w:rsid w:val="00CB7D2E"/>
    <w:rsid w:val="00CC3C94"/>
    <w:rsid w:val="00CC47FE"/>
    <w:rsid w:val="00CC745A"/>
    <w:rsid w:val="00CD59B9"/>
    <w:rsid w:val="00CD77F9"/>
    <w:rsid w:val="00CE0675"/>
    <w:rsid w:val="00CE23D4"/>
    <w:rsid w:val="00CE240E"/>
    <w:rsid w:val="00CE4699"/>
    <w:rsid w:val="00CE5CA0"/>
    <w:rsid w:val="00CE6DDF"/>
    <w:rsid w:val="00CF0BC6"/>
    <w:rsid w:val="00CF3379"/>
    <w:rsid w:val="00CF3583"/>
    <w:rsid w:val="00CF3CFA"/>
    <w:rsid w:val="00CF4D3C"/>
    <w:rsid w:val="00CF5D98"/>
    <w:rsid w:val="00CF62CA"/>
    <w:rsid w:val="00D024DE"/>
    <w:rsid w:val="00D048B7"/>
    <w:rsid w:val="00D050F9"/>
    <w:rsid w:val="00D15006"/>
    <w:rsid w:val="00D1739D"/>
    <w:rsid w:val="00D272A5"/>
    <w:rsid w:val="00D27D0C"/>
    <w:rsid w:val="00D3348C"/>
    <w:rsid w:val="00D35EE0"/>
    <w:rsid w:val="00D41404"/>
    <w:rsid w:val="00D424A5"/>
    <w:rsid w:val="00D447AF"/>
    <w:rsid w:val="00D44B89"/>
    <w:rsid w:val="00D4759C"/>
    <w:rsid w:val="00D47B64"/>
    <w:rsid w:val="00D51026"/>
    <w:rsid w:val="00D5139E"/>
    <w:rsid w:val="00D51788"/>
    <w:rsid w:val="00D56363"/>
    <w:rsid w:val="00D6119E"/>
    <w:rsid w:val="00D6363C"/>
    <w:rsid w:val="00D65636"/>
    <w:rsid w:val="00D65AD8"/>
    <w:rsid w:val="00D65F86"/>
    <w:rsid w:val="00D663D5"/>
    <w:rsid w:val="00D66666"/>
    <w:rsid w:val="00D70E17"/>
    <w:rsid w:val="00D759E7"/>
    <w:rsid w:val="00D81782"/>
    <w:rsid w:val="00D81C2B"/>
    <w:rsid w:val="00D91868"/>
    <w:rsid w:val="00D930D9"/>
    <w:rsid w:val="00D96EC6"/>
    <w:rsid w:val="00DA0000"/>
    <w:rsid w:val="00DA1FEF"/>
    <w:rsid w:val="00DA3709"/>
    <w:rsid w:val="00DA6A9C"/>
    <w:rsid w:val="00DB7BB8"/>
    <w:rsid w:val="00DB7DA1"/>
    <w:rsid w:val="00DC5622"/>
    <w:rsid w:val="00DD2171"/>
    <w:rsid w:val="00DD3918"/>
    <w:rsid w:val="00DD3C53"/>
    <w:rsid w:val="00DD685A"/>
    <w:rsid w:val="00DD68AA"/>
    <w:rsid w:val="00DE182F"/>
    <w:rsid w:val="00DE25A4"/>
    <w:rsid w:val="00DE5D00"/>
    <w:rsid w:val="00DE6E48"/>
    <w:rsid w:val="00DE7B84"/>
    <w:rsid w:val="00E07295"/>
    <w:rsid w:val="00E10595"/>
    <w:rsid w:val="00E1065D"/>
    <w:rsid w:val="00E1424A"/>
    <w:rsid w:val="00E231B6"/>
    <w:rsid w:val="00E2516F"/>
    <w:rsid w:val="00E26B8A"/>
    <w:rsid w:val="00E31BA0"/>
    <w:rsid w:val="00E3356B"/>
    <w:rsid w:val="00E415CF"/>
    <w:rsid w:val="00E51E94"/>
    <w:rsid w:val="00E545F1"/>
    <w:rsid w:val="00E659D3"/>
    <w:rsid w:val="00E71478"/>
    <w:rsid w:val="00E71E32"/>
    <w:rsid w:val="00E7748F"/>
    <w:rsid w:val="00E77DDF"/>
    <w:rsid w:val="00E82230"/>
    <w:rsid w:val="00E83CBE"/>
    <w:rsid w:val="00E92147"/>
    <w:rsid w:val="00E93754"/>
    <w:rsid w:val="00E9386A"/>
    <w:rsid w:val="00E93CE7"/>
    <w:rsid w:val="00E93F6D"/>
    <w:rsid w:val="00E976C4"/>
    <w:rsid w:val="00E9784C"/>
    <w:rsid w:val="00EA7EEF"/>
    <w:rsid w:val="00EB274C"/>
    <w:rsid w:val="00EC06ED"/>
    <w:rsid w:val="00EC07FA"/>
    <w:rsid w:val="00EC7CE0"/>
    <w:rsid w:val="00ED1A67"/>
    <w:rsid w:val="00ED3334"/>
    <w:rsid w:val="00ED4E96"/>
    <w:rsid w:val="00EE68BA"/>
    <w:rsid w:val="00EF2566"/>
    <w:rsid w:val="00EF366C"/>
    <w:rsid w:val="00F04B49"/>
    <w:rsid w:val="00F130F1"/>
    <w:rsid w:val="00F22592"/>
    <w:rsid w:val="00F23059"/>
    <w:rsid w:val="00F41703"/>
    <w:rsid w:val="00F427B6"/>
    <w:rsid w:val="00F45AA6"/>
    <w:rsid w:val="00F45C39"/>
    <w:rsid w:val="00F53059"/>
    <w:rsid w:val="00F57063"/>
    <w:rsid w:val="00F62FE3"/>
    <w:rsid w:val="00F702E1"/>
    <w:rsid w:val="00F70E4A"/>
    <w:rsid w:val="00F73A60"/>
    <w:rsid w:val="00F83698"/>
    <w:rsid w:val="00F8403A"/>
    <w:rsid w:val="00F844BE"/>
    <w:rsid w:val="00F90CA4"/>
    <w:rsid w:val="00F91750"/>
    <w:rsid w:val="00F95A83"/>
    <w:rsid w:val="00F97ED8"/>
    <w:rsid w:val="00FA4097"/>
    <w:rsid w:val="00FA5416"/>
    <w:rsid w:val="00FA699B"/>
    <w:rsid w:val="00FA7889"/>
    <w:rsid w:val="00FA7C0F"/>
    <w:rsid w:val="00FB12DA"/>
    <w:rsid w:val="00FB16A0"/>
    <w:rsid w:val="00FB3A50"/>
    <w:rsid w:val="00FB4A46"/>
    <w:rsid w:val="00FB5833"/>
    <w:rsid w:val="00FC138C"/>
    <w:rsid w:val="00FC364B"/>
    <w:rsid w:val="00FC3EF0"/>
    <w:rsid w:val="00FC778F"/>
    <w:rsid w:val="00FD22E1"/>
    <w:rsid w:val="00FE44CD"/>
    <w:rsid w:val="00FF0C94"/>
    <w:rsid w:val="00FF0DF9"/>
    <w:rsid w:val="00FF14AD"/>
    <w:rsid w:val="00FF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Hyperlink">
    <w:name w:val="Hyperlink"/>
    <w:basedOn w:val="DefaultParagraphFont"/>
    <w:uiPriority w:val="99"/>
    <w:unhideWhenUsed/>
    <w:rsid w:val="00364C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Hyperlink">
    <w:name w:val="Hyperlink"/>
    <w:basedOn w:val="DefaultParagraphFont"/>
    <w:uiPriority w:val="99"/>
    <w:unhideWhenUsed/>
    <w:rsid w:val="00364C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on@ronaldrichards.com" TargetMode="External"/><Relationship Id="rId4" Type="http://schemas.microsoft.com/office/2007/relationships/stylesWithEffects" Target="stylesWithEffects.xml"/><Relationship Id="rId9" Type="http://schemas.openxmlformats.org/officeDocument/2006/relationships/hyperlink" Target="mailto:Alex.Hackert@calbar.c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9_CNSL\2019-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A7E2-CB0D-48DA-AE50-9CDCB357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Opinion_Frm.dotm</Template>
  <TotalTime>1</TotalTime>
  <Pages>1</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19667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Honn R</dc:creator>
  <cp:lastModifiedBy>fontesj</cp:lastModifiedBy>
  <cp:revision>3</cp:revision>
  <cp:lastPrinted>2020-07-01T21:48:00Z</cp:lastPrinted>
  <dcterms:created xsi:type="dcterms:W3CDTF">2020-07-01T21:48:00Z</dcterms:created>
  <dcterms:modified xsi:type="dcterms:W3CDTF">2020-07-01T21:48:00Z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391549932</vt:i4>
  </property>
</Properties>
</file>