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67D50" w14:textId="50CEE3E9" w:rsidR="00832223" w:rsidRPr="00E26B8A" w:rsidRDefault="004A273B" w:rsidP="002A679D">
      <w:pPr>
        <w:tabs>
          <w:tab w:val="left" w:pos="720"/>
        </w:tabs>
      </w:pPr>
      <w:bookmarkStart w:id="0" w:name="designation"/>
      <w:bookmarkEnd w:id="0"/>
      <w:r>
        <w:t>PUBLIC MATTER—DESIGNATED FOR PUBLICATION</w:t>
      </w:r>
    </w:p>
    <w:p w14:paraId="46D22BD2" w14:textId="77777777" w:rsidR="00474987" w:rsidRPr="00D50330" w:rsidRDefault="00474987" w:rsidP="002A679D">
      <w:pPr>
        <w:tabs>
          <w:tab w:val="left" w:pos="720"/>
        </w:tabs>
        <w:contextualSpacing/>
      </w:pPr>
    </w:p>
    <w:p w14:paraId="07E7F541" w14:textId="37C28FE0" w:rsidR="00B231E1" w:rsidRDefault="00F359D7" w:rsidP="002A679D">
      <w:pPr>
        <w:tabs>
          <w:tab w:val="left" w:pos="720"/>
        </w:tabs>
        <w:contextualSpacing/>
      </w:pPr>
      <w:r>
        <w:tab/>
      </w:r>
      <w:r>
        <w:tab/>
      </w:r>
      <w:r w:rsidR="00F37E93">
        <w:t xml:space="preserve">                                                                  Filed March 4, 2021</w:t>
      </w:r>
      <w:r>
        <w:tab/>
      </w:r>
      <w:r>
        <w:tab/>
      </w:r>
      <w:r>
        <w:tab/>
      </w:r>
    </w:p>
    <w:p w14:paraId="68B8698C" w14:textId="77777777" w:rsidR="00457C7B" w:rsidRDefault="00457C7B" w:rsidP="002A679D">
      <w:pPr>
        <w:tabs>
          <w:tab w:val="left" w:pos="720"/>
        </w:tabs>
        <w:contextualSpacing/>
      </w:pPr>
    </w:p>
    <w:p w14:paraId="05B5FCC6" w14:textId="77777777" w:rsidR="00832223" w:rsidRDefault="00832223" w:rsidP="002A679D">
      <w:pPr>
        <w:tabs>
          <w:tab w:val="left" w:pos="720"/>
        </w:tabs>
      </w:pPr>
    </w:p>
    <w:p w14:paraId="1FE2B6F0" w14:textId="77777777" w:rsidR="00832223" w:rsidRPr="00B76F6A" w:rsidRDefault="00832223" w:rsidP="002A679D">
      <w:pPr>
        <w:pStyle w:val="OpinionHeading"/>
        <w:tabs>
          <w:tab w:val="left" w:pos="720"/>
        </w:tabs>
      </w:pPr>
      <w:r w:rsidRPr="00B76F6A">
        <w:t>STATE BAR COURT OF CALIFORNIA</w:t>
      </w:r>
    </w:p>
    <w:p w14:paraId="5790CC69" w14:textId="77777777" w:rsidR="00832223" w:rsidRPr="00B76F6A" w:rsidRDefault="00832223" w:rsidP="002A679D">
      <w:pPr>
        <w:pStyle w:val="OpinionHeading"/>
        <w:tabs>
          <w:tab w:val="left" w:pos="720"/>
        </w:tabs>
      </w:pPr>
    </w:p>
    <w:p w14:paraId="68FEACF6" w14:textId="77777777" w:rsidR="00832223" w:rsidRPr="00B76F6A" w:rsidRDefault="00832223" w:rsidP="002A679D">
      <w:pPr>
        <w:pStyle w:val="OpinionHeading"/>
        <w:tabs>
          <w:tab w:val="left" w:pos="720"/>
        </w:tabs>
      </w:pPr>
      <w:r w:rsidRPr="00B76F6A">
        <w:t>REVIEW DEPARTMENT</w:t>
      </w:r>
    </w:p>
    <w:p w14:paraId="0D3E4AE3" w14:textId="77777777" w:rsidR="00832223" w:rsidRPr="00C11CC8" w:rsidRDefault="00832223" w:rsidP="002A679D">
      <w:pPr>
        <w:tabs>
          <w:tab w:val="left" w:pos="720"/>
        </w:tabs>
        <w:jc w:val="center"/>
        <w:rPr>
          <w:b/>
        </w:rPr>
      </w:pPr>
    </w:p>
    <w:p w14:paraId="29CBA10F" w14:textId="77777777" w:rsidR="00832223" w:rsidRPr="00C11CC8" w:rsidRDefault="00832223" w:rsidP="002A679D">
      <w:pPr>
        <w:tabs>
          <w:tab w:val="left" w:pos="720"/>
        </w:tabs>
        <w:rPr>
          <w:b/>
        </w:rPr>
      </w:pPr>
    </w:p>
    <w:tbl>
      <w:tblPr>
        <w:tblStyle w:val="TableGrid"/>
        <w:tblW w:w="0" w:type="auto"/>
        <w:tblLook w:val="04A0" w:firstRow="1" w:lastRow="0" w:firstColumn="1" w:lastColumn="0" w:noHBand="0" w:noVBand="1"/>
      </w:tblPr>
      <w:tblGrid>
        <w:gridCol w:w="4711"/>
        <w:gridCol w:w="490"/>
        <w:gridCol w:w="4159"/>
      </w:tblGrid>
      <w:tr w:rsidR="00832223" w:rsidRPr="00C11CC8" w14:paraId="4E5D060F" w14:textId="77777777" w:rsidTr="00357051">
        <w:tc>
          <w:tcPr>
            <w:tcW w:w="4770" w:type="dxa"/>
            <w:tcBorders>
              <w:top w:val="nil"/>
              <w:left w:val="nil"/>
              <w:right w:val="nil"/>
            </w:tcBorders>
            <w:tcMar>
              <w:left w:w="0" w:type="dxa"/>
              <w:right w:w="0" w:type="dxa"/>
            </w:tcMar>
          </w:tcPr>
          <w:p w14:paraId="03EE97F1" w14:textId="77777777" w:rsidR="00832223" w:rsidRDefault="00832223" w:rsidP="002A679D">
            <w:pPr>
              <w:tabs>
                <w:tab w:val="left" w:pos="720"/>
              </w:tabs>
            </w:pPr>
            <w:r>
              <w:t>In the Matter of</w:t>
            </w:r>
          </w:p>
          <w:p w14:paraId="7347A3B5" w14:textId="77777777" w:rsidR="00832223" w:rsidRDefault="00832223" w:rsidP="002A679D">
            <w:pPr>
              <w:tabs>
                <w:tab w:val="left" w:pos="720"/>
              </w:tabs>
            </w:pPr>
          </w:p>
          <w:p w14:paraId="1E604893" w14:textId="77777777" w:rsidR="00832223" w:rsidRPr="008F3169" w:rsidRDefault="001A3FF2" w:rsidP="002A679D">
            <w:pPr>
              <w:tabs>
                <w:tab w:val="left" w:pos="720"/>
              </w:tabs>
            </w:pPr>
            <w:bookmarkStart w:id="1" w:name="Respondent"/>
            <w:bookmarkEnd w:id="1"/>
            <w:r>
              <w:t>MICHAEL PHILIP RUBIN</w:t>
            </w:r>
            <w:r w:rsidR="00832223" w:rsidRPr="008F3169">
              <w:t>,</w:t>
            </w:r>
          </w:p>
          <w:p w14:paraId="6ECCDF94" w14:textId="77777777" w:rsidR="00832223" w:rsidRDefault="00832223" w:rsidP="002A679D">
            <w:pPr>
              <w:tabs>
                <w:tab w:val="left" w:pos="720"/>
              </w:tabs>
            </w:pPr>
          </w:p>
          <w:p w14:paraId="44AA291A" w14:textId="77777777" w:rsidR="00832223" w:rsidRPr="00C11CC8" w:rsidRDefault="004A273B" w:rsidP="002A679D">
            <w:pPr>
              <w:tabs>
                <w:tab w:val="left" w:pos="720"/>
              </w:tabs>
            </w:pPr>
            <w:bookmarkStart w:id="2" w:name="type"/>
            <w:bookmarkEnd w:id="2"/>
            <w:r>
              <w:t>State Bar No.</w:t>
            </w:r>
            <w:r w:rsidR="00832223">
              <w:t xml:space="preserve"> </w:t>
            </w:r>
            <w:bookmarkStart w:id="3" w:name="memno"/>
            <w:bookmarkStart w:id="4" w:name="MemberNo"/>
            <w:bookmarkEnd w:id="3"/>
            <w:bookmarkEnd w:id="4"/>
            <w:r w:rsidR="001A3FF2">
              <w:t>86732</w:t>
            </w:r>
            <w:r>
              <w:t>.</w:t>
            </w:r>
          </w:p>
        </w:tc>
        <w:tc>
          <w:tcPr>
            <w:tcW w:w="497" w:type="dxa"/>
            <w:tcBorders>
              <w:top w:val="nil"/>
              <w:left w:val="nil"/>
              <w:bottom w:val="nil"/>
              <w:right w:val="nil"/>
            </w:tcBorders>
            <w:tcMar>
              <w:left w:w="0" w:type="dxa"/>
              <w:right w:w="0" w:type="dxa"/>
            </w:tcMar>
          </w:tcPr>
          <w:p w14:paraId="4EF7997E" w14:textId="77777777" w:rsidR="00832223" w:rsidRPr="004D32E9" w:rsidRDefault="00832223" w:rsidP="002A679D">
            <w:pPr>
              <w:tabs>
                <w:tab w:val="left" w:pos="720"/>
              </w:tabs>
            </w:pPr>
            <w:r w:rsidRPr="004D32E9">
              <w:t>)</w:t>
            </w:r>
          </w:p>
          <w:p w14:paraId="0BC868D1" w14:textId="77777777" w:rsidR="00832223" w:rsidRPr="004D32E9" w:rsidRDefault="00832223" w:rsidP="002A679D">
            <w:pPr>
              <w:tabs>
                <w:tab w:val="left" w:pos="720"/>
              </w:tabs>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2269DEF0" w14:textId="4D643EB0" w:rsidR="00832223" w:rsidRPr="005E6703" w:rsidRDefault="00C47468" w:rsidP="002A679D">
            <w:pPr>
              <w:tabs>
                <w:tab w:val="left" w:pos="720"/>
              </w:tabs>
            </w:pPr>
            <w:bookmarkStart w:id="5" w:name="caseno"/>
            <w:bookmarkStart w:id="6" w:name="_Hlk69455675"/>
            <w:bookmarkEnd w:id="5"/>
            <w:r>
              <w:t>17-O-</w:t>
            </w:r>
            <w:r w:rsidR="004D1B0D">
              <w:t>0</w:t>
            </w:r>
            <w:r w:rsidR="001A3FF2">
              <w:t>1810</w:t>
            </w:r>
            <w:r w:rsidR="00367B5B">
              <w:t xml:space="preserve">; </w:t>
            </w:r>
            <w:r w:rsidR="00440060">
              <w:rPr>
                <w:rFonts w:eastAsia="Times New Roman"/>
                <w:szCs w:val="24"/>
              </w:rPr>
              <w:t>SBC-19-O-30352</w:t>
            </w:r>
            <w:r w:rsidR="00367B5B">
              <w:rPr>
                <w:rFonts w:eastAsia="Times New Roman"/>
                <w:szCs w:val="24"/>
              </w:rPr>
              <w:t xml:space="preserve"> (Consolidated</w:t>
            </w:r>
            <w:r w:rsidR="00440060">
              <w:rPr>
                <w:rFonts w:eastAsia="Times New Roman"/>
                <w:szCs w:val="24"/>
              </w:rPr>
              <w:t>)</w:t>
            </w:r>
          </w:p>
          <w:bookmarkEnd w:id="6"/>
          <w:p w14:paraId="529A5BD4" w14:textId="77777777" w:rsidR="00832223" w:rsidRDefault="00832223" w:rsidP="002A679D">
            <w:pPr>
              <w:tabs>
                <w:tab w:val="left" w:pos="720"/>
              </w:tabs>
            </w:pPr>
          </w:p>
          <w:p w14:paraId="6E4AFB4E" w14:textId="77777777" w:rsidR="00BB619F" w:rsidRDefault="004A273B" w:rsidP="002A679D">
            <w:pPr>
              <w:tabs>
                <w:tab w:val="left" w:pos="720"/>
              </w:tabs>
            </w:pPr>
            <w:bookmarkStart w:id="7" w:name="title"/>
            <w:bookmarkEnd w:id="7"/>
            <w:r>
              <w:t>OPINION</w:t>
            </w:r>
            <w:r w:rsidR="002C399B">
              <w:t xml:space="preserve"> AND ORDER</w:t>
            </w:r>
          </w:p>
          <w:p w14:paraId="06C1A82A" w14:textId="3BF76DEC" w:rsidR="006F4905" w:rsidRPr="00D90643" w:rsidRDefault="006F4905" w:rsidP="002A679D">
            <w:pPr>
              <w:tabs>
                <w:tab w:val="left" w:pos="720"/>
              </w:tabs>
            </w:pPr>
            <w:r>
              <w:t>[As Modified on April 16, 2021]</w:t>
            </w:r>
          </w:p>
        </w:tc>
      </w:tr>
    </w:tbl>
    <w:p w14:paraId="61BE4D22" w14:textId="77777777" w:rsidR="00832223" w:rsidRDefault="00832223" w:rsidP="002A679D">
      <w:pPr>
        <w:tabs>
          <w:tab w:val="left" w:pos="720"/>
        </w:tabs>
      </w:pPr>
    </w:p>
    <w:p w14:paraId="5CA1E977" w14:textId="04EE4166" w:rsidR="00841456" w:rsidRDefault="001F5B35" w:rsidP="002A679D">
      <w:pPr>
        <w:tabs>
          <w:tab w:val="left" w:pos="720"/>
        </w:tabs>
        <w:spacing w:line="480" w:lineRule="auto"/>
        <w:ind w:firstLine="720"/>
      </w:pPr>
      <w:bookmarkStart w:id="8" w:name="start"/>
      <w:bookmarkEnd w:id="8"/>
      <w:r>
        <w:t xml:space="preserve">This is </w:t>
      </w:r>
      <w:r w:rsidR="001A3FF2">
        <w:t>Michael Philip Rubin’s</w:t>
      </w:r>
      <w:r>
        <w:t xml:space="preserve"> third discipline case.  He</w:t>
      </w:r>
      <w:r w:rsidR="00841456">
        <w:t xml:space="preserve"> </w:t>
      </w:r>
      <w:r w:rsidR="001A3FF2">
        <w:t>was</w:t>
      </w:r>
      <w:r w:rsidR="00841456">
        <w:t xml:space="preserve"> charged with </w:t>
      </w:r>
      <w:r w:rsidR="001A3FF2">
        <w:t>11</w:t>
      </w:r>
      <w:r w:rsidR="00841456">
        <w:t xml:space="preserve"> counts of misconduct </w:t>
      </w:r>
      <w:r w:rsidR="001A3FF2">
        <w:t xml:space="preserve">in </w:t>
      </w:r>
      <w:r w:rsidR="00D4360A">
        <w:t>three</w:t>
      </w:r>
      <w:r w:rsidR="001A3FF2">
        <w:t xml:space="preserve"> separate matters, </w:t>
      </w:r>
      <w:r w:rsidR="00D4360A">
        <w:t>including</w:t>
      </w:r>
      <w:r w:rsidR="001A3FF2">
        <w:t xml:space="preserve"> a threat to report immigration status</w:t>
      </w:r>
      <w:r w:rsidR="00800B2D">
        <w:t>, misappropriation,</w:t>
      </w:r>
      <w:r w:rsidR="001A3FF2">
        <w:t xml:space="preserve"> and improper handling of his client trust account (CTA).</w:t>
      </w:r>
      <w:r w:rsidR="004202D7">
        <w:t xml:space="preserve">  </w:t>
      </w:r>
      <w:r w:rsidR="005D2AB4">
        <w:t>The hearing judge found him culpable</w:t>
      </w:r>
      <w:r w:rsidR="004202D7">
        <w:t xml:space="preserve"> of eight counts and recommended </w:t>
      </w:r>
      <w:r w:rsidR="003443AE">
        <w:t>disbarment</w:t>
      </w:r>
      <w:r w:rsidR="005D2AB4">
        <w:t>.</w:t>
      </w:r>
    </w:p>
    <w:p w14:paraId="7E9CE6E4" w14:textId="76D8B8D1" w:rsidR="00F52408" w:rsidRDefault="004202D7" w:rsidP="00482944">
      <w:pPr>
        <w:tabs>
          <w:tab w:val="left" w:pos="720"/>
        </w:tabs>
        <w:spacing w:line="480" w:lineRule="auto"/>
        <w:ind w:right="-144" w:firstLine="720"/>
      </w:pPr>
      <w:r>
        <w:t>Rubin</w:t>
      </w:r>
      <w:r w:rsidR="00166473">
        <w:t xml:space="preserve"> appeals,</w:t>
      </w:r>
      <w:r>
        <w:t xml:space="preserve"> arguing that disbarment is not warranted because the evidence did not show “willfulness, moral turpitude, or culpability.”  However, he “acknowledges” that he violated several provisions of the Business and Professions Code and the former California Rules of Professional Conduct.  </w:t>
      </w:r>
      <w:r w:rsidR="001B47B5" w:rsidRPr="001B47B5">
        <w:t xml:space="preserve">The Office of Chief Trial Counsel of the State Bar (OCTC) </w:t>
      </w:r>
      <w:r w:rsidR="00166473">
        <w:t>does not appeal and supports the judge’s decision.</w:t>
      </w:r>
      <w:r w:rsidR="00CC7133">
        <w:t xml:space="preserve">  </w:t>
      </w:r>
      <w:r w:rsidR="00166473">
        <w:t xml:space="preserve">Upon independent review of the record (Cal. Rules of Court, rule 9.12), </w:t>
      </w:r>
      <w:r w:rsidR="00F52408">
        <w:t xml:space="preserve">we </w:t>
      </w:r>
      <w:r w:rsidR="001F2C41">
        <w:t>affirm the culpability determinations</w:t>
      </w:r>
      <w:r w:rsidR="001C767B">
        <w:t xml:space="preserve"> and the mitigation credit.  </w:t>
      </w:r>
      <w:r w:rsidR="00536B98">
        <w:t>Although</w:t>
      </w:r>
      <w:r w:rsidR="001C767B">
        <w:t xml:space="preserve"> </w:t>
      </w:r>
      <w:r w:rsidR="00DF4A02">
        <w:t xml:space="preserve">we </w:t>
      </w:r>
      <w:r w:rsidR="001C767B">
        <w:t>assign less aggravation</w:t>
      </w:r>
      <w:r w:rsidR="00E75833">
        <w:t>,</w:t>
      </w:r>
      <w:r w:rsidR="001C767B">
        <w:t xml:space="preserve"> we </w:t>
      </w:r>
      <w:r w:rsidR="00F52408">
        <w:t xml:space="preserve">affirm the discipline recommendation.  </w:t>
      </w:r>
      <w:r>
        <w:t>Rubin</w:t>
      </w:r>
      <w:r w:rsidR="00166473">
        <w:t xml:space="preserve"> committed</w:t>
      </w:r>
      <w:r w:rsidR="003443AE">
        <w:t xml:space="preserve"> several</w:t>
      </w:r>
      <w:r w:rsidR="00166473">
        <w:t xml:space="preserve"> acts of </w:t>
      </w:r>
      <w:r w:rsidR="003443AE">
        <w:t xml:space="preserve">serious </w:t>
      </w:r>
      <w:r>
        <w:t>misconduct</w:t>
      </w:r>
      <w:r w:rsidR="00166473">
        <w:t xml:space="preserve"> and did not prove compelling mitigation.  Disbarment is therefore appropriate under our disciplinary standards to protect the public, the courts, and the legal profession.</w:t>
      </w:r>
      <w:r w:rsidR="00DD1EED">
        <w:t xml:space="preserve"> </w:t>
      </w:r>
    </w:p>
    <w:p w14:paraId="6452AF37" w14:textId="77777777" w:rsidR="00AD77BA" w:rsidRPr="005347DE" w:rsidRDefault="00333654" w:rsidP="002A679D">
      <w:pPr>
        <w:tabs>
          <w:tab w:val="left" w:pos="720"/>
        </w:tabs>
        <w:spacing w:line="480" w:lineRule="auto"/>
        <w:jc w:val="center"/>
        <w:rPr>
          <w:b/>
        </w:rPr>
      </w:pPr>
      <w:r w:rsidRPr="005347DE">
        <w:rPr>
          <w:b/>
        </w:rPr>
        <w:t>I</w:t>
      </w:r>
      <w:r w:rsidR="00AD77BA" w:rsidRPr="005347DE">
        <w:rPr>
          <w:b/>
        </w:rPr>
        <w:t xml:space="preserve">.  PROCEDURAL </w:t>
      </w:r>
      <w:r w:rsidR="00E974E4">
        <w:rPr>
          <w:b/>
        </w:rPr>
        <w:t>BACKGROUND</w:t>
      </w:r>
    </w:p>
    <w:p w14:paraId="5318AA85" w14:textId="25227512" w:rsidR="00CD7C07" w:rsidRDefault="008B18AC" w:rsidP="002A679D">
      <w:pPr>
        <w:tabs>
          <w:tab w:val="left" w:pos="720"/>
        </w:tabs>
        <w:spacing w:line="480" w:lineRule="auto"/>
        <w:ind w:right="-144" w:firstLine="720"/>
        <w:rPr>
          <w:rFonts w:eastAsia="Times New Roman"/>
          <w:szCs w:val="24"/>
        </w:rPr>
      </w:pPr>
      <w:r>
        <w:rPr>
          <w:rFonts w:eastAsia="Times New Roman"/>
          <w:szCs w:val="24"/>
        </w:rPr>
        <w:t>On December </w:t>
      </w:r>
      <w:r w:rsidR="00CD7C07">
        <w:rPr>
          <w:rFonts w:eastAsia="Times New Roman"/>
          <w:szCs w:val="24"/>
        </w:rPr>
        <w:t>18, 2018, OCTC filed a three-count Notice of Disciplinary Charges (NDC) in case number 17-O-01810</w:t>
      </w:r>
      <w:r>
        <w:rPr>
          <w:rFonts w:eastAsia="Times New Roman"/>
          <w:szCs w:val="24"/>
        </w:rPr>
        <w:t>.  The NDC was amended on April </w:t>
      </w:r>
      <w:r w:rsidR="00CD7C07">
        <w:rPr>
          <w:rFonts w:eastAsia="Times New Roman"/>
          <w:szCs w:val="24"/>
        </w:rPr>
        <w:t>3, 2019</w:t>
      </w:r>
      <w:r>
        <w:rPr>
          <w:rFonts w:eastAsia="Times New Roman"/>
          <w:szCs w:val="24"/>
        </w:rPr>
        <w:t xml:space="preserve">.  The case was abated on </w:t>
      </w:r>
      <w:r>
        <w:rPr>
          <w:rFonts w:eastAsia="Times New Roman"/>
          <w:szCs w:val="24"/>
        </w:rPr>
        <w:lastRenderedPageBreak/>
        <w:t>May </w:t>
      </w:r>
      <w:r w:rsidR="00CD7C07">
        <w:rPr>
          <w:rFonts w:eastAsia="Times New Roman"/>
          <w:szCs w:val="24"/>
        </w:rPr>
        <w:t xml:space="preserve">22, pending the filing </w:t>
      </w:r>
      <w:r>
        <w:rPr>
          <w:rFonts w:eastAsia="Times New Roman"/>
          <w:szCs w:val="24"/>
        </w:rPr>
        <w:t>of additional charges.  On July </w:t>
      </w:r>
      <w:r w:rsidR="00CD7C07">
        <w:rPr>
          <w:rFonts w:eastAsia="Times New Roman"/>
          <w:szCs w:val="24"/>
        </w:rPr>
        <w:t>19, OCTC filed an</w:t>
      </w:r>
      <w:r>
        <w:rPr>
          <w:rFonts w:eastAsia="Times New Roman"/>
          <w:szCs w:val="24"/>
        </w:rPr>
        <w:t xml:space="preserve"> eight-count NDC in case number </w:t>
      </w:r>
      <w:r w:rsidR="00CD7C07">
        <w:rPr>
          <w:rFonts w:eastAsia="Times New Roman"/>
          <w:szCs w:val="24"/>
        </w:rPr>
        <w:t>SBC-19-O-30352</w:t>
      </w:r>
      <w:r>
        <w:rPr>
          <w:rFonts w:eastAsia="Times New Roman"/>
          <w:szCs w:val="24"/>
        </w:rPr>
        <w:t>.  The abatement in case number </w:t>
      </w:r>
      <w:r w:rsidR="00CD7C07">
        <w:rPr>
          <w:rFonts w:eastAsia="Times New Roman"/>
          <w:szCs w:val="24"/>
        </w:rPr>
        <w:t xml:space="preserve">17-O-01810 was </w:t>
      </w:r>
      <w:r w:rsidR="00E44B90">
        <w:rPr>
          <w:rFonts w:eastAsia="Times New Roman"/>
          <w:szCs w:val="24"/>
        </w:rPr>
        <w:t>terminated</w:t>
      </w:r>
      <w:r>
        <w:rPr>
          <w:rFonts w:eastAsia="Times New Roman"/>
          <w:szCs w:val="24"/>
        </w:rPr>
        <w:t xml:space="preserve"> on July </w:t>
      </w:r>
      <w:r w:rsidR="00CD7C07">
        <w:rPr>
          <w:rFonts w:eastAsia="Times New Roman"/>
          <w:szCs w:val="24"/>
        </w:rPr>
        <w:t>22</w:t>
      </w:r>
      <w:r w:rsidR="00E75833">
        <w:rPr>
          <w:rFonts w:eastAsia="Times New Roman"/>
          <w:szCs w:val="24"/>
        </w:rPr>
        <w:t>,</w:t>
      </w:r>
      <w:r w:rsidR="00CD7C07">
        <w:rPr>
          <w:rFonts w:eastAsia="Times New Roman"/>
          <w:szCs w:val="24"/>
        </w:rPr>
        <w:t xml:space="preserve"> </w:t>
      </w:r>
      <w:r w:rsidR="00E75833">
        <w:rPr>
          <w:rFonts w:eastAsia="Times New Roman"/>
          <w:szCs w:val="24"/>
        </w:rPr>
        <w:t>and t</w:t>
      </w:r>
      <w:r w:rsidR="00CD7C07">
        <w:rPr>
          <w:rFonts w:eastAsia="Times New Roman"/>
          <w:szCs w:val="24"/>
        </w:rPr>
        <w:t>he two disciplinary matters were consolidated.</w:t>
      </w:r>
    </w:p>
    <w:p w14:paraId="74528C7A" w14:textId="54C61B9A" w:rsidR="000A5ECE" w:rsidRDefault="00A128F2" w:rsidP="002A679D">
      <w:pPr>
        <w:tabs>
          <w:tab w:val="left" w:pos="720"/>
        </w:tabs>
        <w:spacing w:line="480" w:lineRule="auto"/>
        <w:ind w:right="-144" w:firstLine="720"/>
      </w:pPr>
      <w:r>
        <w:t xml:space="preserve">Trial was held </w:t>
      </w:r>
      <w:r w:rsidR="00843FFF">
        <w:t xml:space="preserve">on </w:t>
      </w:r>
      <w:r w:rsidR="008B18AC">
        <w:t>November </w:t>
      </w:r>
      <w:r w:rsidR="00CD7C07">
        <w:t>18-</w:t>
      </w:r>
      <w:r w:rsidR="00DA3138">
        <w:t>19, 21-22, and 25, and December </w:t>
      </w:r>
      <w:r w:rsidR="00CD7C07">
        <w:t>6</w:t>
      </w:r>
      <w:r w:rsidR="00E75833">
        <w:t>, 2019</w:t>
      </w:r>
      <w:r w:rsidR="00CD7C07">
        <w:t>.  P</w:t>
      </w:r>
      <w:r w:rsidR="00F073CB">
        <w:t>osttrial closing briefs followed</w:t>
      </w:r>
      <w:r>
        <w:t xml:space="preserve">.  The hearing judge issued her decision </w:t>
      </w:r>
      <w:r w:rsidR="00843FFF">
        <w:t xml:space="preserve">on </w:t>
      </w:r>
      <w:r w:rsidR="008B18AC">
        <w:t>March </w:t>
      </w:r>
      <w:r w:rsidR="00CD7C07">
        <w:t>5, 2020</w:t>
      </w:r>
      <w:r>
        <w:t>.</w:t>
      </w:r>
    </w:p>
    <w:p w14:paraId="1DE40E32" w14:textId="77777777" w:rsidR="00111DFC" w:rsidRDefault="00AD77BA" w:rsidP="002A679D">
      <w:pPr>
        <w:tabs>
          <w:tab w:val="left" w:pos="720"/>
        </w:tabs>
        <w:spacing w:line="480" w:lineRule="auto"/>
        <w:jc w:val="center"/>
        <w:rPr>
          <w:b/>
        </w:rPr>
      </w:pPr>
      <w:r w:rsidRPr="002225CF">
        <w:rPr>
          <w:b/>
        </w:rPr>
        <w:t xml:space="preserve">II.  </w:t>
      </w:r>
      <w:r w:rsidR="00111DFC">
        <w:rPr>
          <w:b/>
        </w:rPr>
        <w:t>UVAS MATTER (17-O-01810)</w:t>
      </w:r>
    </w:p>
    <w:p w14:paraId="3CF1C48A" w14:textId="77777777" w:rsidR="002F58EF" w:rsidRDefault="00111DFC" w:rsidP="002A679D">
      <w:pPr>
        <w:tabs>
          <w:tab w:val="left" w:pos="720"/>
        </w:tabs>
        <w:spacing w:line="480" w:lineRule="auto"/>
        <w:rPr>
          <w:b/>
        </w:rPr>
      </w:pPr>
      <w:r>
        <w:rPr>
          <w:b/>
        </w:rPr>
        <w:t>A.</w:t>
      </w:r>
      <w:r>
        <w:rPr>
          <w:b/>
        </w:rPr>
        <w:tab/>
        <w:t>Factual Background</w:t>
      </w:r>
      <w:r w:rsidR="00CF5FDD">
        <w:rPr>
          <w:rStyle w:val="FootnoteReference"/>
          <w:b/>
        </w:rPr>
        <w:footnoteReference w:id="1"/>
      </w:r>
    </w:p>
    <w:p w14:paraId="0219A658" w14:textId="005E4F38" w:rsidR="00111DFC" w:rsidRDefault="00E44B90" w:rsidP="002A679D">
      <w:pPr>
        <w:tabs>
          <w:tab w:val="left" w:pos="720"/>
        </w:tabs>
        <w:spacing w:line="480" w:lineRule="auto"/>
        <w:ind w:firstLine="720"/>
      </w:pPr>
      <w:bookmarkStart w:id="9" w:name="_Hlk60652855"/>
      <w:r>
        <w:t>Rubin</w:t>
      </w:r>
      <w:r w:rsidR="00111DFC">
        <w:t xml:space="preserve"> represented Thresiamma Mathew, </w:t>
      </w:r>
      <w:r w:rsidR="00482944">
        <w:t xml:space="preserve">the </w:t>
      </w:r>
      <w:r w:rsidR="00111DFC">
        <w:t xml:space="preserve">employer in </w:t>
      </w:r>
      <w:r w:rsidR="00111DFC" w:rsidRPr="00367B5B">
        <w:t>a wage</w:t>
      </w:r>
      <w:r w:rsidR="00DC6A6A" w:rsidRPr="00367B5B">
        <w:t>-</w:t>
      </w:r>
      <w:r w:rsidR="00111DFC" w:rsidRPr="00D27561">
        <w:t>and</w:t>
      </w:r>
      <w:r w:rsidR="00DC6A6A" w:rsidRPr="00D27561">
        <w:t>-</w:t>
      </w:r>
      <w:r w:rsidR="00111DFC" w:rsidRPr="00D27561">
        <w:t>hour</w:t>
      </w:r>
      <w:r w:rsidR="00111DFC" w:rsidRPr="008D56DE">
        <w:t xml:space="preserve"> labor</w:t>
      </w:r>
      <w:r w:rsidR="00111DFC">
        <w:t xml:space="preserve"> dispute in </w:t>
      </w:r>
      <w:r w:rsidR="00111DFC">
        <w:rPr>
          <w:i/>
          <w:iCs/>
        </w:rPr>
        <w:t>Rommel Uvas v. Thresiamma Mathew et al</w:t>
      </w:r>
      <w:r w:rsidR="00111DFC">
        <w:t>., Los Angeles County Superior Court, case no.</w:t>
      </w:r>
      <w:r w:rsidR="00DC6A6A">
        <w:t> </w:t>
      </w:r>
      <w:r w:rsidR="00111DFC">
        <w:t>BC639954</w:t>
      </w:r>
      <w:r w:rsidR="00D361D3">
        <w:t xml:space="preserve"> (hereafter </w:t>
      </w:r>
      <w:r w:rsidR="00D361D3">
        <w:rPr>
          <w:i/>
          <w:iCs/>
        </w:rPr>
        <w:t>Uvas v. Mathew</w:t>
      </w:r>
      <w:r w:rsidR="00D361D3">
        <w:t>)</w:t>
      </w:r>
      <w:r>
        <w:t>.  Attorney Nina Baumler represented the plaintiff, Rommel Uvas.</w:t>
      </w:r>
    </w:p>
    <w:p w14:paraId="2D0F224F" w14:textId="2A12902C" w:rsidR="00287F9F" w:rsidRDefault="00E44B90" w:rsidP="002A679D">
      <w:pPr>
        <w:tabs>
          <w:tab w:val="left" w:pos="720"/>
        </w:tabs>
        <w:spacing w:line="480" w:lineRule="auto"/>
        <w:ind w:firstLine="720"/>
      </w:pPr>
      <w:r>
        <w:t xml:space="preserve">In a letter </w:t>
      </w:r>
      <w:r w:rsidR="00DC6A6A">
        <w:t>dated October </w:t>
      </w:r>
      <w:r>
        <w:t xml:space="preserve">20, 2016, Rubin wrote to Baumler: </w:t>
      </w:r>
    </w:p>
    <w:p w14:paraId="38A40E36" w14:textId="41CD7189" w:rsidR="00E44B90" w:rsidRDefault="00287F9F" w:rsidP="002A679D">
      <w:pPr>
        <w:tabs>
          <w:tab w:val="left" w:pos="720"/>
        </w:tabs>
        <w:ind w:left="720" w:right="720"/>
      </w:pPr>
      <w:r>
        <w:t>I am informed that both your client and his brother, Renato Uvas, entered the U.S. on false passports and other false information.  For your client to be entitled to any benefits under the California Employee Protection laws, he must prove that he is a U.S. citizen.  We therefore need proof of your client’s U.S. citizenship.  In the U.S., it is well-settled that “reporting an illegal alien to the INS is generally encouraged conduct because it is consistent with the labor and immigration policies established by the IRCA</w:t>
      </w:r>
      <w:bookmarkStart w:id="10" w:name="_Hlk60153173"/>
      <w:r>
        <w:t xml:space="preserve">.”  </w:t>
      </w:r>
      <w:r w:rsidRPr="00287F9F">
        <w:rPr>
          <w:i/>
          <w:iCs/>
        </w:rPr>
        <w:t>Singh v. Jutla &amp; C.D. &amp; R’s Oil, Inc.</w:t>
      </w:r>
      <w:r w:rsidR="00DC6A6A">
        <w:t xml:space="preserve"> (N.D. </w:t>
      </w:r>
      <w:r w:rsidR="00D6687A">
        <w:t>Cal. 2002) 214 </w:t>
      </w:r>
      <w:r>
        <w:t>F.Supp.2d 1056, 1059.</w:t>
      </w:r>
    </w:p>
    <w:bookmarkEnd w:id="10"/>
    <w:p w14:paraId="08C21279" w14:textId="77777777" w:rsidR="00287F9F" w:rsidRDefault="00287F9F" w:rsidP="002A679D">
      <w:pPr>
        <w:tabs>
          <w:tab w:val="left" w:pos="720"/>
        </w:tabs>
        <w:ind w:left="720" w:right="720"/>
      </w:pPr>
    </w:p>
    <w:p w14:paraId="184B722B" w14:textId="77777777" w:rsidR="00287F9F" w:rsidRDefault="00287F9F" w:rsidP="002A679D">
      <w:pPr>
        <w:tabs>
          <w:tab w:val="left" w:pos="720"/>
        </w:tabs>
        <w:ind w:left="720" w:right="720"/>
      </w:pPr>
      <w:r>
        <w:t xml:space="preserve">With that being said, we respectfully instructed our client to decline your request until we see . . . proof </w:t>
      </w:r>
      <w:r w:rsidR="00FF3094">
        <w:t>of your client’s citizenship.</w:t>
      </w:r>
    </w:p>
    <w:p w14:paraId="216796AB" w14:textId="77777777" w:rsidR="00FF3094" w:rsidRDefault="00FF3094" w:rsidP="002A679D">
      <w:pPr>
        <w:tabs>
          <w:tab w:val="left" w:pos="720"/>
        </w:tabs>
        <w:ind w:left="720" w:right="720"/>
      </w:pPr>
    </w:p>
    <w:p w14:paraId="1E0BD6B2" w14:textId="6A077C96" w:rsidR="00BA14F0" w:rsidRDefault="00FF3094" w:rsidP="002A679D">
      <w:pPr>
        <w:tabs>
          <w:tab w:val="left" w:pos="720"/>
        </w:tabs>
        <w:spacing w:line="480" w:lineRule="auto"/>
      </w:pPr>
      <w:r>
        <w:t xml:space="preserve">Rubin misstated the holding in </w:t>
      </w:r>
      <w:r w:rsidRPr="00DC6A6A">
        <w:rPr>
          <w:i/>
        </w:rPr>
        <w:t>Singh</w:t>
      </w:r>
      <w:r>
        <w:t xml:space="preserve"> by omitting the entire quote,</w:t>
      </w:r>
      <w:r>
        <w:rPr>
          <w:rStyle w:val="FootnoteReference"/>
        </w:rPr>
        <w:footnoteReference w:id="2"/>
      </w:r>
      <w:r>
        <w:t xml:space="preserve"> which actually states:  </w:t>
      </w:r>
    </w:p>
    <w:p w14:paraId="53730665" w14:textId="5E3E3B19" w:rsidR="002A679D" w:rsidRDefault="00FF3094" w:rsidP="002A679D">
      <w:pPr>
        <w:tabs>
          <w:tab w:val="left" w:pos="720"/>
        </w:tabs>
        <w:ind w:left="720" w:right="720"/>
      </w:pPr>
      <w:r>
        <w:t xml:space="preserve">Though reporting an illegal alien to the INS is generally encouraged conduct because it is consistent with the labor and immigration policies established by the IRCA, the court in </w:t>
      </w:r>
      <w:r w:rsidRPr="00FF3094">
        <w:rPr>
          <w:i/>
          <w:iCs/>
        </w:rPr>
        <w:t>Contreras</w:t>
      </w:r>
      <w:r>
        <w:t xml:space="preserve"> </w:t>
      </w:r>
      <w:r w:rsidR="000E1E53">
        <w:t>[</w:t>
      </w:r>
      <w:r w:rsidRPr="00D27561">
        <w:rPr>
          <w:i/>
          <w:iCs/>
        </w:rPr>
        <w:t>v.</w:t>
      </w:r>
      <w:r w:rsidRPr="00FF3094">
        <w:rPr>
          <w:i/>
          <w:iCs/>
        </w:rPr>
        <w:t xml:space="preserve"> Corinthian Vigor Ins. Brokers, Inc.</w:t>
      </w:r>
      <w:r w:rsidR="00DC6A6A">
        <w:t xml:space="preserve"> (N.D. Cal. </w:t>
      </w:r>
    </w:p>
    <w:p w14:paraId="04ED668B" w14:textId="77777777" w:rsidR="002A679D" w:rsidRDefault="002A679D">
      <w:r>
        <w:br w:type="page"/>
      </w:r>
    </w:p>
    <w:p w14:paraId="47382376" w14:textId="0093E4D5" w:rsidR="00BA14F0" w:rsidRDefault="00DC6A6A" w:rsidP="002A679D">
      <w:pPr>
        <w:tabs>
          <w:tab w:val="left" w:pos="720"/>
        </w:tabs>
        <w:ind w:left="720" w:right="720"/>
      </w:pPr>
      <w:r>
        <w:lastRenderedPageBreak/>
        <w:t>1998) 25 </w:t>
      </w:r>
      <w:r w:rsidR="00FF3094">
        <w:t xml:space="preserve">F.Supp.2d 1053] concluded that reporting an illegal alien </w:t>
      </w:r>
      <w:r w:rsidR="00FF3094">
        <w:rPr>
          <w:i/>
          <w:iCs/>
        </w:rPr>
        <w:t>with</w:t>
      </w:r>
      <w:r w:rsidR="00FF3094">
        <w:t xml:space="preserve"> a retaliatory motive was prohibited conduct under [</w:t>
      </w:r>
      <w:r w:rsidR="00A05F6C">
        <w:t>t</w:t>
      </w:r>
      <w:r w:rsidR="00FF3094">
        <w:t>itle 29 United States Code] §</w:t>
      </w:r>
      <w:r w:rsidR="00B4096C">
        <w:t> </w:t>
      </w:r>
      <w:r w:rsidR="00FF3094">
        <w:t>215(a)(3).</w:t>
      </w:r>
      <w:r w:rsidR="00627438" w:rsidRPr="00627438">
        <w:t xml:space="preserve">  </w:t>
      </w:r>
    </w:p>
    <w:p w14:paraId="2283827E" w14:textId="77777777" w:rsidR="002A679D" w:rsidRDefault="002A679D" w:rsidP="002A679D">
      <w:pPr>
        <w:tabs>
          <w:tab w:val="left" w:pos="720"/>
        </w:tabs>
        <w:ind w:left="720" w:right="720"/>
      </w:pPr>
    </w:p>
    <w:p w14:paraId="75882960" w14:textId="09E881F0" w:rsidR="00627438" w:rsidRDefault="00627438" w:rsidP="002A679D">
      <w:pPr>
        <w:tabs>
          <w:tab w:val="left" w:pos="720"/>
        </w:tabs>
        <w:spacing w:line="480" w:lineRule="auto"/>
      </w:pPr>
      <w:r>
        <w:t>(</w:t>
      </w:r>
      <w:r w:rsidRPr="00627438">
        <w:rPr>
          <w:i/>
          <w:iCs/>
        </w:rPr>
        <w:t>Singh v. Jutla &amp; C.D. &amp; R’s Oil, Inc.</w:t>
      </w:r>
      <w:r w:rsidR="00B40454">
        <w:rPr>
          <w:iCs/>
        </w:rPr>
        <w:t xml:space="preserve">, </w:t>
      </w:r>
      <w:r w:rsidR="00B40454">
        <w:rPr>
          <w:i/>
          <w:iCs/>
        </w:rPr>
        <w:t>supra</w:t>
      </w:r>
      <w:r w:rsidR="00B40454">
        <w:rPr>
          <w:iCs/>
        </w:rPr>
        <w:t>,</w:t>
      </w:r>
      <w:r w:rsidR="00EE0526">
        <w:t xml:space="preserve"> 214 </w:t>
      </w:r>
      <w:r w:rsidRPr="00627438">
        <w:t xml:space="preserve">F.Supp.2d </w:t>
      </w:r>
      <w:r w:rsidR="00B40454">
        <w:t>at p. </w:t>
      </w:r>
      <w:r w:rsidRPr="00627438">
        <w:t>1059.</w:t>
      </w:r>
      <w:r>
        <w:t>)</w:t>
      </w:r>
    </w:p>
    <w:p w14:paraId="03A830B4" w14:textId="446866AA" w:rsidR="00627438" w:rsidRDefault="00627438" w:rsidP="002A679D">
      <w:pPr>
        <w:tabs>
          <w:tab w:val="left" w:pos="720"/>
        </w:tabs>
        <w:spacing w:line="480" w:lineRule="auto"/>
        <w:ind w:firstLine="720"/>
      </w:pPr>
      <w:r>
        <w:t>Baumler testified th</w:t>
      </w:r>
      <w:r w:rsidR="00DC6A6A">
        <w:t>at during a March </w:t>
      </w:r>
      <w:r>
        <w:t>16, 2017 phone call, Rubin told her, “You know, we</w:t>
      </w:r>
      <w:r w:rsidR="00B4096C">
        <w:t>’re</w:t>
      </w:r>
      <w:r>
        <w:t xml:space="preserve"> doing everything in our power to get your client and his brother deported.”</w:t>
      </w:r>
      <w:r>
        <w:rPr>
          <w:rStyle w:val="FootnoteReference"/>
        </w:rPr>
        <w:footnoteReference w:id="3"/>
      </w:r>
      <w:r>
        <w:t xml:space="preserve">  Baumler replied, “Excuse me?”  Rubin repeated his statement, adding “You</w:t>
      </w:r>
      <w:r w:rsidR="00B4096C">
        <w:t>r</w:t>
      </w:r>
      <w:r>
        <w:t xml:space="preserve"> client’s here illegally, isn’t he?”</w:t>
      </w:r>
      <w:r w:rsidR="006562EF">
        <w:t xml:space="preserve">  Rubin further a</w:t>
      </w:r>
      <w:r w:rsidR="004D1864">
        <w:t>sserted</w:t>
      </w:r>
      <w:r w:rsidR="006562EF">
        <w:t xml:space="preserve"> that Uvas had committed fraud by </w:t>
      </w:r>
      <w:r w:rsidR="00A70F61">
        <w:t>entering</w:t>
      </w:r>
      <w:r w:rsidR="006562EF">
        <w:t xml:space="preserve"> the country and would </w:t>
      </w:r>
      <w:r w:rsidR="004D1864">
        <w:t>be</w:t>
      </w:r>
      <w:r w:rsidR="006562EF">
        <w:t xml:space="preserve"> deported under the current administration.</w:t>
      </w:r>
    </w:p>
    <w:p w14:paraId="6661215C" w14:textId="4E156C21" w:rsidR="006562EF" w:rsidRDefault="00400322" w:rsidP="002A679D">
      <w:pPr>
        <w:tabs>
          <w:tab w:val="left" w:pos="720"/>
        </w:tabs>
        <w:spacing w:line="480" w:lineRule="auto"/>
        <w:ind w:firstLine="720"/>
      </w:pPr>
      <w:r>
        <w:t>On March </w:t>
      </w:r>
      <w:r w:rsidR="006562EF">
        <w:t>27, 2017, Rubin filed a case management statement in superior court, referring to Uvas as an “illegal alien.”  Rubin stated that U</w:t>
      </w:r>
      <w:r w:rsidR="00DC7408">
        <w:t>vas came to the United States on a forged passport and, “</w:t>
      </w:r>
      <w:r>
        <w:t>[b]</w:t>
      </w:r>
      <w:r w:rsidR="00DC7408">
        <w:t>ased on policies of the current administration, [it is] unknown whether Plaintiff will be deported, and therefore unable to prosecute this case.”</w:t>
      </w:r>
    </w:p>
    <w:p w14:paraId="3749BA90" w14:textId="46F74D56" w:rsidR="002F58EF" w:rsidRDefault="00DA071A" w:rsidP="002A679D">
      <w:pPr>
        <w:tabs>
          <w:tab w:val="left" w:pos="720"/>
        </w:tabs>
        <w:spacing w:line="480" w:lineRule="auto"/>
        <w:ind w:firstLine="720"/>
      </w:pPr>
      <w:r>
        <w:t xml:space="preserve">During litigation, Rubin insisted that he take Uvas’s deposition in person at his office.  In response, Baumler filed a motion for a protective order and requested that Uvas’s deposition be taken </w:t>
      </w:r>
      <w:r w:rsidR="006E4BAA">
        <w:t>by web or video conference</w:t>
      </w:r>
      <w:r>
        <w:t xml:space="preserve">.  </w:t>
      </w:r>
      <w:r w:rsidR="00400322">
        <w:t>On February </w:t>
      </w:r>
      <w:r w:rsidR="006E4BAA">
        <w:t>20, 2018, the superior court held a hearing on the motion</w:t>
      </w:r>
      <w:r w:rsidR="00BA14F0">
        <w:t>.  Rubin did not appear at the hearing</w:t>
      </w:r>
      <w:r w:rsidR="004D1864">
        <w:t>;</w:t>
      </w:r>
      <w:r w:rsidR="00BA14F0">
        <w:t xml:space="preserve"> instead, he hired contract attorney S. Martin Keleti to appear.  The judge indicated at the hearing that she </w:t>
      </w:r>
      <w:r w:rsidR="006E4BAA">
        <w:t>intended to grant the motion.  Keleti immediately notified Rubin of the tentative ruling.</w:t>
      </w:r>
    </w:p>
    <w:p w14:paraId="2286EE9F" w14:textId="2A12F7F6" w:rsidR="0063748A" w:rsidRDefault="00400322" w:rsidP="002A679D">
      <w:pPr>
        <w:tabs>
          <w:tab w:val="left" w:pos="720"/>
        </w:tabs>
        <w:spacing w:line="480" w:lineRule="auto"/>
        <w:ind w:firstLine="720"/>
      </w:pPr>
      <w:r>
        <w:t>On February </w:t>
      </w:r>
      <w:r w:rsidR="002F58EF">
        <w:t xml:space="preserve">20, 2018, the court </w:t>
      </w:r>
      <w:r w:rsidR="00196741">
        <w:t xml:space="preserve">granted </w:t>
      </w:r>
      <w:r w:rsidR="002F58EF">
        <w:t>the motion</w:t>
      </w:r>
      <w:r w:rsidR="00A13247">
        <w:t xml:space="preserve"> for a protective order</w:t>
      </w:r>
      <w:r w:rsidR="002F58EF">
        <w:t xml:space="preserve"> and ordered Rubin</w:t>
      </w:r>
      <w:r w:rsidR="00A13247">
        <w:t xml:space="preserve"> and the defendants</w:t>
      </w:r>
      <w:r w:rsidR="002F58EF">
        <w:t xml:space="preserve"> to pay $2,335 in sanctions</w:t>
      </w:r>
      <w:r w:rsidR="00A13247">
        <w:t>, jointly and severally, as requested by Baumler, for costs and expenses in making the motion</w:t>
      </w:r>
      <w:r w:rsidR="002F58EF">
        <w:t xml:space="preserve">.  </w:t>
      </w:r>
      <w:r w:rsidR="001077A4">
        <w:t>On the same date, t</w:t>
      </w:r>
      <w:r w:rsidR="00195587">
        <w:t xml:space="preserve">he </w:t>
      </w:r>
      <w:r w:rsidR="005E4DBF">
        <w:t>court also signed t</w:t>
      </w:r>
      <w:r>
        <w:t>he protective order</w:t>
      </w:r>
      <w:r w:rsidR="005E4DBF">
        <w:t xml:space="preserve">, which </w:t>
      </w:r>
      <w:r w:rsidR="001077A4">
        <w:t>mandated</w:t>
      </w:r>
      <w:r w:rsidR="005E4DBF">
        <w:t xml:space="preserve"> that the sanctions be paid within 10 days.  </w:t>
      </w:r>
      <w:r w:rsidR="0063748A">
        <w:t>On February</w:t>
      </w:r>
      <w:r w:rsidR="001077A4">
        <w:t> </w:t>
      </w:r>
      <w:r w:rsidR="0063748A">
        <w:t xml:space="preserve">23, Rubin emailed </w:t>
      </w:r>
      <w:r>
        <w:t>Baumler regarding the February </w:t>
      </w:r>
      <w:r w:rsidR="0063748A">
        <w:t>20 hearing</w:t>
      </w:r>
      <w:r w:rsidR="001077A4">
        <w:t>,</w:t>
      </w:r>
      <w:r w:rsidR="0063748A">
        <w:t xml:space="preserve"> threaten</w:t>
      </w:r>
      <w:r w:rsidR="001077A4">
        <w:t>ing</w:t>
      </w:r>
      <w:r w:rsidR="0063748A">
        <w:t xml:space="preserve"> to make a complaint to </w:t>
      </w:r>
      <w:r w:rsidR="0063748A">
        <w:lastRenderedPageBreak/>
        <w:t>the State Bar because Baumler did not provide him with the name of the court reporter at the hearing.</w:t>
      </w:r>
      <w:r w:rsidR="0063748A">
        <w:rPr>
          <w:rStyle w:val="FootnoteReference"/>
        </w:rPr>
        <w:footnoteReference w:id="4"/>
      </w:r>
    </w:p>
    <w:p w14:paraId="2D7D081B" w14:textId="0860726C" w:rsidR="0063748A" w:rsidRDefault="0063748A" w:rsidP="002A679D">
      <w:pPr>
        <w:tabs>
          <w:tab w:val="left" w:pos="720"/>
        </w:tabs>
        <w:spacing w:line="480" w:lineRule="auto"/>
        <w:ind w:firstLine="720"/>
      </w:pPr>
      <w:r>
        <w:t xml:space="preserve">Keleti received the </w:t>
      </w:r>
      <w:r w:rsidR="0041472B">
        <w:t>minute</w:t>
      </w:r>
      <w:r>
        <w:t xml:space="preserve"> order </w:t>
      </w:r>
      <w:r w:rsidR="00A53C97">
        <w:t xml:space="preserve">and emailed it to Rubin </w:t>
      </w:r>
      <w:r>
        <w:t>on M</w:t>
      </w:r>
      <w:r w:rsidR="00400322">
        <w:t>arch </w:t>
      </w:r>
      <w:r>
        <w:t>6</w:t>
      </w:r>
      <w:r w:rsidR="00A53C97">
        <w:t xml:space="preserve">. </w:t>
      </w:r>
      <w:r w:rsidR="00400322">
        <w:t xml:space="preserve"> On April </w:t>
      </w:r>
      <w:r>
        <w:t xml:space="preserve">4, Baumler wrote to Rubin and requested payment of the sanctions. </w:t>
      </w:r>
      <w:r w:rsidR="00B4096C">
        <w:t xml:space="preserve"> </w:t>
      </w:r>
      <w:r w:rsidR="00400322">
        <w:t>On April </w:t>
      </w:r>
      <w:r>
        <w:t xml:space="preserve">19, Rubin filed a petition for writ of mandate, </w:t>
      </w:r>
      <w:r w:rsidR="002F58EF">
        <w:t xml:space="preserve">appealing the protective order and sanctions.  </w:t>
      </w:r>
      <w:r w:rsidR="0041472B">
        <w:t>T</w:t>
      </w:r>
      <w:r w:rsidR="002F58EF">
        <w:t xml:space="preserve">he </w:t>
      </w:r>
      <w:r w:rsidR="008A59FC">
        <w:t xml:space="preserve">Second District Court of Appeal </w:t>
      </w:r>
      <w:r w:rsidR="002F58EF">
        <w:t>denied the petition</w:t>
      </w:r>
      <w:r w:rsidR="00400322">
        <w:t xml:space="preserve"> on June </w:t>
      </w:r>
      <w:r w:rsidR="0041472B">
        <w:t>14</w:t>
      </w:r>
      <w:r w:rsidR="002F58EF">
        <w:t>.</w:t>
      </w:r>
      <w:r w:rsidR="008A59FC">
        <w:t xml:space="preserve">  (</w:t>
      </w:r>
      <w:r w:rsidR="008A59FC" w:rsidRPr="00CC1CB6">
        <w:rPr>
          <w:i/>
          <w:iCs/>
        </w:rPr>
        <w:t>Mathew v. Superior Court of Los Angeles County</w:t>
      </w:r>
      <w:r w:rsidR="008A59FC">
        <w:t>, Second Appellate District</w:t>
      </w:r>
      <w:r w:rsidR="00CC1CB6">
        <w:t>,</w:t>
      </w:r>
      <w:r w:rsidR="00400322">
        <w:t xml:space="preserve"> case no. </w:t>
      </w:r>
      <w:r w:rsidR="008A59FC">
        <w:t>B2894</w:t>
      </w:r>
      <w:r w:rsidR="00E01136">
        <w:t>9</w:t>
      </w:r>
      <w:r w:rsidR="008A59FC">
        <w:t>5</w:t>
      </w:r>
      <w:r w:rsidR="00CC1CB6">
        <w:t>.)</w:t>
      </w:r>
    </w:p>
    <w:p w14:paraId="30ACAC15" w14:textId="4A0F523B" w:rsidR="00DA071A" w:rsidRDefault="002F58EF" w:rsidP="00E53A93">
      <w:pPr>
        <w:tabs>
          <w:tab w:val="left" w:pos="720"/>
        </w:tabs>
        <w:spacing w:line="480" w:lineRule="auto"/>
        <w:ind w:firstLine="720"/>
      </w:pPr>
      <w:r>
        <w:t xml:space="preserve">Rubin did not report the sanctions order </w:t>
      </w:r>
      <w:r w:rsidR="00400322">
        <w:t>to the State Bar until November 20, 2018.  On November </w:t>
      </w:r>
      <w:r>
        <w:t>22, 2019, during the disciplinary trial, Rubin paid Uvas $2,335.</w:t>
      </w:r>
    </w:p>
    <w:p w14:paraId="6B5264EA" w14:textId="63DEEAC4" w:rsidR="00FF3094" w:rsidRDefault="00DC7408" w:rsidP="002A679D">
      <w:pPr>
        <w:tabs>
          <w:tab w:val="left" w:pos="720"/>
        </w:tabs>
        <w:spacing w:line="480" w:lineRule="auto"/>
        <w:ind w:firstLine="720"/>
      </w:pPr>
      <w:r>
        <w:t>Gary Mastin</w:t>
      </w:r>
      <w:r w:rsidR="00440060">
        <w:t>, an attorney who represented Uvas’s brother, Renato,</w:t>
      </w:r>
      <w:r w:rsidR="00834216">
        <w:t xml:space="preserve"> also</w:t>
      </w:r>
      <w:r>
        <w:t xml:space="preserve"> testified about his interactions with Rubin in a </w:t>
      </w:r>
      <w:r w:rsidR="00834216">
        <w:t xml:space="preserve">separate </w:t>
      </w:r>
      <w:r>
        <w:t>wage</w:t>
      </w:r>
      <w:r w:rsidR="002965E8">
        <w:t>-</w:t>
      </w:r>
      <w:r>
        <w:t>and</w:t>
      </w:r>
      <w:r w:rsidR="002965E8">
        <w:t>-</w:t>
      </w:r>
      <w:r>
        <w:t>hour case</w:t>
      </w:r>
      <w:r w:rsidR="00D27561">
        <w:t>.</w:t>
      </w:r>
      <w:r w:rsidR="00DA071A">
        <w:rPr>
          <w:rStyle w:val="FootnoteReference"/>
        </w:rPr>
        <w:footnoteReference w:id="5"/>
      </w:r>
      <w:r>
        <w:t xml:space="preserve">  Mastin </w:t>
      </w:r>
      <w:r w:rsidR="00B57459">
        <w:t>testified that Rubin told him</w:t>
      </w:r>
      <w:r>
        <w:t xml:space="preserve"> </w:t>
      </w:r>
      <w:r w:rsidR="00674B6F">
        <w:t xml:space="preserve">during a phone call </w:t>
      </w:r>
      <w:r w:rsidR="00B57459">
        <w:t xml:space="preserve">that Renato did not have legal immigration status and that Rubin “was going to do something about </w:t>
      </w:r>
      <w:r w:rsidR="002965E8">
        <w:t xml:space="preserve">that.”  </w:t>
      </w:r>
      <w:r w:rsidR="00E37F4B">
        <w:t>On</w:t>
      </w:r>
      <w:r w:rsidR="002965E8">
        <w:t xml:space="preserve"> March </w:t>
      </w:r>
      <w:r w:rsidR="00B57459">
        <w:t>22, 2016, Mastin wrote to the Department of Fair Employment and Housing</w:t>
      </w:r>
      <w:r w:rsidR="008258D0">
        <w:t xml:space="preserve"> (DFEH)</w:t>
      </w:r>
      <w:r w:rsidR="0041472B">
        <w:t xml:space="preserve"> </w:t>
      </w:r>
      <w:r w:rsidR="00E37F4B">
        <w:t xml:space="preserve">regarding </w:t>
      </w:r>
      <w:r w:rsidR="00B57459">
        <w:t>Rubin</w:t>
      </w:r>
      <w:r w:rsidR="00E37F4B">
        <w:t>’s</w:t>
      </w:r>
      <w:r w:rsidR="00B57459">
        <w:t xml:space="preserve"> intention to report Renato’s immigration status.</w:t>
      </w:r>
      <w:r w:rsidR="008258D0">
        <w:t xml:space="preserve">  </w:t>
      </w:r>
      <w:r w:rsidR="00E37F4B">
        <w:t xml:space="preserve">He </w:t>
      </w:r>
      <w:r w:rsidR="002965E8">
        <w:t xml:space="preserve">attached a letter </w:t>
      </w:r>
      <w:r w:rsidR="00A70F61">
        <w:t xml:space="preserve">from Rubin </w:t>
      </w:r>
      <w:r w:rsidR="002965E8">
        <w:t>dated January </w:t>
      </w:r>
      <w:r w:rsidR="00B57459">
        <w:t>7, 2016</w:t>
      </w:r>
      <w:r w:rsidR="008258D0">
        <w:t>,</w:t>
      </w:r>
      <w:r w:rsidR="00B57459">
        <w:t xml:space="preserve"> </w:t>
      </w:r>
      <w:r w:rsidR="008258D0">
        <w:t xml:space="preserve">stating that Renato was not in the United States legally.  Mastin believed Rubin made these statements as a threat and </w:t>
      </w:r>
      <w:r w:rsidR="007B1BFC">
        <w:t>to retaliate</w:t>
      </w:r>
      <w:r w:rsidR="008258D0">
        <w:t xml:space="preserve"> for Renato’s DFEH complaint.  Then, in February 2017, </w:t>
      </w:r>
      <w:r w:rsidR="00DA071A">
        <w:t xml:space="preserve">in </w:t>
      </w:r>
      <w:r w:rsidR="00E3185F">
        <w:t xml:space="preserve">a civil </w:t>
      </w:r>
      <w:r w:rsidR="00DA071A">
        <w:t xml:space="preserve">case where Renato was the plaintiff, Rubin requested discovery including Renato’s passport.  Mastin </w:t>
      </w:r>
      <w:r w:rsidR="00B362DD">
        <w:t>thought</w:t>
      </w:r>
      <w:r w:rsidR="00DA071A">
        <w:t xml:space="preserve"> this </w:t>
      </w:r>
      <w:r w:rsidR="00A70F61">
        <w:t>request</w:t>
      </w:r>
      <w:r w:rsidR="00DA071A">
        <w:t xml:space="preserve"> was</w:t>
      </w:r>
      <w:r w:rsidR="00A70F61">
        <w:t xml:space="preserve"> also</w:t>
      </w:r>
      <w:r w:rsidR="00DA071A">
        <w:t xml:space="preserve"> a threat that Rubin intended to report Renato’s immigration status.</w:t>
      </w:r>
    </w:p>
    <w:p w14:paraId="74F8513F" w14:textId="77777777" w:rsidR="001256C8" w:rsidRDefault="001256C8" w:rsidP="002A679D">
      <w:pPr>
        <w:tabs>
          <w:tab w:val="left" w:pos="720"/>
        </w:tabs>
        <w:spacing w:line="480" w:lineRule="auto"/>
        <w:ind w:firstLine="720"/>
      </w:pPr>
    </w:p>
    <w:bookmarkEnd w:id="9"/>
    <w:p w14:paraId="52F64331" w14:textId="77777777" w:rsidR="00D41D59" w:rsidRPr="00D41D59" w:rsidRDefault="00677AEB" w:rsidP="002A679D">
      <w:pPr>
        <w:tabs>
          <w:tab w:val="left" w:pos="720"/>
        </w:tabs>
        <w:spacing w:line="480" w:lineRule="auto"/>
        <w:rPr>
          <w:b/>
        </w:rPr>
      </w:pPr>
      <w:r>
        <w:rPr>
          <w:b/>
        </w:rPr>
        <w:lastRenderedPageBreak/>
        <w:t>B</w:t>
      </w:r>
      <w:r w:rsidR="00D41D59" w:rsidRPr="00D41D59">
        <w:rPr>
          <w:b/>
        </w:rPr>
        <w:t>.</w:t>
      </w:r>
      <w:r w:rsidR="00D41D59" w:rsidRPr="00D41D59">
        <w:rPr>
          <w:b/>
        </w:rPr>
        <w:tab/>
      </w:r>
      <w:r w:rsidR="00111DFC">
        <w:rPr>
          <w:b/>
        </w:rPr>
        <w:t>Culpability</w:t>
      </w:r>
      <w:r w:rsidR="00BE1D5C">
        <w:rPr>
          <w:rStyle w:val="FootnoteReference"/>
          <w:b/>
        </w:rPr>
        <w:footnoteReference w:id="6"/>
      </w:r>
    </w:p>
    <w:p w14:paraId="4C7C9514" w14:textId="77777777" w:rsidR="00BD6F81" w:rsidRPr="00934279" w:rsidRDefault="00934279" w:rsidP="002A679D">
      <w:pPr>
        <w:tabs>
          <w:tab w:val="left" w:pos="720"/>
        </w:tabs>
        <w:spacing w:line="480" w:lineRule="auto"/>
        <w:ind w:firstLine="720"/>
        <w:rPr>
          <w:b/>
          <w:bCs/>
        </w:rPr>
      </w:pPr>
      <w:r w:rsidRPr="00934279">
        <w:rPr>
          <w:b/>
          <w:bCs/>
        </w:rPr>
        <w:t>1.  Count One: Failure to Obey a Court Order (Bus. &amp; Prof. Code, § 6103)</w:t>
      </w:r>
      <w:r w:rsidR="003A68D8">
        <w:rPr>
          <w:rStyle w:val="FootnoteReference"/>
          <w:b/>
          <w:bCs/>
        </w:rPr>
        <w:footnoteReference w:id="7"/>
      </w:r>
    </w:p>
    <w:p w14:paraId="626FF7C8" w14:textId="0F35305A" w:rsidR="003A68D8" w:rsidRDefault="00934279" w:rsidP="00E14A94">
      <w:pPr>
        <w:tabs>
          <w:tab w:val="left" w:pos="720"/>
        </w:tabs>
        <w:spacing w:line="480" w:lineRule="auto"/>
        <w:ind w:firstLine="720"/>
      </w:pPr>
      <w:r>
        <w:t>Count one charges that Rubin fai</w:t>
      </w:r>
      <w:r w:rsidR="00286EFD">
        <w:t>led to comply with the February </w:t>
      </w:r>
      <w:r>
        <w:t xml:space="preserve">20, 2018 order to pay sanctions in </w:t>
      </w:r>
      <w:r>
        <w:rPr>
          <w:i/>
          <w:iCs/>
        </w:rPr>
        <w:t>Uvas v. Mathew</w:t>
      </w:r>
      <w:r>
        <w:t>.</w:t>
      </w:r>
      <w:r w:rsidR="003A68D8">
        <w:t xml:space="preserve">  </w:t>
      </w:r>
      <w:r w:rsidR="003A68D8" w:rsidRPr="003A68D8">
        <w:t>Section</w:t>
      </w:r>
      <w:r w:rsidR="00286EFD">
        <w:t> </w:t>
      </w:r>
      <w:r w:rsidR="003A68D8" w:rsidRPr="003A68D8">
        <w:t>6103 provides, in pertinent part, that willful disobedience or violation of a court order requiring an attorney to do or forbear an act connected with or in the course of the attorney’s profession, which the attorney ought in good faith to do or forbear, constitutes cause for suspension or disbarment.</w:t>
      </w:r>
      <w:r w:rsidR="002F724C">
        <w:t xml:space="preserve">  An attorney acts willfully if he inten</w:t>
      </w:r>
      <w:r w:rsidR="00783E17">
        <w:t>ds</w:t>
      </w:r>
      <w:r w:rsidR="002F724C">
        <w:t xml:space="preserve"> to commit the act or to abstain from committing it.</w:t>
      </w:r>
      <w:r w:rsidR="00783E17">
        <w:t xml:space="preserve">  (See </w:t>
      </w:r>
      <w:r w:rsidR="00783E17">
        <w:rPr>
          <w:i/>
        </w:rPr>
        <w:t>Durbin v. State Bar</w:t>
      </w:r>
      <w:r w:rsidR="00286EFD">
        <w:t xml:space="preserve"> (1979) 23 </w:t>
      </w:r>
      <w:r w:rsidR="00783E17">
        <w:t xml:space="preserve">Cal.3d 461, 467 [no intent to violate law required]; see also </w:t>
      </w:r>
      <w:r w:rsidR="00783E17">
        <w:rPr>
          <w:i/>
        </w:rPr>
        <w:t>Lydon v. State Bar</w:t>
      </w:r>
      <w:r w:rsidR="00286EFD">
        <w:t xml:space="preserve"> (1988) 45 </w:t>
      </w:r>
      <w:r w:rsidR="00783E17">
        <w:t xml:space="preserve">Cal.3d 1181, 1186 [willfulness does not require bad faith or knowledge of provision violated].)  </w:t>
      </w:r>
      <w:r w:rsidR="00CE48B1">
        <w:t>T</w:t>
      </w:r>
      <w:r w:rsidR="00EC4DFD">
        <w:t xml:space="preserve">he hearing judge found culpability as charged </w:t>
      </w:r>
      <w:r w:rsidR="00A5336D">
        <w:t>since</w:t>
      </w:r>
      <w:r w:rsidR="00EC4DFD">
        <w:t xml:space="preserve"> Rubin did not pay the sanctions until November 2019 during the disciplinary trial in this matter.</w:t>
      </w:r>
    </w:p>
    <w:p w14:paraId="7C81937C" w14:textId="2C87FCBF" w:rsidR="00BA14F0" w:rsidRDefault="003C3921" w:rsidP="002A679D">
      <w:pPr>
        <w:tabs>
          <w:tab w:val="left" w:pos="720"/>
        </w:tabs>
        <w:spacing w:line="480" w:lineRule="auto"/>
        <w:ind w:firstLine="720"/>
      </w:pPr>
      <w:r>
        <w:t>On review, Rubin argues that he did no</w:t>
      </w:r>
      <w:r w:rsidR="00286EFD">
        <w:t>t violate the order because (1) </w:t>
      </w:r>
      <w:r>
        <w:t>there was no deadline for payment of the sanctions</w:t>
      </w:r>
      <w:r w:rsidR="00286EFD">
        <w:t xml:space="preserve"> and (2) </w:t>
      </w:r>
      <w:r>
        <w:t xml:space="preserve">the order is not final as the underlying case is currently on appeal.  He also argues that the order was never binding </w:t>
      </w:r>
      <w:r w:rsidR="00CB40C7">
        <w:t>on</w:t>
      </w:r>
      <w:r>
        <w:t xml:space="preserve"> him because it was not properly served</w:t>
      </w:r>
      <w:r w:rsidR="00FF7DCD">
        <w:t>,</w:t>
      </w:r>
      <w:r>
        <w:t xml:space="preserve"> and he had a good faith belief that he did not need to comply due to the </w:t>
      </w:r>
      <w:r w:rsidR="00A5336D">
        <w:t xml:space="preserve">defective </w:t>
      </w:r>
      <w:r>
        <w:t xml:space="preserve">service.  Further, he asserts that the order did not involve an act “in the course of his profession,” </w:t>
      </w:r>
      <w:r w:rsidR="00606597">
        <w:t>and it</w:t>
      </w:r>
      <w:r>
        <w:t xml:space="preserve"> </w:t>
      </w:r>
      <w:r w:rsidR="00D239A9">
        <w:t>pertain</w:t>
      </w:r>
      <w:r w:rsidR="00D65C89">
        <w:t>ed</w:t>
      </w:r>
      <w:r w:rsidR="00AD380C">
        <w:t xml:space="preserve"> </w:t>
      </w:r>
      <w:r>
        <w:t>to a discovery dispute.</w:t>
      </w:r>
      <w:r w:rsidR="00C03212">
        <w:rPr>
          <w:rStyle w:val="FootnoteReference"/>
        </w:rPr>
        <w:footnoteReference w:id="8"/>
      </w:r>
    </w:p>
    <w:p w14:paraId="12040877" w14:textId="546E90EE" w:rsidR="005009E4" w:rsidRPr="00667C6D" w:rsidRDefault="0033592C" w:rsidP="002A679D">
      <w:pPr>
        <w:tabs>
          <w:tab w:val="left" w:pos="720"/>
        </w:tabs>
        <w:spacing w:line="480" w:lineRule="auto"/>
        <w:ind w:firstLine="720"/>
      </w:pPr>
      <w:r w:rsidRPr="0033592C">
        <w:lastRenderedPageBreak/>
        <w:t xml:space="preserve">As explained below, </w:t>
      </w:r>
      <w:r w:rsidR="00CE48B1" w:rsidRPr="0033592C">
        <w:t>Rubin’s arguments are without merit</w:t>
      </w:r>
      <w:r w:rsidR="00D239A9">
        <w:t xml:space="preserve">. </w:t>
      </w:r>
      <w:r w:rsidR="00CE48B1" w:rsidRPr="0033592C">
        <w:t xml:space="preserve"> OCTC proved by clear and convincing evidence</w:t>
      </w:r>
      <w:r w:rsidR="00286EFD">
        <w:t xml:space="preserve"> that: (1) </w:t>
      </w:r>
      <w:r w:rsidR="00CE48B1">
        <w:t>Rubin willfully disobeyed the court’s order and (2)</w:t>
      </w:r>
      <w:r w:rsidR="00286EFD">
        <w:t> </w:t>
      </w:r>
      <w:r w:rsidR="00CE48B1">
        <w:t>the court order required Rubin to do an act in the course of his profession which he ought in good faith to have done.  (</w:t>
      </w:r>
      <w:r w:rsidR="00CE48B1">
        <w:rPr>
          <w:i/>
        </w:rPr>
        <w:t>In the Matter of Respondent X</w:t>
      </w:r>
      <w:r w:rsidR="00286EFD">
        <w:t xml:space="preserve"> (Review Dept. 1997) 3 </w:t>
      </w:r>
      <w:r w:rsidR="00CE48B1">
        <w:t>Cal. State Bar Ct. Rptr. 592, 603</w:t>
      </w:r>
      <w:r w:rsidR="00286EFD">
        <w:t xml:space="preserve"> [elements of § </w:t>
      </w:r>
      <w:r w:rsidR="006301AE">
        <w:t xml:space="preserve">6103 violation]; </w:t>
      </w:r>
      <w:r w:rsidR="006301AE">
        <w:rPr>
          <w:i/>
        </w:rPr>
        <w:t>In the Matter of Respondent Y</w:t>
      </w:r>
      <w:r w:rsidR="006301AE">
        <w:t xml:space="preserve"> (Revie</w:t>
      </w:r>
      <w:r w:rsidR="00286EFD">
        <w:t>w Dept. 1998) 3 </w:t>
      </w:r>
      <w:r w:rsidR="006301AE">
        <w:t xml:space="preserve">Cal. State Bar Ct. Rptr. 862, 868 [frivolous to claim that actions in representing client in civil </w:t>
      </w:r>
      <w:r w:rsidR="00914577">
        <w:t>case</w:t>
      </w:r>
      <w:r w:rsidR="006301AE">
        <w:t xml:space="preserve"> not connected with employment].</w:t>
      </w:r>
      <w:r w:rsidR="00286EFD">
        <w:t>)  Rubin was aware on February </w:t>
      </w:r>
      <w:r w:rsidR="00CE48B1">
        <w:t>20, 20</w:t>
      </w:r>
      <w:r w:rsidR="004E061F">
        <w:t>18</w:t>
      </w:r>
      <w:r w:rsidR="00286EFD">
        <w:t>,</w:t>
      </w:r>
      <w:r w:rsidR="00CE48B1">
        <w:t xml:space="preserve"> that the court intended to </w:t>
      </w:r>
      <w:r w:rsidR="00241353">
        <w:t>impose</w:t>
      </w:r>
      <w:r w:rsidR="00CE48B1">
        <w:t xml:space="preserve"> sanctions </w:t>
      </w:r>
      <w:r w:rsidR="00241353">
        <w:t>on</w:t>
      </w:r>
      <w:r w:rsidR="00CE48B1">
        <w:t xml:space="preserve"> him.  By March</w:t>
      </w:r>
      <w:r w:rsidR="00286EFD">
        <w:t> </w:t>
      </w:r>
      <w:r w:rsidR="00CE48B1">
        <w:t>6, he had received a copy of the</w:t>
      </w:r>
      <w:r w:rsidR="00C03212">
        <w:t xml:space="preserve"> minute</w:t>
      </w:r>
      <w:r w:rsidR="00CE48B1">
        <w:t xml:space="preserve"> order.  </w:t>
      </w:r>
      <w:r w:rsidR="00C279C7">
        <w:t xml:space="preserve">There is no question that he had actual notice of the order and the requirement that he pay the sanctions; the service argument is </w:t>
      </w:r>
      <w:r w:rsidR="005431C9">
        <w:t>unavailing</w:t>
      </w:r>
      <w:r w:rsidR="00C279C7">
        <w:t xml:space="preserve">.  (See </w:t>
      </w:r>
      <w:proofErr w:type="gramStart"/>
      <w:r w:rsidR="00C279C7">
        <w:rPr>
          <w:i/>
        </w:rPr>
        <w:t>In</w:t>
      </w:r>
      <w:proofErr w:type="gramEnd"/>
      <w:r w:rsidR="00C279C7">
        <w:rPr>
          <w:i/>
        </w:rPr>
        <w:t xml:space="preserve"> the Matter of Khakshooy</w:t>
      </w:r>
      <w:r w:rsidR="00C279C7">
        <w:t xml:space="preserve"> (Review Dept. 2019) 5</w:t>
      </w:r>
      <w:r w:rsidR="00EF42E0">
        <w:t> </w:t>
      </w:r>
      <w:r w:rsidR="00C279C7">
        <w:t>Cal. State Bar Ct. Rptr. 68</w:t>
      </w:r>
      <w:r w:rsidR="0031324C">
        <w:t>1,</w:t>
      </w:r>
      <w:r w:rsidR="008E0D74">
        <w:t xml:space="preserve"> 692–693</w:t>
      </w:r>
      <w:r w:rsidR="0031324C">
        <w:t xml:space="preserve"> [attorney with actual notice of sanctions order culpable of §</w:t>
      </w:r>
      <w:r w:rsidR="00EF42E0">
        <w:t> </w:t>
      </w:r>
      <w:r w:rsidR="0031324C">
        <w:t xml:space="preserve">6103 violation despite argument that he was not served with copy of order].)  </w:t>
      </w:r>
      <w:r w:rsidR="005009E4">
        <w:t xml:space="preserve">Rubin failed to pay the sanctions, </w:t>
      </w:r>
      <w:r w:rsidR="004D389C">
        <w:t xml:space="preserve">then </w:t>
      </w:r>
      <w:r w:rsidR="005009E4">
        <w:t>challenged the order’s validity, and lost.  Therefore</w:t>
      </w:r>
      <w:r w:rsidR="0031324C">
        <w:t>, the sanctions order was final and binding for disciplinary purposes</w:t>
      </w:r>
      <w:r w:rsidR="00CB53CF">
        <w:t xml:space="preserve"> as Rubin’s challenge of the order </w:t>
      </w:r>
      <w:r w:rsidR="00D239A9">
        <w:t>was</w:t>
      </w:r>
      <w:r w:rsidR="00CB53CF">
        <w:t xml:space="preserve"> exhausted</w:t>
      </w:r>
      <w:r w:rsidR="0031324C">
        <w:t>.</w:t>
      </w:r>
      <w:r w:rsidR="00C83C73">
        <w:t xml:space="preserve">  </w:t>
      </w:r>
      <w:r w:rsidR="00CB53CF">
        <w:t>(</w:t>
      </w:r>
      <w:r w:rsidR="00CB53CF">
        <w:rPr>
          <w:i/>
        </w:rPr>
        <w:t>In the Matter of Collins</w:t>
      </w:r>
      <w:r w:rsidR="00EF42E0">
        <w:t xml:space="preserve"> (Review Dept. 2018) 5 </w:t>
      </w:r>
      <w:r w:rsidR="00CB53CF">
        <w:t xml:space="preserve">Cal. State Bar Ct. Rptr. 551, 559 [“superior court orders are final and binding for disciplinary purposes once review is waived or exhausted in the courts of record”].)  The sanctions order remained in effect, even if the case as a whole </w:t>
      </w:r>
      <w:r w:rsidR="006F5C04">
        <w:t>was</w:t>
      </w:r>
      <w:r w:rsidR="00CB53CF">
        <w:t xml:space="preserve"> being appealed.</w:t>
      </w:r>
      <w:r w:rsidR="006F5C04">
        <w:t xml:space="preserve">  There is “no valid reason to go behind the now-final order.”  (</w:t>
      </w:r>
      <w:r w:rsidR="006F5C04">
        <w:rPr>
          <w:i/>
        </w:rPr>
        <w:t>In the Matter of Respondent X</w:t>
      </w:r>
      <w:r w:rsidR="006F5C04">
        <w:t xml:space="preserve">, </w:t>
      </w:r>
      <w:r w:rsidR="006F5C04" w:rsidRPr="006F5C04">
        <w:rPr>
          <w:i/>
          <w:iCs/>
        </w:rPr>
        <w:t>supra</w:t>
      </w:r>
      <w:r w:rsidR="00EF42E0">
        <w:t>, 3 Cal. State Bar Ct. Rptr. at p. </w:t>
      </w:r>
      <w:r w:rsidR="006F5C04">
        <w:t>605.)</w:t>
      </w:r>
      <w:r w:rsidR="00667C6D">
        <w:t xml:space="preserve">  Rubin’s argument that there was no deadline to pay is also without merit.  </w:t>
      </w:r>
      <w:r w:rsidR="00F73DDB">
        <w:t>He</w:t>
      </w:r>
      <w:r w:rsidR="00667C6D">
        <w:t xml:space="preserve"> did not pay the sanctions until over a year</w:t>
      </w:r>
      <w:r w:rsidR="00F73DDB">
        <w:t xml:space="preserve"> </w:t>
      </w:r>
      <w:r w:rsidR="00667C6D">
        <w:t>and</w:t>
      </w:r>
      <w:r w:rsidR="00F73DDB">
        <w:t xml:space="preserve"> </w:t>
      </w:r>
      <w:r w:rsidR="00667C6D">
        <w:t>a</w:t>
      </w:r>
      <w:r w:rsidR="00F73DDB">
        <w:t xml:space="preserve"> </w:t>
      </w:r>
      <w:r w:rsidR="00667C6D">
        <w:t xml:space="preserve">half after he knew about the obligation, which was </w:t>
      </w:r>
      <w:r w:rsidR="00A277AF">
        <w:t>unreasonable</w:t>
      </w:r>
      <w:r w:rsidR="00667C6D">
        <w:t xml:space="preserve"> and constituted a violation of the order.  (</w:t>
      </w:r>
      <w:r w:rsidR="005B4347">
        <w:t xml:space="preserve">See </w:t>
      </w:r>
      <w:proofErr w:type="gramStart"/>
      <w:r w:rsidR="005B4347">
        <w:rPr>
          <w:i/>
        </w:rPr>
        <w:t>In</w:t>
      </w:r>
      <w:proofErr w:type="gramEnd"/>
      <w:r w:rsidR="005B4347">
        <w:rPr>
          <w:i/>
        </w:rPr>
        <w:t xml:space="preserve"> the Matter of Burke</w:t>
      </w:r>
      <w:r w:rsidR="005B4347">
        <w:t xml:space="preserve"> (Review Dept. 2016) 5 Cal. State Bar Ct. Rptr. 448, 457 [failure to pay sanctions for nearly 11 months was not reasonable and established culpability for § 6103];</w:t>
      </w:r>
      <w:r w:rsidR="00667C6D">
        <w:t xml:space="preserve"> </w:t>
      </w:r>
      <w:r w:rsidR="005009E4">
        <w:rPr>
          <w:i/>
        </w:rPr>
        <w:t>In the Matter of Respondent Y</w:t>
      </w:r>
      <w:r w:rsidR="00AB6523">
        <w:rPr>
          <w:iCs/>
        </w:rPr>
        <w:t xml:space="preserve">, </w:t>
      </w:r>
      <w:r w:rsidR="00AB6523" w:rsidRPr="00E703DD">
        <w:rPr>
          <w:i/>
        </w:rPr>
        <w:t>supra</w:t>
      </w:r>
      <w:r w:rsidR="00AB6523">
        <w:t>,</w:t>
      </w:r>
      <w:r w:rsidR="00EF42E0">
        <w:t xml:space="preserve"> 3 </w:t>
      </w:r>
      <w:r w:rsidR="005009E4">
        <w:t xml:space="preserve">Cal. State Bar Ct. Rptr. </w:t>
      </w:r>
      <w:r w:rsidR="00B0210F">
        <w:t>at pp. </w:t>
      </w:r>
      <w:r w:rsidR="001048A2">
        <w:t>867–</w:t>
      </w:r>
      <w:r w:rsidR="00667C6D">
        <w:t>868</w:t>
      </w:r>
      <w:r w:rsidR="005009E4">
        <w:t xml:space="preserve"> [</w:t>
      </w:r>
      <w:r w:rsidR="001A6E33">
        <w:t xml:space="preserve">failure </w:t>
      </w:r>
      <w:r w:rsidR="001A6E33">
        <w:lastRenderedPageBreak/>
        <w:t xml:space="preserve">to pay sanctions was </w:t>
      </w:r>
      <w:r w:rsidR="001048A2">
        <w:t xml:space="preserve">§ 6103 violation when </w:t>
      </w:r>
      <w:r w:rsidR="000F09B4">
        <w:t>attorney</w:t>
      </w:r>
      <w:r w:rsidR="001048A2">
        <w:t xml:space="preserve"> had over year to pay</w:t>
      </w:r>
      <w:r w:rsidR="00667C6D">
        <w:t>]</w:t>
      </w:r>
      <w:r w:rsidR="00A277AF">
        <w:t>.)</w:t>
      </w:r>
      <w:r w:rsidR="008C2E5B">
        <w:t xml:space="preserve">  Accordingly, we affirm the hearing judge’s culpability determination.</w:t>
      </w:r>
    </w:p>
    <w:p w14:paraId="3FC57FFE" w14:textId="77777777" w:rsidR="00EC4DFD" w:rsidRPr="00EC4DFD" w:rsidRDefault="00EC4DFD" w:rsidP="002A679D">
      <w:pPr>
        <w:tabs>
          <w:tab w:val="left" w:pos="720"/>
        </w:tabs>
        <w:spacing w:line="480" w:lineRule="auto"/>
        <w:ind w:firstLine="720"/>
        <w:rPr>
          <w:b/>
          <w:bCs/>
        </w:rPr>
      </w:pPr>
      <w:r w:rsidRPr="00EC4DFD">
        <w:rPr>
          <w:b/>
          <w:bCs/>
        </w:rPr>
        <w:t>2.  Count Two: Failure to Report Judicial Sanctions (§ 6068, subd. (o)(3))</w:t>
      </w:r>
    </w:p>
    <w:p w14:paraId="16CC070C" w14:textId="698AF116" w:rsidR="002D5C41" w:rsidRDefault="00EC4DFD" w:rsidP="002A679D">
      <w:pPr>
        <w:tabs>
          <w:tab w:val="left" w:pos="720"/>
        </w:tabs>
        <w:spacing w:line="480" w:lineRule="auto"/>
        <w:ind w:firstLine="720"/>
      </w:pPr>
      <w:r>
        <w:t xml:space="preserve">Count two charges that Rubin failed to </w:t>
      </w:r>
      <w:r w:rsidR="00E96945">
        <w:t xml:space="preserve">timely </w:t>
      </w:r>
      <w:r>
        <w:t xml:space="preserve">report </w:t>
      </w:r>
      <w:r w:rsidR="00E96945">
        <w:t xml:space="preserve">to the State Bar </w:t>
      </w:r>
      <w:r w:rsidR="002D5C41">
        <w:t xml:space="preserve">the </w:t>
      </w:r>
      <w:r w:rsidR="00E96945">
        <w:t xml:space="preserve">superior court’s February 20, 2018 order imposing </w:t>
      </w:r>
      <w:r w:rsidR="002D5C41">
        <w:t>$2,335 in sanctions</w:t>
      </w:r>
      <w:r w:rsidR="00D27561">
        <w:t xml:space="preserve"> against him.</w:t>
      </w:r>
      <w:r>
        <w:t xml:space="preserve">  </w:t>
      </w:r>
      <w:r w:rsidRPr="00EC4DFD">
        <w:t>Section</w:t>
      </w:r>
      <w:r w:rsidR="00EF42E0">
        <w:t> </w:t>
      </w:r>
      <w:r w:rsidRPr="00EC4DFD">
        <w:t>6068, subdivision</w:t>
      </w:r>
      <w:r w:rsidR="00EF42E0">
        <w:t> </w:t>
      </w:r>
      <w:r w:rsidRPr="00EC4DFD">
        <w:t xml:space="preserve">(o)(3), </w:t>
      </w:r>
      <w:r w:rsidR="00A80D29">
        <w:t xml:space="preserve">requires attorneys to report to the State Bar, in writing, within 30 days of knowledge of “[t]he imposition of judicial sanctions against the attorney, except for sanctions for failure to </w:t>
      </w:r>
      <w:r w:rsidR="00A80D29" w:rsidRPr="00A80D29">
        <w:rPr>
          <w:i/>
          <w:iCs/>
        </w:rPr>
        <w:t>make</w:t>
      </w:r>
      <w:r w:rsidR="00A80D29">
        <w:t xml:space="preserve"> discovery or monetary sanctions of less than </w:t>
      </w:r>
      <w:r w:rsidR="00C91C94">
        <w:t>one thousand dollars (</w:t>
      </w:r>
      <w:r w:rsidR="00A80D29">
        <w:t>$1,000</w:t>
      </w:r>
      <w:r w:rsidR="00C91C94">
        <w:t>)</w:t>
      </w:r>
      <w:r w:rsidR="00A80D29">
        <w:t>.</w:t>
      </w:r>
      <w:r w:rsidR="002978FA">
        <w:t>”</w:t>
      </w:r>
      <w:r w:rsidR="00A80D29">
        <w:t xml:space="preserve">  (Italics added.)  </w:t>
      </w:r>
      <w:r>
        <w:t xml:space="preserve">The hearing judge found culpability </w:t>
      </w:r>
      <w:r w:rsidR="002D5C41">
        <w:t>as charged.</w:t>
      </w:r>
    </w:p>
    <w:p w14:paraId="768D3EC4" w14:textId="77777777" w:rsidR="00E703DD" w:rsidRDefault="00411F11" w:rsidP="002A679D">
      <w:pPr>
        <w:tabs>
          <w:tab w:val="left" w:pos="720"/>
        </w:tabs>
        <w:spacing w:line="480" w:lineRule="auto"/>
        <w:ind w:firstLine="720"/>
      </w:pPr>
      <w:r>
        <w:t>Rubin acknowledges that he</w:t>
      </w:r>
      <w:r w:rsidR="00EE030C">
        <w:t xml:space="preserve"> “technically” violated section 6068, subdivision </w:t>
      </w:r>
      <w:r>
        <w:t xml:space="preserve">(o)(3), but </w:t>
      </w:r>
      <w:r w:rsidR="00C35BDB">
        <w:t>contends</w:t>
      </w:r>
      <w:r>
        <w:t xml:space="preserve"> that the violation was not “willful” because he “believed, in good faith, that only a sanctions order involving moral turpitude, and not an order in connection with a discovery motion needed to be reported.”  He argues that the State Bar Court has held that ignorance of the law is not a cause for discipline.  </w:t>
      </w:r>
    </w:p>
    <w:p w14:paraId="2C370DAF" w14:textId="35E562F2" w:rsidR="003E55AE" w:rsidRDefault="00411F11" w:rsidP="002A679D">
      <w:pPr>
        <w:tabs>
          <w:tab w:val="left" w:pos="720"/>
        </w:tabs>
        <w:spacing w:line="480" w:lineRule="auto"/>
        <w:ind w:firstLine="720"/>
      </w:pPr>
      <w:r>
        <w:t xml:space="preserve">Rubin’s arguments are without merit.  First, the sanctions were not imposed for failure to </w:t>
      </w:r>
      <w:r w:rsidRPr="00552E9D">
        <w:rPr>
          <w:i/>
          <w:iCs/>
        </w:rPr>
        <w:t>make</w:t>
      </w:r>
      <w:r>
        <w:t xml:space="preserve"> discovery, but </w:t>
      </w:r>
      <w:r w:rsidR="008660DA">
        <w:t xml:space="preserve">rather </w:t>
      </w:r>
      <w:r>
        <w:t xml:space="preserve">because </w:t>
      </w:r>
      <w:r w:rsidR="0060577F">
        <w:t>Rubin was unsuccessful in opposing the protective order.</w:t>
      </w:r>
      <w:r w:rsidR="00A80D29">
        <w:rPr>
          <w:rStyle w:val="FootnoteReference"/>
        </w:rPr>
        <w:footnoteReference w:id="9"/>
      </w:r>
      <w:r w:rsidR="0060577F">
        <w:t xml:space="preserve">  (Code Civ. Proc., §</w:t>
      </w:r>
      <w:r w:rsidR="00EE030C">
        <w:t> </w:t>
      </w:r>
      <w:r w:rsidR="0060577F">
        <w:t>2025.420, subd.</w:t>
      </w:r>
      <w:r w:rsidR="00EE030C">
        <w:t> </w:t>
      </w:r>
      <w:r w:rsidR="0060577F">
        <w:t>(h).)</w:t>
      </w:r>
      <w:r w:rsidR="003E55AE">
        <w:t xml:space="preserve">  </w:t>
      </w:r>
      <w:bookmarkStart w:id="11" w:name="_Hlk61360461"/>
      <w:r w:rsidR="003E55AE">
        <w:t>Second, “</w:t>
      </w:r>
      <w:r w:rsidR="00EE030C">
        <w:t>[g]</w:t>
      </w:r>
      <w:r w:rsidR="003E55AE">
        <w:t>ood faith, or even ignorance of the l</w:t>
      </w:r>
      <w:r w:rsidR="00EE030C">
        <w:t>aw, is not a defense to section 6068, subdivision </w:t>
      </w:r>
      <w:r w:rsidR="003E55AE">
        <w:t>(o)(3).  [Citation.]”  (</w:t>
      </w:r>
      <w:r w:rsidR="003E55AE">
        <w:rPr>
          <w:i/>
        </w:rPr>
        <w:t>In the Matter of Moriarty</w:t>
      </w:r>
      <w:r w:rsidR="00EE030C">
        <w:t xml:space="preserve"> (Review Dept. 2017) 5 </w:t>
      </w:r>
      <w:r w:rsidR="003E55AE">
        <w:t>Cal. State Bar Ct. Rptr. 511, 525</w:t>
      </w:r>
      <w:r w:rsidR="00732E15">
        <w:t xml:space="preserve">; see also </w:t>
      </w:r>
      <w:r w:rsidR="00732E15">
        <w:rPr>
          <w:i/>
        </w:rPr>
        <w:t>In the Matter of McKiernan</w:t>
      </w:r>
      <w:r w:rsidR="00EE030C">
        <w:t xml:space="preserve"> (Review Dept. 1995) 3 </w:t>
      </w:r>
      <w:r w:rsidR="00732E15">
        <w:t xml:space="preserve">Cal. State Bar Ct. Rptr. 420, 427 [inappropriate to reward </w:t>
      </w:r>
      <w:r w:rsidR="00C35BDB">
        <w:t>attorney</w:t>
      </w:r>
      <w:r w:rsidR="00732E15">
        <w:t xml:space="preserve"> for ignorance of ethical responsibilities].)</w:t>
      </w:r>
      <w:r w:rsidR="000E7613">
        <w:t xml:space="preserve">  </w:t>
      </w:r>
    </w:p>
    <w:bookmarkEnd w:id="11"/>
    <w:p w14:paraId="5714C080" w14:textId="4F9D0B00" w:rsidR="00411F11" w:rsidRDefault="000E7613" w:rsidP="002A679D">
      <w:pPr>
        <w:tabs>
          <w:tab w:val="left" w:pos="720"/>
        </w:tabs>
        <w:spacing w:line="480" w:lineRule="auto"/>
        <w:ind w:firstLine="720"/>
      </w:pPr>
      <w:r>
        <w:t>Rubin knew of the sanctions order and failed to report it, even though he had an independent duty to do so.  (</w:t>
      </w:r>
      <w:r>
        <w:rPr>
          <w:i/>
        </w:rPr>
        <w:t>In the Matter of Riordan</w:t>
      </w:r>
      <w:r w:rsidR="00EE030C">
        <w:t xml:space="preserve"> (Review Dept. 2007) 5 </w:t>
      </w:r>
      <w:r>
        <w:t xml:space="preserve">Cal. State Bar Ct. </w:t>
      </w:r>
      <w:r>
        <w:lastRenderedPageBreak/>
        <w:t>Rptr. 41</w:t>
      </w:r>
      <w:r w:rsidR="00250153">
        <w:t xml:space="preserve">, 47–48.)  </w:t>
      </w:r>
      <w:r>
        <w:t>There is no requirement that OCTC must prove bad faith or that Rubin had actual</w:t>
      </w:r>
      <w:r w:rsidR="00EE030C">
        <w:t xml:space="preserve"> knowledge of violating section 6068, subdivision </w:t>
      </w:r>
      <w:r>
        <w:t>(o)(3).  (</w:t>
      </w:r>
      <w:r>
        <w:rPr>
          <w:i/>
        </w:rPr>
        <w:t>In the Matter of Blum</w:t>
      </w:r>
      <w:r w:rsidR="00EE030C">
        <w:t xml:space="preserve"> (Review Dept. 1994) 3 </w:t>
      </w:r>
      <w:r>
        <w:t>Cal. State Bar Ct. Rptr. 170, 176.)  Rubin’s actions constituted a willful violation of section</w:t>
      </w:r>
      <w:r w:rsidR="00EE030C">
        <w:t> 6068, subdivision </w:t>
      </w:r>
      <w:r>
        <w:t>(o)(3)</w:t>
      </w:r>
      <w:r w:rsidR="00EE030C">
        <w:t>,</w:t>
      </w:r>
      <w:r>
        <w:t xml:space="preserve"> and we affirm the hearing judge’s culpability determination.</w:t>
      </w:r>
    </w:p>
    <w:p w14:paraId="5229C4BE" w14:textId="77777777" w:rsidR="00EC4DFD" w:rsidRDefault="002D5C41" w:rsidP="002A679D">
      <w:pPr>
        <w:tabs>
          <w:tab w:val="left" w:pos="720"/>
        </w:tabs>
        <w:spacing w:line="480" w:lineRule="auto"/>
        <w:ind w:firstLine="720"/>
      </w:pPr>
      <w:r w:rsidRPr="0001772F">
        <w:rPr>
          <w:b/>
          <w:bCs/>
        </w:rPr>
        <w:t>3.  Count Three: Threatening to Report Suspected Immigration Status (§ 6103.7)</w:t>
      </w:r>
    </w:p>
    <w:p w14:paraId="276D897D" w14:textId="2F7EDFD5" w:rsidR="00470B6C" w:rsidRDefault="005A1DA9" w:rsidP="002A679D">
      <w:pPr>
        <w:tabs>
          <w:tab w:val="left" w:pos="720"/>
        </w:tabs>
        <w:spacing w:line="480" w:lineRule="auto"/>
        <w:ind w:firstLine="720"/>
      </w:pPr>
      <w:r>
        <w:t>Count three</w:t>
      </w:r>
      <w:r w:rsidR="00B26CD4">
        <w:t xml:space="preserve"> charges that </w:t>
      </w:r>
      <w:r>
        <w:t>Rubin threatened to report the suspected immigration status of Rommel Uvas</w:t>
      </w:r>
      <w:r w:rsidR="00206075">
        <w:t xml:space="preserve"> on or about March 16, 2017</w:t>
      </w:r>
      <w:r>
        <w:t xml:space="preserve">.  </w:t>
      </w:r>
      <w:r w:rsidR="002D5C41" w:rsidRPr="002D5C41">
        <w:t>Sect</w:t>
      </w:r>
      <w:r w:rsidR="00B26CD4">
        <w:t>ion </w:t>
      </w:r>
      <w:r w:rsidR="002D5C41" w:rsidRPr="002D5C41">
        <w:t>6103.7 states, “It is cause for suspension, disbarment, or other discipline for any licensee of the State Bar</w:t>
      </w:r>
      <w:r>
        <w:t xml:space="preserve"> to . . . </w:t>
      </w:r>
      <w:r w:rsidR="002D5C41" w:rsidRPr="002D5C41">
        <w:t xml:space="preserve">threaten to report suspected immigration status of a witness or party to a civil or administrative action </w:t>
      </w:r>
      <w:r w:rsidR="002D5C41">
        <w:t>. . .</w:t>
      </w:r>
      <w:r w:rsidR="002D5C41" w:rsidRPr="002D5C41">
        <w:t xml:space="preserve"> to a federal, state, or local agency because the witness or party exercises or has exercised a right related to his or her employmen</w:t>
      </w:r>
      <w:r w:rsidR="002D5C41">
        <w:t xml:space="preserve">t </w:t>
      </w:r>
      <w:r w:rsidR="002D5C41" w:rsidRPr="008D56DE">
        <w:t>.</w:t>
      </w:r>
      <w:r w:rsidR="002D5C41">
        <w:t xml:space="preserve"> . . .”</w:t>
      </w:r>
      <w:r>
        <w:t xml:space="preserve">  The hearing judge found that Rubin had made such threats on multiple occasions and </w:t>
      </w:r>
      <w:r w:rsidR="00206075">
        <w:t>was therefore</w:t>
      </w:r>
      <w:r w:rsidR="00881E5F">
        <w:t xml:space="preserve"> culpable under count </w:t>
      </w:r>
      <w:r>
        <w:t>three.</w:t>
      </w:r>
    </w:p>
    <w:p w14:paraId="3040396F" w14:textId="224988E5" w:rsidR="001107FA" w:rsidRDefault="0056471E" w:rsidP="002A679D">
      <w:pPr>
        <w:tabs>
          <w:tab w:val="left" w:pos="720"/>
        </w:tabs>
        <w:spacing w:line="480" w:lineRule="auto"/>
        <w:ind w:firstLine="720"/>
      </w:pPr>
      <w:r>
        <w:t>Rubin</w:t>
      </w:r>
      <w:r w:rsidR="00784C69">
        <w:t xml:space="preserve"> disputes the hearing judge’s credibility findings regarding the testimony of Baumler and Mastin and asserts that the</w:t>
      </w:r>
      <w:r w:rsidR="00206075">
        <w:t>y</w:t>
      </w:r>
      <w:r w:rsidR="00784C69">
        <w:t xml:space="preserve"> were extremely biased against him. </w:t>
      </w:r>
      <w:r w:rsidR="00D90105">
        <w:t xml:space="preserve"> </w:t>
      </w:r>
      <w:r w:rsidR="00784C69">
        <w:t>We reject these arguments.  We adopt the judge’s credibility findings as they were specific and reasoned.  (</w:t>
      </w:r>
      <w:r>
        <w:rPr>
          <w:i/>
        </w:rPr>
        <w:t>McKnight v. State Bar</w:t>
      </w:r>
      <w:r w:rsidR="00B26CD4">
        <w:t xml:space="preserve"> (1991) 53 </w:t>
      </w:r>
      <w:r>
        <w:t xml:space="preserve">Cal.3d 1025, 1032 [hearing judge best suited to </w:t>
      </w:r>
      <w:r w:rsidR="000F09B4">
        <w:t>resolve</w:t>
      </w:r>
      <w:r>
        <w:t xml:space="preserve"> credibility having observed and assessed witnesses’ demeanor and veracity firsthand].)</w:t>
      </w:r>
    </w:p>
    <w:p w14:paraId="2AE81391" w14:textId="6CEAEDEF" w:rsidR="00784C69" w:rsidRDefault="00D90105" w:rsidP="002A679D">
      <w:pPr>
        <w:tabs>
          <w:tab w:val="left" w:pos="720"/>
        </w:tabs>
        <w:spacing w:line="480" w:lineRule="auto"/>
        <w:ind w:firstLine="720"/>
      </w:pPr>
      <w:r>
        <w:t xml:space="preserve">Rubin also challenges the hearing judge’s </w:t>
      </w:r>
      <w:r w:rsidR="001107FA">
        <w:t xml:space="preserve">factual findings.  </w:t>
      </w:r>
      <w:r w:rsidR="00470B6C">
        <w:t>He acknowledges that he brought up</w:t>
      </w:r>
      <w:r w:rsidR="001F7547">
        <w:t xml:space="preserve"> the</w:t>
      </w:r>
      <w:r w:rsidR="00470B6C">
        <w:t xml:space="preserve"> opposing parties’ immigration status</w:t>
      </w:r>
      <w:r w:rsidR="00881E5F">
        <w:t xml:space="preserve">, </w:t>
      </w:r>
      <w:r w:rsidR="00206075">
        <w:t>but</w:t>
      </w:r>
      <w:r w:rsidR="00470B6C">
        <w:t xml:space="preserve"> he argues that he never made “direct” threats that he would actually report anyone to the authorities.</w:t>
      </w:r>
      <w:r w:rsidR="00403D37">
        <w:t xml:space="preserve">  </w:t>
      </w:r>
      <w:r w:rsidR="001107FA">
        <w:t>The judge found clear and convincing evidence that Rubin made threats</w:t>
      </w:r>
      <w:r w:rsidR="00A11D56">
        <w:t>,</w:t>
      </w:r>
      <w:r w:rsidR="001107FA">
        <w:t xml:space="preserve"> i</w:t>
      </w:r>
      <w:r w:rsidR="00B26CD4">
        <w:t>n violation of section </w:t>
      </w:r>
      <w:r w:rsidR="001107FA">
        <w:t xml:space="preserve">6103.7.  </w:t>
      </w:r>
      <w:r w:rsidR="00403D37">
        <w:t xml:space="preserve">We agree.  </w:t>
      </w:r>
      <w:r w:rsidR="001107FA">
        <w:t>Rubin threat</w:t>
      </w:r>
      <w:r w:rsidR="00A11D56">
        <w:t>ened</w:t>
      </w:r>
      <w:r w:rsidR="001107FA">
        <w:t xml:space="preserve"> Baumler in a phone conversation, </w:t>
      </w:r>
      <w:r w:rsidR="00A11D56">
        <w:t>declaring</w:t>
      </w:r>
      <w:r w:rsidR="001107FA">
        <w:t xml:space="preserve"> that he was doing everything in his power to get Uvas and his brother deported.  He made similar threats to Mastin.  Rubin also referenced the immigration status of Uvas and his brother in letters to Baumler and Mas</w:t>
      </w:r>
      <w:r w:rsidR="00003360">
        <w:t>t</w:t>
      </w:r>
      <w:r w:rsidR="001107FA">
        <w:t xml:space="preserve">in.  And he wrote in </w:t>
      </w:r>
      <w:r w:rsidR="009A5BF8">
        <w:lastRenderedPageBreak/>
        <w:t>a</w:t>
      </w:r>
      <w:r w:rsidR="001107FA">
        <w:t xml:space="preserve"> case management statement that Uvas was an illegal alien.  We adopt the judge’s factual findings as they were supported by the record.</w:t>
      </w:r>
      <w:r w:rsidR="001107FA">
        <w:rPr>
          <w:rStyle w:val="FootnoteReference"/>
        </w:rPr>
        <w:footnoteReference w:id="10"/>
      </w:r>
      <w:r w:rsidR="001107FA">
        <w:t xml:space="preserve">  </w:t>
      </w:r>
      <w:r w:rsidR="00B26CD4">
        <w:t>(Rules Proc. of State Bar, rule </w:t>
      </w:r>
      <w:r w:rsidR="001107FA">
        <w:t>5.155(A) [hearing judge’s factual findings entitled to great weight].)</w:t>
      </w:r>
      <w:r w:rsidR="00470B6C">
        <w:t xml:space="preserve">  Based on this evidence, we affirm the hearing judge’s culpability findin</w:t>
      </w:r>
      <w:r w:rsidR="00403D37">
        <w:t>g.</w:t>
      </w:r>
    </w:p>
    <w:p w14:paraId="762BA571" w14:textId="696CDEB6" w:rsidR="00B2760F" w:rsidRDefault="00403D37" w:rsidP="002A679D">
      <w:pPr>
        <w:tabs>
          <w:tab w:val="left" w:pos="720"/>
        </w:tabs>
        <w:spacing w:line="480" w:lineRule="auto"/>
        <w:ind w:firstLine="720"/>
      </w:pPr>
      <w:r>
        <w:t>We reject Rubin’s assertion that his purported ignorance of s</w:t>
      </w:r>
      <w:r w:rsidR="00B26CD4">
        <w:t>ection </w:t>
      </w:r>
      <w:r w:rsidRPr="002D5C41">
        <w:t>6103.7</w:t>
      </w:r>
      <w:r>
        <w:t xml:space="preserve"> was a “complete defense.”  Rubin</w:t>
      </w:r>
      <w:r w:rsidR="009479EF">
        <w:t>’s</w:t>
      </w:r>
      <w:r>
        <w:t xml:space="preserve"> reli</w:t>
      </w:r>
      <w:r w:rsidR="009479EF">
        <w:t>ance</w:t>
      </w:r>
      <w:r>
        <w:t xml:space="preserve"> on </w:t>
      </w:r>
      <w:r>
        <w:rPr>
          <w:i/>
        </w:rPr>
        <w:t>Call v. State Bar</w:t>
      </w:r>
      <w:r w:rsidR="00B26CD4">
        <w:t xml:space="preserve"> (1955) 45 </w:t>
      </w:r>
      <w:r>
        <w:t xml:space="preserve">Cal.2d 104 </w:t>
      </w:r>
      <w:r w:rsidR="005252A5">
        <w:t>is misplaced</w:t>
      </w:r>
      <w:r w:rsidR="009479EF">
        <w:t>.</w:t>
      </w:r>
      <w:r w:rsidR="005252A5">
        <w:t xml:space="preserve">  </w:t>
      </w:r>
      <w:r w:rsidR="009479EF">
        <w:t>T</w:t>
      </w:r>
      <w:r w:rsidR="005252A5">
        <w:t xml:space="preserve">hat case dealt </w:t>
      </w:r>
      <w:r w:rsidR="0086329F">
        <w:t xml:space="preserve">with a charge that an attorney had violated his oath to discharge his duties </w:t>
      </w:r>
      <w:r w:rsidR="004E0C41">
        <w:t xml:space="preserve">as an attorney </w:t>
      </w:r>
      <w:r w:rsidR="0086329F">
        <w:t>to the best of his know</w:t>
      </w:r>
      <w:r w:rsidR="00B26CD4">
        <w:t>ledge and ability under section </w:t>
      </w:r>
      <w:r w:rsidR="0086329F" w:rsidRPr="0086329F">
        <w:t>6</w:t>
      </w:r>
      <w:r w:rsidR="0086329F">
        <w:t xml:space="preserve">067.  A mistake of law made in good faith may be a defense to a </w:t>
      </w:r>
      <w:r w:rsidR="008D56DE">
        <w:t xml:space="preserve">section 6067 </w:t>
      </w:r>
      <w:r w:rsidR="0086329F">
        <w:t>charge (</w:t>
      </w:r>
      <w:r w:rsidR="0086329F">
        <w:rPr>
          <w:i/>
        </w:rPr>
        <w:t>Call v. State Bar</w:t>
      </w:r>
      <w:r w:rsidR="0086329F">
        <w:t xml:space="preserve">, </w:t>
      </w:r>
      <w:r w:rsidR="0086329F" w:rsidRPr="00B26CD4">
        <w:rPr>
          <w:i/>
        </w:rPr>
        <w:t>supra</w:t>
      </w:r>
      <w:r w:rsidR="00B26CD4">
        <w:t>, 45 </w:t>
      </w:r>
      <w:r w:rsidR="0086329F">
        <w:t xml:space="preserve">Cal.2d at </w:t>
      </w:r>
      <w:r w:rsidR="00B26CD4">
        <w:t>pp. </w:t>
      </w:r>
      <w:r w:rsidR="0086329F">
        <w:t>110–111) because “attorneys are not infallible and cannot at their peril be expected to know all of the law.”  (</w:t>
      </w:r>
      <w:r w:rsidR="0086329F">
        <w:rPr>
          <w:i/>
          <w:iCs/>
        </w:rPr>
        <w:t>Zitny v. State Bar</w:t>
      </w:r>
      <w:r w:rsidR="0086329F">
        <w:t xml:space="preserve"> (1966) 6</w:t>
      </w:r>
      <w:r w:rsidR="00B26CD4">
        <w:t>4 </w:t>
      </w:r>
      <w:r w:rsidR="0086329F">
        <w:t>Cal.2d</w:t>
      </w:r>
      <w:r w:rsidR="00B26CD4">
        <w:t xml:space="preserve"> 787, 793.)  However, a section </w:t>
      </w:r>
      <w:r w:rsidR="0086329F">
        <w:t>6103.7 charge is differen</w:t>
      </w:r>
      <w:r w:rsidR="00CF23C3">
        <w:t xml:space="preserve">t as </w:t>
      </w:r>
      <w:r w:rsidR="0086329F">
        <w:t xml:space="preserve">it does not </w:t>
      </w:r>
      <w:r w:rsidR="009479EF">
        <w:t>pertain to</w:t>
      </w:r>
      <w:r w:rsidR="0086329F">
        <w:t xml:space="preserve"> </w:t>
      </w:r>
      <w:r>
        <w:t>attorney</w:t>
      </w:r>
      <w:r w:rsidR="00CF23C3">
        <w:t xml:space="preserve"> performance and knowledge of the law.  </w:t>
      </w:r>
      <w:r w:rsidR="00F535DD">
        <w:t xml:space="preserve">(See </w:t>
      </w:r>
      <w:proofErr w:type="gramStart"/>
      <w:r w:rsidR="00F535DD">
        <w:rPr>
          <w:i/>
        </w:rPr>
        <w:t>In</w:t>
      </w:r>
      <w:proofErr w:type="gramEnd"/>
      <w:r w:rsidR="00F535DD">
        <w:rPr>
          <w:i/>
        </w:rPr>
        <w:t xml:space="preserve"> the Matter of Respondent</w:t>
      </w:r>
      <w:r>
        <w:rPr>
          <w:i/>
        </w:rPr>
        <w:t> </w:t>
      </w:r>
      <w:r w:rsidR="00F535DD">
        <w:rPr>
          <w:i/>
        </w:rPr>
        <w:t>P</w:t>
      </w:r>
      <w:r w:rsidR="00B26CD4">
        <w:t xml:space="preserve"> (Review Dept. 1993) 2 </w:t>
      </w:r>
      <w:r w:rsidR="00F535DD">
        <w:t xml:space="preserve">Cal. State Bar Ct. Rptr. 622, 631 [mistake of law is defense to violation of broad attorney duties </w:t>
      </w:r>
      <w:r w:rsidR="004A1AC5">
        <w:t>under</w:t>
      </w:r>
      <w:r w:rsidR="00F535DD" w:rsidRPr="00F535DD">
        <w:t xml:space="preserve"> </w:t>
      </w:r>
      <w:r w:rsidR="004A1AC5" w:rsidRPr="00F535DD">
        <w:t>§§</w:t>
      </w:r>
      <w:r w:rsidR="004773AA">
        <w:t> </w:t>
      </w:r>
      <w:r w:rsidR="00F535DD" w:rsidRPr="00F535DD">
        <w:t>6</w:t>
      </w:r>
      <w:r w:rsidR="00F535DD">
        <w:t xml:space="preserve">067 </w:t>
      </w:r>
      <w:r w:rsidR="004A1AC5">
        <w:t>&amp;</w:t>
      </w:r>
      <w:r w:rsidR="00F535DD">
        <w:t xml:space="preserve"> </w:t>
      </w:r>
      <w:r w:rsidR="00F535DD" w:rsidRPr="00F535DD">
        <w:t>6</w:t>
      </w:r>
      <w:r w:rsidR="004773AA">
        <w:t>068, subd. </w:t>
      </w:r>
      <w:r w:rsidR="00F535DD">
        <w:t>(a)].)</w:t>
      </w:r>
      <w:r w:rsidR="00C22029">
        <w:t xml:space="preserve">  </w:t>
      </w:r>
      <w:r w:rsidR="004773AA">
        <w:t>Instead, section </w:t>
      </w:r>
      <w:r w:rsidR="00CF23C3">
        <w:t>6103.7 establishes a clear ethical standard for conduct</w:t>
      </w:r>
      <w:r w:rsidR="00D715A9">
        <w:t xml:space="preserve"> that attorneys must uphold.  (See </w:t>
      </w:r>
      <w:proofErr w:type="gramStart"/>
      <w:r w:rsidR="00D715A9">
        <w:rPr>
          <w:i/>
        </w:rPr>
        <w:t>In</w:t>
      </w:r>
      <w:proofErr w:type="gramEnd"/>
      <w:r w:rsidR="00D715A9">
        <w:rPr>
          <w:i/>
        </w:rPr>
        <w:t xml:space="preserve"> the Matter of McKiernan</w:t>
      </w:r>
      <w:r w:rsidR="00D715A9">
        <w:t xml:space="preserve">, </w:t>
      </w:r>
      <w:r w:rsidR="00D715A9" w:rsidRPr="00D715A9">
        <w:rPr>
          <w:i/>
          <w:iCs/>
        </w:rPr>
        <w:t>supra</w:t>
      </w:r>
      <w:r w:rsidR="004773AA">
        <w:t>, 3 </w:t>
      </w:r>
      <w:r w:rsidR="00D715A9">
        <w:t>Cal. State Bar Ct. Rptr. at p.</w:t>
      </w:r>
      <w:r w:rsidR="004773AA">
        <w:t> </w:t>
      </w:r>
      <w:r w:rsidR="00D715A9">
        <w:t>427</w:t>
      </w:r>
      <w:r w:rsidR="00A140F1">
        <w:t xml:space="preserve"> [attorney’s belief about ethical standard irrelevant]</w:t>
      </w:r>
      <w:r w:rsidR="00D715A9">
        <w:t xml:space="preserve">.)  </w:t>
      </w:r>
      <w:r w:rsidR="00D715A9" w:rsidRPr="00B86911">
        <w:t>Violations for other clear</w:t>
      </w:r>
      <w:r w:rsidR="004A1AC5">
        <w:t>-</w:t>
      </w:r>
      <w:r w:rsidR="00D715A9" w:rsidRPr="00B86911">
        <w:t>cut professional responsibilities in the Business and Professions Code do not require knowledge of the violated provision.</w:t>
      </w:r>
      <w:r w:rsidR="00D715A9">
        <w:t xml:space="preserve">  </w:t>
      </w:r>
      <w:r w:rsidR="00E149DA">
        <w:t>(</w:t>
      </w:r>
      <w:r w:rsidR="00B86911">
        <w:t xml:space="preserve">See, e.g., </w:t>
      </w:r>
      <w:r w:rsidR="00E149DA">
        <w:rPr>
          <w:i/>
        </w:rPr>
        <w:t>In the Matter of Blum</w:t>
      </w:r>
      <w:r w:rsidR="00E149DA">
        <w:t xml:space="preserve">, </w:t>
      </w:r>
      <w:r w:rsidR="00E149DA" w:rsidRPr="00E149DA">
        <w:rPr>
          <w:i/>
          <w:iCs/>
        </w:rPr>
        <w:t>supra</w:t>
      </w:r>
      <w:r w:rsidR="004773AA">
        <w:t>, 3 Cal. State Bar Ct. Rptr. at p. </w:t>
      </w:r>
      <w:r w:rsidR="00E149DA">
        <w:t xml:space="preserve">176 [ignorance of </w:t>
      </w:r>
      <w:r w:rsidR="004773AA">
        <w:t>§ </w:t>
      </w:r>
      <w:r w:rsidR="00E149DA" w:rsidRPr="00F535DD">
        <w:t>6</w:t>
      </w:r>
      <w:r w:rsidR="004773AA">
        <w:t>068, subd. </w:t>
      </w:r>
      <w:r w:rsidR="00E149DA">
        <w:t>(o)(3)</w:t>
      </w:r>
      <w:r w:rsidR="004773AA">
        <w:t xml:space="preserve">, is not </w:t>
      </w:r>
      <w:r w:rsidR="00E149DA">
        <w:t>defense]</w:t>
      </w:r>
      <w:r w:rsidR="00D715A9">
        <w:t>;</w:t>
      </w:r>
      <w:r w:rsidR="00B86911">
        <w:t xml:space="preserve"> </w:t>
      </w:r>
      <w:r w:rsidR="00B86911">
        <w:rPr>
          <w:i/>
        </w:rPr>
        <w:t>In the Matter of Maloney and Virsik</w:t>
      </w:r>
      <w:r w:rsidR="004773AA">
        <w:t xml:space="preserve"> (Review Dept. </w:t>
      </w:r>
      <w:r w:rsidR="004773AA">
        <w:lastRenderedPageBreak/>
        <w:t>2005) 4 </w:t>
      </w:r>
      <w:r w:rsidR="00B86911">
        <w:t xml:space="preserve">Cal. State Bar Ct. Rptr. 774, 787 [elements of </w:t>
      </w:r>
      <w:r w:rsidR="004773AA">
        <w:t>§ </w:t>
      </w:r>
      <w:r w:rsidR="00B86911">
        <w:t>6103 violation do not include knowledge of provision]</w:t>
      </w:r>
      <w:r w:rsidR="008B0113">
        <w:t>.)</w:t>
      </w:r>
      <w:r w:rsidR="00106492">
        <w:rPr>
          <w:rStyle w:val="FootnoteReference"/>
        </w:rPr>
        <w:footnoteReference w:id="11"/>
      </w:r>
      <w:r w:rsidR="008B0113">
        <w:t xml:space="preserve"> </w:t>
      </w:r>
      <w:r w:rsidR="00106492">
        <w:t xml:space="preserve"> </w:t>
      </w:r>
    </w:p>
    <w:p w14:paraId="24437D04" w14:textId="2448725B" w:rsidR="00FA2EA2" w:rsidRDefault="005A7A6B" w:rsidP="004365C1">
      <w:pPr>
        <w:tabs>
          <w:tab w:val="left" w:pos="720"/>
        </w:tabs>
        <w:spacing w:line="480" w:lineRule="auto"/>
        <w:ind w:firstLine="720"/>
      </w:pPr>
      <w:r>
        <w:t>The prohibition from threatenin</w:t>
      </w:r>
      <w:r w:rsidR="004773AA">
        <w:t>g immigration status in section </w:t>
      </w:r>
      <w:r>
        <w:t xml:space="preserve">6103.7 is a bright-line rule akin </w:t>
      </w:r>
      <w:r w:rsidR="008B0113">
        <w:t>to those found in the Rules of Professional Conduct</w:t>
      </w:r>
      <w:r w:rsidR="00F14396">
        <w:t>.</w:t>
      </w:r>
      <w:r w:rsidR="008B0113">
        <w:t xml:space="preserve">  </w:t>
      </w:r>
      <w:r w:rsidR="00F14396">
        <w:t>O</w:t>
      </w:r>
      <w:r w:rsidR="008B0113">
        <w:t xml:space="preserve">nly a willful breach is required to be subject to discipline, not knowledge of the rule </w:t>
      </w:r>
      <w:r w:rsidR="00F14396">
        <w:t>or</w:t>
      </w:r>
      <w:r w:rsidR="008B0113">
        <w:t xml:space="preserve"> intent to violate it.  (</w:t>
      </w:r>
      <w:r w:rsidR="004A1AC5">
        <w:t xml:space="preserve">See </w:t>
      </w:r>
      <w:r w:rsidR="004773AA">
        <w:t>§ </w:t>
      </w:r>
      <w:r w:rsidR="008B0113" w:rsidRPr="00F535DD">
        <w:t>6</w:t>
      </w:r>
      <w:r w:rsidR="008B0113">
        <w:t xml:space="preserve">077; </w:t>
      </w:r>
      <w:r w:rsidR="008B0113">
        <w:rPr>
          <w:i/>
        </w:rPr>
        <w:t>Gassman v. State Bar</w:t>
      </w:r>
      <w:r w:rsidR="004773AA">
        <w:t xml:space="preserve"> (1976) 18 </w:t>
      </w:r>
      <w:r w:rsidR="008B0113">
        <w:t>Cal.3d 125, 131</w:t>
      </w:r>
      <w:r w:rsidR="004A1AC5">
        <w:t xml:space="preserve"> [knowledge of </w:t>
      </w:r>
      <w:r w:rsidR="00B75A02">
        <w:t>R</w:t>
      </w:r>
      <w:r w:rsidR="004A1AC5">
        <w:t xml:space="preserve">ules </w:t>
      </w:r>
      <w:r w:rsidR="00B75A02">
        <w:t>of Professional Conduct not element of offense];</w:t>
      </w:r>
      <w:r w:rsidR="00003360">
        <w:t xml:space="preserve"> </w:t>
      </w:r>
      <w:r w:rsidR="00003360">
        <w:rPr>
          <w:i/>
          <w:iCs/>
        </w:rPr>
        <w:t xml:space="preserve">Abeles v. State Bar </w:t>
      </w:r>
      <w:r w:rsidR="004773AA">
        <w:t>(1973) 9 Cal.3d 603, 610–</w:t>
      </w:r>
      <w:r w:rsidR="00003360">
        <w:t>611</w:t>
      </w:r>
      <w:r w:rsidR="008B0113">
        <w:t xml:space="preserve"> [ignorance of Rules of Professional Conduct does not excuse violation].)  </w:t>
      </w:r>
      <w:r w:rsidR="00E149DA">
        <w:t>Therefore, Rubin’s purported ignorance of s</w:t>
      </w:r>
      <w:r w:rsidR="000E3692">
        <w:t>ection </w:t>
      </w:r>
      <w:r w:rsidR="00E149DA" w:rsidRPr="002D5C41">
        <w:t>6103.7</w:t>
      </w:r>
      <w:r w:rsidR="00E149DA">
        <w:t xml:space="preserve"> is not a defense.</w:t>
      </w:r>
      <w:r w:rsidR="00F535DD">
        <w:t xml:space="preserve"> </w:t>
      </w:r>
      <w:r w:rsidR="00E149DA">
        <w:t xml:space="preserve"> </w:t>
      </w:r>
    </w:p>
    <w:p w14:paraId="4C1FC60A" w14:textId="77777777" w:rsidR="00AD77BA" w:rsidRDefault="00333654" w:rsidP="004365C1">
      <w:pPr>
        <w:tabs>
          <w:tab w:val="left" w:pos="720"/>
        </w:tabs>
        <w:spacing w:line="480" w:lineRule="auto"/>
        <w:jc w:val="center"/>
        <w:rPr>
          <w:b/>
        </w:rPr>
      </w:pPr>
      <w:r w:rsidRPr="00B6383A">
        <w:rPr>
          <w:b/>
        </w:rPr>
        <w:t>III</w:t>
      </w:r>
      <w:r w:rsidR="00AD77BA" w:rsidRPr="00B6383A">
        <w:rPr>
          <w:b/>
        </w:rPr>
        <w:t xml:space="preserve">.  </w:t>
      </w:r>
      <w:r w:rsidR="000830B4">
        <w:rPr>
          <w:b/>
        </w:rPr>
        <w:t>RAICEVIC MATTER (SBC-19-O-30352)</w:t>
      </w:r>
    </w:p>
    <w:p w14:paraId="79FD4153" w14:textId="77777777" w:rsidR="003C7A7C" w:rsidRDefault="003C7A7C" w:rsidP="004365C1">
      <w:pPr>
        <w:tabs>
          <w:tab w:val="left" w:pos="720"/>
        </w:tabs>
        <w:spacing w:line="480" w:lineRule="auto"/>
        <w:ind w:left="720" w:hanging="720"/>
        <w:rPr>
          <w:b/>
        </w:rPr>
      </w:pPr>
      <w:r w:rsidRPr="003C7A7C">
        <w:rPr>
          <w:b/>
        </w:rPr>
        <w:t>A.</w:t>
      </w:r>
      <w:r w:rsidRPr="003C7A7C">
        <w:rPr>
          <w:b/>
        </w:rPr>
        <w:tab/>
      </w:r>
      <w:r w:rsidR="000830B4">
        <w:rPr>
          <w:b/>
        </w:rPr>
        <w:t>Factual Background</w:t>
      </w:r>
    </w:p>
    <w:p w14:paraId="7DB95864" w14:textId="2040C9F6" w:rsidR="000D767E" w:rsidRDefault="00D4360A" w:rsidP="000D767E">
      <w:pPr>
        <w:pStyle w:val="ListParagraph"/>
        <w:tabs>
          <w:tab w:val="left" w:pos="720"/>
        </w:tabs>
        <w:spacing w:line="480" w:lineRule="auto"/>
        <w:ind w:left="0" w:right="-144" w:firstLine="720"/>
      </w:pPr>
      <w:r>
        <w:t xml:space="preserve">Rubin signed a retainer agreement with Vanessa Raicevic </w:t>
      </w:r>
      <w:r w:rsidR="0097293B">
        <w:t>on</w:t>
      </w:r>
      <w:r>
        <w:t xml:space="preserve"> April</w:t>
      </w:r>
      <w:r w:rsidR="000E3692">
        <w:t> </w:t>
      </w:r>
      <w:r w:rsidR="0097293B">
        <w:t>3,</w:t>
      </w:r>
      <w:r>
        <w:t xml:space="preserve"> 2018</w:t>
      </w:r>
      <w:r w:rsidR="00F14396">
        <w:t>,</w:t>
      </w:r>
      <w:r>
        <w:t xml:space="preserve"> to repr</w:t>
      </w:r>
      <w:r w:rsidR="000E3692">
        <w:t xml:space="preserve">esent her in </w:t>
      </w:r>
      <w:r w:rsidR="00B2760F">
        <w:t>three matters—</w:t>
      </w:r>
      <w:r w:rsidR="000E3692">
        <w:t>probate</w:t>
      </w:r>
      <w:r w:rsidR="00B2760F">
        <w:t xml:space="preserve">, </w:t>
      </w:r>
      <w:r w:rsidR="000E3692">
        <w:t>elder abuse</w:t>
      </w:r>
      <w:r w:rsidR="00B2760F">
        <w:t>, and</w:t>
      </w:r>
      <w:r>
        <w:t xml:space="preserve"> attorney fees</w:t>
      </w:r>
      <w:r w:rsidR="0033592C">
        <w:t xml:space="preserve">. </w:t>
      </w:r>
      <w:r w:rsidR="005D7993">
        <w:t xml:space="preserve"> Vanessa’s domestic partner, Douglas Maas, died in 2017</w:t>
      </w:r>
      <w:r w:rsidR="00C60A55">
        <w:t>, and</w:t>
      </w:r>
      <w:r w:rsidR="005D7993">
        <w:t xml:space="preserve"> </w:t>
      </w:r>
      <w:r w:rsidR="00C60A55">
        <w:t>she</w:t>
      </w:r>
      <w:r w:rsidR="005D7993">
        <w:t xml:space="preserve"> was appointed the trustee of the Douglas Maas Revocable Trust (Maas Trust).  </w:t>
      </w:r>
      <w:r w:rsidR="0033592C">
        <w:t>The attorney fees matter</w:t>
      </w:r>
      <w:r>
        <w:t xml:space="preserve"> involv</w:t>
      </w:r>
      <w:r w:rsidR="0033592C">
        <w:t xml:space="preserve">ed </w:t>
      </w:r>
      <w:r>
        <w:t>Vanessa’s previous attorney, Valerie Horn</w:t>
      </w:r>
      <w:r w:rsidR="0033592C">
        <w:t>, who</w:t>
      </w:r>
      <w:r w:rsidR="009760CA">
        <w:t xml:space="preserve"> </w:t>
      </w:r>
      <w:r w:rsidR="0033592C" w:rsidRPr="0033592C">
        <w:t>sued both Vanessa and her brother, Rade Raicevic.  (</w:t>
      </w:r>
      <w:r w:rsidR="0033592C" w:rsidRPr="0033592C">
        <w:rPr>
          <w:i/>
          <w:iCs/>
        </w:rPr>
        <w:t>Horn v. Raicevic</w:t>
      </w:r>
      <w:r w:rsidR="0033592C" w:rsidRPr="0033592C">
        <w:t xml:space="preserve">, Los Angeles </w:t>
      </w:r>
      <w:r w:rsidR="000E3692">
        <w:t>County Superior Court, case no. </w:t>
      </w:r>
      <w:r w:rsidR="0033592C" w:rsidRPr="0033592C">
        <w:t>SC12867</w:t>
      </w:r>
      <w:r w:rsidR="002F5B16">
        <w:t>3</w:t>
      </w:r>
      <w:r w:rsidR="0033592C" w:rsidRPr="0033592C">
        <w:t>.)</w:t>
      </w:r>
      <w:r w:rsidR="0033592C">
        <w:t xml:space="preserve">  </w:t>
      </w:r>
      <w:r w:rsidR="009760CA">
        <w:t>Vanessa paid Rubin $95,000 for advance fees and costs.</w:t>
      </w:r>
    </w:p>
    <w:p w14:paraId="5D659A2D" w14:textId="77777777" w:rsidR="00A149C6" w:rsidRPr="00A149C6" w:rsidRDefault="00A149C6" w:rsidP="002A679D">
      <w:pPr>
        <w:pStyle w:val="ListParagraph"/>
        <w:tabs>
          <w:tab w:val="left" w:pos="720"/>
        </w:tabs>
        <w:spacing w:line="480" w:lineRule="auto"/>
        <w:ind w:left="0" w:right="-144" w:firstLine="720"/>
        <w:rPr>
          <w:b/>
          <w:bCs/>
        </w:rPr>
      </w:pPr>
      <w:r w:rsidRPr="00A149C6">
        <w:rPr>
          <w:b/>
          <w:bCs/>
        </w:rPr>
        <w:t>1.  Stevenson Refund</w:t>
      </w:r>
      <w:r w:rsidR="00800B2D">
        <w:rPr>
          <w:b/>
          <w:bCs/>
        </w:rPr>
        <w:t xml:space="preserve"> and CTA Balance</w:t>
      </w:r>
    </w:p>
    <w:p w14:paraId="1DD89E0C" w14:textId="63B445C4" w:rsidR="000830B4" w:rsidRDefault="0097293B" w:rsidP="002A679D">
      <w:pPr>
        <w:pStyle w:val="ListParagraph"/>
        <w:tabs>
          <w:tab w:val="left" w:pos="720"/>
        </w:tabs>
        <w:spacing w:line="480" w:lineRule="auto"/>
        <w:ind w:left="0" w:right="-144" w:firstLine="720"/>
      </w:pPr>
      <w:r>
        <w:t>Attorney Todd Stevenson previously represented Vanessa in the probate matter and the elder abuse case.</w:t>
      </w:r>
      <w:r w:rsidR="00D4360A">
        <w:rPr>
          <w:rStyle w:val="FootnoteReference"/>
        </w:rPr>
        <w:footnoteReference w:id="12"/>
      </w:r>
      <w:r>
        <w:t xml:space="preserve">  Rubin requested that Stevenson send him the unused portion of the advance </w:t>
      </w:r>
      <w:r>
        <w:lastRenderedPageBreak/>
        <w:t xml:space="preserve">fees Vanessa had paid.  Stevenson sent Rubin a check for $37,617.09 as </w:t>
      </w:r>
      <w:r w:rsidR="007A5274">
        <w:t>Vaness</w:t>
      </w:r>
      <w:r>
        <w:t>a</w:t>
      </w:r>
      <w:r w:rsidR="007A5274">
        <w:t>’s</w:t>
      </w:r>
      <w:r>
        <w:t xml:space="preserve"> refund</w:t>
      </w:r>
      <w:r w:rsidR="009760CA">
        <w:t xml:space="preserve">.  Rubin deposited </w:t>
      </w:r>
      <w:r w:rsidR="00B754BF">
        <w:t>the check into his CTA on April </w:t>
      </w:r>
      <w:r w:rsidR="009760CA">
        <w:t>17, 2018.</w:t>
      </w:r>
      <w:r w:rsidR="00A63CD9">
        <w:t xml:space="preserve">  A few days after </w:t>
      </w:r>
      <w:r w:rsidR="007A5274">
        <w:t>he</w:t>
      </w:r>
      <w:r w:rsidR="00A63CD9">
        <w:t xml:space="preserve"> received </w:t>
      </w:r>
      <w:r w:rsidR="007A5274">
        <w:t>i</w:t>
      </w:r>
      <w:r w:rsidR="00A63CD9">
        <w:t xml:space="preserve">t, Vanessa and Rade </w:t>
      </w:r>
      <w:r w:rsidR="007A5274">
        <w:t>asked</w:t>
      </w:r>
      <w:r w:rsidR="00A63CD9">
        <w:t xml:space="preserve"> Rubin </w:t>
      </w:r>
      <w:r w:rsidR="00574DB7">
        <w:t>for</w:t>
      </w:r>
      <w:r w:rsidR="00A63CD9">
        <w:t xml:space="preserve"> the money so that it could be deposited</w:t>
      </w:r>
      <w:r w:rsidR="00004183">
        <w:t xml:space="preserve"> </w:t>
      </w:r>
      <w:r w:rsidR="007A5274">
        <w:t>in</w:t>
      </w:r>
      <w:r w:rsidR="00A63CD9">
        <w:t xml:space="preserve"> the Maas Trust</w:t>
      </w:r>
      <w:r w:rsidR="00800B2D">
        <w:t xml:space="preserve"> account</w:t>
      </w:r>
      <w:r w:rsidR="00A63CD9">
        <w:t>.</w:t>
      </w:r>
      <w:r w:rsidR="00004183">
        <w:t xml:space="preserve">  </w:t>
      </w:r>
      <w:r w:rsidR="007A5274">
        <w:t>They</w:t>
      </w:r>
      <w:r w:rsidR="00004183">
        <w:t xml:space="preserve"> ma</w:t>
      </w:r>
      <w:r w:rsidR="007A5274">
        <w:t>d</w:t>
      </w:r>
      <w:r w:rsidR="00004183">
        <w:t xml:space="preserve">e several verbal requests for the return of the </w:t>
      </w:r>
      <w:r w:rsidR="00574DB7">
        <w:t>funds</w:t>
      </w:r>
      <w:r w:rsidR="00004183">
        <w:t xml:space="preserve"> over the following three months.</w:t>
      </w:r>
    </w:p>
    <w:p w14:paraId="1A33E2D7" w14:textId="27F54B29" w:rsidR="00004183" w:rsidRDefault="00B754BF" w:rsidP="002A679D">
      <w:pPr>
        <w:pStyle w:val="ListParagraph"/>
        <w:tabs>
          <w:tab w:val="left" w:pos="720"/>
        </w:tabs>
        <w:spacing w:line="480" w:lineRule="auto"/>
        <w:ind w:left="0" w:right="-144" w:firstLine="720"/>
      </w:pPr>
      <w:r>
        <w:t>On May </w:t>
      </w:r>
      <w:r w:rsidR="00004183">
        <w:t xml:space="preserve">17, 2018, Rade emailed Rubin regarding a meeting </w:t>
      </w:r>
      <w:r w:rsidR="00406E9B">
        <w:t>scheduled for</w:t>
      </w:r>
      <w:r w:rsidR="00004183">
        <w:t xml:space="preserve"> the next day.  Rade told </w:t>
      </w:r>
      <w:r w:rsidR="00406E9B">
        <w:t>him</w:t>
      </w:r>
      <w:r w:rsidR="00004183">
        <w:t xml:space="preserve"> that Vanessa expected Rubin to return the $37,617.09 at the meeting.  Rade informed Rubin that Vanessa wanted </w:t>
      </w:r>
      <w:r w:rsidR="00406E9B">
        <w:t xml:space="preserve">to deposit </w:t>
      </w:r>
      <w:r w:rsidR="00004183">
        <w:t xml:space="preserve">the money in the Maas Trust account </w:t>
      </w:r>
      <w:r w:rsidR="00406E9B">
        <w:t>pursuant</w:t>
      </w:r>
      <w:r w:rsidR="00004183">
        <w:t xml:space="preserve"> to her duties as the trustee.</w:t>
      </w:r>
      <w:r>
        <w:t xml:space="preserve">  At the May </w:t>
      </w:r>
      <w:r w:rsidR="00E6710D">
        <w:t>18 meeting, Vanessa and Rade again asked for the refund, but Rubin did not provide it.</w:t>
      </w:r>
      <w:r w:rsidR="00045257">
        <w:rPr>
          <w:rStyle w:val="FootnoteReference"/>
        </w:rPr>
        <w:footnoteReference w:id="13"/>
      </w:r>
      <w:r>
        <w:t xml:space="preserve">  On July </w:t>
      </w:r>
      <w:r w:rsidR="00E6710D">
        <w:t>6, Rubin paid Vanessa the $37,617.09.</w:t>
      </w:r>
    </w:p>
    <w:p w14:paraId="53921996" w14:textId="63599595" w:rsidR="004E0AC8" w:rsidRDefault="004E0AC8" w:rsidP="002A679D">
      <w:pPr>
        <w:pStyle w:val="ListParagraph"/>
        <w:tabs>
          <w:tab w:val="left" w:pos="720"/>
        </w:tabs>
        <w:spacing w:line="480" w:lineRule="auto"/>
        <w:ind w:left="0" w:right="-144" w:firstLine="720"/>
      </w:pPr>
      <w:r>
        <w:t xml:space="preserve">During the time Rubin was </w:t>
      </w:r>
      <w:r w:rsidR="00406E9B">
        <w:t xml:space="preserve">required </w:t>
      </w:r>
      <w:r>
        <w:t xml:space="preserve">to hold the $37,617.09 in his CTA, </w:t>
      </w:r>
      <w:r w:rsidR="00406E9B">
        <w:t>its</w:t>
      </w:r>
      <w:r>
        <w:t xml:space="preserve"> balance</w:t>
      </w:r>
      <w:r w:rsidR="00B754BF">
        <w:t xml:space="preserve"> fell below </w:t>
      </w:r>
      <w:r w:rsidR="00406E9B">
        <w:t>that amount</w:t>
      </w:r>
      <w:r w:rsidR="00B754BF">
        <w:t>.  On May </w:t>
      </w:r>
      <w:r w:rsidR="007601A6">
        <w:t>1</w:t>
      </w:r>
      <w:r>
        <w:t xml:space="preserve">1, 2018, the CTA </w:t>
      </w:r>
      <w:r w:rsidR="00B754BF">
        <w:t>balance was $36,018.12.  On May </w:t>
      </w:r>
      <w:r>
        <w:t xml:space="preserve">14, </w:t>
      </w:r>
      <w:r w:rsidR="006A055D">
        <w:t>it</w:t>
      </w:r>
      <w:r>
        <w:t xml:space="preserve"> </w:t>
      </w:r>
      <w:r w:rsidR="00901201">
        <w:t>dropped</w:t>
      </w:r>
      <w:r>
        <w:t xml:space="preserve"> to $33,518.12</w:t>
      </w:r>
      <w:r w:rsidR="00582C9B">
        <w:t>, which was $4,098.97 less than the required amount.</w:t>
      </w:r>
      <w:r>
        <w:t xml:space="preserve">  Rubin then deposited personal </w:t>
      </w:r>
      <w:r w:rsidR="00582C9B">
        <w:t>funds,</w:t>
      </w:r>
      <w:r w:rsidR="00B754BF">
        <w:t xml:space="preserve"> and, on May </w:t>
      </w:r>
      <w:r>
        <w:t>16, the balance of the CTA was $40,018.12.</w:t>
      </w:r>
    </w:p>
    <w:p w14:paraId="26EC7446" w14:textId="153155B0" w:rsidR="00A149C6" w:rsidRPr="00E25638" w:rsidRDefault="00A149C6" w:rsidP="002A679D">
      <w:pPr>
        <w:pStyle w:val="ListParagraph"/>
        <w:tabs>
          <w:tab w:val="left" w:pos="720"/>
        </w:tabs>
        <w:spacing w:line="480" w:lineRule="auto"/>
        <w:ind w:left="0" w:right="-144" w:firstLine="720"/>
        <w:rPr>
          <w:b/>
          <w:bCs/>
        </w:rPr>
      </w:pPr>
      <w:r w:rsidRPr="00E25638">
        <w:rPr>
          <w:b/>
          <w:bCs/>
        </w:rPr>
        <w:t xml:space="preserve">2.  </w:t>
      </w:r>
      <w:r w:rsidR="00E25638" w:rsidRPr="00E25638">
        <w:rPr>
          <w:b/>
          <w:bCs/>
        </w:rPr>
        <w:t xml:space="preserve">No Informed Written Consent for Representing </w:t>
      </w:r>
      <w:r w:rsidR="006A055D">
        <w:rPr>
          <w:b/>
          <w:bCs/>
        </w:rPr>
        <w:t>B</w:t>
      </w:r>
      <w:r w:rsidR="00E25638" w:rsidRPr="00E25638">
        <w:rPr>
          <w:b/>
          <w:bCs/>
        </w:rPr>
        <w:t>oth Vanessa and Rade</w:t>
      </w:r>
    </w:p>
    <w:p w14:paraId="583560AB" w14:textId="47661712" w:rsidR="00E25638" w:rsidRDefault="00E25638" w:rsidP="002A679D">
      <w:pPr>
        <w:pStyle w:val="ListParagraph"/>
        <w:tabs>
          <w:tab w:val="left" w:pos="720"/>
        </w:tabs>
        <w:spacing w:line="480" w:lineRule="auto"/>
        <w:ind w:left="0" w:right="-144" w:firstLine="720"/>
      </w:pPr>
      <w:bookmarkStart w:id="12" w:name="_Hlk61435617"/>
      <w:r>
        <w:t>While representing Vanessa, Rubin also represented Rade in the Horn fees matter.</w:t>
      </w:r>
      <w:r w:rsidR="00085159">
        <w:t xml:space="preserve">  </w:t>
      </w:r>
      <w:r w:rsidR="00343CF9">
        <w:t xml:space="preserve">Among other claims, </w:t>
      </w:r>
      <w:r w:rsidR="00085159">
        <w:t xml:space="preserve">Horn </w:t>
      </w:r>
      <w:r w:rsidR="00901201">
        <w:t>contended</w:t>
      </w:r>
      <w:r w:rsidR="00085159">
        <w:t xml:space="preserve"> that Vanessa breached her contract and was seeking recovery of attorney fees.  </w:t>
      </w:r>
      <w:r w:rsidR="00901201">
        <w:t>Alleging</w:t>
      </w:r>
      <w:r w:rsidR="00085159">
        <w:t xml:space="preserve"> that Rade interfered with the contract between </w:t>
      </w:r>
      <w:r w:rsidR="00985F39">
        <w:t xml:space="preserve">her and </w:t>
      </w:r>
      <w:r w:rsidR="00085159">
        <w:t>Vanessa</w:t>
      </w:r>
      <w:r w:rsidR="00A34A95">
        <w:t xml:space="preserve">, </w:t>
      </w:r>
      <w:r w:rsidR="00985F39">
        <w:t xml:space="preserve">Horn </w:t>
      </w:r>
      <w:r w:rsidR="00085159">
        <w:t>sought damages against Vanessa and Rade, jointly and individually.  H</w:t>
      </w:r>
      <w:r w:rsidR="00985F39">
        <w:t>orn’s</w:t>
      </w:r>
      <w:r w:rsidR="00085159">
        <w:t xml:space="preserve"> attorney testified that Horn would </w:t>
      </w:r>
      <w:r w:rsidR="00A34A95">
        <w:t>seek</w:t>
      </w:r>
      <w:r w:rsidR="00085159">
        <w:t xml:space="preserve"> damages from who</w:t>
      </w:r>
      <w:r w:rsidR="00A7626F">
        <w:t>m</w:t>
      </w:r>
      <w:r w:rsidR="00085159">
        <w:t>ever she could get money, Vanessa or Rade, and an indemnification suit m</w:t>
      </w:r>
      <w:r w:rsidR="00A34A95">
        <w:t>ight</w:t>
      </w:r>
      <w:r w:rsidR="00085159">
        <w:t xml:space="preserve"> proceed.</w:t>
      </w:r>
      <w:r w:rsidR="00343CF9">
        <w:t xml:space="preserve">  </w:t>
      </w:r>
      <w:r w:rsidR="00D8030A">
        <w:t xml:space="preserve">As </w:t>
      </w:r>
      <w:r>
        <w:t>Vanessa and Rade were both defendants in the matter</w:t>
      </w:r>
      <w:r w:rsidR="00C475CC">
        <w:t xml:space="preserve">, </w:t>
      </w:r>
      <w:r w:rsidR="00A7626F">
        <w:t xml:space="preserve">their interests potentially conflicted.  </w:t>
      </w:r>
      <w:r>
        <w:t>Rubin did not inform them of the po</w:t>
      </w:r>
      <w:r w:rsidR="00985F39">
        <w:t>ssible</w:t>
      </w:r>
      <w:r>
        <w:t xml:space="preserve"> conflict and did not obtain informed written consent to the representation.</w:t>
      </w:r>
    </w:p>
    <w:bookmarkEnd w:id="12"/>
    <w:p w14:paraId="12CA65A7" w14:textId="77777777" w:rsidR="00E25638" w:rsidRPr="005573EC" w:rsidRDefault="00E25638" w:rsidP="002A679D">
      <w:pPr>
        <w:pStyle w:val="ListParagraph"/>
        <w:tabs>
          <w:tab w:val="left" w:pos="720"/>
        </w:tabs>
        <w:spacing w:line="480" w:lineRule="auto"/>
        <w:ind w:left="0" w:right="-144" w:firstLine="720"/>
        <w:rPr>
          <w:b/>
          <w:bCs/>
        </w:rPr>
      </w:pPr>
      <w:r w:rsidRPr="005573EC">
        <w:rPr>
          <w:b/>
          <w:bCs/>
        </w:rPr>
        <w:lastRenderedPageBreak/>
        <w:t xml:space="preserve">3.  </w:t>
      </w:r>
      <w:r w:rsidR="005573EC" w:rsidRPr="005573EC">
        <w:rPr>
          <w:b/>
          <w:bCs/>
        </w:rPr>
        <w:t>Verification Forms</w:t>
      </w:r>
    </w:p>
    <w:p w14:paraId="7789E57A" w14:textId="155C1CD9" w:rsidR="005E6F87" w:rsidRDefault="005573EC" w:rsidP="002A679D">
      <w:pPr>
        <w:pStyle w:val="ListParagraph"/>
        <w:tabs>
          <w:tab w:val="left" w:pos="720"/>
        </w:tabs>
        <w:spacing w:line="480" w:lineRule="auto"/>
        <w:ind w:left="0" w:right="-144" w:firstLine="720"/>
      </w:pPr>
      <w:r>
        <w:t xml:space="preserve">During discovery in </w:t>
      </w:r>
      <w:r>
        <w:rPr>
          <w:i/>
          <w:iCs/>
        </w:rPr>
        <w:t xml:space="preserve">Horn v. </w:t>
      </w:r>
      <w:r w:rsidRPr="004B0CB5">
        <w:rPr>
          <w:i/>
          <w:iCs/>
        </w:rPr>
        <w:t>Raicevic</w:t>
      </w:r>
      <w:r>
        <w:t xml:space="preserve">, Rubin’s office was required to send Rade’s responses to interrogatories with attached verifications signed by </w:t>
      </w:r>
      <w:r w:rsidR="006B452A">
        <w:t>him</w:t>
      </w:r>
      <w:r>
        <w:t>.</w:t>
      </w:r>
      <w:r w:rsidR="00B754BF">
        <w:t xml:space="preserve">  On May </w:t>
      </w:r>
      <w:r w:rsidR="0000478B">
        <w:t>29, 2018, a secretary in Rubin’s office</w:t>
      </w:r>
      <w:r w:rsidR="004B1CF4">
        <w:t>, Jaxcel Archiga,</w:t>
      </w:r>
      <w:r w:rsidR="0000478B">
        <w:t xml:space="preserve"> emailed Rade asking for permission for Rubin to sign a verification on Rade’s behalf.  Rade responded that he authorized Rubin to sign documents on his behalf.  When the responses were sent to the opposing attorney, a verification form dated May</w:t>
      </w:r>
      <w:r w:rsidR="00CF6A0E">
        <w:t> </w:t>
      </w:r>
      <w:r w:rsidR="0000478B">
        <w:t>29, 2018, with Rade’s purported signature was attached.</w:t>
      </w:r>
      <w:r w:rsidR="005E6F87">
        <w:t xml:space="preserve">  Rade testified that he did not sign the document.  Archiga testified that Rade came into the office to sign the verification.</w:t>
      </w:r>
      <w:r w:rsidR="005E6F87">
        <w:rPr>
          <w:rStyle w:val="FootnoteReference"/>
        </w:rPr>
        <w:footnoteReference w:id="14"/>
      </w:r>
      <w:r w:rsidR="005E6F87">
        <w:t xml:space="preserve">  </w:t>
      </w:r>
    </w:p>
    <w:p w14:paraId="1A9253F8" w14:textId="77777777" w:rsidR="0000478B" w:rsidRPr="0000478B" w:rsidRDefault="0000478B" w:rsidP="002A679D">
      <w:pPr>
        <w:pStyle w:val="ListParagraph"/>
        <w:tabs>
          <w:tab w:val="left" w:pos="720"/>
        </w:tabs>
        <w:spacing w:line="480" w:lineRule="auto"/>
        <w:ind w:left="0" w:right="-144" w:firstLine="720"/>
        <w:rPr>
          <w:b/>
          <w:bCs/>
        </w:rPr>
      </w:pPr>
      <w:r w:rsidRPr="0000478B">
        <w:rPr>
          <w:b/>
          <w:bCs/>
        </w:rPr>
        <w:t>4.  Billing Statements</w:t>
      </w:r>
    </w:p>
    <w:p w14:paraId="4219087A" w14:textId="188EE7A9" w:rsidR="004B1CF4" w:rsidRPr="001E57A9" w:rsidRDefault="0000478B" w:rsidP="002A679D">
      <w:pPr>
        <w:pStyle w:val="ListParagraph"/>
        <w:tabs>
          <w:tab w:val="left" w:pos="720"/>
        </w:tabs>
        <w:spacing w:line="480" w:lineRule="auto"/>
        <w:ind w:left="0" w:right="-144" w:firstLine="720"/>
      </w:pPr>
      <w:bookmarkStart w:id="13" w:name="_Hlk63079643"/>
      <w:r>
        <w:t xml:space="preserve">Monthly billing statements were sent to Vanessa and Rade </w:t>
      </w:r>
      <w:r w:rsidR="00C73840">
        <w:t>and</w:t>
      </w:r>
      <w:r>
        <w:t xml:space="preserve"> included a description of </w:t>
      </w:r>
      <w:r w:rsidR="00C73840">
        <w:t>service</w:t>
      </w:r>
      <w:r w:rsidR="007D26AE">
        <w:t>s</w:t>
      </w:r>
      <w:r w:rsidR="00C73840">
        <w:t xml:space="preserve"> performed</w:t>
      </w:r>
      <w:r>
        <w:t xml:space="preserve">, costs incurred, payments and adjustments, and the remaining balance and/or credit.  Vanessa and Rade terminated Rubin’s employment in early August 2018.  Rubin’s office sent </w:t>
      </w:r>
      <w:r w:rsidR="006B452A">
        <w:t xml:space="preserve">them </w:t>
      </w:r>
      <w:r>
        <w:t>a billing statement at the end of August.</w:t>
      </w:r>
    </w:p>
    <w:bookmarkEnd w:id="13"/>
    <w:p w14:paraId="716DAC1C" w14:textId="2ACE2974" w:rsidR="000830B4" w:rsidRPr="00403D37" w:rsidRDefault="000830B4" w:rsidP="002A679D">
      <w:pPr>
        <w:tabs>
          <w:tab w:val="left" w:pos="720"/>
        </w:tabs>
        <w:spacing w:line="480" w:lineRule="auto"/>
        <w:ind w:right="-144"/>
        <w:rPr>
          <w:b/>
          <w:bCs/>
        </w:rPr>
      </w:pPr>
      <w:r w:rsidRPr="00403D37">
        <w:rPr>
          <w:b/>
          <w:bCs/>
        </w:rPr>
        <w:t>B.</w:t>
      </w:r>
      <w:r w:rsidRPr="00403D37">
        <w:rPr>
          <w:b/>
          <w:bCs/>
        </w:rPr>
        <w:tab/>
        <w:t>Culpability</w:t>
      </w:r>
    </w:p>
    <w:p w14:paraId="17709C9E" w14:textId="77777777" w:rsidR="000830B4" w:rsidRPr="00D3762D" w:rsidRDefault="000830B4" w:rsidP="002A679D">
      <w:pPr>
        <w:pStyle w:val="ListParagraph"/>
        <w:tabs>
          <w:tab w:val="left" w:pos="720"/>
        </w:tabs>
        <w:ind w:left="0" w:right="-144" w:firstLine="720"/>
        <w:rPr>
          <w:b/>
          <w:bCs/>
          <w:highlight w:val="yellow"/>
        </w:rPr>
      </w:pPr>
      <w:r w:rsidRPr="00C974B2">
        <w:rPr>
          <w:b/>
          <w:bCs/>
        </w:rPr>
        <w:t>1.</w:t>
      </w:r>
      <w:r w:rsidR="00E73EED" w:rsidRPr="00C974B2">
        <w:rPr>
          <w:b/>
          <w:bCs/>
        </w:rPr>
        <w:t xml:space="preserve">  </w:t>
      </w:r>
      <w:r w:rsidRPr="00C974B2">
        <w:rPr>
          <w:b/>
          <w:bCs/>
        </w:rPr>
        <w:t>Count One: Misappropriation (§ 6106)</w:t>
      </w:r>
      <w:r w:rsidR="00987067" w:rsidRPr="00C974B2">
        <w:rPr>
          <w:rStyle w:val="FootnoteReference"/>
          <w:b/>
          <w:bCs/>
        </w:rPr>
        <w:footnoteReference w:id="15"/>
      </w:r>
    </w:p>
    <w:p w14:paraId="50800DE7" w14:textId="77777777" w:rsidR="00987067" w:rsidRDefault="00987067" w:rsidP="002A679D">
      <w:pPr>
        <w:pStyle w:val="ListParagraph"/>
        <w:tabs>
          <w:tab w:val="left" w:pos="720"/>
        </w:tabs>
        <w:ind w:left="0" w:right="-144" w:firstLine="720"/>
        <w:rPr>
          <w:b/>
          <w:bCs/>
        </w:rPr>
      </w:pPr>
    </w:p>
    <w:p w14:paraId="06787795" w14:textId="73187E8D" w:rsidR="002C7105" w:rsidRDefault="00C901A7" w:rsidP="007B7026">
      <w:pPr>
        <w:pStyle w:val="ListParagraph"/>
        <w:tabs>
          <w:tab w:val="left" w:pos="720"/>
        </w:tabs>
        <w:spacing w:line="480" w:lineRule="auto"/>
        <w:ind w:left="0" w:right="-144" w:firstLine="720"/>
      </w:pPr>
      <w:r>
        <w:t>Count </w:t>
      </w:r>
      <w:r w:rsidR="00D53719">
        <w:t xml:space="preserve">one charges that Rubin misappropriated $4,098.97 of the $37,617.09 </w:t>
      </w:r>
      <w:r w:rsidR="00C6543B">
        <w:t xml:space="preserve">held </w:t>
      </w:r>
      <w:r w:rsidR="00D53719">
        <w:t>in his CTA on behalf of V</w:t>
      </w:r>
      <w:r w:rsidR="00CF6A0E">
        <w:t>anessa, in violation of section </w:t>
      </w:r>
      <w:r w:rsidR="00D53719">
        <w:t xml:space="preserve">6106.  </w:t>
      </w:r>
      <w:r w:rsidR="00A80D29">
        <w:t>When a trust account balance drops below the amount the attorney is required to hold for a client, a presumption of misappropriation arises.  The burden then shifts to the attorney to show that misappropriation did not occur and that he was entitled to withdraw the funds.  (</w:t>
      </w:r>
      <w:r w:rsidR="00A80D29">
        <w:rPr>
          <w:i/>
        </w:rPr>
        <w:t>Edwards v. State Bar</w:t>
      </w:r>
      <w:r w:rsidR="00A80D29">
        <w:t xml:space="preserve"> (1990) 52 Cal.3d 28, 37; </w:t>
      </w:r>
      <w:r w:rsidR="00A80D29">
        <w:rPr>
          <w:i/>
        </w:rPr>
        <w:t>In the Matter of Sklar</w:t>
      </w:r>
      <w:r w:rsidR="00A80D29">
        <w:t xml:space="preserve"> (Review Dept. 1993) 2 Cal. State Bar Ct. Rptr. 602, 618.)</w:t>
      </w:r>
      <w:r w:rsidR="002C7105">
        <w:t xml:space="preserve">  Moral turpitude can be </w:t>
      </w:r>
      <w:r w:rsidR="002C7105">
        <w:lastRenderedPageBreak/>
        <w:t>found when an “attorney’s actions constitute gross carelessness and negligence violating the fiduciary duty to a client.”  (</w:t>
      </w:r>
      <w:r w:rsidR="002C7105">
        <w:rPr>
          <w:i/>
        </w:rPr>
        <w:t>Lipson v. State Bar</w:t>
      </w:r>
      <w:r w:rsidR="00CF6A0E">
        <w:t xml:space="preserve"> (1991) 53 </w:t>
      </w:r>
      <w:r w:rsidR="002C7105">
        <w:t xml:space="preserve">Cal.3d 1010, 1020 [moral turpitude finding proper for gross carelessness in failing to maintain trust account]; see also </w:t>
      </w:r>
      <w:r w:rsidR="002C7105">
        <w:rPr>
          <w:i/>
        </w:rPr>
        <w:t>In the Matter of Blum</w:t>
      </w:r>
      <w:r w:rsidR="00352FA0">
        <w:rPr>
          <w:iCs/>
        </w:rPr>
        <w:t xml:space="preserve">, </w:t>
      </w:r>
      <w:r w:rsidR="00352FA0" w:rsidRPr="008B5046">
        <w:rPr>
          <w:i/>
        </w:rPr>
        <w:t>supra</w:t>
      </w:r>
      <w:r w:rsidR="00352FA0">
        <w:rPr>
          <w:iCs/>
        </w:rPr>
        <w:t>,</w:t>
      </w:r>
      <w:r>
        <w:t xml:space="preserve"> 4 </w:t>
      </w:r>
      <w:r w:rsidR="002C7105">
        <w:t xml:space="preserve">Cal. State Bar Ct. Rptr. </w:t>
      </w:r>
      <w:r w:rsidR="00352FA0">
        <w:t>at p.</w:t>
      </w:r>
      <w:r w:rsidR="002C7105">
        <w:t xml:space="preserve"> 410 [</w:t>
      </w:r>
      <w:r w:rsidR="002C7105" w:rsidRPr="002C7105">
        <w:t>§</w:t>
      </w:r>
      <w:r>
        <w:t> </w:t>
      </w:r>
      <w:r w:rsidR="002C7105" w:rsidRPr="002C7105">
        <w:t>6106</w:t>
      </w:r>
      <w:r w:rsidR="002C7105">
        <w:t xml:space="preserve"> violation can be supported by finding of gross negligence in handling trust account duties].)</w:t>
      </w:r>
    </w:p>
    <w:p w14:paraId="12D80B46" w14:textId="73029B28" w:rsidR="000D767E" w:rsidRDefault="00874E18" w:rsidP="001256C8">
      <w:pPr>
        <w:pStyle w:val="ListParagraph"/>
        <w:tabs>
          <w:tab w:val="left" w:pos="720"/>
        </w:tabs>
        <w:spacing w:line="480" w:lineRule="auto"/>
        <w:ind w:left="0" w:right="-144" w:firstLine="720"/>
      </w:pPr>
      <w:r>
        <w:t>Rubin admits that th</w:t>
      </w:r>
      <w:r w:rsidR="00C901A7">
        <w:t xml:space="preserve">e CTA </w:t>
      </w:r>
      <w:r w:rsidR="007D26AE">
        <w:t xml:space="preserve">balance </w:t>
      </w:r>
      <w:r w:rsidR="00C901A7">
        <w:t>fell to $36,018.12 on May </w:t>
      </w:r>
      <w:r>
        <w:t>11, 2018</w:t>
      </w:r>
      <w:r w:rsidR="00C901A7">
        <w:t>, and then to $33,518.12 on May </w:t>
      </w:r>
      <w:r>
        <w:t xml:space="preserve">14.  </w:t>
      </w:r>
      <w:r w:rsidR="007D26AE">
        <w:t>He</w:t>
      </w:r>
      <w:r w:rsidR="00607352">
        <w:t xml:space="preserve"> explained that the d</w:t>
      </w:r>
      <w:r w:rsidR="007D26AE">
        <w:t>rop</w:t>
      </w:r>
      <w:r w:rsidR="00607352">
        <w:t xml:space="preserve"> was due to </w:t>
      </w:r>
      <w:r w:rsidR="00BE0A97">
        <w:t>careless</w:t>
      </w:r>
      <w:r w:rsidR="007B4B63">
        <w:t xml:space="preserve"> bookkeeping.  A</w:t>
      </w:r>
      <w:r>
        <w:t>fter realizing the discrepancy, he deposited personal funds and the ba</w:t>
      </w:r>
      <w:r w:rsidR="00C901A7">
        <w:t>lance rose to $40,018.12 on May </w:t>
      </w:r>
      <w:r>
        <w:t>16.</w:t>
      </w:r>
      <w:r w:rsidR="00507744">
        <w:t xml:space="preserve">  </w:t>
      </w:r>
      <w:r>
        <w:t xml:space="preserve">The hearing judge found that Rubin was wrong in not properly maintaining his books, but his </w:t>
      </w:r>
      <w:r w:rsidR="002120E8">
        <w:t>misconduct</w:t>
      </w:r>
      <w:r>
        <w:t xml:space="preserve"> did not rise to the level of misappropriation </w:t>
      </w:r>
      <w:r w:rsidR="005957EF">
        <w:t xml:space="preserve">by gross negligence </w:t>
      </w:r>
      <w:r>
        <w:t>because it was an isolated</w:t>
      </w:r>
      <w:r w:rsidR="00BE0A97">
        <w:t>, aberrational</w:t>
      </w:r>
      <w:r>
        <w:t xml:space="preserve"> </w:t>
      </w:r>
      <w:r w:rsidR="00BE0A97">
        <w:t>occurrence</w:t>
      </w:r>
      <w:r>
        <w:t xml:space="preserve"> and </w:t>
      </w:r>
      <w:r w:rsidR="007B7026">
        <w:t>Rubin</w:t>
      </w:r>
      <w:r>
        <w:t xml:space="preserve"> quickly restored the </w:t>
      </w:r>
      <w:r w:rsidR="002120E8">
        <w:t>funds</w:t>
      </w:r>
      <w:r>
        <w:t xml:space="preserve">.  Therefore, </w:t>
      </w:r>
      <w:r w:rsidR="007B7026">
        <w:t>the judge</w:t>
      </w:r>
      <w:r>
        <w:t xml:space="preserve"> did n</w:t>
      </w:r>
      <w:r w:rsidR="00C901A7">
        <w:t xml:space="preserve">ot find culpability </w:t>
      </w:r>
      <w:r>
        <w:t>for misappropriation.</w:t>
      </w:r>
      <w:r w:rsidR="007B4B63">
        <w:t xml:space="preserve">  We affirm the hearing judge’s decision and dismiss coun</w:t>
      </w:r>
      <w:r w:rsidR="00C901A7">
        <w:t>t </w:t>
      </w:r>
      <w:r w:rsidR="007B4B63">
        <w:t>one with prejudice.  (</w:t>
      </w:r>
      <w:r w:rsidR="007B4B63">
        <w:rPr>
          <w:i/>
        </w:rPr>
        <w:t>In the Matter of Kroff</w:t>
      </w:r>
      <w:r w:rsidR="00C901A7">
        <w:t xml:space="preserve"> (Review Dept. 1998) 3 </w:t>
      </w:r>
      <w:r w:rsidR="007B4B63">
        <w:t>Cal. State Bar Ct. Rptr. 838, 843 [dismissal of charges for want of proof after trial on merits is with prejudice].)</w:t>
      </w:r>
      <w:r w:rsidR="00CA5BC4">
        <w:rPr>
          <w:rStyle w:val="FootnoteReference"/>
        </w:rPr>
        <w:footnoteReference w:id="16"/>
      </w:r>
    </w:p>
    <w:p w14:paraId="358740A1" w14:textId="67F28CC9" w:rsidR="00040E3E" w:rsidRDefault="00CA5BC4" w:rsidP="001256C8">
      <w:pPr>
        <w:pStyle w:val="ListParagraph"/>
        <w:tabs>
          <w:tab w:val="left" w:pos="720"/>
        </w:tabs>
        <w:spacing w:line="480" w:lineRule="auto"/>
        <w:ind w:left="0" w:right="-144" w:firstLine="720"/>
        <w:rPr>
          <w:b/>
          <w:bCs/>
        </w:rPr>
      </w:pPr>
      <w:r w:rsidRPr="00CA5BC4">
        <w:rPr>
          <w:b/>
          <w:bCs/>
        </w:rPr>
        <w:t>2.</w:t>
      </w:r>
      <w:r>
        <w:t xml:space="preserve">  </w:t>
      </w:r>
      <w:r w:rsidRPr="00040E3E">
        <w:rPr>
          <w:b/>
          <w:bCs/>
        </w:rPr>
        <w:t>Count Two: Failure to Maintain Client Funds in Trust Account (Rule 4-100(A))</w:t>
      </w:r>
      <w:r w:rsidR="00352FA0">
        <w:rPr>
          <w:rStyle w:val="FootnoteReference"/>
          <w:b/>
          <w:bCs/>
        </w:rPr>
        <w:footnoteReference w:id="17"/>
      </w:r>
    </w:p>
    <w:p w14:paraId="4AF15E72" w14:textId="5C95B044" w:rsidR="00F02BF9" w:rsidRDefault="00D53719" w:rsidP="002A679D">
      <w:pPr>
        <w:pStyle w:val="ListParagraph"/>
        <w:tabs>
          <w:tab w:val="left" w:pos="720"/>
        </w:tabs>
        <w:spacing w:line="480" w:lineRule="auto"/>
        <w:ind w:left="0" w:right="-144" w:firstLine="720"/>
      </w:pPr>
      <w:r>
        <w:t xml:space="preserve">Count two charges that Rubin failed to maintain a </w:t>
      </w:r>
      <w:r w:rsidR="002120E8">
        <w:t xml:space="preserve">CTA </w:t>
      </w:r>
      <w:r>
        <w:t xml:space="preserve">balance of $37,617.09 </w:t>
      </w:r>
      <w:r w:rsidR="00747BAC">
        <w:t>for</w:t>
      </w:r>
      <w:r>
        <w:t xml:space="preserve"> Vanessa</w:t>
      </w:r>
      <w:r w:rsidR="00C901A7">
        <w:t>, in violation of rule </w:t>
      </w:r>
      <w:r>
        <w:t>4-100(A).</w:t>
      </w:r>
      <w:r w:rsidR="00C901A7">
        <w:t xml:space="preserve">  Rule </w:t>
      </w:r>
      <w:r w:rsidR="00F02BF9">
        <w:t xml:space="preserve">4-100(A) provides, in part, that client funds held by an </w:t>
      </w:r>
      <w:r w:rsidR="00F02BF9">
        <w:lastRenderedPageBreak/>
        <w:t>attorney must be deposited in a CTA</w:t>
      </w:r>
      <w:r w:rsidR="002120E8">
        <w:t xml:space="preserve"> and</w:t>
      </w:r>
      <w:r w:rsidR="00F02BF9">
        <w:t xml:space="preserve"> maintained until the </w:t>
      </w:r>
      <w:r w:rsidR="002120E8">
        <w:t>amount</w:t>
      </w:r>
      <w:r w:rsidR="00F02BF9">
        <w:t xml:space="preserve"> owed to the client is settled.  (</w:t>
      </w:r>
      <w:r w:rsidR="00F02BF9" w:rsidRPr="008C7AB5">
        <w:rPr>
          <w:i/>
        </w:rPr>
        <w:t>In the Matter of Song</w:t>
      </w:r>
      <w:r w:rsidR="00F02BF9">
        <w:t xml:space="preserve"> (Review Dept. 2013) 5 Cal. State Bar Ct. Rptr. 273, 277–278.)</w:t>
      </w:r>
    </w:p>
    <w:p w14:paraId="3C91A1CB" w14:textId="3E244B0F" w:rsidR="006B4287" w:rsidRDefault="00987067" w:rsidP="002A679D">
      <w:pPr>
        <w:pStyle w:val="ListParagraph"/>
        <w:tabs>
          <w:tab w:val="left" w:pos="720"/>
        </w:tabs>
        <w:spacing w:line="480" w:lineRule="auto"/>
        <w:ind w:left="0" w:right="-144" w:firstLine="720"/>
      </w:pPr>
      <w:r>
        <w:t xml:space="preserve">The hearing judge found that the $4,098.97 dip in </w:t>
      </w:r>
      <w:r w:rsidR="00796018">
        <w:t>Rubin’s</w:t>
      </w:r>
      <w:r>
        <w:t xml:space="preserve"> CTA</w:t>
      </w:r>
      <w:r w:rsidR="00040E3E">
        <w:t xml:space="preserve"> </w:t>
      </w:r>
      <w:r w:rsidR="00796018">
        <w:t>rendered him</w:t>
      </w:r>
      <w:r>
        <w:t xml:space="preserve"> culpab</w:t>
      </w:r>
      <w:r w:rsidR="00796018">
        <w:t>le</w:t>
      </w:r>
      <w:r>
        <w:t xml:space="preserve"> </w:t>
      </w:r>
      <w:r w:rsidR="00040E3E">
        <w:t>under</w:t>
      </w:r>
      <w:r w:rsidR="00C901A7">
        <w:t xml:space="preserve"> count </w:t>
      </w:r>
      <w:r>
        <w:t xml:space="preserve">two for failure to maintain the </w:t>
      </w:r>
      <w:r w:rsidR="00796018">
        <w:t>required</w:t>
      </w:r>
      <w:r>
        <w:t xml:space="preserve"> balance.</w:t>
      </w:r>
      <w:r w:rsidR="00D615D4">
        <w:t xml:space="preserve">  </w:t>
      </w:r>
      <w:r w:rsidR="00F02BF9">
        <w:t>W</w:t>
      </w:r>
      <w:r w:rsidR="006B4287">
        <w:t xml:space="preserve">e affirm the judge’s finding that </w:t>
      </w:r>
      <w:r w:rsidR="00F6038E">
        <w:t xml:space="preserve">Rubin </w:t>
      </w:r>
      <w:r w:rsidR="006B4287">
        <w:t>vio</w:t>
      </w:r>
      <w:r w:rsidR="006905B5">
        <w:t>lated rule </w:t>
      </w:r>
      <w:r w:rsidR="006B4287">
        <w:t>4-100(A) by failing to maintain $</w:t>
      </w:r>
      <w:r w:rsidR="00F6038E">
        <w:t>37,617.09</w:t>
      </w:r>
      <w:r w:rsidR="006B4287">
        <w:t xml:space="preserve"> in his CTA </w:t>
      </w:r>
      <w:r w:rsidR="0047000D">
        <w:t xml:space="preserve">on behalf of </w:t>
      </w:r>
      <w:r w:rsidR="00F6038E">
        <w:t>Vanessa</w:t>
      </w:r>
      <w:r w:rsidR="0047000D">
        <w:t xml:space="preserve">.  </w:t>
      </w:r>
      <w:r w:rsidR="00F02BF9">
        <w:t>We reject Rubin’s argument that he did no</w:t>
      </w:r>
      <w:r w:rsidR="00C901A7">
        <w:t>t “willfully” violate rule </w:t>
      </w:r>
      <w:r w:rsidR="00F02BF9">
        <w:t xml:space="preserve">4-100(A).  (See </w:t>
      </w:r>
      <w:proofErr w:type="gramStart"/>
      <w:r w:rsidR="00F02BF9">
        <w:rPr>
          <w:i/>
        </w:rPr>
        <w:t>In</w:t>
      </w:r>
      <w:proofErr w:type="gramEnd"/>
      <w:r w:rsidR="00F02BF9">
        <w:rPr>
          <w:i/>
        </w:rPr>
        <w:t xml:space="preserve"> the Matter of Acuna</w:t>
      </w:r>
      <w:r w:rsidR="00A81866">
        <w:t xml:space="preserve"> (Review Dept. 1996) 3 </w:t>
      </w:r>
      <w:r w:rsidR="00F02BF9">
        <w:t>Cal. State Bar Ct. Rptr. 495, 504 [allowing balance in trust account to drop below level owed to clie</w:t>
      </w:r>
      <w:r w:rsidR="00A81866">
        <w:t>nt is willful violation of rule </w:t>
      </w:r>
      <w:r w:rsidR="00F02BF9">
        <w:t>4-100(A)].)</w:t>
      </w:r>
    </w:p>
    <w:p w14:paraId="39F8B0E7" w14:textId="318A4786" w:rsidR="00E73EED" w:rsidRPr="00D81A48" w:rsidRDefault="00607352" w:rsidP="002A679D">
      <w:pPr>
        <w:pStyle w:val="ListParagraph"/>
        <w:tabs>
          <w:tab w:val="left" w:pos="720"/>
        </w:tabs>
        <w:spacing w:line="480" w:lineRule="auto"/>
        <w:ind w:left="0" w:firstLine="720"/>
        <w:rPr>
          <w:b/>
          <w:bCs/>
        </w:rPr>
      </w:pPr>
      <w:r>
        <w:rPr>
          <w:b/>
          <w:bCs/>
        </w:rPr>
        <w:t>3</w:t>
      </w:r>
      <w:r w:rsidR="00E73EED" w:rsidRPr="00D81A48">
        <w:rPr>
          <w:b/>
          <w:bCs/>
        </w:rPr>
        <w:t xml:space="preserve">.  </w:t>
      </w:r>
      <w:r w:rsidR="00E73EED" w:rsidRPr="00D43DFD">
        <w:rPr>
          <w:b/>
          <w:bCs/>
        </w:rPr>
        <w:t>Count Three: Failure</w:t>
      </w:r>
      <w:r w:rsidR="00E73EED" w:rsidRPr="00D81A48">
        <w:rPr>
          <w:b/>
          <w:bCs/>
        </w:rPr>
        <w:t xml:space="preserve"> to Pay Client Funds Promptly (Rule 4-100(B)(4))</w:t>
      </w:r>
    </w:p>
    <w:p w14:paraId="14A764B0" w14:textId="677D225D" w:rsidR="003C4321" w:rsidRDefault="003C4321" w:rsidP="002A679D">
      <w:pPr>
        <w:pStyle w:val="ListParagraph"/>
        <w:tabs>
          <w:tab w:val="left" w:pos="720"/>
        </w:tabs>
        <w:spacing w:line="480" w:lineRule="auto"/>
        <w:ind w:left="0" w:firstLine="720"/>
      </w:pPr>
      <w:r>
        <w:t>The NDC</w:t>
      </w:r>
      <w:r w:rsidR="00A81866">
        <w:t xml:space="preserve"> alleges that </w:t>
      </w:r>
      <w:r>
        <w:t xml:space="preserve">Rubin received $37,617.09 from Stevenson </w:t>
      </w:r>
      <w:r w:rsidR="009B454B">
        <w:t xml:space="preserve">on or about April 17, 2018, </w:t>
      </w:r>
      <w:r>
        <w:t xml:space="preserve">on behalf of Vanessa.  </w:t>
      </w:r>
      <w:r w:rsidR="009B454B">
        <w:t>She</w:t>
      </w:r>
      <w:r>
        <w:t xml:space="preserve"> was entitled to th</w:t>
      </w:r>
      <w:r w:rsidR="009B454B">
        <w:t>at</w:t>
      </w:r>
      <w:r>
        <w:t xml:space="preserve"> </w:t>
      </w:r>
      <w:r w:rsidR="009B454B">
        <w:t>amount</w:t>
      </w:r>
      <w:r>
        <w:t xml:space="preserve"> as a refund of unearned attorney fees.  </w:t>
      </w:r>
      <w:r w:rsidR="002C1B57">
        <w:t xml:space="preserve">On multiple occasions </w:t>
      </w:r>
      <w:r>
        <w:t>Vanessa and her brother verbal</w:t>
      </w:r>
      <w:r w:rsidR="004E34BB">
        <w:t>ly</w:t>
      </w:r>
      <w:r>
        <w:t xml:space="preserve"> request</w:t>
      </w:r>
      <w:r w:rsidR="004E34BB">
        <w:t>ed</w:t>
      </w:r>
      <w:r>
        <w:t xml:space="preserve"> </w:t>
      </w:r>
      <w:r w:rsidR="004E34BB">
        <w:t>that Rubin</w:t>
      </w:r>
      <w:r>
        <w:t xml:space="preserve"> return the $37,617.09.  Vanessa’s brother </w:t>
      </w:r>
      <w:r w:rsidR="004E34BB">
        <w:t xml:space="preserve">also </w:t>
      </w:r>
      <w:r>
        <w:t xml:space="preserve">sent </w:t>
      </w:r>
      <w:r w:rsidR="002C1B57">
        <w:t xml:space="preserve">Rubin </w:t>
      </w:r>
      <w:r>
        <w:t>an email on May</w:t>
      </w:r>
      <w:r w:rsidR="00A81866">
        <w:t> </w:t>
      </w:r>
      <w:r>
        <w:t xml:space="preserve">17, 2018, notifying </w:t>
      </w:r>
      <w:r w:rsidR="002C1B57">
        <w:t xml:space="preserve">him </w:t>
      </w:r>
      <w:r>
        <w:t xml:space="preserve">that Vanessa wanted to pick up the </w:t>
      </w:r>
      <w:r w:rsidR="009B454B">
        <w:t>money</w:t>
      </w:r>
      <w:r>
        <w:t xml:space="preserve"> the next day.  </w:t>
      </w:r>
      <w:r w:rsidR="00176C82">
        <w:t>R</w:t>
      </w:r>
      <w:r w:rsidR="00A81866">
        <w:t xml:space="preserve">ubin </w:t>
      </w:r>
      <w:r w:rsidR="002C1B57">
        <w:t>did not</w:t>
      </w:r>
      <w:r w:rsidR="004E34BB">
        <w:t xml:space="preserve"> </w:t>
      </w:r>
      <w:r w:rsidR="00A81866">
        <w:t xml:space="preserve">return the funds </w:t>
      </w:r>
      <w:r w:rsidR="002C1B57">
        <w:t xml:space="preserve">until </w:t>
      </w:r>
      <w:r w:rsidR="00A81866">
        <w:t>July </w:t>
      </w:r>
      <w:r w:rsidR="00176C82">
        <w:t xml:space="preserve">6, 2018.  </w:t>
      </w:r>
      <w:r>
        <w:t>Count</w:t>
      </w:r>
      <w:r w:rsidR="00A81866">
        <w:t> </w:t>
      </w:r>
      <w:r>
        <w:t>three c</w:t>
      </w:r>
      <w:r w:rsidR="00A81866">
        <w:t>harges that Rubin violated rule </w:t>
      </w:r>
      <w:r>
        <w:t xml:space="preserve">4-100(B)(4) by failing to promptly return the </w:t>
      </w:r>
      <w:r w:rsidR="00176C82">
        <w:t xml:space="preserve">$37,617.09.  </w:t>
      </w:r>
      <w:r w:rsidR="00A81866">
        <w:t>Rule </w:t>
      </w:r>
      <w:r w:rsidR="003B2460">
        <w:t xml:space="preserve">4-100(B)(4) requires attorneys to “[p]romptly pay or deliver, as requested by the client, any funds . . . in the possession of the member which the client is entitled to receive.”  </w:t>
      </w:r>
      <w:r w:rsidR="00176C82">
        <w:t>The hearing judge found Rubin culpable as charged.</w:t>
      </w:r>
    </w:p>
    <w:p w14:paraId="74CE7473" w14:textId="6A503269" w:rsidR="003C4321" w:rsidRDefault="00D43DFD" w:rsidP="002A679D">
      <w:pPr>
        <w:pStyle w:val="ListParagraph"/>
        <w:tabs>
          <w:tab w:val="left" w:pos="720"/>
        </w:tabs>
        <w:spacing w:line="480" w:lineRule="auto"/>
        <w:ind w:left="0" w:firstLine="720"/>
      </w:pPr>
      <w:r>
        <w:t xml:space="preserve">On review, Rubin </w:t>
      </w:r>
      <w:r w:rsidR="005F5795">
        <w:t>contends</w:t>
      </w:r>
      <w:r>
        <w:t xml:space="preserve"> that he offered to r</w:t>
      </w:r>
      <w:r w:rsidR="00A81866">
        <w:t>eturn the $37,617.09 at the May </w:t>
      </w:r>
      <w:r>
        <w:t>18, 20</w:t>
      </w:r>
      <w:r w:rsidR="004E061F">
        <w:t>18</w:t>
      </w:r>
      <w:r>
        <w:t xml:space="preserve"> meeting with Vanessa and her brother, but they told him to hold the money in the CTA, and the</w:t>
      </w:r>
      <w:r w:rsidR="005F5795">
        <w:t>y</w:t>
      </w:r>
      <w:r>
        <w:t xml:space="preserve"> never</w:t>
      </w:r>
      <w:r w:rsidR="005F5795">
        <w:t xml:space="preserve"> made</w:t>
      </w:r>
      <w:r>
        <w:t xml:space="preserve"> an “unambiguous demand” for return of the money after that date.  He asserts that Vanessa and Rade were not credible witnesses and that we should accept his version of events.</w:t>
      </w:r>
      <w:r w:rsidR="002E6D92">
        <w:t xml:space="preserve">  The hearing judge found that Vanessa </w:t>
      </w:r>
      <w:r w:rsidR="00256EA5">
        <w:t xml:space="preserve">and Rade </w:t>
      </w:r>
      <w:r w:rsidR="002E6D92">
        <w:t xml:space="preserve">made multiple requests for the repayment of the </w:t>
      </w:r>
      <w:r w:rsidR="009049FD">
        <w:t>funds</w:t>
      </w:r>
      <w:r w:rsidR="002E6D92">
        <w:t xml:space="preserve"> and chose to credit Vanessa’s version of the events over Rubin’s.  As state</w:t>
      </w:r>
      <w:r w:rsidR="0033592C">
        <w:t>d above</w:t>
      </w:r>
      <w:r w:rsidR="002E6D92">
        <w:t xml:space="preserve">, such a </w:t>
      </w:r>
      <w:r w:rsidR="002E6D92">
        <w:lastRenderedPageBreak/>
        <w:t>determination merits great weight, and the record does not justify disturbing it.</w:t>
      </w:r>
      <w:r w:rsidR="003672AD">
        <w:t xml:space="preserve">  Vanessa’s funds should have been promptly paid when she requested them after Rubin received the funds in April.  Despite several requests, Rubin did not dis</w:t>
      </w:r>
      <w:r w:rsidR="00B32257">
        <w:t>burse</w:t>
      </w:r>
      <w:r w:rsidR="003672AD">
        <w:t xml:space="preserve"> the $37,617.09 until July.  Accordingly, we find R</w:t>
      </w:r>
      <w:r w:rsidR="00A81866">
        <w:t>ubin culpable of violating rule </w:t>
      </w:r>
      <w:r w:rsidR="003672AD">
        <w:t>4-100(B)(4).</w:t>
      </w:r>
    </w:p>
    <w:p w14:paraId="2F5648AE" w14:textId="707EBB74" w:rsidR="00E73EED" w:rsidRPr="00D81A48" w:rsidRDefault="00607352" w:rsidP="002A679D">
      <w:pPr>
        <w:pStyle w:val="ListParagraph"/>
        <w:tabs>
          <w:tab w:val="left" w:pos="720"/>
        </w:tabs>
        <w:spacing w:line="480" w:lineRule="auto"/>
        <w:ind w:left="0" w:firstLine="720"/>
        <w:rPr>
          <w:b/>
          <w:bCs/>
        </w:rPr>
      </w:pPr>
      <w:bookmarkStart w:id="14" w:name="_Hlk60927010"/>
      <w:r>
        <w:rPr>
          <w:b/>
          <w:bCs/>
        </w:rPr>
        <w:t>4</w:t>
      </w:r>
      <w:r w:rsidR="00747BAC">
        <w:rPr>
          <w:b/>
          <w:bCs/>
        </w:rPr>
        <w:t xml:space="preserve">.  Count Four: </w:t>
      </w:r>
      <w:r w:rsidR="00E73EED" w:rsidRPr="00D81A48">
        <w:rPr>
          <w:b/>
          <w:bCs/>
        </w:rPr>
        <w:t>Failure to Render Accounts of Client Funds (Rule 4-100(B)(3</w:t>
      </w:r>
      <w:r w:rsidR="00D81A48" w:rsidRPr="00D81A48">
        <w:rPr>
          <w:b/>
          <w:bCs/>
        </w:rPr>
        <w:t>))</w:t>
      </w:r>
    </w:p>
    <w:p w14:paraId="1C2EFA14" w14:textId="1D43955B" w:rsidR="00A676D3" w:rsidRDefault="00E43F53" w:rsidP="002A679D">
      <w:pPr>
        <w:pStyle w:val="ListParagraph"/>
        <w:tabs>
          <w:tab w:val="left" w:pos="720"/>
        </w:tabs>
        <w:spacing w:line="480" w:lineRule="auto"/>
        <w:ind w:left="0" w:firstLine="720"/>
      </w:pPr>
      <w:r>
        <w:t xml:space="preserve">The NDC alleges that Vanessa asked for an accounting in August 2018 </w:t>
      </w:r>
      <w:r w:rsidR="008E6906">
        <w:t>for</w:t>
      </w:r>
      <w:r>
        <w:t xml:space="preserve"> the $95,000 she paid Rubin in advance fees.  Count four charges that Rubin violated rule</w:t>
      </w:r>
      <w:r w:rsidR="00A81866">
        <w:t> </w:t>
      </w:r>
      <w:r>
        <w:t xml:space="preserve">4-100(B)(3) by </w:t>
      </w:r>
      <w:r w:rsidR="00A81866">
        <w:t xml:space="preserve">failing to render an appropriate </w:t>
      </w:r>
      <w:r>
        <w:t xml:space="preserve">accounting.  </w:t>
      </w:r>
      <w:r w:rsidR="00E73EED" w:rsidRPr="00E73EED">
        <w:t>Rule 4-100(B)(3) requires an attorney to maintain complete records of all client funds in the attorney’s possession and to “render appropriate accounts to the client regarding them.”</w:t>
      </w:r>
      <w:r>
        <w:t xml:space="preserve">  The hearing judge found that Rubin </w:t>
      </w:r>
      <w:r w:rsidR="009B4F16">
        <w:t>sent</w:t>
      </w:r>
      <w:r>
        <w:t xml:space="preserve"> monthly statements to Vanessa and there was no clear and convincing ev</w:t>
      </w:r>
      <w:r w:rsidR="00A81866">
        <w:t>idence that</w:t>
      </w:r>
      <w:r w:rsidR="009049FD">
        <w:t xml:space="preserve"> he</w:t>
      </w:r>
      <w:r w:rsidR="00A81866">
        <w:t xml:space="preserve"> violated </w:t>
      </w:r>
      <w:r w:rsidR="009049FD">
        <w:t xml:space="preserve">      </w:t>
      </w:r>
      <w:r w:rsidR="00A81866">
        <w:t>rule </w:t>
      </w:r>
      <w:r>
        <w:t>4-100(B)(3).</w:t>
      </w:r>
      <w:r w:rsidR="00BE1D5C">
        <w:t xml:space="preserve">  </w:t>
      </w:r>
      <w:bookmarkStart w:id="15" w:name="_Hlk63068711"/>
      <w:r w:rsidR="00BE1D5C">
        <w:t>We agree</w:t>
      </w:r>
      <w:r w:rsidR="00882D54">
        <w:t xml:space="preserve">.  Rubin provided </w:t>
      </w:r>
      <w:r w:rsidR="007E7C45">
        <w:t>a statement</w:t>
      </w:r>
      <w:r w:rsidR="00882D54">
        <w:t xml:space="preserve"> to Vanessa</w:t>
      </w:r>
      <w:r w:rsidR="008E6906">
        <w:t>,</w:t>
      </w:r>
      <w:r w:rsidR="00882D54">
        <w:t xml:space="preserve"> after his employment was terminated</w:t>
      </w:r>
      <w:r w:rsidR="008E6906">
        <w:t>,</w:t>
      </w:r>
      <w:r w:rsidR="00882D54">
        <w:t xml:space="preserve"> that detailed the previous balance, </w:t>
      </w:r>
      <w:r w:rsidR="009B4F16">
        <w:t>the</w:t>
      </w:r>
      <w:r w:rsidR="00882D54">
        <w:t xml:space="preserve"> work</w:t>
      </w:r>
      <w:r w:rsidR="00EE2C6D">
        <w:t xml:space="preserve"> that</w:t>
      </w:r>
      <w:r w:rsidR="00882D54">
        <w:t xml:space="preserve"> was done, </w:t>
      </w:r>
      <w:r w:rsidR="00EE2C6D">
        <w:t>the amount</w:t>
      </w:r>
      <w:r w:rsidR="00882D54">
        <w:t xml:space="preserve"> charged, and the remaining balance.  Therefore, we </w:t>
      </w:r>
      <w:r w:rsidR="00BE1D5C">
        <w:t>dismiss count four with prejudice.</w:t>
      </w:r>
      <w:r w:rsidR="007B7771">
        <w:rPr>
          <w:rStyle w:val="FootnoteReference"/>
        </w:rPr>
        <w:footnoteReference w:id="18"/>
      </w:r>
      <w:r w:rsidR="00BE1D5C">
        <w:t xml:space="preserve">  (</w:t>
      </w:r>
      <w:r w:rsidR="00BE1D5C">
        <w:rPr>
          <w:i/>
        </w:rPr>
        <w:t>In the Matter of Kroff</w:t>
      </w:r>
      <w:r w:rsidR="009517A0">
        <w:t xml:space="preserve">, </w:t>
      </w:r>
      <w:r w:rsidR="009517A0" w:rsidRPr="009517A0">
        <w:rPr>
          <w:i/>
          <w:iCs/>
        </w:rPr>
        <w:t>supra</w:t>
      </w:r>
      <w:r w:rsidR="009517A0">
        <w:t xml:space="preserve">, </w:t>
      </w:r>
      <w:r w:rsidR="001017CB">
        <w:t>3 </w:t>
      </w:r>
      <w:r w:rsidR="00BE1D5C">
        <w:t xml:space="preserve">Cal. State Bar Ct. Rptr. </w:t>
      </w:r>
      <w:r w:rsidR="009517A0">
        <w:t>at p.</w:t>
      </w:r>
      <w:r w:rsidR="001017CB">
        <w:t> </w:t>
      </w:r>
      <w:r w:rsidR="00BE1D5C">
        <w:t>843.)</w:t>
      </w:r>
    </w:p>
    <w:bookmarkEnd w:id="15"/>
    <w:p w14:paraId="513C93F3" w14:textId="2E54180B" w:rsidR="00E73EED" w:rsidRPr="004B0CB5" w:rsidRDefault="00607352" w:rsidP="002A679D">
      <w:pPr>
        <w:pStyle w:val="ListParagraph"/>
        <w:tabs>
          <w:tab w:val="left" w:pos="720"/>
        </w:tabs>
        <w:spacing w:line="480" w:lineRule="auto"/>
        <w:ind w:left="0" w:firstLine="720"/>
        <w:rPr>
          <w:b/>
          <w:bCs/>
        </w:rPr>
      </w:pPr>
      <w:r>
        <w:rPr>
          <w:b/>
          <w:bCs/>
        </w:rPr>
        <w:t>5</w:t>
      </w:r>
      <w:r w:rsidR="00D81A48" w:rsidRPr="004B0CB5">
        <w:rPr>
          <w:b/>
          <w:bCs/>
        </w:rPr>
        <w:t>.  Count Seven: Represent</w:t>
      </w:r>
      <w:r w:rsidR="004B0CB5">
        <w:rPr>
          <w:b/>
          <w:bCs/>
        </w:rPr>
        <w:t>ing</w:t>
      </w:r>
      <w:r w:rsidR="00D81A48" w:rsidRPr="004B0CB5">
        <w:rPr>
          <w:b/>
          <w:bCs/>
        </w:rPr>
        <w:t xml:space="preserve"> Clients with Potential Conflict (Rule 3-310(C)(1))</w:t>
      </w:r>
    </w:p>
    <w:p w14:paraId="1C04C472" w14:textId="5BABB564" w:rsidR="00343CF9" w:rsidRDefault="004B0CB5" w:rsidP="002A679D">
      <w:pPr>
        <w:pStyle w:val="ListParagraph"/>
        <w:tabs>
          <w:tab w:val="left" w:pos="720"/>
        </w:tabs>
        <w:spacing w:line="480" w:lineRule="auto"/>
        <w:ind w:left="0" w:firstLine="720"/>
      </w:pPr>
      <w:r>
        <w:t xml:space="preserve">The NDC alleges that Rubin represented both Vanessa and Rade when they were defendants in </w:t>
      </w:r>
      <w:r>
        <w:rPr>
          <w:i/>
          <w:iCs/>
        </w:rPr>
        <w:t xml:space="preserve">Horn v. </w:t>
      </w:r>
      <w:r w:rsidRPr="004B0CB5">
        <w:rPr>
          <w:i/>
          <w:iCs/>
        </w:rPr>
        <w:t>Raicevic</w:t>
      </w:r>
      <w:r>
        <w:t xml:space="preserve"> and had potential con</w:t>
      </w:r>
      <w:r w:rsidR="001E2CCD">
        <w:t>flicts with one another.  Count </w:t>
      </w:r>
      <w:r>
        <w:t>seven c</w:t>
      </w:r>
      <w:r w:rsidR="001E2CCD">
        <w:t>harges that Rubin violated rule </w:t>
      </w:r>
      <w:r>
        <w:t>3-310(C)(1) by failing to inform Vanessa and Rade of the potential conflicts and fail</w:t>
      </w:r>
      <w:r w:rsidR="00821F12">
        <w:t>ing</w:t>
      </w:r>
      <w:r>
        <w:t xml:space="preserve"> to obtain their written consent before </w:t>
      </w:r>
      <w:r w:rsidR="001E2CCD">
        <w:t>accepting representation.  Rule </w:t>
      </w:r>
      <w:r>
        <w:t xml:space="preserve">3-310(C)(1) provides that an attorney shall not, without informed written consent of each client, “[a]ccept representation of more than one client in a matter in which the interests of the clients potentially conflict.”  The hearing judge found that as Vanessa and Rade were defendants </w:t>
      </w:r>
      <w:r>
        <w:lastRenderedPageBreak/>
        <w:t>in the same lawsuit, they had a p</w:t>
      </w:r>
      <w:r w:rsidR="00281E1E">
        <w:t xml:space="preserve">otential conflict with one another.  Because Rubin did not obtain informed written consent from Vanessa and Rade prior to accepting representation, the judge determined that Rubin was </w:t>
      </w:r>
      <w:r w:rsidR="001E2CCD">
        <w:t>culpable as charged under count </w:t>
      </w:r>
      <w:r w:rsidR="00281E1E">
        <w:t>seven.</w:t>
      </w:r>
      <w:r w:rsidR="00343CF9">
        <w:t xml:space="preserve">  We agree.  Because Horn sued both Vanessa and Rade, and sought damages against them, possible indemnity issues should have been anticipated.</w:t>
      </w:r>
    </w:p>
    <w:p w14:paraId="7DF103DB" w14:textId="43642ED3" w:rsidR="0079676D" w:rsidRDefault="0079676D" w:rsidP="008E6906">
      <w:pPr>
        <w:pStyle w:val="ListParagraph"/>
        <w:tabs>
          <w:tab w:val="left" w:pos="720"/>
        </w:tabs>
        <w:spacing w:line="480" w:lineRule="auto"/>
        <w:ind w:left="0" w:right="-144" w:firstLine="720"/>
      </w:pPr>
      <w:r>
        <w:t>Rubin acknowledges there was a “t</w:t>
      </w:r>
      <w:r w:rsidR="001E2CCD">
        <w:t>echnical violation” of rule </w:t>
      </w:r>
      <w:r>
        <w:t>3-310(C)(1</w:t>
      </w:r>
      <w:proofErr w:type="gramStart"/>
      <w:r>
        <w:t>), but</w:t>
      </w:r>
      <w:proofErr w:type="gramEnd"/>
      <w:r>
        <w:t xml:space="preserve"> attempts to minimize his misconduct by insisting that no client harm </w:t>
      </w:r>
      <w:r w:rsidR="00F92832">
        <w:t xml:space="preserve">resulted </w:t>
      </w:r>
      <w:r>
        <w:t>and that he believed there was no conflict</w:t>
      </w:r>
      <w:r w:rsidR="003F7D1F">
        <w:t xml:space="preserve"> at the time of the representation</w:t>
      </w:r>
      <w:r>
        <w:t>.</w:t>
      </w:r>
      <w:r w:rsidR="009027EE">
        <w:t xml:space="preserve">  </w:t>
      </w:r>
      <w:r w:rsidR="00CF14EE">
        <w:t xml:space="preserve">But </w:t>
      </w:r>
      <w:r w:rsidR="009027EE">
        <w:t>Rubin failed to inform Vanessa and Rade about any potential conflicts and failed to obtain their informed written consent to the representatio</w:t>
      </w:r>
      <w:r w:rsidR="001E2CCD">
        <w:t>n.  Therefore, he violated rule </w:t>
      </w:r>
      <w:r w:rsidR="009027EE">
        <w:t>3-310(C)(1).</w:t>
      </w:r>
    </w:p>
    <w:p w14:paraId="222DDC7A" w14:textId="011898E3" w:rsidR="00D81A48" w:rsidRPr="00B6235F" w:rsidRDefault="00607352" w:rsidP="002A679D">
      <w:pPr>
        <w:pStyle w:val="ListParagraph"/>
        <w:tabs>
          <w:tab w:val="left" w:pos="720"/>
        </w:tabs>
        <w:spacing w:line="480" w:lineRule="auto"/>
        <w:ind w:left="0" w:firstLine="720"/>
        <w:rPr>
          <w:b/>
          <w:bCs/>
        </w:rPr>
      </w:pPr>
      <w:r>
        <w:rPr>
          <w:b/>
          <w:bCs/>
        </w:rPr>
        <w:t>6</w:t>
      </w:r>
      <w:r w:rsidR="00D81A48" w:rsidRPr="00B6235F">
        <w:rPr>
          <w:b/>
          <w:bCs/>
        </w:rPr>
        <w:t>.  Count Eight: Misrepresentation (§ 6106)</w:t>
      </w:r>
    </w:p>
    <w:p w14:paraId="546FE7CC" w14:textId="3FDFAA92" w:rsidR="00E73EED" w:rsidRDefault="001E2CCD" w:rsidP="00F92832">
      <w:pPr>
        <w:pStyle w:val="ListParagraph"/>
        <w:tabs>
          <w:tab w:val="left" w:pos="720"/>
        </w:tabs>
        <w:spacing w:line="480" w:lineRule="auto"/>
        <w:ind w:left="0" w:firstLine="720"/>
      </w:pPr>
      <w:r>
        <w:t>Count </w:t>
      </w:r>
      <w:r w:rsidR="003F7D1F">
        <w:t xml:space="preserve">eight charged Rubin with making </w:t>
      </w:r>
      <w:r w:rsidR="00B6235F">
        <w:t xml:space="preserve">misrepresentations related to interrogatories in </w:t>
      </w:r>
      <w:r w:rsidR="00B6235F">
        <w:rPr>
          <w:i/>
          <w:iCs/>
        </w:rPr>
        <w:t xml:space="preserve">Horn v. </w:t>
      </w:r>
      <w:r w:rsidR="00B6235F" w:rsidRPr="004B0CB5">
        <w:rPr>
          <w:i/>
          <w:iCs/>
        </w:rPr>
        <w:t>Raicevic</w:t>
      </w:r>
      <w:r w:rsidR="00B6235F">
        <w:t>, alleging that Rubin knew</w:t>
      </w:r>
      <w:r>
        <w:t>,</w:t>
      </w:r>
      <w:r w:rsidR="00B6235F">
        <w:t xml:space="preserve"> or was grossly negligent in not knowing</w:t>
      </w:r>
      <w:r>
        <w:t>,</w:t>
      </w:r>
      <w:r w:rsidR="00B6235F">
        <w:t xml:space="preserve"> that Rade had not actually signed the verification forms.  Due to conflicting testimony</w:t>
      </w:r>
      <w:r w:rsidR="000E21F7">
        <w:t xml:space="preserve"> regarding whether Rade signed the verification forms</w:t>
      </w:r>
      <w:r w:rsidR="00B6235F">
        <w:t xml:space="preserve">, the hearing judge found a lack of clear and convincing evidence.  Therefore, </w:t>
      </w:r>
      <w:r w:rsidR="003E1B80">
        <w:t>the judge</w:t>
      </w:r>
      <w:r w:rsidR="00B6235F">
        <w:t xml:space="preserve"> did not find any misrepres</w:t>
      </w:r>
      <w:r>
        <w:t>entation as charged under count </w:t>
      </w:r>
      <w:r w:rsidR="00B6235F">
        <w:t>eig</w:t>
      </w:r>
      <w:r>
        <w:t>ht.  We agree and dismiss count </w:t>
      </w:r>
      <w:r w:rsidR="00B6235F">
        <w:t>eight with prejudice.</w:t>
      </w:r>
      <w:r w:rsidR="007B7771">
        <w:rPr>
          <w:rStyle w:val="FootnoteReference"/>
        </w:rPr>
        <w:footnoteReference w:id="19"/>
      </w:r>
      <w:r w:rsidR="00B6235F">
        <w:t xml:space="preserve">  (</w:t>
      </w:r>
      <w:r w:rsidR="00B6235F">
        <w:rPr>
          <w:i/>
        </w:rPr>
        <w:t>In the Matter of Kroff</w:t>
      </w:r>
      <w:r w:rsidR="00B6235F">
        <w:t xml:space="preserve">, </w:t>
      </w:r>
      <w:r w:rsidR="00B6235F" w:rsidRPr="00B6235F">
        <w:rPr>
          <w:i/>
          <w:iCs/>
        </w:rPr>
        <w:t>supra</w:t>
      </w:r>
      <w:r>
        <w:t>, 3 </w:t>
      </w:r>
      <w:r w:rsidR="00B83041">
        <w:t>Cal. State Bar Ct. Rptr. at p. </w:t>
      </w:r>
      <w:r w:rsidR="00B6235F">
        <w:t>843.)</w:t>
      </w:r>
      <w:bookmarkEnd w:id="14"/>
    </w:p>
    <w:p w14:paraId="641C4EC8" w14:textId="77777777" w:rsidR="00D4360A" w:rsidRDefault="00D4360A" w:rsidP="00F92832">
      <w:pPr>
        <w:tabs>
          <w:tab w:val="left" w:pos="720"/>
        </w:tabs>
        <w:spacing w:line="480" w:lineRule="auto"/>
        <w:jc w:val="center"/>
        <w:rPr>
          <w:b/>
        </w:rPr>
      </w:pPr>
      <w:r w:rsidRPr="00B6383A">
        <w:rPr>
          <w:b/>
        </w:rPr>
        <w:t>I</w:t>
      </w:r>
      <w:r>
        <w:rPr>
          <w:b/>
        </w:rPr>
        <w:t>V</w:t>
      </w:r>
      <w:r w:rsidRPr="00B6383A">
        <w:rPr>
          <w:b/>
        </w:rPr>
        <w:t xml:space="preserve">.  </w:t>
      </w:r>
      <w:r>
        <w:rPr>
          <w:b/>
        </w:rPr>
        <w:t>CTA COMMINGLING (SBC-19-O-30352)</w:t>
      </w:r>
    </w:p>
    <w:p w14:paraId="2D07280C" w14:textId="77777777" w:rsidR="00D4360A" w:rsidRDefault="00D4360A" w:rsidP="00F92832">
      <w:pPr>
        <w:tabs>
          <w:tab w:val="left" w:pos="720"/>
        </w:tabs>
        <w:spacing w:line="480" w:lineRule="auto"/>
        <w:ind w:left="720" w:hanging="720"/>
        <w:rPr>
          <w:b/>
        </w:rPr>
      </w:pPr>
      <w:r w:rsidRPr="003C7A7C">
        <w:rPr>
          <w:b/>
        </w:rPr>
        <w:t>A.</w:t>
      </w:r>
      <w:r w:rsidRPr="003C7A7C">
        <w:rPr>
          <w:b/>
        </w:rPr>
        <w:tab/>
      </w:r>
      <w:r>
        <w:rPr>
          <w:b/>
        </w:rPr>
        <w:t>Factual Background</w:t>
      </w:r>
    </w:p>
    <w:p w14:paraId="1573A03F" w14:textId="124356F9" w:rsidR="00A71D6B" w:rsidRDefault="00A71D6B" w:rsidP="00F92832">
      <w:pPr>
        <w:pStyle w:val="ListParagraph"/>
        <w:tabs>
          <w:tab w:val="left" w:pos="720"/>
        </w:tabs>
        <w:spacing w:line="480" w:lineRule="auto"/>
        <w:ind w:left="0" w:right="-144" w:firstLine="720"/>
      </w:pPr>
      <w:r>
        <w:t xml:space="preserve">Rubin is a partner </w:t>
      </w:r>
      <w:r w:rsidR="00157B70">
        <w:t xml:space="preserve">with Brian Nomi and Jack Moses </w:t>
      </w:r>
      <w:r>
        <w:t>in Pullman Properties LLC (PPL)</w:t>
      </w:r>
      <w:r w:rsidR="00157B70">
        <w:t>,</w:t>
      </w:r>
      <w:r>
        <w:t xml:space="preserve"> a business entity engaged in real estate development</w:t>
      </w:r>
      <w:r w:rsidR="00157B70">
        <w:t>.</w:t>
      </w:r>
      <w:r>
        <w:t xml:space="preserve"> </w:t>
      </w:r>
      <w:r w:rsidRPr="008C5912">
        <w:t xml:space="preserve"> </w:t>
      </w:r>
      <w:r w:rsidR="00F526AE">
        <w:t>N</w:t>
      </w:r>
      <w:r w:rsidR="00D95137" w:rsidRPr="008C5912">
        <w:t>either PPL nor Nomi is</w:t>
      </w:r>
      <w:r w:rsidRPr="008C5912">
        <w:t xml:space="preserve"> Rubin’s client</w:t>
      </w:r>
      <w:r w:rsidR="008C5912">
        <w:t xml:space="preserve"> </w:t>
      </w:r>
      <w:r w:rsidR="00F526AE">
        <w:t xml:space="preserve">in the </w:t>
      </w:r>
      <w:r w:rsidR="00F526AE">
        <w:lastRenderedPageBreak/>
        <w:t>present</w:t>
      </w:r>
      <w:r w:rsidR="008C5912">
        <w:t xml:space="preserve"> matter</w:t>
      </w:r>
      <w:r w:rsidRPr="008C5912">
        <w:t>.</w:t>
      </w:r>
      <w:r w:rsidR="008C5912">
        <w:rPr>
          <w:rStyle w:val="FootnoteReference"/>
        </w:rPr>
        <w:footnoteReference w:id="20"/>
      </w:r>
      <w:r>
        <w:t xml:space="preserve">  In October 2017, Nomi </w:t>
      </w:r>
      <w:r w:rsidR="008C5912">
        <w:t xml:space="preserve">made a personal loan </w:t>
      </w:r>
      <w:r w:rsidR="00F526AE">
        <w:t xml:space="preserve">of $100,000 </w:t>
      </w:r>
      <w:r w:rsidR="008C5912">
        <w:t>to</w:t>
      </w:r>
      <w:r>
        <w:t xml:space="preserve"> Rubin, secured by two of Rubin’s shares in PPL.</w:t>
      </w:r>
      <w:r w:rsidR="00C10CD4">
        <w:t xml:space="preserve">  </w:t>
      </w:r>
      <w:r w:rsidR="00A57A5E">
        <w:t xml:space="preserve">Upon </w:t>
      </w:r>
      <w:r w:rsidR="00E148F8">
        <w:t>Rubin’s</w:t>
      </w:r>
      <w:r w:rsidR="00A57A5E">
        <w:t xml:space="preserve"> instructions, </w:t>
      </w:r>
      <w:r w:rsidR="00891F49">
        <w:t xml:space="preserve">Nomi wired the money directly into Rubin’s CTA.  </w:t>
      </w:r>
      <w:r w:rsidR="00B83041">
        <w:t>On April </w:t>
      </w:r>
      <w:r w:rsidR="00C10CD4">
        <w:t>18, 2018, Rubin repaid the loan with interest by issuing a $105,000 check payable to Nomi</w:t>
      </w:r>
      <w:r w:rsidR="008C5912">
        <w:t>, also</w:t>
      </w:r>
      <w:r w:rsidR="00C10CD4">
        <w:t xml:space="preserve"> from his CTA.</w:t>
      </w:r>
    </w:p>
    <w:p w14:paraId="0FD75CDE" w14:textId="2F8C500B" w:rsidR="00C10CD4" w:rsidRDefault="00B83041" w:rsidP="002A679D">
      <w:pPr>
        <w:pStyle w:val="ListParagraph"/>
        <w:tabs>
          <w:tab w:val="left" w:pos="720"/>
        </w:tabs>
        <w:spacing w:line="480" w:lineRule="auto"/>
        <w:ind w:left="0" w:right="-144" w:firstLine="720"/>
      </w:pPr>
      <w:r>
        <w:t>Between April 17 and September </w:t>
      </w:r>
      <w:r w:rsidR="00C10CD4">
        <w:t>14, 2018, Rubin deposited four ch</w:t>
      </w:r>
      <w:r w:rsidR="00CF555E">
        <w:t>ecks from PPL into his CTA: (1) $24,171.09, dated April 17, 2018; (2) $15,000, dated June </w:t>
      </w:r>
      <w:r w:rsidR="00C10CD4">
        <w:t>19, 2018; (3)</w:t>
      </w:r>
      <w:r w:rsidR="00CF555E">
        <w:t> $2,223.97, dated August 14, 2018; and (4) </w:t>
      </w:r>
      <w:r w:rsidR="00C10CD4">
        <w:t xml:space="preserve">$5,000, dated </w:t>
      </w:r>
      <w:r w:rsidR="00CF555E">
        <w:t>September </w:t>
      </w:r>
      <w:r w:rsidR="00C10CD4">
        <w:t>18, 2018.  The total deposited was $46,395.06.</w:t>
      </w:r>
    </w:p>
    <w:p w14:paraId="54126B2B" w14:textId="77777777" w:rsidR="00E73EED" w:rsidRPr="00D4360A" w:rsidRDefault="00D4360A" w:rsidP="002A679D">
      <w:pPr>
        <w:tabs>
          <w:tab w:val="left" w:pos="720"/>
        </w:tabs>
        <w:spacing w:line="480" w:lineRule="auto"/>
        <w:ind w:right="-144"/>
        <w:rPr>
          <w:b/>
          <w:bCs/>
        </w:rPr>
      </w:pPr>
      <w:r w:rsidRPr="00403D37">
        <w:rPr>
          <w:b/>
          <w:bCs/>
        </w:rPr>
        <w:t>B.</w:t>
      </w:r>
      <w:r w:rsidRPr="00403D37">
        <w:rPr>
          <w:b/>
          <w:bCs/>
        </w:rPr>
        <w:tab/>
        <w:t>Culpability</w:t>
      </w:r>
      <w:r w:rsidR="00272626">
        <w:rPr>
          <w:rStyle w:val="FootnoteReference"/>
          <w:b/>
          <w:bCs/>
        </w:rPr>
        <w:footnoteReference w:id="21"/>
      </w:r>
    </w:p>
    <w:p w14:paraId="61A62523" w14:textId="77777777" w:rsidR="00D4360A" w:rsidRPr="00422579" w:rsidRDefault="00FE67A6" w:rsidP="002A679D">
      <w:pPr>
        <w:pStyle w:val="ListParagraph"/>
        <w:tabs>
          <w:tab w:val="left" w:pos="720"/>
        </w:tabs>
        <w:spacing w:line="480" w:lineRule="auto"/>
        <w:ind w:left="0" w:firstLine="720"/>
        <w:rPr>
          <w:b/>
          <w:bCs/>
        </w:rPr>
      </w:pPr>
      <w:r>
        <w:rPr>
          <w:b/>
          <w:bCs/>
        </w:rPr>
        <w:t>1</w:t>
      </w:r>
      <w:r w:rsidR="00D4360A" w:rsidRPr="00422579">
        <w:rPr>
          <w:b/>
          <w:bCs/>
        </w:rPr>
        <w:t xml:space="preserve">.  Count Five: </w:t>
      </w:r>
      <w:r w:rsidR="00D4360A">
        <w:rPr>
          <w:b/>
          <w:bCs/>
        </w:rPr>
        <w:t>Commingling</w:t>
      </w:r>
      <w:r w:rsidR="00D4360A" w:rsidRPr="00422579">
        <w:rPr>
          <w:b/>
          <w:bCs/>
        </w:rPr>
        <w:t xml:space="preserve"> (Rule 4-100(A))</w:t>
      </w:r>
    </w:p>
    <w:p w14:paraId="3DEBABB9" w14:textId="3455D722" w:rsidR="00D4360A" w:rsidRDefault="00CF555E" w:rsidP="002A679D">
      <w:pPr>
        <w:pStyle w:val="ListParagraph"/>
        <w:tabs>
          <w:tab w:val="left" w:pos="720"/>
        </w:tabs>
        <w:spacing w:line="480" w:lineRule="auto"/>
        <w:ind w:left="0" w:firstLine="720"/>
      </w:pPr>
      <w:r>
        <w:t>Count </w:t>
      </w:r>
      <w:r w:rsidR="00D4360A">
        <w:t>five c</w:t>
      </w:r>
      <w:r>
        <w:t>harges that Rubin violated rule </w:t>
      </w:r>
      <w:r w:rsidR="00D4360A">
        <w:t xml:space="preserve">4-100(A) by issuing a check for $105,000 </w:t>
      </w:r>
      <w:r w:rsidR="00954141">
        <w:t xml:space="preserve">from his CTA </w:t>
      </w:r>
      <w:r w:rsidR="00D4360A">
        <w:t>for payment of his personal expenses.  Rule</w:t>
      </w:r>
      <w:r>
        <w:t> </w:t>
      </w:r>
      <w:r w:rsidR="00D4360A">
        <w:t>4-100(A) prohibits attorneys from commingling personal funds with client funds held in a trust account.  The hearing judge found that by repaying a $105,000 personal loan to Nomi with a CTA check, Rubin commingled his personal expenses with client fund</w:t>
      </w:r>
      <w:r>
        <w:t>s, and was culpable under count </w:t>
      </w:r>
      <w:r w:rsidR="00D4360A">
        <w:t xml:space="preserve">five.  On review, Rubin admits that he erred in repaying the loan from his CTA.  He argues that he should not be held culpable for a willful violation, however, because he believed at the </w:t>
      </w:r>
      <w:proofErr w:type="gramStart"/>
      <w:r w:rsidR="00D4360A">
        <w:t>time</w:t>
      </w:r>
      <w:proofErr w:type="gramEnd"/>
      <w:r w:rsidR="00E71424">
        <w:t xml:space="preserve"> </w:t>
      </w:r>
      <w:r w:rsidR="00D4360A">
        <w:t>he could</w:t>
      </w:r>
      <w:r w:rsidR="00BC7D0B">
        <w:t xml:space="preserve"> make the payment as he did.  </w:t>
      </w:r>
      <w:r w:rsidR="00D4360A">
        <w:t>This argument is without merit.</w:t>
      </w:r>
      <w:r w:rsidR="00413FD9">
        <w:t xml:space="preserve">  Ignorance of the rules governing client trust accounts is no defense to a commingling charge.  (</w:t>
      </w:r>
      <w:r w:rsidR="00413FD9">
        <w:rPr>
          <w:i/>
          <w:iCs/>
        </w:rPr>
        <w:t>Silver v. State Bar</w:t>
      </w:r>
      <w:r w:rsidR="00413FD9">
        <w:t xml:space="preserve"> (1974) 13 Cal.3d 134, 145.)</w:t>
      </w:r>
      <w:r w:rsidR="00D4360A">
        <w:t xml:space="preserve">  We affirm the hearing judge’s culpability determination.</w:t>
      </w:r>
    </w:p>
    <w:p w14:paraId="34E78BCA" w14:textId="77777777" w:rsidR="007A6C6B" w:rsidRDefault="007A6C6B" w:rsidP="002A679D">
      <w:pPr>
        <w:pStyle w:val="ListParagraph"/>
        <w:tabs>
          <w:tab w:val="left" w:pos="720"/>
        </w:tabs>
        <w:spacing w:line="480" w:lineRule="auto"/>
        <w:ind w:left="0" w:firstLine="720"/>
      </w:pPr>
    </w:p>
    <w:p w14:paraId="1527A34A" w14:textId="77777777" w:rsidR="00D4360A" w:rsidRPr="00151D20" w:rsidRDefault="00FE67A6" w:rsidP="002A679D">
      <w:pPr>
        <w:pStyle w:val="ListParagraph"/>
        <w:tabs>
          <w:tab w:val="left" w:pos="720"/>
        </w:tabs>
        <w:spacing w:line="480" w:lineRule="auto"/>
        <w:ind w:left="0" w:firstLine="720"/>
        <w:rPr>
          <w:b/>
          <w:bCs/>
        </w:rPr>
      </w:pPr>
      <w:r>
        <w:rPr>
          <w:b/>
          <w:bCs/>
        </w:rPr>
        <w:lastRenderedPageBreak/>
        <w:t>2</w:t>
      </w:r>
      <w:r w:rsidR="00D4360A" w:rsidRPr="00151D20">
        <w:rPr>
          <w:b/>
          <w:bCs/>
        </w:rPr>
        <w:t>.  Count Six: Commingling (Rule 4-100(A))</w:t>
      </w:r>
    </w:p>
    <w:p w14:paraId="2CB00183" w14:textId="11269E60" w:rsidR="00D4360A" w:rsidRDefault="00CF555E" w:rsidP="002A679D">
      <w:pPr>
        <w:pStyle w:val="ListParagraph"/>
        <w:tabs>
          <w:tab w:val="left" w:pos="720"/>
        </w:tabs>
        <w:spacing w:line="480" w:lineRule="auto"/>
        <w:ind w:left="0" w:firstLine="720"/>
      </w:pPr>
      <w:r>
        <w:t xml:space="preserve">Count six charges that </w:t>
      </w:r>
      <w:r w:rsidR="00D4360A">
        <w:t>Rubin commingled funds</w:t>
      </w:r>
      <w:r w:rsidR="008D7271">
        <w:t xml:space="preserve"> between April 17 and September 14, 2018</w:t>
      </w:r>
      <w:r>
        <w:t>,</w:t>
      </w:r>
      <w:r w:rsidR="00D4360A">
        <w:t xml:space="preserve"> in violation of rule</w:t>
      </w:r>
      <w:r>
        <w:t> </w:t>
      </w:r>
      <w:r w:rsidR="00D4360A">
        <w:t>4-100(A)</w:t>
      </w:r>
      <w:r>
        <w:t>,</w:t>
      </w:r>
      <w:r w:rsidR="00D4360A">
        <w:t xml:space="preserve"> when he deposited four checks payable to PPL in his CTA.  The hearing judge found that Rubin deposited $46,395.06 </w:t>
      </w:r>
      <w:r w:rsidR="008D7271">
        <w:t>from</w:t>
      </w:r>
      <w:r w:rsidR="00D4360A">
        <w:t xml:space="preserve"> his business venture in</w:t>
      </w:r>
      <w:r w:rsidR="00875343">
        <w:t>to</w:t>
      </w:r>
      <w:r w:rsidR="00D4360A">
        <w:t xml:space="preserve"> his CTA and found him culpable as charged.</w:t>
      </w:r>
    </w:p>
    <w:p w14:paraId="7736B7D5" w14:textId="6257774B" w:rsidR="00E73EED" w:rsidRPr="00883238" w:rsidRDefault="00D4360A" w:rsidP="007A6C6B">
      <w:pPr>
        <w:pStyle w:val="ListParagraph"/>
        <w:tabs>
          <w:tab w:val="left" w:pos="720"/>
        </w:tabs>
        <w:spacing w:line="480" w:lineRule="auto"/>
        <w:ind w:left="0" w:firstLine="720"/>
      </w:pPr>
      <w:r>
        <w:t>On review, Rubin attempts to explain why he deposited those funds in his CTA, arguing that he did so because he was unsure how much money belonged to him as a member of PPL and how much</w:t>
      </w:r>
      <w:r w:rsidR="003E1B80">
        <w:t xml:space="preserve"> belonged</w:t>
      </w:r>
      <w:r>
        <w:t xml:space="preserve"> to the other members.  He said that he had acted as an attorney for PPL and the deposited funds “could have” represented fees or other money belonging to the members of PPL.  Rubin argues that no improper reason </w:t>
      </w:r>
      <w:r w:rsidR="001229DC">
        <w:t xml:space="preserve">for his deposit of those funds in his CTA was </w:t>
      </w:r>
      <w:r>
        <w:t>established at trial.  These arguments are without merit.  An improper reason is not required to establish culpability for commingling</w:t>
      </w:r>
      <w:r w:rsidRPr="000E1EDE">
        <w:t>.  Rubin commingled non-client funds in his CTA</w:t>
      </w:r>
      <w:r w:rsidR="000E1EDE">
        <w:t xml:space="preserve"> when he deposited the four checks</w:t>
      </w:r>
      <w:r w:rsidR="00E71CDC">
        <w:t>, in</w:t>
      </w:r>
      <w:r w:rsidR="000E1EDE">
        <w:t xml:space="preserve"> violat</w:t>
      </w:r>
      <w:r w:rsidR="00E71CDC">
        <w:t>ion of</w:t>
      </w:r>
      <w:r w:rsidR="000E1EDE">
        <w:t xml:space="preserve"> </w:t>
      </w:r>
      <w:r w:rsidR="00D50A64">
        <w:t>rule </w:t>
      </w:r>
      <w:r>
        <w:t>4-100(A).  Therefore, we affirm culpability under count</w:t>
      </w:r>
      <w:r w:rsidR="00D50A64">
        <w:t> </w:t>
      </w:r>
      <w:r>
        <w:t>six.</w:t>
      </w:r>
    </w:p>
    <w:p w14:paraId="09375DE5" w14:textId="77777777" w:rsidR="00AD77BA" w:rsidRPr="009811B0" w:rsidRDefault="00AD77BA" w:rsidP="002A679D">
      <w:pPr>
        <w:tabs>
          <w:tab w:val="left" w:pos="720"/>
        </w:tabs>
        <w:spacing w:line="480" w:lineRule="auto"/>
        <w:jc w:val="center"/>
        <w:rPr>
          <w:b/>
        </w:rPr>
      </w:pPr>
      <w:r w:rsidRPr="009811B0">
        <w:rPr>
          <w:b/>
        </w:rPr>
        <w:t>V.  AGGRAVATION AND MITIGATION</w:t>
      </w:r>
    </w:p>
    <w:p w14:paraId="2C19C2E1" w14:textId="64BAC2D4" w:rsidR="0038403F" w:rsidRDefault="0035392B" w:rsidP="002A679D">
      <w:pPr>
        <w:spacing w:line="480" w:lineRule="auto"/>
        <w:ind w:firstLine="720"/>
      </w:pPr>
      <w:r w:rsidRPr="0035392B">
        <w:t>Standard 1.5 requires OCTC to establish aggravating circumstances</w:t>
      </w:r>
      <w:r w:rsidR="0035697B">
        <w:t xml:space="preserve"> b</w:t>
      </w:r>
      <w:r w:rsidRPr="0035392B">
        <w:t xml:space="preserve">y clear and convincing evidence.  </w:t>
      </w:r>
      <w:r w:rsidR="00737947">
        <w:t>S</w:t>
      </w:r>
      <w:r w:rsidR="00737947" w:rsidRPr="00801B35">
        <w:t>tandard</w:t>
      </w:r>
      <w:r w:rsidR="00737947">
        <w:t> </w:t>
      </w:r>
      <w:r w:rsidR="00737947" w:rsidRPr="00801B35">
        <w:t xml:space="preserve">1.6 requires </w:t>
      </w:r>
      <w:r w:rsidR="00883238">
        <w:t>Rubin</w:t>
      </w:r>
      <w:r w:rsidR="00737947" w:rsidRPr="00801B35">
        <w:t xml:space="preserve"> to meet the sa</w:t>
      </w:r>
      <w:r w:rsidR="00737947">
        <w:t>me burden to prove mitigation.</w:t>
      </w:r>
    </w:p>
    <w:p w14:paraId="7355FD6A" w14:textId="77777777" w:rsidR="003B03F8" w:rsidRPr="009811B0" w:rsidRDefault="00737947" w:rsidP="002A679D">
      <w:pPr>
        <w:tabs>
          <w:tab w:val="left" w:pos="720"/>
        </w:tabs>
        <w:spacing w:line="480" w:lineRule="auto"/>
        <w:rPr>
          <w:b/>
        </w:rPr>
      </w:pPr>
      <w:r>
        <w:rPr>
          <w:b/>
        </w:rPr>
        <w:t>A.</w:t>
      </w:r>
      <w:r>
        <w:rPr>
          <w:b/>
        </w:rPr>
        <w:tab/>
        <w:t>Aggravation</w:t>
      </w:r>
    </w:p>
    <w:p w14:paraId="44E7B6E1" w14:textId="77777777" w:rsidR="00232F0B" w:rsidRPr="004723D7" w:rsidRDefault="00306668" w:rsidP="002A679D">
      <w:pPr>
        <w:tabs>
          <w:tab w:val="left" w:pos="720"/>
        </w:tabs>
        <w:spacing w:line="480" w:lineRule="auto"/>
        <w:ind w:firstLine="720"/>
        <w:rPr>
          <w:b/>
          <w:u w:val="single"/>
        </w:rPr>
      </w:pPr>
      <w:r w:rsidRPr="00306668">
        <w:rPr>
          <w:b/>
        </w:rPr>
        <w:t xml:space="preserve">1.  </w:t>
      </w:r>
      <w:r w:rsidR="002354B6">
        <w:rPr>
          <w:b/>
        </w:rPr>
        <w:t>Prior Record</w:t>
      </w:r>
      <w:r w:rsidR="00845335">
        <w:rPr>
          <w:b/>
        </w:rPr>
        <w:t>s</w:t>
      </w:r>
      <w:r w:rsidR="002354B6">
        <w:rPr>
          <w:b/>
        </w:rPr>
        <w:t xml:space="preserve"> of Discipline (Std. 1.5(a</w:t>
      </w:r>
      <w:r w:rsidRPr="00306668">
        <w:rPr>
          <w:b/>
        </w:rPr>
        <w:t>))</w:t>
      </w:r>
    </w:p>
    <w:p w14:paraId="085FBAD2" w14:textId="51D369D7" w:rsidR="00F97A17" w:rsidRDefault="00F97A17" w:rsidP="002A679D">
      <w:pPr>
        <w:tabs>
          <w:tab w:val="left" w:pos="720"/>
        </w:tabs>
        <w:spacing w:line="480" w:lineRule="auto"/>
        <w:ind w:firstLine="720"/>
      </w:pPr>
      <w:r>
        <w:t>Rubin</w:t>
      </w:r>
      <w:r w:rsidR="00F06449" w:rsidRPr="005539FB">
        <w:t xml:space="preserve"> has two prior records of discipline.</w:t>
      </w:r>
      <w:r>
        <w:t xml:space="preserve">  In 1993, the State Bar Court issued </w:t>
      </w:r>
      <w:r w:rsidR="006C4248">
        <w:t xml:space="preserve">a </w:t>
      </w:r>
      <w:r>
        <w:t xml:space="preserve">private reproval </w:t>
      </w:r>
      <w:r w:rsidR="006C4248">
        <w:t>of</w:t>
      </w:r>
      <w:r>
        <w:t xml:space="preserve"> Rubin</w:t>
      </w:r>
      <w:r w:rsidR="006C4248">
        <w:t xml:space="preserve">.  </w:t>
      </w:r>
      <w:r w:rsidR="008A05C6">
        <w:t>(State Bar Court No. </w:t>
      </w:r>
      <w:r w:rsidR="00483250">
        <w:t xml:space="preserve">92-C-18577.)  </w:t>
      </w:r>
      <w:r w:rsidR="006C4248">
        <w:t xml:space="preserve">Rubin stipulated that </w:t>
      </w:r>
      <w:r w:rsidR="00E148F8">
        <w:t xml:space="preserve">in 1992, </w:t>
      </w:r>
      <w:r w:rsidR="006C4248">
        <w:t xml:space="preserve">he brought a loaded gun into the Van Nuys Superior Courthouse in his briefcase.  Rubin pleaded guilty to a </w:t>
      </w:r>
      <w:r w:rsidR="008A05C6">
        <w:t>violation of Penal Code section </w:t>
      </w:r>
      <w:r w:rsidR="006C4248">
        <w:t>12025</w:t>
      </w:r>
      <w:r w:rsidR="00483250">
        <w:t>, subdivision</w:t>
      </w:r>
      <w:r w:rsidR="008A05C6">
        <w:t> </w:t>
      </w:r>
      <w:r w:rsidR="00483250">
        <w:t xml:space="preserve">(b) (carrying a concealed firearm).  He </w:t>
      </w:r>
      <w:r w:rsidR="00483250">
        <w:lastRenderedPageBreak/>
        <w:t>received mitigation for his lack of a prior record of discipline in 14 years of practice</w:t>
      </w:r>
      <w:r w:rsidR="00413FD9">
        <w:t>; there were no aggravating circumstances</w:t>
      </w:r>
      <w:r w:rsidR="00483250">
        <w:t>.</w:t>
      </w:r>
    </w:p>
    <w:p w14:paraId="5B8EBF0A" w14:textId="5CCE3E62" w:rsidR="00C714F3" w:rsidRDefault="00F06449" w:rsidP="00875343">
      <w:pPr>
        <w:tabs>
          <w:tab w:val="left" w:pos="720"/>
        </w:tabs>
        <w:spacing w:line="480" w:lineRule="auto"/>
        <w:ind w:right="-144" w:firstLine="720"/>
      </w:pPr>
      <w:bookmarkStart w:id="16" w:name="_Hlk64374523"/>
      <w:r w:rsidRPr="005539FB">
        <w:t xml:space="preserve">On </w:t>
      </w:r>
      <w:r w:rsidR="008A05C6">
        <w:t>July </w:t>
      </w:r>
      <w:r w:rsidR="00483250">
        <w:t>16, 1997</w:t>
      </w:r>
      <w:r>
        <w:t xml:space="preserve">, </w:t>
      </w:r>
      <w:r w:rsidR="00483250">
        <w:t>Rubin</w:t>
      </w:r>
      <w:r>
        <w:t xml:space="preserve"> received </w:t>
      </w:r>
      <w:r w:rsidR="00483250">
        <w:t>a one-year actual suspension and three years’ probation.</w:t>
      </w:r>
      <w:r w:rsidR="00C714F3">
        <w:t xml:space="preserve">  </w:t>
      </w:r>
      <w:r>
        <w:t xml:space="preserve">(State Bar Court </w:t>
      </w:r>
      <w:r w:rsidR="00E00966">
        <w:t>Nos. </w:t>
      </w:r>
      <w:r>
        <w:t>9</w:t>
      </w:r>
      <w:r w:rsidR="00483250">
        <w:t>2-O-18013</w:t>
      </w:r>
      <w:r w:rsidR="00C714F3">
        <w:t>;</w:t>
      </w:r>
      <w:r w:rsidR="00483250">
        <w:t xml:space="preserve"> 93-O-18057</w:t>
      </w:r>
      <w:r w:rsidR="00C714F3">
        <w:t xml:space="preserve">; </w:t>
      </w:r>
      <w:r w:rsidR="00483250">
        <w:t>93-O-18854</w:t>
      </w:r>
      <w:r w:rsidR="00C714F3">
        <w:t>;</w:t>
      </w:r>
      <w:r w:rsidR="00483250">
        <w:t xml:space="preserve"> 93-O-20185</w:t>
      </w:r>
      <w:r w:rsidR="00C714F3">
        <w:t>;</w:t>
      </w:r>
      <w:r w:rsidR="00483250">
        <w:t xml:space="preserve"> 94-O-</w:t>
      </w:r>
      <w:proofErr w:type="gramStart"/>
      <w:r w:rsidR="00483250">
        <w:t>14783</w:t>
      </w:r>
      <w:r w:rsidR="00C714F3">
        <w:t xml:space="preserve">; </w:t>
      </w:r>
      <w:r w:rsidR="00875343">
        <w:t xml:space="preserve">  </w:t>
      </w:r>
      <w:proofErr w:type="gramEnd"/>
      <w:r w:rsidR="00875343">
        <w:t xml:space="preserve">        </w:t>
      </w:r>
      <w:r w:rsidR="00483250">
        <w:t>95-C-</w:t>
      </w:r>
      <w:r w:rsidR="00C714F3">
        <w:t xml:space="preserve">17226 (Consolidated); </w:t>
      </w:r>
      <w:r w:rsidR="001F2E9A">
        <w:t xml:space="preserve">Supreme Court </w:t>
      </w:r>
      <w:r w:rsidR="00E00966">
        <w:t>No. </w:t>
      </w:r>
      <w:r w:rsidR="001F2E9A">
        <w:t>S</w:t>
      </w:r>
      <w:r w:rsidR="00C714F3">
        <w:t>061291</w:t>
      </w:r>
      <w:r>
        <w:t>.)</w:t>
      </w:r>
      <w:r w:rsidR="00493997">
        <w:t xml:space="preserve">  </w:t>
      </w:r>
      <w:r w:rsidR="0019765B">
        <w:t>In</w:t>
      </w:r>
      <w:r w:rsidR="00D95137">
        <w:t xml:space="preserve"> </w:t>
      </w:r>
      <w:r w:rsidR="00DF0B22">
        <w:t>three</w:t>
      </w:r>
      <w:r w:rsidR="008A05C6">
        <w:t xml:space="preserve"> client matters, Rubin violated</w:t>
      </w:r>
      <w:r w:rsidR="0019765B">
        <w:t>: (1) </w:t>
      </w:r>
      <w:r w:rsidR="00DF0B22">
        <w:t>rule</w:t>
      </w:r>
      <w:r w:rsidR="0019765B">
        <w:t> </w:t>
      </w:r>
      <w:r w:rsidR="00DF0B22">
        <w:t xml:space="preserve">4-100(B)(4) (failure to promptly pay client funds), two counts; </w:t>
      </w:r>
      <w:r w:rsidR="0019765B">
        <w:t>(2) </w:t>
      </w:r>
      <w:r w:rsidR="00DF0B22">
        <w:t>rule</w:t>
      </w:r>
      <w:r w:rsidR="008A05C6">
        <w:t> </w:t>
      </w:r>
      <w:r w:rsidR="00DF0B22">
        <w:t>3-110(A) (failure to perform co</w:t>
      </w:r>
      <w:r w:rsidR="008A05C6">
        <w:t xml:space="preserve">mpetently), two counts; </w:t>
      </w:r>
      <w:r w:rsidR="0019765B">
        <w:t>(3) </w:t>
      </w:r>
      <w:r w:rsidR="008A05C6">
        <w:t>section 6068, subdivision </w:t>
      </w:r>
      <w:r w:rsidR="00DF0B22">
        <w:t xml:space="preserve">(b) (failure to maintain </w:t>
      </w:r>
      <w:r w:rsidR="008A05C6">
        <w:t xml:space="preserve">respect to the courts); </w:t>
      </w:r>
      <w:r w:rsidR="0019765B">
        <w:t>(4) </w:t>
      </w:r>
      <w:r w:rsidR="008A05C6">
        <w:t>section </w:t>
      </w:r>
      <w:r w:rsidR="00DF0B22">
        <w:t>6103 (disobedi</w:t>
      </w:r>
      <w:r w:rsidR="008A05C6">
        <w:t xml:space="preserve">ence of a court order); </w:t>
      </w:r>
      <w:r w:rsidR="0019765B">
        <w:t>(5) </w:t>
      </w:r>
      <w:r w:rsidR="008A05C6">
        <w:t>section 6068, subdivision </w:t>
      </w:r>
      <w:r w:rsidR="00DF0B22">
        <w:t>(i) (failure to cooperate in di</w:t>
      </w:r>
      <w:r w:rsidR="008A05C6">
        <w:t xml:space="preserve">sciplinary investigation); </w:t>
      </w:r>
      <w:r w:rsidR="0019765B">
        <w:t>(6) </w:t>
      </w:r>
      <w:r w:rsidR="008A05C6">
        <w:t>rule </w:t>
      </w:r>
      <w:r w:rsidR="00DF0B22">
        <w:t>3-700(D)(1)</w:t>
      </w:r>
      <w:r w:rsidR="008A05C6">
        <w:t xml:space="preserve"> (failure to return file); </w:t>
      </w:r>
      <w:r w:rsidR="0019765B">
        <w:t>(7) </w:t>
      </w:r>
      <w:r w:rsidR="008A05C6">
        <w:t>rule </w:t>
      </w:r>
      <w:r w:rsidR="00DF0B22">
        <w:t>4-200 (u</w:t>
      </w:r>
      <w:r w:rsidR="008A05C6">
        <w:t xml:space="preserve">nconscionable fee); and </w:t>
      </w:r>
      <w:r w:rsidR="0019765B">
        <w:t>(8) </w:t>
      </w:r>
      <w:r w:rsidR="008A05C6">
        <w:t>section </w:t>
      </w:r>
      <w:r w:rsidR="00DF0B22">
        <w:t xml:space="preserve">6106 (misrepresentation).  Rubin was also found to </w:t>
      </w:r>
      <w:r w:rsidR="00D95137">
        <w:t xml:space="preserve">have </w:t>
      </w:r>
      <w:r w:rsidR="00DF0B22">
        <w:t>commit</w:t>
      </w:r>
      <w:r w:rsidR="00D95137">
        <w:t>ted</w:t>
      </w:r>
      <w:r w:rsidR="00DF0B22">
        <w:t xml:space="preserve"> misconduct warranting discipline </w:t>
      </w:r>
      <w:r w:rsidR="0008191E">
        <w:t>for</w:t>
      </w:r>
      <w:r w:rsidR="00DF0B22">
        <w:t xml:space="preserve"> his conviction </w:t>
      </w:r>
      <w:r w:rsidR="00256EA5">
        <w:t>pursuant to his</w:t>
      </w:r>
      <w:r w:rsidR="00DF0B22">
        <w:t xml:space="preserve"> violating Pe</w:t>
      </w:r>
      <w:r w:rsidR="008A05C6">
        <w:t>n</w:t>
      </w:r>
      <w:r w:rsidR="00DF0B22">
        <w:t>al Code section</w:t>
      </w:r>
      <w:r w:rsidR="00413FD9">
        <w:t>s</w:t>
      </w:r>
      <w:r w:rsidR="008A05C6">
        <w:t> 242 and 243, subdivision </w:t>
      </w:r>
      <w:r w:rsidR="00DF0B22">
        <w:t>(d) (battery on a person with serious bodily injury).</w:t>
      </w:r>
      <w:bookmarkEnd w:id="16"/>
      <w:r w:rsidR="00DF0B22">
        <w:t xml:space="preserve">  Rubin received aggravation for his prior record of discipline, multiple acts of misconduct, uncharged misconduct, and significant harm.</w:t>
      </w:r>
      <w:r w:rsidR="00C44E55">
        <w:t xml:space="preserve">  No mitigation was found</w:t>
      </w:r>
      <w:bookmarkStart w:id="17" w:name="_Hlk63087242"/>
      <w:r w:rsidR="00C44E55">
        <w:t>.  The hearing judge stated</w:t>
      </w:r>
      <w:r w:rsidR="00351606">
        <w:t>,</w:t>
      </w:r>
      <w:r w:rsidR="00C44E55">
        <w:t xml:space="preserve"> “The Court is concerned about [Rubin’s] inability to fully appreciate the seriousness of his professional obligations and of the conduct befitting an attorney.  In truth, [Rubin] did not acknowledge any wrongdoing but adamantly insisted that everything he did was for the good of his clients and that he had no criminal intent as to [the victim of his battery].”</w:t>
      </w:r>
    </w:p>
    <w:bookmarkEnd w:id="17"/>
    <w:p w14:paraId="0E43B7AE" w14:textId="15318196" w:rsidR="00D65B55" w:rsidRDefault="00D65B55" w:rsidP="002A679D">
      <w:pPr>
        <w:spacing w:line="480" w:lineRule="auto"/>
        <w:ind w:firstLine="720"/>
        <w:rPr>
          <w:rFonts w:eastAsia="Times New Roman"/>
          <w:szCs w:val="24"/>
        </w:rPr>
      </w:pPr>
      <w:r w:rsidRPr="004072CB">
        <w:rPr>
          <w:rFonts w:eastAsia="Times New Roman"/>
          <w:szCs w:val="24"/>
        </w:rPr>
        <w:t xml:space="preserve">The hearing judge assigned </w:t>
      </w:r>
      <w:r w:rsidR="00C44E55">
        <w:rPr>
          <w:rFonts w:eastAsia="Times New Roman"/>
          <w:szCs w:val="24"/>
        </w:rPr>
        <w:t xml:space="preserve">significant </w:t>
      </w:r>
      <w:r w:rsidRPr="004072CB">
        <w:rPr>
          <w:rFonts w:eastAsia="Times New Roman"/>
          <w:szCs w:val="24"/>
        </w:rPr>
        <w:t xml:space="preserve">aggravation for </w:t>
      </w:r>
      <w:r w:rsidR="00C44E55">
        <w:rPr>
          <w:rFonts w:eastAsia="Times New Roman"/>
          <w:szCs w:val="24"/>
        </w:rPr>
        <w:t>Rubin’s</w:t>
      </w:r>
      <w:r w:rsidRPr="004072CB">
        <w:rPr>
          <w:rFonts w:eastAsia="Times New Roman"/>
          <w:szCs w:val="24"/>
        </w:rPr>
        <w:t xml:space="preserve"> two prior records of disciplin</w:t>
      </w:r>
      <w:r w:rsidR="00C44E55">
        <w:rPr>
          <w:rFonts w:eastAsia="Times New Roman"/>
          <w:szCs w:val="24"/>
        </w:rPr>
        <w:t>e</w:t>
      </w:r>
      <w:r w:rsidRPr="004072CB">
        <w:rPr>
          <w:rFonts w:eastAsia="Times New Roman"/>
          <w:szCs w:val="24"/>
        </w:rPr>
        <w:t>.</w:t>
      </w:r>
      <w:r w:rsidR="00A54F0C">
        <w:rPr>
          <w:rFonts w:eastAsia="Times New Roman"/>
          <w:szCs w:val="24"/>
        </w:rPr>
        <w:t xml:space="preserve">  </w:t>
      </w:r>
      <w:r w:rsidR="00A54F0C" w:rsidRPr="004072CB">
        <w:rPr>
          <w:rFonts w:eastAsia="Times New Roman"/>
          <w:szCs w:val="24"/>
        </w:rPr>
        <w:t xml:space="preserve">We conclude that </w:t>
      </w:r>
      <w:r w:rsidR="00A54F0C">
        <w:rPr>
          <w:rFonts w:eastAsia="Times New Roman"/>
          <w:szCs w:val="24"/>
        </w:rPr>
        <w:t>they</w:t>
      </w:r>
      <w:r w:rsidR="00A54F0C" w:rsidRPr="004072CB">
        <w:rPr>
          <w:rFonts w:eastAsia="Times New Roman"/>
          <w:szCs w:val="24"/>
        </w:rPr>
        <w:t xml:space="preserve"> </w:t>
      </w:r>
      <w:r w:rsidR="00A54F0C">
        <w:rPr>
          <w:rFonts w:eastAsia="Times New Roman"/>
          <w:szCs w:val="24"/>
        </w:rPr>
        <w:t>merit</w:t>
      </w:r>
      <w:r w:rsidR="00A54F0C" w:rsidRPr="004072CB">
        <w:rPr>
          <w:rFonts w:eastAsia="Times New Roman"/>
          <w:szCs w:val="24"/>
        </w:rPr>
        <w:t xml:space="preserve"> substantial aggravating weight</w:t>
      </w:r>
      <w:r w:rsidR="00A54F0C">
        <w:rPr>
          <w:rFonts w:eastAsia="Times New Roman"/>
          <w:szCs w:val="24"/>
        </w:rPr>
        <w:t>.</w:t>
      </w:r>
      <w:r w:rsidR="009F21D3">
        <w:rPr>
          <w:rStyle w:val="FootnoteReference"/>
          <w:rFonts w:eastAsia="Times New Roman"/>
          <w:szCs w:val="24"/>
        </w:rPr>
        <w:footnoteReference w:id="22"/>
      </w:r>
      <w:r w:rsidR="00A54F0C">
        <w:rPr>
          <w:rFonts w:eastAsia="Times New Roman"/>
          <w:szCs w:val="24"/>
        </w:rPr>
        <w:t xml:space="preserve">  </w:t>
      </w:r>
      <w:bookmarkStart w:id="18" w:name="_Hlk63086839"/>
      <w:r w:rsidR="008F38B9">
        <w:rPr>
          <w:rFonts w:eastAsia="Times New Roman"/>
          <w:szCs w:val="24"/>
        </w:rPr>
        <w:t xml:space="preserve">Rubin’s second </w:t>
      </w:r>
      <w:r w:rsidR="00A54F0C">
        <w:rPr>
          <w:rFonts w:eastAsia="Times New Roman"/>
          <w:szCs w:val="24"/>
        </w:rPr>
        <w:t>disciplinary matter</w:t>
      </w:r>
      <w:r w:rsidR="00A54F0C" w:rsidRPr="004072CB">
        <w:rPr>
          <w:rFonts w:eastAsia="Times New Roman"/>
          <w:szCs w:val="24"/>
        </w:rPr>
        <w:t xml:space="preserve"> involve</w:t>
      </w:r>
      <w:r w:rsidR="00A54F0C">
        <w:rPr>
          <w:rFonts w:eastAsia="Times New Roman"/>
          <w:szCs w:val="24"/>
        </w:rPr>
        <w:t>d</w:t>
      </w:r>
      <w:r w:rsidR="008F38B9">
        <w:rPr>
          <w:rFonts w:eastAsia="Times New Roman"/>
          <w:szCs w:val="24"/>
        </w:rPr>
        <w:t xml:space="preserve"> </w:t>
      </w:r>
      <w:r w:rsidR="0008191E">
        <w:rPr>
          <w:rFonts w:eastAsia="Times New Roman"/>
          <w:szCs w:val="24"/>
        </w:rPr>
        <w:t xml:space="preserve">misconduct </w:t>
      </w:r>
      <w:r w:rsidR="00D95137">
        <w:rPr>
          <w:rFonts w:eastAsia="Times New Roman"/>
          <w:szCs w:val="24"/>
        </w:rPr>
        <w:t>similar</w:t>
      </w:r>
      <w:r w:rsidR="008F38B9">
        <w:rPr>
          <w:rFonts w:eastAsia="Times New Roman"/>
          <w:szCs w:val="24"/>
        </w:rPr>
        <w:t xml:space="preserve"> </w:t>
      </w:r>
      <w:r w:rsidR="00D95137">
        <w:rPr>
          <w:rFonts w:eastAsia="Times New Roman"/>
          <w:szCs w:val="24"/>
        </w:rPr>
        <w:t xml:space="preserve">to </w:t>
      </w:r>
      <w:r w:rsidR="008F38B9">
        <w:rPr>
          <w:rFonts w:eastAsia="Times New Roman"/>
          <w:szCs w:val="24"/>
        </w:rPr>
        <w:t xml:space="preserve">that in the </w:t>
      </w:r>
      <w:r w:rsidR="0008191E">
        <w:rPr>
          <w:rFonts w:eastAsia="Times New Roman"/>
          <w:szCs w:val="24"/>
        </w:rPr>
        <w:t>present</w:t>
      </w:r>
      <w:r w:rsidR="008F38B9">
        <w:rPr>
          <w:rFonts w:eastAsia="Times New Roman"/>
          <w:szCs w:val="24"/>
        </w:rPr>
        <w:t xml:space="preserve"> matter</w:t>
      </w:r>
      <w:r w:rsidR="00D95137">
        <w:rPr>
          <w:rFonts w:eastAsia="Times New Roman"/>
          <w:szCs w:val="24"/>
        </w:rPr>
        <w:t>,</w:t>
      </w:r>
      <w:r w:rsidR="008F38B9">
        <w:rPr>
          <w:rFonts w:eastAsia="Times New Roman"/>
          <w:szCs w:val="24"/>
        </w:rPr>
        <w:t xml:space="preserve"> including </w:t>
      </w:r>
      <w:r w:rsidR="008F38B9">
        <w:t xml:space="preserve">failure to </w:t>
      </w:r>
      <w:r w:rsidR="008F38B9">
        <w:lastRenderedPageBreak/>
        <w:t xml:space="preserve">promptly pay client funds and disobedience of a court order.  A condition of probation in the second discipline required him to have an accountant certify </w:t>
      </w:r>
      <w:r w:rsidR="0008191E">
        <w:t>that</w:t>
      </w:r>
      <w:r w:rsidR="008F38B9">
        <w:t xml:space="preserve"> he properly maintained client funds records and a CTA.</w:t>
      </w:r>
      <w:r w:rsidR="008F38B9">
        <w:rPr>
          <w:rFonts w:eastAsia="Times New Roman"/>
          <w:szCs w:val="24"/>
        </w:rPr>
        <w:t xml:space="preserve">  </w:t>
      </w:r>
      <w:bookmarkEnd w:id="18"/>
      <w:r w:rsidR="00F647F0">
        <w:rPr>
          <w:rFonts w:eastAsia="Times New Roman"/>
          <w:szCs w:val="24"/>
        </w:rPr>
        <w:t>This</w:t>
      </w:r>
      <w:r w:rsidR="00A54F0C">
        <w:rPr>
          <w:rFonts w:eastAsia="Times New Roman"/>
          <w:szCs w:val="24"/>
        </w:rPr>
        <w:t xml:space="preserve"> </w:t>
      </w:r>
      <w:r w:rsidR="000C154E">
        <w:rPr>
          <w:rFonts w:eastAsia="Times New Roman"/>
          <w:szCs w:val="24"/>
        </w:rPr>
        <w:t>indicates</w:t>
      </w:r>
      <w:r w:rsidR="00A54F0C" w:rsidRPr="004072CB">
        <w:rPr>
          <w:rFonts w:eastAsia="Times New Roman"/>
          <w:szCs w:val="24"/>
        </w:rPr>
        <w:t xml:space="preserve"> that </w:t>
      </w:r>
      <w:r w:rsidR="00A54F0C">
        <w:rPr>
          <w:rFonts w:eastAsia="Times New Roman"/>
          <w:szCs w:val="24"/>
        </w:rPr>
        <w:t>his</w:t>
      </w:r>
      <w:r w:rsidR="00A54F0C" w:rsidRPr="004072CB">
        <w:rPr>
          <w:rFonts w:eastAsia="Times New Roman"/>
          <w:szCs w:val="24"/>
        </w:rPr>
        <w:t xml:space="preserve"> prior disciplines did not rehabilitate him</w:t>
      </w:r>
      <w:r w:rsidR="00694E96">
        <w:rPr>
          <w:rFonts w:eastAsia="Times New Roman"/>
          <w:szCs w:val="24"/>
        </w:rPr>
        <w:t>,</w:t>
      </w:r>
      <w:r w:rsidR="00A54F0C">
        <w:rPr>
          <w:rFonts w:eastAsia="Times New Roman"/>
          <w:szCs w:val="24"/>
        </w:rPr>
        <w:t xml:space="preserve"> </w:t>
      </w:r>
      <w:r w:rsidR="00694E96">
        <w:rPr>
          <w:rFonts w:eastAsia="Times New Roman"/>
          <w:szCs w:val="24"/>
        </w:rPr>
        <w:t>causing</w:t>
      </w:r>
      <w:r w:rsidR="00A54F0C">
        <w:rPr>
          <w:rFonts w:eastAsia="Times New Roman"/>
          <w:szCs w:val="24"/>
        </w:rPr>
        <w:t xml:space="preserve"> concern </w:t>
      </w:r>
      <w:r w:rsidR="00694E96">
        <w:rPr>
          <w:rFonts w:eastAsia="Times New Roman"/>
          <w:szCs w:val="24"/>
        </w:rPr>
        <w:t>about</w:t>
      </w:r>
      <w:r w:rsidR="00A54F0C">
        <w:rPr>
          <w:rFonts w:eastAsia="Times New Roman"/>
          <w:szCs w:val="24"/>
        </w:rPr>
        <w:t xml:space="preserve"> future misconduct</w:t>
      </w:r>
      <w:r w:rsidR="00A54F0C" w:rsidRPr="004072CB">
        <w:rPr>
          <w:rFonts w:eastAsia="Times New Roman"/>
          <w:szCs w:val="24"/>
        </w:rPr>
        <w:t>.  (</w:t>
      </w:r>
      <w:r w:rsidR="00A54F0C" w:rsidRPr="004072CB">
        <w:rPr>
          <w:rFonts w:eastAsia="Times New Roman"/>
          <w:i/>
          <w:szCs w:val="24"/>
        </w:rPr>
        <w:t>In the Matter of Gadda</w:t>
      </w:r>
      <w:r w:rsidR="00A54F0C" w:rsidRPr="004072CB">
        <w:rPr>
          <w:rFonts w:eastAsia="Times New Roman"/>
          <w:szCs w:val="24"/>
        </w:rPr>
        <w:t xml:space="preserve"> (Review Dept. 2002) 4</w:t>
      </w:r>
      <w:r w:rsidR="00A54F0C">
        <w:rPr>
          <w:rFonts w:eastAsia="Times New Roman"/>
          <w:szCs w:val="24"/>
        </w:rPr>
        <w:t> </w:t>
      </w:r>
      <w:r w:rsidR="00A54F0C" w:rsidRPr="004072CB">
        <w:rPr>
          <w:rFonts w:eastAsia="Times New Roman"/>
          <w:szCs w:val="24"/>
        </w:rPr>
        <w:t>Cal. State Bar Ct. Rptr. 416, 443</w:t>
      </w:r>
      <w:r w:rsidR="00E00966">
        <w:rPr>
          <w:rFonts w:eastAsia="Times New Roman"/>
          <w:szCs w:val="24"/>
        </w:rPr>
        <w:t>–</w:t>
      </w:r>
      <w:r w:rsidR="00A54F0C" w:rsidRPr="004072CB">
        <w:rPr>
          <w:rFonts w:eastAsia="Times New Roman"/>
          <w:szCs w:val="24"/>
        </w:rPr>
        <w:t xml:space="preserve">444.)  </w:t>
      </w:r>
    </w:p>
    <w:p w14:paraId="56EA47E8" w14:textId="77777777" w:rsidR="006F0A4B" w:rsidRPr="00DA0874" w:rsidRDefault="006F0A4B" w:rsidP="002A679D">
      <w:pPr>
        <w:tabs>
          <w:tab w:val="left" w:pos="720"/>
        </w:tabs>
        <w:spacing w:line="480" w:lineRule="auto"/>
        <w:ind w:firstLine="720"/>
        <w:rPr>
          <w:b/>
        </w:rPr>
      </w:pPr>
      <w:r w:rsidRPr="00DA0874">
        <w:rPr>
          <w:b/>
        </w:rPr>
        <w:t xml:space="preserve">2.  </w:t>
      </w:r>
      <w:r w:rsidR="00531C03">
        <w:rPr>
          <w:b/>
        </w:rPr>
        <w:t>Multiple Acts of Wrongdoing (Std. 1.5(b</w:t>
      </w:r>
      <w:r w:rsidRPr="00DA0874">
        <w:rPr>
          <w:b/>
        </w:rPr>
        <w:t>))</w:t>
      </w:r>
    </w:p>
    <w:p w14:paraId="74D563DF" w14:textId="57C5F471" w:rsidR="008F38B9" w:rsidRDefault="00F67216" w:rsidP="002A679D">
      <w:pPr>
        <w:tabs>
          <w:tab w:val="left" w:pos="720"/>
        </w:tabs>
        <w:spacing w:line="480" w:lineRule="auto"/>
        <w:ind w:firstLine="720"/>
      </w:pPr>
      <w:r>
        <w:t xml:space="preserve">The hearing judge assigned </w:t>
      </w:r>
      <w:r w:rsidR="00B3114D">
        <w:t xml:space="preserve">aggravation </w:t>
      </w:r>
      <w:r w:rsidR="008F38B9">
        <w:t>for Rubin’s multiple acts of misconduct, including failing to pay and report judicial sanction</w:t>
      </w:r>
      <w:r w:rsidR="00C03CF1">
        <w:t>s</w:t>
      </w:r>
      <w:r w:rsidR="008F38B9">
        <w:t xml:space="preserve">, threatening to report suspected immigration status, failing to maintain client funds, failing to promptly pay client funds, commingling, and failing to avoid adverse interests.  </w:t>
      </w:r>
      <w:r w:rsidR="00C03CF1">
        <w:t>W</w:t>
      </w:r>
      <w:r w:rsidR="00B5422E">
        <w:t>e</w:t>
      </w:r>
      <w:r w:rsidR="00C03CF1">
        <w:t xml:space="preserve"> agree and</w:t>
      </w:r>
      <w:r w:rsidR="00B5422E">
        <w:t xml:space="preserve"> </w:t>
      </w:r>
      <w:r w:rsidR="00145D91">
        <w:t>assign substantial aggravation.</w:t>
      </w:r>
      <w:r w:rsidR="00B5422E">
        <w:t xml:space="preserve">  </w:t>
      </w:r>
      <w:r w:rsidR="00B3114D">
        <w:t>(</w:t>
      </w:r>
      <w:r w:rsidR="00BE7AFC">
        <w:rPr>
          <w:i/>
        </w:rPr>
        <w:t>In the Matter of Bach</w:t>
      </w:r>
      <w:r w:rsidR="00E00966">
        <w:t xml:space="preserve"> (Review Dept. 1991) 1 </w:t>
      </w:r>
      <w:r w:rsidR="00BE7AFC">
        <w:t>Cal. State Bar Ct. Rptr. 631, 646</w:t>
      </w:r>
      <w:r w:rsidR="00E00966">
        <w:rPr>
          <w:rFonts w:eastAsia="Times New Roman"/>
          <w:szCs w:val="24"/>
        </w:rPr>
        <w:t>–</w:t>
      </w:r>
      <w:r w:rsidR="00BE7AFC">
        <w:t>647 [three instances of misconduct considered multiple acts]</w:t>
      </w:r>
      <w:r w:rsidR="00C03CF1">
        <w:t>.)</w:t>
      </w:r>
    </w:p>
    <w:p w14:paraId="396564FD" w14:textId="77777777" w:rsidR="006B00B7" w:rsidRPr="006B00B7" w:rsidRDefault="00883238" w:rsidP="002A679D">
      <w:pPr>
        <w:tabs>
          <w:tab w:val="left" w:pos="720"/>
        </w:tabs>
        <w:spacing w:line="480" w:lineRule="auto"/>
        <w:ind w:firstLine="720"/>
        <w:rPr>
          <w:b/>
        </w:rPr>
      </w:pPr>
      <w:r>
        <w:rPr>
          <w:b/>
        </w:rPr>
        <w:t>3</w:t>
      </w:r>
      <w:r w:rsidR="006B00B7" w:rsidRPr="006B00B7">
        <w:rPr>
          <w:b/>
        </w:rPr>
        <w:t xml:space="preserve">.  </w:t>
      </w:r>
      <w:r>
        <w:rPr>
          <w:b/>
        </w:rPr>
        <w:t>Significant Harm</w:t>
      </w:r>
      <w:r w:rsidR="00250AD7">
        <w:rPr>
          <w:b/>
        </w:rPr>
        <w:t xml:space="preserve"> to Client, Public, or Administration of Justice</w:t>
      </w:r>
      <w:r w:rsidR="006B00B7" w:rsidRPr="006B00B7">
        <w:rPr>
          <w:b/>
        </w:rPr>
        <w:t xml:space="preserve"> (Std. 1.5(</w:t>
      </w:r>
      <w:r>
        <w:rPr>
          <w:b/>
        </w:rPr>
        <w:t>j</w:t>
      </w:r>
      <w:r w:rsidR="006B00B7" w:rsidRPr="006B00B7">
        <w:rPr>
          <w:b/>
        </w:rPr>
        <w:t>))</w:t>
      </w:r>
    </w:p>
    <w:p w14:paraId="416DBFF4" w14:textId="1B580163" w:rsidR="00F279ED" w:rsidRDefault="00250AD7" w:rsidP="007C5B1F">
      <w:pPr>
        <w:tabs>
          <w:tab w:val="left" w:pos="720"/>
        </w:tabs>
        <w:spacing w:line="480" w:lineRule="auto"/>
        <w:ind w:firstLine="720"/>
      </w:pPr>
      <w:r>
        <w:t>The hearing judge found significant harm under stan</w:t>
      </w:r>
      <w:r w:rsidR="009324F3">
        <w:t>dard </w:t>
      </w:r>
      <w:r>
        <w:t xml:space="preserve">1.5(j).  </w:t>
      </w:r>
      <w:r w:rsidR="00F279ED">
        <w:t xml:space="preserve">Rubin deprived Vanessa of her funds for approximately three months, which burdened her with the fear of not complying with her </w:t>
      </w:r>
      <w:r w:rsidR="002A6B49">
        <w:t xml:space="preserve">fiduciary </w:t>
      </w:r>
      <w:r w:rsidR="00F279ED">
        <w:t>duties for the Maas Trust.  We agree that this caused Vanessa significant harm</w:t>
      </w:r>
      <w:r w:rsidR="00395CDC">
        <w:t xml:space="preserve"> due to </w:t>
      </w:r>
      <w:r w:rsidR="00C0211D">
        <w:t>her</w:t>
      </w:r>
      <w:r w:rsidR="007C5B1F">
        <w:t xml:space="preserve"> mental</w:t>
      </w:r>
      <w:r w:rsidR="00395CDC">
        <w:t xml:space="preserve"> suffering.  However</w:t>
      </w:r>
      <w:r w:rsidR="007C5B1F">
        <w:t xml:space="preserve">, Vanessa’s worry over the money was for a relatively short period of time and no additional facts suggest a severe monetary injury (no harm to the Maas trust and no loss of use of the money) or that Rubin possessed a wrongful intent in failing to promptly disburse the money.  Therefore, we </w:t>
      </w:r>
      <w:r w:rsidR="00F279ED">
        <w:t xml:space="preserve">assign only limited weight in aggravation.  (Cf. </w:t>
      </w:r>
      <w:r w:rsidR="00F279ED">
        <w:rPr>
          <w:i/>
        </w:rPr>
        <w:t>In the Matter of Van Sickle</w:t>
      </w:r>
      <w:r w:rsidR="00F279ED">
        <w:t xml:space="preserve"> (Review Dept. 2006) 4 Cal. State Bar Ct. Rptr. 980, 993 [aggravation for significant harm when client deprived of funds at time of desperate need].)  </w:t>
      </w:r>
    </w:p>
    <w:p w14:paraId="01E004DF" w14:textId="3B5297EB" w:rsidR="00380B20" w:rsidRDefault="00F279ED" w:rsidP="00CF6142">
      <w:pPr>
        <w:tabs>
          <w:tab w:val="left" w:pos="720"/>
        </w:tabs>
        <w:spacing w:line="480" w:lineRule="auto"/>
        <w:ind w:firstLine="720"/>
      </w:pPr>
      <w:r>
        <w:t>The judge also</w:t>
      </w:r>
      <w:r w:rsidR="00250AD7">
        <w:t xml:space="preserve"> found that Rubin’s threats to report suspected immigration status required Baumler to seek a protective order, which wasted judicial time and resources.</w:t>
      </w:r>
      <w:r w:rsidR="00380B20">
        <w:t xml:space="preserve">  While Rubin’s </w:t>
      </w:r>
      <w:r w:rsidR="00380B20">
        <w:lastRenderedPageBreak/>
        <w:t>misconduct created additional work for the superior court, resulting in sanction</w:t>
      </w:r>
      <w:r w:rsidR="00D95137">
        <w:t>s</w:t>
      </w:r>
      <w:r w:rsidR="00380B20">
        <w:t xml:space="preserve"> against Rubin, we do not find that his actions significantly harmed the public or the administration of justice.  (See </w:t>
      </w:r>
      <w:proofErr w:type="gramStart"/>
      <w:r w:rsidR="00380B20">
        <w:rPr>
          <w:i/>
        </w:rPr>
        <w:t>In</w:t>
      </w:r>
      <w:proofErr w:type="gramEnd"/>
      <w:r w:rsidR="00380B20">
        <w:rPr>
          <w:i/>
        </w:rPr>
        <w:t xml:space="preserve"> the Matter of Hunter</w:t>
      </w:r>
      <w:r w:rsidR="009324F3">
        <w:t xml:space="preserve"> (Review Dept. 1994) 3 </w:t>
      </w:r>
      <w:r w:rsidR="00380B20">
        <w:t>Cal. State Bar Ct. Rptr. 63, 75, 79–80 [harm to administration of justice where attorney “wasted considerable time” due to attorney’s failure to conduct affairs properly and as directed].)</w:t>
      </w:r>
      <w:r w:rsidR="00250AD7">
        <w:t xml:space="preserve">  </w:t>
      </w:r>
    </w:p>
    <w:p w14:paraId="2B3FB62E" w14:textId="77777777" w:rsidR="001628E1" w:rsidRDefault="006E08A1" w:rsidP="00CF6142">
      <w:pPr>
        <w:tabs>
          <w:tab w:val="left" w:pos="720"/>
        </w:tabs>
        <w:spacing w:line="480" w:lineRule="auto"/>
        <w:ind w:left="1008" w:hanging="1008"/>
        <w:rPr>
          <w:b/>
        </w:rPr>
      </w:pPr>
      <w:r>
        <w:rPr>
          <w:b/>
        </w:rPr>
        <w:tab/>
      </w:r>
      <w:r w:rsidR="001628E1">
        <w:rPr>
          <w:b/>
        </w:rPr>
        <w:t>4.  Indifference (Std. 1.5(k))</w:t>
      </w:r>
    </w:p>
    <w:p w14:paraId="4CF33D9A" w14:textId="5C44CC59" w:rsidR="00620FB8" w:rsidRDefault="001628E1" w:rsidP="00CF6142">
      <w:pPr>
        <w:tabs>
          <w:tab w:val="left" w:pos="720"/>
        </w:tabs>
        <w:spacing w:line="480" w:lineRule="auto"/>
        <w:ind w:right="-144" w:firstLine="720"/>
      </w:pPr>
      <w:r>
        <w:t>I</w:t>
      </w:r>
      <w:r w:rsidRPr="00FB3A3D">
        <w:t xml:space="preserve">ndifference toward rectification or atonement for the consequences of </w:t>
      </w:r>
      <w:r>
        <w:t>misconduct is an aggravating circumstance.</w:t>
      </w:r>
      <w:r w:rsidRPr="00FB3A3D">
        <w:t xml:space="preserve">  </w:t>
      </w:r>
      <w:r>
        <w:t xml:space="preserve">The hearing judge found that Rubin was insincere in his “limited expression of remorse.”  She also found that he “evidences no recognition of the serious consequences of his </w:t>
      </w:r>
      <w:r w:rsidR="006D3109">
        <w:t>mis</w:t>
      </w:r>
      <w:r>
        <w:t>behavior.”  Instead, she found that Rubin failed to accept responsibility for his actions</w:t>
      </w:r>
      <w:r w:rsidR="00D635CC">
        <w:t xml:space="preserve"> and attempted to blame others</w:t>
      </w:r>
      <w:r>
        <w:t xml:space="preserve">.  </w:t>
      </w:r>
      <w:r w:rsidRPr="00FB3A3D">
        <w:t xml:space="preserve">An attorney who </w:t>
      </w:r>
      <w:r w:rsidR="00CF6142">
        <w:t>does not</w:t>
      </w:r>
      <w:r w:rsidRPr="00FB3A3D">
        <w:t xml:space="preserve"> accept responsibility for </w:t>
      </w:r>
      <w:r>
        <w:t>his</w:t>
      </w:r>
      <w:r w:rsidRPr="00FB3A3D">
        <w:t xml:space="preserve"> actions and instead seeks to shift </w:t>
      </w:r>
      <w:r w:rsidR="00D635CC">
        <w:t>it</w:t>
      </w:r>
      <w:r w:rsidRPr="00FB3A3D">
        <w:t xml:space="preserve"> to others demonstrates indifference and lack of remorse.  (</w:t>
      </w:r>
      <w:r w:rsidRPr="00FB3A3D">
        <w:rPr>
          <w:i/>
        </w:rPr>
        <w:t>In the Matter of Wolff</w:t>
      </w:r>
      <w:r w:rsidRPr="00FB3A3D">
        <w:t xml:space="preserve"> (Review Dept. 2006) 5 Cal. State Bar Ct. Rptr. 1, 14.)</w:t>
      </w:r>
      <w:r>
        <w:t xml:space="preserve">  A</w:t>
      </w:r>
      <w:r w:rsidR="00075F5A">
        <w:t>c</w:t>
      </w:r>
      <w:r>
        <w:t>cordingly, the judge assi</w:t>
      </w:r>
      <w:r w:rsidR="00A67D0C">
        <w:t>gned aggravation under standard </w:t>
      </w:r>
      <w:r>
        <w:t>1.5(k).</w:t>
      </w:r>
    </w:p>
    <w:p w14:paraId="1D448BEA" w14:textId="7DE24C64" w:rsidR="00943857" w:rsidRDefault="00075F5A" w:rsidP="002A679D">
      <w:pPr>
        <w:tabs>
          <w:tab w:val="left" w:pos="720"/>
        </w:tabs>
        <w:spacing w:line="480" w:lineRule="auto"/>
        <w:ind w:right="-144" w:firstLine="720"/>
      </w:pPr>
      <w:bookmarkStart w:id="19" w:name="_Hlk63087100"/>
      <w:r>
        <w:t xml:space="preserve">We agree that Rubin is unable to recognize the wrongfulness of his misconduct.  </w:t>
      </w:r>
      <w:r w:rsidR="00B6496B">
        <w:t>While the law does not require false penitence, it does require that an attorney accept responsibility for wrongful acts and come to grips with culpability.  (</w:t>
      </w:r>
      <w:r w:rsidR="00B6496B" w:rsidRPr="00AF0363">
        <w:rPr>
          <w:i/>
        </w:rPr>
        <w:t>In the Matter of Katz</w:t>
      </w:r>
      <w:r w:rsidR="00B6496B" w:rsidRPr="00AF0363">
        <w:t xml:space="preserve"> (Review Dept. 1991) 1</w:t>
      </w:r>
      <w:r w:rsidR="00B6496B">
        <w:t> </w:t>
      </w:r>
      <w:r w:rsidR="00B6496B" w:rsidRPr="00AF0363">
        <w:t>Cal. State Bar Ct. Rptr. 502, 511</w:t>
      </w:r>
      <w:r w:rsidR="00B6496B">
        <w:t>.)  On review and at oral argument, Rubin express</w:t>
      </w:r>
      <w:r w:rsidR="002044EA">
        <w:t>ed</w:t>
      </w:r>
      <w:r w:rsidR="00B6496B">
        <w:t xml:space="preserve"> </w:t>
      </w:r>
      <w:r w:rsidR="002044EA">
        <w:t xml:space="preserve">some </w:t>
      </w:r>
      <w:r w:rsidR="00B6496B">
        <w:t xml:space="preserve">remorse and </w:t>
      </w:r>
      <w:r w:rsidR="002044EA">
        <w:t>conceded</w:t>
      </w:r>
      <w:r w:rsidR="00B6496B">
        <w:t xml:space="preserve"> that he had violated ethical duties.  However, he continued to describe the violations as technicalities or make other excuses, such as arguing that he did not have to obey a court order when he was not served with it, even though he had actual notice of the order.  Particularly troubling is his continued insistence that his actions in the Uvas matter did not amount to threatening to report suspected immigration status.  He argues that he never made any “direct” threats and fails to acknowledge the wrongfulness of his conduct without considering the import </w:t>
      </w:r>
      <w:r w:rsidR="00B6496B">
        <w:lastRenderedPageBreak/>
        <w:t>of his comments on the phone, in letters, and in court filings.</w:t>
      </w:r>
      <w:r w:rsidR="002F7963">
        <w:t xml:space="preserve">  Even though he has exhibited insight as to some of his behavior, his actions continue to display indifference.  </w:t>
      </w:r>
      <w:bookmarkEnd w:id="19"/>
      <w:r w:rsidR="002F7963">
        <w:t xml:space="preserve">Therefore, we assign </w:t>
      </w:r>
      <w:r>
        <w:t>substantial consideration in aggravation.  (</w:t>
      </w:r>
      <w:r>
        <w:rPr>
          <w:i/>
        </w:rPr>
        <w:t>In the Matter of Layton</w:t>
      </w:r>
      <w:r w:rsidR="00A67D0C">
        <w:t xml:space="preserve"> (Review Dept. 1993) 2 </w:t>
      </w:r>
      <w:r>
        <w:t>Cal. State Bar Ct. Rptr. 366, 380 [ongoing failure to acknowledge wrongdoing instills concern that attorney may commit future misconduct].)</w:t>
      </w:r>
      <w:r w:rsidR="002F7963">
        <w:rPr>
          <w:rStyle w:val="FootnoteReference"/>
        </w:rPr>
        <w:footnoteReference w:id="23"/>
      </w:r>
      <w:r>
        <w:t xml:space="preserve">  </w:t>
      </w:r>
    </w:p>
    <w:p w14:paraId="4E391478" w14:textId="77777777" w:rsidR="001628E1" w:rsidRPr="00075F5A" w:rsidRDefault="001628E1" w:rsidP="002A679D">
      <w:pPr>
        <w:tabs>
          <w:tab w:val="left" w:pos="720"/>
        </w:tabs>
        <w:spacing w:line="480" w:lineRule="auto"/>
        <w:ind w:right="-144" w:firstLine="720"/>
        <w:rPr>
          <w:b/>
          <w:bCs/>
        </w:rPr>
      </w:pPr>
      <w:r w:rsidRPr="00075F5A">
        <w:rPr>
          <w:b/>
          <w:bCs/>
        </w:rPr>
        <w:t xml:space="preserve">5.  Lack of </w:t>
      </w:r>
      <w:r w:rsidR="003C6FF9" w:rsidRPr="00075F5A">
        <w:rPr>
          <w:b/>
          <w:bCs/>
        </w:rPr>
        <w:t xml:space="preserve">Candor and Cooperation to the </w:t>
      </w:r>
      <w:r w:rsidR="00075F5A" w:rsidRPr="00075F5A">
        <w:rPr>
          <w:b/>
          <w:bCs/>
        </w:rPr>
        <w:t>State Bar of California (Std. 1.5(l))</w:t>
      </w:r>
    </w:p>
    <w:p w14:paraId="3B00AD1C" w14:textId="0204535A" w:rsidR="00A40185" w:rsidRDefault="00075F5A" w:rsidP="002A679D">
      <w:pPr>
        <w:tabs>
          <w:tab w:val="left" w:pos="720"/>
        </w:tabs>
        <w:spacing w:line="480" w:lineRule="auto"/>
        <w:ind w:right="-144" w:firstLine="720"/>
      </w:pPr>
      <w:r>
        <w:t>The hearing judge found that Rubin was uncooperative during the disciplinary proceedings, requiring the judge’s admonishment</w:t>
      </w:r>
      <w:r w:rsidR="00044890">
        <w:t>s</w:t>
      </w:r>
      <w:r>
        <w:t xml:space="preserve"> during trial.</w:t>
      </w:r>
      <w:r w:rsidR="00A40185">
        <w:rPr>
          <w:rStyle w:val="FootnoteReference"/>
        </w:rPr>
        <w:footnoteReference w:id="24"/>
      </w:r>
      <w:r>
        <w:t xml:space="preserve">  She characterized Rubin’s conduct as “unrestrained abuse” and “disruptive.”</w:t>
      </w:r>
      <w:r w:rsidR="00A40185">
        <w:t xml:space="preserve">  In reviewing the record, we note that the judge </w:t>
      </w:r>
      <w:r w:rsidR="00704489">
        <w:t>reprimanded</w:t>
      </w:r>
      <w:r w:rsidR="00A40185">
        <w:t xml:space="preserve"> Rubin regarding his volume and tone.  However, the judge was able to adequately manage the trial so as to avoid any extreme behavioral issues that would des</w:t>
      </w:r>
      <w:r w:rsidR="00016E79">
        <w:t>erve aggravation under standard </w:t>
      </w:r>
      <w:r w:rsidR="00A40185">
        <w:t xml:space="preserve">1.5(l).  </w:t>
      </w:r>
      <w:r w:rsidR="00016E79">
        <w:t>The trial was hard-</w:t>
      </w:r>
      <w:r w:rsidR="005E289B">
        <w:t>fought and somewhat contentious</w:t>
      </w:r>
      <w:r w:rsidR="00EF478C">
        <w:t xml:space="preserve"> at times</w:t>
      </w:r>
      <w:r w:rsidR="005E289B">
        <w:t xml:space="preserve">, </w:t>
      </w:r>
      <w:r w:rsidR="00EF478C">
        <w:t>but</w:t>
      </w:r>
      <w:r w:rsidR="005E289B">
        <w:t xml:space="preserve"> we do not find that Rubin’s actions rose to a level warranting aggravation.  </w:t>
      </w:r>
      <w:r w:rsidR="00A40185">
        <w:t>Therefore, we</w:t>
      </w:r>
      <w:r w:rsidR="00016E79">
        <w:t xml:space="preserve"> do not find standard </w:t>
      </w:r>
      <w:r w:rsidR="00A40185">
        <w:t>1.5(l) aggravation here.</w:t>
      </w:r>
    </w:p>
    <w:p w14:paraId="026415EF" w14:textId="77777777" w:rsidR="001628E1" w:rsidRPr="009811B0" w:rsidRDefault="001628E1" w:rsidP="002A679D">
      <w:pPr>
        <w:tabs>
          <w:tab w:val="left" w:pos="720"/>
        </w:tabs>
        <w:spacing w:line="480" w:lineRule="auto"/>
        <w:rPr>
          <w:b/>
        </w:rPr>
      </w:pPr>
      <w:r>
        <w:rPr>
          <w:b/>
        </w:rPr>
        <w:t>B.</w:t>
      </w:r>
      <w:r>
        <w:rPr>
          <w:b/>
        </w:rPr>
        <w:tab/>
        <w:t>Mitigation</w:t>
      </w:r>
    </w:p>
    <w:p w14:paraId="54AA1B1C" w14:textId="77777777" w:rsidR="001628E1" w:rsidRPr="00531C03" w:rsidRDefault="001628E1" w:rsidP="002A679D">
      <w:pPr>
        <w:tabs>
          <w:tab w:val="left" w:pos="720"/>
        </w:tabs>
        <w:spacing w:line="480" w:lineRule="auto"/>
        <w:ind w:firstLine="720"/>
      </w:pPr>
      <w:r>
        <w:rPr>
          <w:b/>
        </w:rPr>
        <w:t xml:space="preserve">1.  </w:t>
      </w:r>
      <w:r w:rsidRPr="00BF0BC9">
        <w:rPr>
          <w:b/>
        </w:rPr>
        <w:t>Extraordinary Good Character (Std. 1.6(f))</w:t>
      </w:r>
    </w:p>
    <w:p w14:paraId="1CDEDE3D" w14:textId="10853D3D" w:rsidR="00D95137" w:rsidRDefault="00272626" w:rsidP="002A679D">
      <w:pPr>
        <w:spacing w:line="480" w:lineRule="auto"/>
        <w:ind w:firstLine="720"/>
      </w:pPr>
      <w:r>
        <w:t>Rubin</w:t>
      </w:r>
      <w:r w:rsidR="001628E1">
        <w:t xml:space="preserve"> may obtain mitigation for “extraordinary good character attested to by a wide range of references in the legal and general communities, who are aware of the full extent of the misconduct.”  (Std. 1.6(f).)  </w:t>
      </w:r>
      <w:r>
        <w:t xml:space="preserve">The hearing judge assigned limited weight in mitigation, finding that the witnesses </w:t>
      </w:r>
      <w:r w:rsidR="00D95137">
        <w:t>did not</w:t>
      </w:r>
      <w:r>
        <w:t xml:space="preserve"> constitute a wide range of references.</w:t>
      </w:r>
      <w:r w:rsidR="003B5FD1">
        <w:t xml:space="preserve">  </w:t>
      </w:r>
      <w:r w:rsidR="00891F49">
        <w:t xml:space="preserve">Rubin argues on review that the </w:t>
      </w:r>
      <w:r w:rsidR="00891F49">
        <w:lastRenderedPageBreak/>
        <w:t>hearing judge improperly disregarded the character witnesses’ testimony.</w:t>
      </w:r>
      <w:r w:rsidR="00891F49">
        <w:rPr>
          <w:rStyle w:val="FootnoteReference"/>
        </w:rPr>
        <w:footnoteReference w:id="25"/>
      </w:r>
      <w:r w:rsidR="00891F49">
        <w:t xml:space="preserve">  He asserts that the witnesses represented a broad range of the community and attested to his honesty.  </w:t>
      </w:r>
      <w:r w:rsidR="009F21D3">
        <w:t xml:space="preserve">He requests that we give great weight in mitigation </w:t>
      </w:r>
      <w:r w:rsidR="00016E79">
        <w:t>under standard </w:t>
      </w:r>
      <w:r w:rsidR="005546FD">
        <w:t>1.6(f).</w:t>
      </w:r>
      <w:r w:rsidR="003B5FD1">
        <w:t xml:space="preserve">  </w:t>
      </w:r>
    </w:p>
    <w:p w14:paraId="2D008535" w14:textId="63D228B5" w:rsidR="004826F5" w:rsidRDefault="00C65056" w:rsidP="002A679D">
      <w:pPr>
        <w:spacing w:line="480" w:lineRule="auto"/>
        <w:ind w:firstLine="720"/>
      </w:pPr>
      <w:r w:rsidRPr="00C65056">
        <w:t xml:space="preserve">We </w:t>
      </w:r>
      <w:r w:rsidR="001E3307" w:rsidRPr="00C65056">
        <w:t>agree with the assignment of limited weight, but for a different reason than the hearing judge.</w:t>
      </w:r>
      <w:r w:rsidR="001E3307">
        <w:t xml:space="preserve">  </w:t>
      </w:r>
      <w:r w:rsidR="00573EF6" w:rsidRPr="004826F5">
        <w:t>Rubin presented character evidence from several clients</w:t>
      </w:r>
      <w:r w:rsidR="003B5FD1">
        <w:t xml:space="preserve">, including </w:t>
      </w:r>
      <w:r w:rsidR="0030661C">
        <w:t>Navdeep</w:t>
      </w:r>
      <w:r w:rsidR="003B5FD1">
        <w:t xml:space="preserve"> Mundi, Ben Alter, Ralph Hitchcock, Thresiamma Mathew,</w:t>
      </w:r>
      <w:r w:rsidR="003B5FD1">
        <w:rPr>
          <w:rStyle w:val="FootnoteReference"/>
        </w:rPr>
        <w:footnoteReference w:id="26"/>
      </w:r>
      <w:r w:rsidR="003B5FD1">
        <w:t xml:space="preserve"> and Candido Gonzalez.  They testified that Rubin is trustworthy, competent, honest, and ethical.  They also stated that they </w:t>
      </w:r>
      <w:r w:rsidR="001718F2">
        <w:t xml:space="preserve">refer clients to him and </w:t>
      </w:r>
      <w:r w:rsidR="003B5FD1">
        <w:t>would hire him again if they had further legal problems.</w:t>
      </w:r>
      <w:r w:rsidR="004826F5">
        <w:t xml:space="preserve">  Alter also testified as Rubin’s friend</w:t>
      </w:r>
      <w:r w:rsidR="000849DD">
        <w:t>,</w:t>
      </w:r>
      <w:r w:rsidR="004826F5">
        <w:t xml:space="preserve"> who</w:t>
      </w:r>
      <w:r w:rsidR="000849DD">
        <w:t>m</w:t>
      </w:r>
      <w:r w:rsidR="004826F5">
        <w:t xml:space="preserve"> he has known for 25 years.</w:t>
      </w:r>
    </w:p>
    <w:p w14:paraId="0802FAD4" w14:textId="1CC6D2C0" w:rsidR="004826F5" w:rsidRPr="009D3139" w:rsidRDefault="00C65056" w:rsidP="002A679D">
      <w:pPr>
        <w:spacing w:line="480" w:lineRule="auto"/>
        <w:ind w:firstLine="720"/>
      </w:pPr>
      <w:r>
        <w:t>Three</w:t>
      </w:r>
      <w:r w:rsidR="003B5FD1">
        <w:t xml:space="preserve"> attorneys </w:t>
      </w:r>
      <w:r w:rsidR="000849DD">
        <w:t xml:space="preserve">also </w:t>
      </w:r>
      <w:r w:rsidR="003B5FD1">
        <w:t xml:space="preserve">testified on Rubin’s behalf.  </w:t>
      </w:r>
      <w:r>
        <w:t xml:space="preserve">Keleti, the contract attorney in the Uvas case, testified that Rubin is a knowledgeable, honest, and ethical attorney.  </w:t>
      </w:r>
      <w:r w:rsidR="003B5FD1">
        <w:t>Jared Xu, an attorney who previously worked for Rubin, testified that Rubin was an experienced and honest attorney who enthusiastically advocated for his clients.  Xu was hired in 2018, around the time that Rubin took on the Raicevic matters.  Xu now works at a different law firm, but views Rubin as a mentor.</w:t>
      </w:r>
      <w:r w:rsidR="004826F5">
        <w:t xml:space="preserve">  Lisa Rubin, Rubin’s daughter</w:t>
      </w:r>
      <w:r w:rsidR="0036278C">
        <w:t xml:space="preserve"> and a third-year associate attorney at</w:t>
      </w:r>
      <w:r w:rsidR="007276C9">
        <w:t xml:space="preserve"> a law firm</w:t>
      </w:r>
      <w:r w:rsidR="004826F5">
        <w:t xml:space="preserve">, testified that her father is an honest, knowledgeable, and ethical attorney.  </w:t>
      </w:r>
      <w:r w:rsidR="00535A2D">
        <w:t>Testimony from attorneys is entitled to serious consideration.  (</w:t>
      </w:r>
      <w:r w:rsidR="00535A2D">
        <w:rPr>
          <w:i/>
        </w:rPr>
        <w:t>In the Matter of Brown</w:t>
      </w:r>
      <w:r w:rsidR="00856A2D">
        <w:t xml:space="preserve"> (Review Dept. 1993) </w:t>
      </w:r>
      <w:r w:rsidR="00535A2D">
        <w:t xml:space="preserve">2 Cal. State Bar Ct. Rptr. 309, 319 [serious consideration given to attorneys’ testimony due to their “strong interest in maintaining the honest administration of justice”].) </w:t>
      </w:r>
    </w:p>
    <w:p w14:paraId="755D4FCF" w14:textId="54726B65" w:rsidR="004826F5" w:rsidRDefault="004826F5" w:rsidP="002A679D">
      <w:pPr>
        <w:spacing w:line="480" w:lineRule="auto"/>
        <w:ind w:firstLine="720"/>
      </w:pPr>
      <w:r>
        <w:lastRenderedPageBreak/>
        <w:t xml:space="preserve">Mercy Cudney, a paralegal who has known Rubin for over 20 years, testified that </w:t>
      </w:r>
      <w:r w:rsidR="000849DD">
        <w:t>he</w:t>
      </w:r>
      <w:r>
        <w:t xml:space="preserve"> is an honest and ethical attorney and that she often refers clients to him.  In addition, two of Rubin’s past secretaries, Vanessa Ramirez and Jaxcel Archiga, testified that Rubin </w:t>
      </w:r>
      <w:r w:rsidR="00C00EB9">
        <w:t xml:space="preserve">is an honest person who </w:t>
      </w:r>
      <w:r>
        <w:t xml:space="preserve">worked hard for his clients.  </w:t>
      </w:r>
    </w:p>
    <w:p w14:paraId="17CBAC44" w14:textId="2D5535D7" w:rsidR="000220BB" w:rsidRPr="000E2397" w:rsidRDefault="004826F5" w:rsidP="002A679D">
      <w:pPr>
        <w:spacing w:line="480" w:lineRule="auto"/>
        <w:ind w:firstLine="720"/>
      </w:pPr>
      <w:r>
        <w:t xml:space="preserve">This group of character witnesses consisting of former employees, clients, </w:t>
      </w:r>
      <w:r w:rsidR="00C00EB9">
        <w:t xml:space="preserve">attorneys, </w:t>
      </w:r>
      <w:r>
        <w:t>a friend, and Rubin’s daughter establish</w:t>
      </w:r>
      <w:r w:rsidR="00535A2D">
        <w:t>es</w:t>
      </w:r>
      <w:r>
        <w:t xml:space="preserve"> a wide range of references.  However, several issues diminish the strength of the</w:t>
      </w:r>
      <w:r w:rsidR="001718F2">
        <w:t>ir</w:t>
      </w:r>
      <w:r>
        <w:t xml:space="preserve"> testimony.  First, besides Rubin’s daughter, only </w:t>
      </w:r>
      <w:proofErr w:type="gramStart"/>
      <w:r>
        <w:t>two character</w:t>
      </w:r>
      <w:proofErr w:type="gramEnd"/>
      <w:r>
        <w:t xml:space="preserve"> witnesses have known Rubin for a significant amount of time—Alte</w:t>
      </w:r>
      <w:r w:rsidR="007276C9">
        <w:t>r and Cudney.  And there was no</w:t>
      </w:r>
      <w:r>
        <w:t xml:space="preserve"> </w:t>
      </w:r>
      <w:r w:rsidR="00E24FB7">
        <w:t xml:space="preserve">detailed testimony regarding Rubin’s daily conduct and mode of living.  </w:t>
      </w:r>
      <w:r w:rsidR="00E24FB7">
        <w:rPr>
          <w:iCs/>
        </w:rPr>
        <w:t xml:space="preserve">(See </w:t>
      </w:r>
      <w:proofErr w:type="gramStart"/>
      <w:r w:rsidR="00E24FB7">
        <w:rPr>
          <w:i/>
        </w:rPr>
        <w:t>In</w:t>
      </w:r>
      <w:proofErr w:type="gramEnd"/>
      <w:r w:rsidR="00E24FB7">
        <w:rPr>
          <w:i/>
        </w:rPr>
        <w:t xml:space="preserve"> the Matter of Davis</w:t>
      </w:r>
      <w:r w:rsidR="002F5ABB">
        <w:t xml:space="preserve"> (Review Dept. 2003) 4 </w:t>
      </w:r>
      <w:r w:rsidR="00E24FB7">
        <w:t xml:space="preserve">Cal. State Bar Ct. Rptr. 576, 592 [testimony of acquaintances, neighbors, friends, associates, employers, and family members on issue of good character, with reference to their observation of </w:t>
      </w:r>
      <w:r w:rsidR="0084319B">
        <w:t>attorney’s</w:t>
      </w:r>
      <w:r w:rsidR="00E24FB7">
        <w:t xml:space="preserve"> daily conduct and mode of living, entitled to great weight].)</w:t>
      </w:r>
      <w:r w:rsidR="00D40F61">
        <w:t xml:space="preserve"> </w:t>
      </w:r>
      <w:r w:rsidR="00D06705">
        <w:t xml:space="preserve"> </w:t>
      </w:r>
      <w:r w:rsidR="00D40F61">
        <w:t>S</w:t>
      </w:r>
      <w:r>
        <w:t>econd, the testimony does not make it clear that the witnesses were aware of the full extent of the misconduct.</w:t>
      </w:r>
      <w:r w:rsidR="000220BB">
        <w:t xml:space="preserve">  </w:t>
      </w:r>
      <w:r w:rsidR="001718F2">
        <w:t>(</w:t>
      </w:r>
      <w:r w:rsidR="001718F2">
        <w:rPr>
          <w:i/>
        </w:rPr>
        <w:t>In re Brown</w:t>
      </w:r>
      <w:r w:rsidR="00E46608">
        <w:t xml:space="preserve"> (1995) 12</w:t>
      </w:r>
      <w:r w:rsidR="007601A6">
        <w:t xml:space="preserve"> </w:t>
      </w:r>
      <w:r w:rsidR="001718F2">
        <w:t xml:space="preserve">Cal.4th 205, 223 [mitigation considered for attorney’s good character when witnesses aware of misconduct].) </w:t>
      </w:r>
      <w:r w:rsidR="00D40F61">
        <w:t xml:space="preserve"> This was Rubin’s burden </w:t>
      </w:r>
      <w:r w:rsidR="00460016">
        <w:t xml:space="preserve">to </w:t>
      </w:r>
      <w:r w:rsidR="00D40F61">
        <w:t xml:space="preserve">prove and he failed to do so.  </w:t>
      </w:r>
      <w:r w:rsidR="000220BB">
        <w:t>Third,</w:t>
      </w:r>
      <w:r w:rsidR="00D40F61">
        <w:t xml:space="preserve"> while three attorneys testified on his behalf,</w:t>
      </w:r>
      <w:r w:rsidR="000220BB">
        <w:t xml:space="preserve"> Xu had only known Rubin for a few years</w:t>
      </w:r>
      <w:r w:rsidR="00D40F61">
        <w:t xml:space="preserve">, Keleti </w:t>
      </w:r>
      <w:r w:rsidR="00C00EB9">
        <w:t xml:space="preserve">for </w:t>
      </w:r>
      <w:r w:rsidR="00D40F61">
        <w:t xml:space="preserve">only two years, and </w:t>
      </w:r>
      <w:r w:rsidR="000220BB">
        <w:t>Lisa is Rubin’s daughter.</w:t>
      </w:r>
      <w:r w:rsidR="001718F2">
        <w:t xml:space="preserve">  </w:t>
      </w:r>
      <w:r w:rsidR="003D7000">
        <w:t>In reviewing the record and weighing the evidence, we find that Rubin is entitled to</w:t>
      </w:r>
      <w:r w:rsidR="00D40F61">
        <w:t xml:space="preserve"> only</w:t>
      </w:r>
      <w:r w:rsidR="003D7000">
        <w:t xml:space="preserve"> </w:t>
      </w:r>
      <w:r w:rsidR="001E3307" w:rsidRPr="00D40F61">
        <w:t>limited</w:t>
      </w:r>
      <w:r w:rsidR="003D7000">
        <w:t xml:space="preserve"> weight in mitigation </w:t>
      </w:r>
      <w:r w:rsidR="00990CB8">
        <w:t>under standa</w:t>
      </w:r>
      <w:r w:rsidR="00E46608">
        <w:t>rd </w:t>
      </w:r>
      <w:r w:rsidR="00990CB8">
        <w:t>1.6(f).</w:t>
      </w:r>
      <w:r w:rsidR="001E3307">
        <w:t xml:space="preserve"> </w:t>
      </w:r>
    </w:p>
    <w:p w14:paraId="7B9C6E1D" w14:textId="77777777" w:rsidR="001628E1" w:rsidRPr="00D54A10" w:rsidRDefault="001628E1" w:rsidP="002A679D">
      <w:pPr>
        <w:spacing w:line="480" w:lineRule="auto"/>
        <w:ind w:firstLine="720"/>
        <w:rPr>
          <w:b/>
        </w:rPr>
      </w:pPr>
      <w:r w:rsidRPr="00D54A10">
        <w:rPr>
          <w:b/>
        </w:rPr>
        <w:t xml:space="preserve">2.  </w:t>
      </w:r>
      <w:r w:rsidR="004A0A0F">
        <w:rPr>
          <w:b/>
        </w:rPr>
        <w:t xml:space="preserve">Spontaneous </w:t>
      </w:r>
      <w:r w:rsidRPr="00D54A10">
        <w:rPr>
          <w:b/>
        </w:rPr>
        <w:t>Candor and Cooperation with State Bar (Std. 1.6(e))</w:t>
      </w:r>
    </w:p>
    <w:p w14:paraId="3B393E54" w14:textId="4FC09731" w:rsidR="001628E1" w:rsidRPr="004A0A0F" w:rsidRDefault="00272626" w:rsidP="002A679D">
      <w:pPr>
        <w:spacing w:line="480" w:lineRule="auto"/>
        <w:ind w:firstLine="720"/>
      </w:pPr>
      <w:r>
        <w:t xml:space="preserve">Rubin argues that he </w:t>
      </w:r>
      <w:r w:rsidR="00C00EB9">
        <w:t>should receive mitigation credit for being</w:t>
      </w:r>
      <w:r>
        <w:t xml:space="preserve"> fully cooperative in the State Bar investigation.</w:t>
      </w:r>
      <w:r w:rsidR="00E70E29">
        <w:t xml:space="preserve">  </w:t>
      </w:r>
      <w:r w:rsidR="004A0A0F">
        <w:t>His cooperation in communicating with a State Bar investigator does not merit mitigation on its own</w:t>
      </w:r>
      <w:r w:rsidR="00535A2D">
        <w:t xml:space="preserve"> since attorneys are required to do so</w:t>
      </w:r>
      <w:r w:rsidR="004A0A0F">
        <w:t>.</w:t>
      </w:r>
      <w:r w:rsidR="00535A2D">
        <w:t xml:space="preserve">  (</w:t>
      </w:r>
      <w:r w:rsidR="00E46608">
        <w:t>§ </w:t>
      </w:r>
      <w:r w:rsidR="00535A2D">
        <w:t>6068, subd</w:t>
      </w:r>
      <w:r w:rsidR="008E0D74">
        <w:t>.</w:t>
      </w:r>
      <w:r w:rsidR="00E46608">
        <w:t> </w:t>
      </w:r>
      <w:r w:rsidR="00535A2D">
        <w:t>(i).)</w:t>
      </w:r>
      <w:r w:rsidR="005E289B">
        <w:t xml:space="preserve">  He has </w:t>
      </w:r>
      <w:r w:rsidR="005E289B">
        <w:lastRenderedPageBreak/>
        <w:t>failed to show that his actions were spontaneous or otherwise display cooperation.</w:t>
      </w:r>
      <w:r w:rsidR="004A0A0F">
        <w:t xml:space="preserve">  Therefore</w:t>
      </w:r>
      <w:r w:rsidR="001628E1">
        <w:rPr>
          <w:szCs w:val="24"/>
        </w:rPr>
        <w:t>, we assign no mitigation under standard 1.6(e).</w:t>
      </w:r>
    </w:p>
    <w:p w14:paraId="1E18F6A8" w14:textId="77777777" w:rsidR="001628E1" w:rsidRDefault="001628E1" w:rsidP="002A679D">
      <w:pPr>
        <w:tabs>
          <w:tab w:val="left" w:pos="720"/>
        </w:tabs>
        <w:spacing w:line="480" w:lineRule="auto"/>
        <w:jc w:val="center"/>
        <w:rPr>
          <w:b/>
        </w:rPr>
      </w:pPr>
      <w:r>
        <w:rPr>
          <w:b/>
        </w:rPr>
        <w:t>V</w:t>
      </w:r>
      <w:r w:rsidR="004A0A0F">
        <w:rPr>
          <w:b/>
        </w:rPr>
        <w:t>I</w:t>
      </w:r>
      <w:r>
        <w:rPr>
          <w:b/>
        </w:rPr>
        <w:t>.  DISBARMENT IS THE APPROPRIATE DISCIPLINE</w:t>
      </w:r>
    </w:p>
    <w:p w14:paraId="3EBB5237" w14:textId="77777777" w:rsidR="001628E1" w:rsidRDefault="001628E1" w:rsidP="002A679D">
      <w:pPr>
        <w:spacing w:line="480" w:lineRule="auto"/>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 xml:space="preserve">s.  (Std. 1.1.)  </w:t>
      </w:r>
      <w:r w:rsidRPr="001223A2">
        <w:rPr>
          <w:rFonts w:eastAsia="Times New Roman"/>
          <w:szCs w:val="24"/>
        </w:rPr>
        <w:t>Our disciplinary analysis begins with the standards.  While they are guidelines for discipline and are not mandatory, we give them 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Pr>
          <w:rFonts w:eastAsia="Times New Roman"/>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r>
        <w:rPr>
          <w:szCs w:val="24"/>
        </w:rPr>
        <w:t xml:space="preserve">  We</w:t>
      </w:r>
      <w:r w:rsidRPr="001223A2">
        <w:rPr>
          <w:szCs w:val="24"/>
        </w:rPr>
        <w:t xml:space="preserve"> also look to comparable case law for guidance.  (See </w:t>
      </w:r>
      <w:r w:rsidRPr="001223A2">
        <w:rPr>
          <w:i/>
          <w:szCs w:val="24"/>
        </w:rPr>
        <w:t>Snyder v. State Bar</w:t>
      </w:r>
      <w:r w:rsidRPr="001223A2">
        <w:rPr>
          <w:szCs w:val="24"/>
        </w:rPr>
        <w:t xml:space="preserve"> (1990) 49</w:t>
      </w:r>
      <w:r>
        <w:rPr>
          <w:szCs w:val="24"/>
        </w:rPr>
        <w:t> </w:t>
      </w:r>
      <w:r w:rsidRPr="001223A2">
        <w:rPr>
          <w:szCs w:val="24"/>
        </w:rPr>
        <w:t>Cal.3d 1302, 1310</w:t>
      </w:r>
      <w:r>
        <w:rPr>
          <w:szCs w:val="24"/>
        </w:rPr>
        <w:t>–</w:t>
      </w:r>
      <w:r w:rsidRPr="001223A2">
        <w:rPr>
          <w:szCs w:val="24"/>
        </w:rPr>
        <w:t>1311.)</w:t>
      </w:r>
    </w:p>
    <w:p w14:paraId="334DD0E3" w14:textId="6E10EFBD" w:rsidR="001628E1" w:rsidRDefault="001628E1" w:rsidP="002A679D">
      <w:pPr>
        <w:spacing w:line="480" w:lineRule="auto"/>
        <w:ind w:firstLine="720"/>
        <w:rPr>
          <w:rFonts w:eastAsia="Times New Roman"/>
          <w:szCs w:val="24"/>
        </w:rPr>
      </w:pPr>
      <w:r w:rsidRPr="004072CB">
        <w:rPr>
          <w:rFonts w:eastAsia="Times New Roman"/>
          <w:szCs w:val="24"/>
        </w:rPr>
        <w:t>In analyzing the applicable standards, we first determine which standard specifies the most severe sanction for the at-issue misconduct.  (Std.</w:t>
      </w:r>
      <w:r>
        <w:rPr>
          <w:rFonts w:eastAsia="Times New Roman"/>
          <w:szCs w:val="24"/>
        </w:rPr>
        <w:t> </w:t>
      </w:r>
      <w:r w:rsidRPr="004072CB">
        <w:rPr>
          <w:rFonts w:eastAsia="Times New Roman"/>
          <w:szCs w:val="24"/>
        </w:rPr>
        <w:t xml:space="preserve">1.7(a) [most severe sanction shall be imposed where multiple sanctions apply].)  </w:t>
      </w:r>
      <w:r>
        <w:rPr>
          <w:rFonts w:eastAsia="Times New Roman"/>
          <w:szCs w:val="24"/>
        </w:rPr>
        <w:t>C</w:t>
      </w:r>
      <w:r w:rsidRPr="004072CB">
        <w:rPr>
          <w:rFonts w:eastAsia="Times New Roman"/>
          <w:szCs w:val="24"/>
        </w:rPr>
        <w:t xml:space="preserve">onsidering </w:t>
      </w:r>
      <w:r w:rsidR="00781DBF">
        <w:rPr>
          <w:rFonts w:eastAsia="Times New Roman"/>
          <w:szCs w:val="24"/>
        </w:rPr>
        <w:t>Rubin’s</w:t>
      </w:r>
      <w:r w:rsidRPr="004072CB">
        <w:rPr>
          <w:rFonts w:eastAsia="Times New Roman"/>
          <w:szCs w:val="24"/>
        </w:rPr>
        <w:t xml:space="preserve"> record of two prior disciplinary matters, we</w:t>
      </w:r>
      <w:r>
        <w:rPr>
          <w:rFonts w:eastAsia="Times New Roman"/>
          <w:szCs w:val="24"/>
        </w:rPr>
        <w:t xml:space="preserve"> </w:t>
      </w:r>
      <w:r w:rsidRPr="004072CB">
        <w:rPr>
          <w:rFonts w:eastAsia="Times New Roman"/>
          <w:szCs w:val="24"/>
        </w:rPr>
        <w:t>look to standard</w:t>
      </w:r>
      <w:r>
        <w:rPr>
          <w:rFonts w:eastAsia="Times New Roman"/>
          <w:szCs w:val="24"/>
        </w:rPr>
        <w:t> </w:t>
      </w:r>
      <w:r w:rsidRPr="004072CB">
        <w:rPr>
          <w:rFonts w:eastAsia="Times New Roman"/>
          <w:szCs w:val="24"/>
        </w:rPr>
        <w:t>1.8(b),</w:t>
      </w:r>
      <w:r>
        <w:rPr>
          <w:rStyle w:val="FootnoteReference"/>
          <w:rFonts w:eastAsia="Times New Roman"/>
          <w:szCs w:val="24"/>
        </w:rPr>
        <w:footnoteReference w:id="27"/>
      </w:r>
      <w:r w:rsidRPr="004072CB">
        <w:rPr>
          <w:rFonts w:eastAsia="Times New Roman"/>
          <w:szCs w:val="24"/>
        </w:rPr>
        <w:t xml:space="preserve"> which states that disbarment is appropriate where an attorney has two or more prior records of discipline if (1)</w:t>
      </w:r>
      <w:r>
        <w:rPr>
          <w:rFonts w:eastAsia="Times New Roman"/>
          <w:szCs w:val="24"/>
        </w:rPr>
        <w:t> </w:t>
      </w:r>
      <w:r w:rsidRPr="004072CB">
        <w:rPr>
          <w:rFonts w:eastAsia="Times New Roman"/>
          <w:szCs w:val="24"/>
        </w:rPr>
        <w:t>an actual suspension was ordered in any prior disciplinary matter</w:t>
      </w:r>
      <w:r w:rsidR="00C10C53">
        <w:rPr>
          <w:rFonts w:eastAsia="Times New Roman"/>
          <w:szCs w:val="24"/>
        </w:rPr>
        <w:t>,</w:t>
      </w:r>
      <w:r w:rsidRPr="004072CB">
        <w:rPr>
          <w:rFonts w:eastAsia="Times New Roman"/>
          <w:szCs w:val="24"/>
        </w:rPr>
        <w:t xml:space="preserve"> (2)</w:t>
      </w:r>
      <w:r>
        <w:rPr>
          <w:rFonts w:eastAsia="Times New Roman"/>
          <w:szCs w:val="24"/>
        </w:rPr>
        <w:t> </w:t>
      </w:r>
      <w:r w:rsidRPr="004072CB">
        <w:rPr>
          <w:rFonts w:eastAsia="Times New Roman"/>
          <w:szCs w:val="24"/>
        </w:rPr>
        <w:t>the prior and current disciplinary matters demonstrate a pattern of misconduct</w:t>
      </w:r>
      <w:r w:rsidR="00C10C53">
        <w:rPr>
          <w:rFonts w:eastAsia="Times New Roman"/>
          <w:szCs w:val="24"/>
        </w:rPr>
        <w:t>,</w:t>
      </w:r>
      <w:r w:rsidRPr="004072CB">
        <w:rPr>
          <w:rFonts w:eastAsia="Times New Roman"/>
          <w:szCs w:val="24"/>
        </w:rPr>
        <w:t xml:space="preserve"> or (3)</w:t>
      </w:r>
      <w:r>
        <w:rPr>
          <w:rFonts w:eastAsia="Times New Roman"/>
          <w:szCs w:val="24"/>
        </w:rPr>
        <w:t> </w:t>
      </w:r>
      <w:r w:rsidRPr="004072CB">
        <w:rPr>
          <w:rFonts w:eastAsia="Times New Roman"/>
          <w:szCs w:val="24"/>
        </w:rPr>
        <w:t>the prior and current disciplinary matters demonstrate the attorney’s unwillingness or inability to conform</w:t>
      </w:r>
      <w:r>
        <w:rPr>
          <w:rFonts w:eastAsia="Times New Roman"/>
          <w:szCs w:val="24"/>
        </w:rPr>
        <w:t xml:space="preserve"> to ethical responsibilities.  </w:t>
      </w:r>
      <w:r w:rsidR="00781DBF">
        <w:rPr>
          <w:rFonts w:eastAsia="Times New Roman"/>
          <w:szCs w:val="24"/>
        </w:rPr>
        <w:t>Rubin’s</w:t>
      </w:r>
      <w:r w:rsidRPr="004072CB">
        <w:rPr>
          <w:rFonts w:eastAsia="Times New Roman"/>
          <w:szCs w:val="24"/>
        </w:rPr>
        <w:t xml:space="preserve"> case meets two of these criteria.  First, he was actually suspended for </w:t>
      </w:r>
      <w:r w:rsidR="00781DBF">
        <w:rPr>
          <w:rFonts w:eastAsia="Times New Roman"/>
          <w:szCs w:val="24"/>
        </w:rPr>
        <w:t>one year</w:t>
      </w:r>
      <w:r w:rsidRPr="004072CB">
        <w:rPr>
          <w:rFonts w:eastAsia="Times New Roman"/>
          <w:szCs w:val="24"/>
        </w:rPr>
        <w:t xml:space="preserve"> in his second disciplinary matter.  Second, </w:t>
      </w:r>
      <w:r w:rsidRPr="004072CB">
        <w:rPr>
          <w:rFonts w:eastAsia="Times New Roman"/>
          <w:szCs w:val="24"/>
        </w:rPr>
        <w:lastRenderedPageBreak/>
        <w:t>we find</w:t>
      </w:r>
      <w:r w:rsidR="00781DBF">
        <w:rPr>
          <w:rFonts w:eastAsia="Times New Roman"/>
          <w:szCs w:val="24"/>
        </w:rPr>
        <w:t xml:space="preserve"> </w:t>
      </w:r>
      <w:r w:rsidRPr="004072CB">
        <w:rPr>
          <w:rFonts w:eastAsia="Times New Roman"/>
          <w:szCs w:val="24"/>
        </w:rPr>
        <w:t xml:space="preserve">that </w:t>
      </w:r>
      <w:r>
        <w:rPr>
          <w:rFonts w:eastAsia="Times New Roman"/>
          <w:szCs w:val="24"/>
        </w:rPr>
        <w:t xml:space="preserve">the similarity of </w:t>
      </w:r>
      <w:r w:rsidRPr="004072CB">
        <w:rPr>
          <w:rFonts w:eastAsia="Times New Roman"/>
          <w:szCs w:val="24"/>
        </w:rPr>
        <w:t xml:space="preserve">his misconduct in </w:t>
      </w:r>
      <w:r w:rsidR="00781DBF">
        <w:rPr>
          <w:rFonts w:eastAsia="Times New Roman"/>
          <w:szCs w:val="24"/>
        </w:rPr>
        <w:t>the</w:t>
      </w:r>
      <w:r w:rsidRPr="004072CB">
        <w:rPr>
          <w:rFonts w:eastAsia="Times New Roman"/>
          <w:szCs w:val="24"/>
        </w:rPr>
        <w:t xml:space="preserve"> </w:t>
      </w:r>
      <w:r w:rsidR="00781DBF">
        <w:rPr>
          <w:rFonts w:eastAsia="Times New Roman"/>
          <w:szCs w:val="24"/>
        </w:rPr>
        <w:t xml:space="preserve">second </w:t>
      </w:r>
      <w:r w:rsidRPr="004072CB">
        <w:rPr>
          <w:rFonts w:eastAsia="Times New Roman"/>
          <w:szCs w:val="24"/>
        </w:rPr>
        <w:t xml:space="preserve">prior </w:t>
      </w:r>
      <w:r w:rsidR="00C01CEB">
        <w:rPr>
          <w:rFonts w:eastAsia="Times New Roman"/>
          <w:szCs w:val="24"/>
        </w:rPr>
        <w:t xml:space="preserve">discipline </w:t>
      </w:r>
      <w:r w:rsidRPr="004072CB">
        <w:rPr>
          <w:rFonts w:eastAsia="Times New Roman"/>
          <w:szCs w:val="24"/>
        </w:rPr>
        <w:t>and</w:t>
      </w:r>
      <w:r w:rsidR="00781DBF">
        <w:rPr>
          <w:rFonts w:eastAsia="Times New Roman"/>
          <w:szCs w:val="24"/>
        </w:rPr>
        <w:t xml:space="preserve"> the</w:t>
      </w:r>
      <w:r w:rsidRPr="004072CB">
        <w:rPr>
          <w:rFonts w:eastAsia="Times New Roman"/>
          <w:szCs w:val="24"/>
        </w:rPr>
        <w:t xml:space="preserve"> current matter demonstrate</w:t>
      </w:r>
      <w:r>
        <w:rPr>
          <w:rFonts w:eastAsia="Times New Roman"/>
          <w:szCs w:val="24"/>
        </w:rPr>
        <w:t>s</w:t>
      </w:r>
      <w:r w:rsidRPr="004072CB">
        <w:rPr>
          <w:rFonts w:eastAsia="Times New Roman"/>
          <w:szCs w:val="24"/>
        </w:rPr>
        <w:t xml:space="preserve"> his unwillingness or inability to conform to </w:t>
      </w:r>
      <w:r>
        <w:rPr>
          <w:rFonts w:eastAsia="Times New Roman"/>
          <w:szCs w:val="24"/>
        </w:rPr>
        <w:t xml:space="preserve">his </w:t>
      </w:r>
      <w:r w:rsidRPr="004072CB">
        <w:rPr>
          <w:rFonts w:eastAsia="Times New Roman"/>
          <w:szCs w:val="24"/>
        </w:rPr>
        <w:t xml:space="preserve">ethical responsibilities.  </w:t>
      </w:r>
    </w:p>
    <w:p w14:paraId="4B536430" w14:textId="6E1DE188" w:rsidR="001628E1" w:rsidRDefault="001628E1" w:rsidP="002A679D">
      <w:pPr>
        <w:spacing w:line="480" w:lineRule="auto"/>
        <w:ind w:right="-144" w:firstLine="720"/>
        <w:rPr>
          <w:rFonts w:eastAsia="Times New Roman"/>
          <w:szCs w:val="24"/>
        </w:rPr>
      </w:pPr>
      <w:r w:rsidRPr="004072CB">
        <w:rPr>
          <w:rFonts w:eastAsia="Times New Roman"/>
          <w:szCs w:val="24"/>
        </w:rPr>
        <w:t>Standard</w:t>
      </w:r>
      <w:r>
        <w:rPr>
          <w:rFonts w:eastAsia="Times New Roman"/>
          <w:szCs w:val="24"/>
        </w:rPr>
        <w:t> 1.8(b) does not apply if</w:t>
      </w:r>
      <w:r w:rsidRPr="004072CB">
        <w:rPr>
          <w:rFonts w:eastAsia="Times New Roman"/>
          <w:szCs w:val="24"/>
        </w:rPr>
        <w:t xml:space="preserve"> (1)</w:t>
      </w:r>
      <w:r>
        <w:rPr>
          <w:rFonts w:eastAsia="Times New Roman"/>
          <w:szCs w:val="24"/>
        </w:rPr>
        <w:t> </w:t>
      </w:r>
      <w:r w:rsidRPr="004072CB">
        <w:rPr>
          <w:rFonts w:eastAsia="Times New Roman"/>
          <w:szCs w:val="24"/>
        </w:rPr>
        <w:t>the most compelling mitigating circumstances clearly predominate or (2)</w:t>
      </w:r>
      <w:r>
        <w:rPr>
          <w:rFonts w:eastAsia="Times New Roman"/>
          <w:szCs w:val="24"/>
        </w:rPr>
        <w:t> </w:t>
      </w:r>
      <w:r w:rsidRPr="004072CB">
        <w:rPr>
          <w:rFonts w:eastAsia="Times New Roman"/>
          <w:szCs w:val="24"/>
        </w:rPr>
        <w:t xml:space="preserve">the misconduct underlying the prior discipline occurred during the same time period as the current misconduct.  These exceptions do not apply </w:t>
      </w:r>
      <w:r>
        <w:rPr>
          <w:rFonts w:eastAsia="Times New Roman"/>
          <w:szCs w:val="24"/>
        </w:rPr>
        <w:t xml:space="preserve">here.  </w:t>
      </w:r>
      <w:r w:rsidR="00245DC3">
        <w:rPr>
          <w:rFonts w:eastAsia="Times New Roman"/>
          <w:szCs w:val="24"/>
        </w:rPr>
        <w:t>Rubin</w:t>
      </w:r>
      <w:r>
        <w:rPr>
          <w:rFonts w:eastAsia="Times New Roman"/>
          <w:szCs w:val="24"/>
        </w:rPr>
        <w:t xml:space="preserve"> has </w:t>
      </w:r>
      <w:r w:rsidR="009E3E86">
        <w:rPr>
          <w:rFonts w:eastAsia="Times New Roman"/>
          <w:szCs w:val="24"/>
        </w:rPr>
        <w:t xml:space="preserve">only </w:t>
      </w:r>
      <w:r w:rsidR="0080441C">
        <w:rPr>
          <w:rFonts w:eastAsia="Times New Roman"/>
          <w:szCs w:val="24"/>
        </w:rPr>
        <w:t xml:space="preserve">limited </w:t>
      </w:r>
      <w:r>
        <w:rPr>
          <w:rFonts w:eastAsia="Times New Roman"/>
          <w:szCs w:val="24"/>
        </w:rPr>
        <w:t>mitigation</w:t>
      </w:r>
      <w:r w:rsidR="00245DC3">
        <w:rPr>
          <w:rFonts w:eastAsia="Times New Roman"/>
          <w:szCs w:val="24"/>
        </w:rPr>
        <w:t xml:space="preserve"> for good character</w:t>
      </w:r>
      <w:r w:rsidR="009E3E86">
        <w:rPr>
          <w:rFonts w:eastAsia="Times New Roman"/>
          <w:szCs w:val="24"/>
        </w:rPr>
        <w:t xml:space="preserve"> and </w:t>
      </w:r>
      <w:r>
        <w:rPr>
          <w:rFonts w:eastAsia="Times New Roman"/>
          <w:szCs w:val="24"/>
        </w:rPr>
        <w:t xml:space="preserve">it does not clearly predominate over the </w:t>
      </w:r>
      <w:r w:rsidR="00245DC3">
        <w:rPr>
          <w:rFonts w:eastAsia="Times New Roman"/>
          <w:szCs w:val="24"/>
        </w:rPr>
        <w:t xml:space="preserve">five </w:t>
      </w:r>
      <w:r>
        <w:rPr>
          <w:rFonts w:eastAsia="Times New Roman"/>
          <w:szCs w:val="24"/>
        </w:rPr>
        <w:t xml:space="preserve">serious aggravating circumstances.  And the misconduct in the present matter occurred over </w:t>
      </w:r>
      <w:r w:rsidR="009E3E86">
        <w:rPr>
          <w:rFonts w:eastAsia="Times New Roman"/>
          <w:szCs w:val="24"/>
        </w:rPr>
        <w:t>20</w:t>
      </w:r>
      <w:r>
        <w:rPr>
          <w:rFonts w:eastAsia="Times New Roman"/>
          <w:szCs w:val="24"/>
        </w:rPr>
        <w:t xml:space="preserve"> years after his previous misconduct</w:t>
      </w:r>
      <w:r w:rsidR="003166A2">
        <w:rPr>
          <w:rFonts w:eastAsia="Times New Roman"/>
          <w:szCs w:val="24"/>
        </w:rPr>
        <w:t>, and</w:t>
      </w:r>
      <w:r w:rsidR="009E3E86">
        <w:rPr>
          <w:rFonts w:eastAsia="Times New Roman"/>
          <w:szCs w:val="24"/>
        </w:rPr>
        <w:t xml:space="preserve"> not during the same time period.</w:t>
      </w:r>
    </w:p>
    <w:p w14:paraId="59376977" w14:textId="68EA6AC1" w:rsidR="001628E1" w:rsidRDefault="001628E1" w:rsidP="002A679D">
      <w:pPr>
        <w:spacing w:line="480" w:lineRule="auto"/>
        <w:ind w:firstLine="720"/>
        <w:rPr>
          <w:rFonts w:eastAsia="Times New Roman"/>
          <w:szCs w:val="24"/>
        </w:rPr>
      </w:pPr>
      <w:r w:rsidRPr="004072CB">
        <w:rPr>
          <w:rFonts w:eastAsia="Times New Roman"/>
          <w:szCs w:val="24"/>
        </w:rPr>
        <w:t>We next consider whether any reason exists to depart from the discipline called for by standard 1.8(b).  We acknowledge that disbarment is not mandatory in a third disciplinary matter</w:t>
      </w:r>
      <w:r>
        <w:rPr>
          <w:rFonts w:eastAsia="Times New Roman"/>
          <w:szCs w:val="24"/>
        </w:rPr>
        <w:t>,</w:t>
      </w:r>
      <w:r w:rsidRPr="004072CB">
        <w:rPr>
          <w:rFonts w:eastAsia="Times New Roman"/>
          <w:szCs w:val="24"/>
        </w:rPr>
        <w:t xml:space="preserve"> even where compelling mitigating circumstances do not clearly predominate.  (</w:t>
      </w:r>
      <w:r w:rsidRPr="004072CB">
        <w:rPr>
          <w:rFonts w:eastAsia="Times New Roman"/>
          <w:i/>
          <w:szCs w:val="24"/>
        </w:rPr>
        <w:t xml:space="preserve">Conroy v. State Bar </w:t>
      </w:r>
      <w:r w:rsidRPr="004072CB">
        <w:rPr>
          <w:rFonts w:eastAsia="Times New Roman"/>
          <w:szCs w:val="24"/>
        </w:rPr>
        <w:t>(1991) 53</w:t>
      </w:r>
      <w:r>
        <w:rPr>
          <w:rFonts w:eastAsia="Times New Roman"/>
          <w:szCs w:val="24"/>
        </w:rPr>
        <w:t> </w:t>
      </w:r>
      <w:r w:rsidRPr="004072CB">
        <w:rPr>
          <w:rFonts w:eastAsia="Times New Roman"/>
          <w:szCs w:val="24"/>
        </w:rPr>
        <w:t>Cal.3d 495, 506</w:t>
      </w:r>
      <w:r w:rsidR="00F5491D">
        <w:rPr>
          <w:rFonts w:eastAsia="Times New Roman"/>
          <w:szCs w:val="24"/>
        </w:rPr>
        <w:t>–</w:t>
      </w:r>
      <w:r w:rsidRPr="004072CB">
        <w:rPr>
          <w:rFonts w:eastAsia="Times New Roman"/>
          <w:szCs w:val="24"/>
        </w:rPr>
        <w:t>507 [analysis under former std.</w:t>
      </w:r>
      <w:r>
        <w:rPr>
          <w:rFonts w:eastAsia="Times New Roman"/>
          <w:szCs w:val="24"/>
        </w:rPr>
        <w:t> </w:t>
      </w:r>
      <w:r w:rsidRPr="004072CB">
        <w:rPr>
          <w:rFonts w:eastAsia="Times New Roman"/>
          <w:szCs w:val="24"/>
        </w:rPr>
        <w:t xml:space="preserve">1.7(b)]; </w:t>
      </w:r>
      <w:r w:rsidRPr="004072CB">
        <w:rPr>
          <w:rFonts w:eastAsia="Times New Roman"/>
          <w:i/>
          <w:szCs w:val="24"/>
        </w:rPr>
        <w:t xml:space="preserve">In the Matter of Miller </w:t>
      </w:r>
      <w:r w:rsidRPr="004072CB">
        <w:rPr>
          <w:rFonts w:eastAsia="Times New Roman"/>
          <w:szCs w:val="24"/>
        </w:rPr>
        <w:t>(Review Dept. 1990) 1</w:t>
      </w:r>
      <w:r>
        <w:rPr>
          <w:rFonts w:eastAsia="Times New Roman"/>
          <w:szCs w:val="24"/>
        </w:rPr>
        <w:t> </w:t>
      </w:r>
      <w:r w:rsidRPr="004072CB">
        <w:rPr>
          <w:rFonts w:eastAsia="Times New Roman"/>
          <w:szCs w:val="24"/>
        </w:rPr>
        <w:t>Cal. State Bar Ct. Rptr. 131</w:t>
      </w:r>
      <w:r>
        <w:rPr>
          <w:rFonts w:eastAsia="Times New Roman"/>
          <w:szCs w:val="24"/>
        </w:rPr>
        <w:t>, 136</w:t>
      </w:r>
      <w:r w:rsidRPr="004072CB">
        <w:rPr>
          <w:rFonts w:eastAsia="Times New Roman"/>
          <w:szCs w:val="24"/>
        </w:rPr>
        <w:t xml:space="preserve"> [to fulfill purposes of attorney discipline, “nature and chronology” of prior record must be examined].)  </w:t>
      </w:r>
      <w:bookmarkStart w:id="21" w:name="_Hlk64374470"/>
      <w:r w:rsidRPr="004072CB">
        <w:rPr>
          <w:rFonts w:eastAsia="Times New Roman"/>
          <w:szCs w:val="24"/>
        </w:rPr>
        <w:t>Standard</w:t>
      </w:r>
      <w:r>
        <w:rPr>
          <w:rFonts w:eastAsia="Times New Roman"/>
          <w:szCs w:val="24"/>
        </w:rPr>
        <w:t> </w:t>
      </w:r>
      <w:r w:rsidRPr="004072CB">
        <w:rPr>
          <w:rFonts w:eastAsia="Times New Roman"/>
          <w:szCs w:val="24"/>
        </w:rPr>
        <w:t xml:space="preserve">1.8(b) is not applied reflexively, but “with an eye to the nature and extent of the prior record.  </w:t>
      </w:r>
      <w:bookmarkEnd w:id="21"/>
      <w:r w:rsidRPr="004072CB">
        <w:rPr>
          <w:rFonts w:eastAsia="Times New Roman"/>
          <w:szCs w:val="24"/>
        </w:rPr>
        <w:t>[Citations.]”  (</w:t>
      </w:r>
      <w:r w:rsidRPr="004072CB">
        <w:rPr>
          <w:rFonts w:eastAsia="Times New Roman"/>
          <w:i/>
          <w:szCs w:val="24"/>
        </w:rPr>
        <w:t>In the Matter of Jensen</w:t>
      </w:r>
      <w:r w:rsidRPr="004072CB">
        <w:rPr>
          <w:rFonts w:eastAsia="Times New Roman"/>
          <w:szCs w:val="24"/>
        </w:rPr>
        <w:t xml:space="preserve"> (Review Dept. 2013) 5</w:t>
      </w:r>
      <w:r>
        <w:rPr>
          <w:rFonts w:eastAsia="Times New Roman"/>
          <w:szCs w:val="24"/>
        </w:rPr>
        <w:t> </w:t>
      </w:r>
      <w:r w:rsidRPr="004072CB">
        <w:rPr>
          <w:rFonts w:eastAsia="Times New Roman"/>
          <w:szCs w:val="24"/>
        </w:rPr>
        <w:t>Cal. State Bar Ct. Rptr. 283, 2</w:t>
      </w:r>
      <w:r w:rsidR="00DE1BF9">
        <w:rPr>
          <w:rFonts w:eastAsia="Times New Roman"/>
          <w:szCs w:val="24"/>
        </w:rPr>
        <w:t>92</w:t>
      </w:r>
      <w:r w:rsidRPr="004072CB">
        <w:rPr>
          <w:rFonts w:eastAsia="Times New Roman"/>
          <w:szCs w:val="24"/>
        </w:rPr>
        <w:t xml:space="preserve">.)  </w:t>
      </w:r>
      <w:bookmarkStart w:id="22" w:name="_Hlk64374478"/>
      <w:r>
        <w:rPr>
          <w:rFonts w:eastAsia="Times New Roman"/>
          <w:szCs w:val="24"/>
        </w:rPr>
        <w:t>D</w:t>
      </w:r>
      <w:r w:rsidRPr="004072CB">
        <w:rPr>
          <w:rFonts w:eastAsia="Times New Roman"/>
          <w:szCs w:val="24"/>
        </w:rPr>
        <w:t>eviatin</w:t>
      </w:r>
      <w:r>
        <w:rPr>
          <w:rFonts w:eastAsia="Times New Roman"/>
          <w:szCs w:val="24"/>
        </w:rPr>
        <w:t>g</w:t>
      </w:r>
      <w:r w:rsidRPr="004072CB">
        <w:rPr>
          <w:rFonts w:eastAsia="Times New Roman"/>
          <w:szCs w:val="24"/>
        </w:rPr>
        <w:t xml:space="preserve"> from standard</w:t>
      </w:r>
      <w:r>
        <w:rPr>
          <w:rFonts w:eastAsia="Times New Roman"/>
          <w:szCs w:val="24"/>
        </w:rPr>
        <w:t> </w:t>
      </w:r>
      <w:r w:rsidRPr="004072CB">
        <w:rPr>
          <w:rFonts w:eastAsia="Times New Roman"/>
          <w:szCs w:val="24"/>
        </w:rPr>
        <w:t xml:space="preserve">1.8(b) requires the court to articulate clear reasons for doing so.  </w:t>
      </w:r>
      <w:bookmarkEnd w:id="22"/>
      <w:r w:rsidRPr="004072CB">
        <w:rPr>
          <w:rFonts w:eastAsia="Times New Roman"/>
          <w:szCs w:val="24"/>
        </w:rPr>
        <w:t>(Std.</w:t>
      </w:r>
      <w:r>
        <w:rPr>
          <w:rFonts w:eastAsia="Times New Roman"/>
          <w:szCs w:val="24"/>
        </w:rPr>
        <w:t> </w:t>
      </w:r>
      <w:r w:rsidRPr="004072CB">
        <w:rPr>
          <w:rFonts w:eastAsia="Times New Roman"/>
          <w:szCs w:val="24"/>
        </w:rPr>
        <w:t xml:space="preserve">1.1; </w:t>
      </w:r>
      <w:r w:rsidRPr="004072CB">
        <w:rPr>
          <w:rFonts w:eastAsia="Times New Roman"/>
          <w:i/>
          <w:szCs w:val="24"/>
        </w:rPr>
        <w:t>Blair v. State Bar</w:t>
      </w:r>
      <w:r w:rsidRPr="004072CB">
        <w:rPr>
          <w:rFonts w:eastAsia="Times New Roman"/>
          <w:szCs w:val="24"/>
        </w:rPr>
        <w:t xml:space="preserve"> (1989) 49</w:t>
      </w:r>
      <w:r>
        <w:rPr>
          <w:rFonts w:eastAsia="Times New Roman"/>
          <w:szCs w:val="24"/>
        </w:rPr>
        <w:t> </w:t>
      </w:r>
      <w:r w:rsidRPr="004072CB">
        <w:rPr>
          <w:rFonts w:eastAsia="Times New Roman"/>
          <w:szCs w:val="24"/>
        </w:rPr>
        <w:t>Cal.3d 762, 776, fn.</w:t>
      </w:r>
      <w:r>
        <w:rPr>
          <w:rFonts w:eastAsia="Times New Roman"/>
          <w:szCs w:val="24"/>
        </w:rPr>
        <w:t> </w:t>
      </w:r>
      <w:r w:rsidRPr="004072CB">
        <w:rPr>
          <w:rFonts w:eastAsia="Times New Roman"/>
          <w:szCs w:val="24"/>
        </w:rPr>
        <w:t xml:space="preserve">5.)  </w:t>
      </w:r>
    </w:p>
    <w:p w14:paraId="7E9F952F" w14:textId="79968147" w:rsidR="005E289B" w:rsidRDefault="00245DC3" w:rsidP="002A6B49">
      <w:pPr>
        <w:spacing w:line="480" w:lineRule="auto"/>
        <w:ind w:right="-144" w:firstLine="720"/>
        <w:rPr>
          <w:rFonts w:eastAsia="Times New Roman"/>
          <w:szCs w:val="24"/>
        </w:rPr>
      </w:pPr>
      <w:r>
        <w:rPr>
          <w:rFonts w:eastAsia="Times New Roman"/>
          <w:szCs w:val="24"/>
        </w:rPr>
        <w:t>Rubin</w:t>
      </w:r>
      <w:r w:rsidR="001628E1" w:rsidRPr="004072CB">
        <w:rPr>
          <w:rFonts w:eastAsia="Times New Roman"/>
          <w:szCs w:val="24"/>
        </w:rPr>
        <w:t xml:space="preserve"> has not identified an adequate reason for us to depart from applying standard 1.8(b),</w:t>
      </w:r>
      <w:r w:rsidR="001628E1">
        <w:rPr>
          <w:rFonts w:eastAsia="Times New Roman"/>
          <w:szCs w:val="24"/>
        </w:rPr>
        <w:t xml:space="preserve"> and we cannot discern any.</w:t>
      </w:r>
      <w:r w:rsidR="00C10C53">
        <w:rPr>
          <w:rFonts w:eastAsia="Times New Roman"/>
          <w:szCs w:val="24"/>
        </w:rPr>
        <w:t xml:space="preserve">  We acknowledge that his past discipline was issued in 1993 and 1997, but of critical concern is the nature of the second prior discipline.  Rubin has continued to commit misconduct in the present case that is similar to his past wrongdoing.</w:t>
      </w:r>
      <w:r w:rsidR="001628E1">
        <w:rPr>
          <w:rFonts w:eastAsia="Times New Roman"/>
          <w:szCs w:val="24"/>
        </w:rPr>
        <w:t xml:space="preserve">  </w:t>
      </w:r>
      <w:r w:rsidR="00C10C53">
        <w:rPr>
          <w:rFonts w:eastAsia="Times New Roman"/>
          <w:szCs w:val="24"/>
        </w:rPr>
        <w:t xml:space="preserve">Therefore, standard 1.8(b) is appropriately applied here.  </w:t>
      </w:r>
      <w:r w:rsidR="001628E1">
        <w:rPr>
          <w:rFonts w:eastAsia="Times New Roman"/>
          <w:szCs w:val="24"/>
        </w:rPr>
        <w:t xml:space="preserve">His </w:t>
      </w:r>
      <w:r w:rsidR="00460016">
        <w:rPr>
          <w:rFonts w:eastAsia="Times New Roman"/>
          <w:szCs w:val="24"/>
        </w:rPr>
        <w:t xml:space="preserve">current </w:t>
      </w:r>
      <w:r w:rsidR="001628E1">
        <w:rPr>
          <w:rFonts w:eastAsia="Times New Roman"/>
          <w:szCs w:val="24"/>
        </w:rPr>
        <w:t xml:space="preserve">misconduct does not overlap with his prior violations, </w:t>
      </w:r>
      <w:r w:rsidR="001628E1">
        <w:rPr>
          <w:rFonts w:eastAsia="Times New Roman"/>
          <w:szCs w:val="24"/>
        </w:rPr>
        <w:lastRenderedPageBreak/>
        <w:t>demonstrating that he fail</w:t>
      </w:r>
      <w:r w:rsidR="00F0607F">
        <w:rPr>
          <w:rFonts w:eastAsia="Times New Roman"/>
          <w:szCs w:val="24"/>
        </w:rPr>
        <w:t>ed</w:t>
      </w:r>
      <w:r w:rsidR="001628E1">
        <w:rPr>
          <w:rFonts w:eastAsia="Times New Roman"/>
          <w:szCs w:val="24"/>
        </w:rPr>
        <w:t xml:space="preserve"> to adhere to his professional duties after being disciplined twice.</w:t>
      </w:r>
      <w:r w:rsidR="000D3C19">
        <w:rPr>
          <w:rStyle w:val="FootnoteReference"/>
          <w:rFonts w:eastAsia="Times New Roman"/>
          <w:szCs w:val="24"/>
        </w:rPr>
        <w:footnoteReference w:id="28"/>
      </w:r>
      <w:r w:rsidR="000C5EF3">
        <w:rPr>
          <w:rFonts w:eastAsia="Times New Roman"/>
          <w:szCs w:val="24"/>
        </w:rPr>
        <w:t xml:space="preserve">  Rubin cites to several cases, arguing that other attorneys </w:t>
      </w:r>
      <w:r w:rsidR="00232600">
        <w:rPr>
          <w:rFonts w:eastAsia="Times New Roman"/>
          <w:szCs w:val="24"/>
        </w:rPr>
        <w:t>were</w:t>
      </w:r>
      <w:r w:rsidR="000C5EF3">
        <w:rPr>
          <w:rFonts w:eastAsia="Times New Roman"/>
          <w:szCs w:val="24"/>
        </w:rPr>
        <w:t xml:space="preserve"> not disbarred</w:t>
      </w:r>
      <w:r w:rsidR="00F0607F">
        <w:rPr>
          <w:rFonts w:eastAsia="Times New Roman"/>
          <w:szCs w:val="24"/>
        </w:rPr>
        <w:t xml:space="preserve"> for similar violations</w:t>
      </w:r>
      <w:r w:rsidR="000C5EF3">
        <w:rPr>
          <w:rFonts w:eastAsia="Times New Roman"/>
          <w:szCs w:val="24"/>
        </w:rPr>
        <w:t xml:space="preserve">.  However, those cases do not deal with a third discipline and do not involve </w:t>
      </w:r>
      <w:r w:rsidR="00452D27">
        <w:rPr>
          <w:rFonts w:eastAsia="Times New Roman"/>
          <w:szCs w:val="24"/>
        </w:rPr>
        <w:t>multiple acts of misconduct as is the case here.</w:t>
      </w:r>
      <w:r w:rsidR="005E289B">
        <w:rPr>
          <w:rFonts w:eastAsia="Times New Roman"/>
          <w:szCs w:val="24"/>
        </w:rPr>
        <w:t xml:space="preserve">  </w:t>
      </w:r>
    </w:p>
    <w:p w14:paraId="77B112D8" w14:textId="01C6DA52" w:rsidR="006E554D" w:rsidRPr="001E1694" w:rsidRDefault="00ED5071" w:rsidP="002A679D">
      <w:pPr>
        <w:spacing w:line="480" w:lineRule="auto"/>
        <w:ind w:firstLine="720"/>
        <w:rPr>
          <w:rFonts w:eastAsia="Times New Roman"/>
          <w:szCs w:val="24"/>
        </w:rPr>
      </w:pPr>
      <w:r>
        <w:rPr>
          <w:rFonts w:eastAsia="Times New Roman"/>
          <w:szCs w:val="24"/>
        </w:rPr>
        <w:t>For the third time, Rubin is before this court because he has failed to meet his professional obligations.  He has committed multiple serious violations in different client matters</w:t>
      </w:r>
      <w:r w:rsidR="005E289B">
        <w:rPr>
          <w:rFonts w:eastAsia="Times New Roman"/>
          <w:szCs w:val="24"/>
        </w:rPr>
        <w:t xml:space="preserve">.  </w:t>
      </w:r>
      <w:r w:rsidR="00971FAC">
        <w:rPr>
          <w:rFonts w:eastAsia="Times New Roman"/>
          <w:szCs w:val="24"/>
        </w:rPr>
        <w:t xml:space="preserve">He was put on notice in his second discipline </w:t>
      </w:r>
      <w:r w:rsidR="00FB3749">
        <w:rPr>
          <w:rFonts w:eastAsia="Times New Roman"/>
          <w:szCs w:val="24"/>
        </w:rPr>
        <w:t>of</w:t>
      </w:r>
      <w:r w:rsidR="00971FAC">
        <w:rPr>
          <w:rFonts w:eastAsia="Times New Roman"/>
          <w:szCs w:val="24"/>
        </w:rPr>
        <w:t xml:space="preserve"> the importance of handling a CTA with care, but then failed to follow CTA rules.  </w:t>
      </w:r>
      <w:r>
        <w:rPr>
          <w:rFonts w:eastAsia="Times New Roman"/>
          <w:szCs w:val="24"/>
        </w:rPr>
        <w:t>His indifference and</w:t>
      </w:r>
      <w:r w:rsidR="00971FAC">
        <w:rPr>
          <w:rFonts w:eastAsia="Times New Roman"/>
          <w:szCs w:val="24"/>
        </w:rPr>
        <w:t xml:space="preserve"> failure to acknowledge the wrongfulness of his misconduct </w:t>
      </w:r>
      <w:r w:rsidR="00FB3749">
        <w:rPr>
          <w:rFonts w:eastAsia="Times New Roman"/>
          <w:szCs w:val="24"/>
        </w:rPr>
        <w:t>are</w:t>
      </w:r>
      <w:r>
        <w:rPr>
          <w:rFonts w:eastAsia="Times New Roman"/>
          <w:szCs w:val="24"/>
        </w:rPr>
        <w:t xml:space="preserve"> </w:t>
      </w:r>
      <w:r w:rsidR="00F0607F">
        <w:rPr>
          <w:rFonts w:eastAsia="Times New Roman"/>
          <w:szCs w:val="24"/>
        </w:rPr>
        <w:t>troubling</w:t>
      </w:r>
      <w:r w:rsidR="00971FAC">
        <w:rPr>
          <w:rFonts w:eastAsia="Times New Roman"/>
          <w:szCs w:val="24"/>
        </w:rPr>
        <w:t xml:space="preserve">.  This concern has not changed since Rubin’s second discipline where the hearing judge found that Rubin was unable to fully appreciate his professional obligations.  </w:t>
      </w:r>
      <w:r w:rsidR="00A61DDA">
        <w:rPr>
          <w:rFonts w:eastAsia="Times New Roman"/>
          <w:szCs w:val="24"/>
        </w:rPr>
        <w:t>He</w:t>
      </w:r>
      <w:r w:rsidR="00971FAC">
        <w:rPr>
          <w:rFonts w:eastAsia="Times New Roman"/>
          <w:szCs w:val="24"/>
        </w:rPr>
        <w:t xml:space="preserve"> continues to</w:t>
      </w:r>
      <w:r>
        <w:rPr>
          <w:rFonts w:eastAsia="Times New Roman"/>
          <w:szCs w:val="24"/>
        </w:rPr>
        <w:t xml:space="preserve"> make excuses for “technical” violations </w:t>
      </w:r>
      <w:r w:rsidR="00A61DDA">
        <w:rPr>
          <w:rFonts w:eastAsia="Times New Roman"/>
          <w:szCs w:val="24"/>
        </w:rPr>
        <w:t>rather than</w:t>
      </w:r>
      <w:r>
        <w:rPr>
          <w:rFonts w:eastAsia="Times New Roman"/>
          <w:szCs w:val="24"/>
        </w:rPr>
        <w:t xml:space="preserve"> accept responsibility for his misconduct.  </w:t>
      </w:r>
      <w:r w:rsidR="001628E1">
        <w:rPr>
          <w:szCs w:val="24"/>
        </w:rPr>
        <w:t>Given</w:t>
      </w:r>
      <w:r w:rsidR="001628E1">
        <w:rPr>
          <w:rFonts w:eastAsia="Times New Roman"/>
          <w:szCs w:val="24"/>
        </w:rPr>
        <w:t xml:space="preserve"> the nature and chronology of </w:t>
      </w:r>
      <w:r w:rsidR="006E554D">
        <w:rPr>
          <w:rFonts w:eastAsia="Times New Roman"/>
          <w:szCs w:val="24"/>
        </w:rPr>
        <w:t>Rubin’s</w:t>
      </w:r>
      <w:r w:rsidR="001628E1">
        <w:rPr>
          <w:rFonts w:eastAsia="Times New Roman"/>
          <w:szCs w:val="24"/>
        </w:rPr>
        <w:t xml:space="preserve"> violations, w</w:t>
      </w:r>
      <w:r w:rsidR="001628E1" w:rsidRPr="004072CB">
        <w:rPr>
          <w:rFonts w:eastAsia="Times New Roman"/>
          <w:szCs w:val="24"/>
        </w:rPr>
        <w:t>e find no reason to depart from the presumptive discipline of disbarment under standard</w:t>
      </w:r>
      <w:r w:rsidR="001628E1">
        <w:rPr>
          <w:rFonts w:eastAsia="Times New Roman"/>
          <w:szCs w:val="24"/>
        </w:rPr>
        <w:t> </w:t>
      </w:r>
      <w:r w:rsidR="001628E1" w:rsidRPr="004072CB">
        <w:rPr>
          <w:rFonts w:eastAsia="Times New Roman"/>
          <w:szCs w:val="24"/>
        </w:rPr>
        <w:t xml:space="preserve">1.8(b). </w:t>
      </w:r>
      <w:r w:rsidR="00E109CC">
        <w:rPr>
          <w:rFonts w:eastAsia="Times New Roman"/>
          <w:szCs w:val="24"/>
        </w:rPr>
        <w:t xml:space="preserve"> </w:t>
      </w:r>
      <w:r w:rsidR="001628E1">
        <w:rPr>
          <w:rFonts w:eastAsia="Times New Roman"/>
          <w:szCs w:val="24"/>
        </w:rPr>
        <w:t>W</w:t>
      </w:r>
      <w:r w:rsidR="001628E1" w:rsidRPr="004072CB">
        <w:rPr>
          <w:rFonts w:eastAsia="Times New Roman"/>
          <w:szCs w:val="24"/>
        </w:rPr>
        <w:t>e conclude that further probation and suspension would be in</w:t>
      </w:r>
      <w:r w:rsidR="00A61DDA">
        <w:rPr>
          <w:rFonts w:eastAsia="Times New Roman"/>
          <w:szCs w:val="24"/>
        </w:rPr>
        <w:t>sufficient</w:t>
      </w:r>
      <w:r w:rsidR="001628E1" w:rsidRPr="004072CB">
        <w:rPr>
          <w:rFonts w:eastAsia="Times New Roman"/>
          <w:szCs w:val="24"/>
        </w:rPr>
        <w:t xml:space="preserve"> to prevent him from committing future misconduct that would endanger </w:t>
      </w:r>
      <w:r w:rsidR="001628E1">
        <w:rPr>
          <w:rFonts w:eastAsia="Times New Roman"/>
          <w:szCs w:val="24"/>
        </w:rPr>
        <w:t>the public and the profession.</w:t>
      </w:r>
      <w:r w:rsidR="006E554D">
        <w:rPr>
          <w:rFonts w:eastAsia="Times New Roman"/>
          <w:szCs w:val="24"/>
        </w:rPr>
        <w:t xml:space="preserve">  Accordingly, the public, the courts, and the </w:t>
      </w:r>
      <w:r w:rsidR="00A61DDA">
        <w:rPr>
          <w:rFonts w:eastAsia="Times New Roman"/>
          <w:szCs w:val="24"/>
        </w:rPr>
        <w:t xml:space="preserve">legal </w:t>
      </w:r>
      <w:r w:rsidR="006E554D">
        <w:rPr>
          <w:rFonts w:eastAsia="Times New Roman"/>
          <w:szCs w:val="24"/>
        </w:rPr>
        <w:t>profession are best protected if Rubin is disbarred.</w:t>
      </w:r>
    </w:p>
    <w:p w14:paraId="5F2CD916" w14:textId="0AF3E342" w:rsidR="001628E1" w:rsidRPr="00FF15ED" w:rsidRDefault="001628E1" w:rsidP="002A679D">
      <w:pPr>
        <w:pStyle w:val="NoSpacing"/>
        <w:tabs>
          <w:tab w:val="left" w:pos="720"/>
        </w:tabs>
        <w:spacing w:line="480" w:lineRule="auto"/>
        <w:jc w:val="center"/>
      </w:pPr>
      <w:r w:rsidRPr="00870348">
        <w:rPr>
          <w:b/>
        </w:rPr>
        <w:t>V</w:t>
      </w:r>
      <w:r>
        <w:rPr>
          <w:b/>
        </w:rPr>
        <w:t>II</w:t>
      </w:r>
      <w:r w:rsidRPr="00870348">
        <w:rPr>
          <w:b/>
        </w:rPr>
        <w:t>.  RECOMMENDATION</w:t>
      </w:r>
      <w:r w:rsidR="006B5F75">
        <w:rPr>
          <w:b/>
        </w:rPr>
        <w:t>S</w:t>
      </w:r>
    </w:p>
    <w:p w14:paraId="30CEB736" w14:textId="04EF9B61" w:rsidR="0023243C" w:rsidRDefault="006B5F75" w:rsidP="00737526">
      <w:pPr>
        <w:spacing w:line="480" w:lineRule="auto"/>
        <w:ind w:firstLine="720"/>
      </w:pPr>
      <w:r w:rsidRPr="004D40BE">
        <w:t xml:space="preserve">It is recommended that </w:t>
      </w:r>
      <w:r>
        <w:t>Michael Philip Rubin</w:t>
      </w:r>
      <w:r w:rsidRPr="004D40BE">
        <w:t xml:space="preserve">, State Bar Number </w:t>
      </w:r>
      <w:r>
        <w:t>86732</w:t>
      </w:r>
      <w:r w:rsidRPr="004D40BE">
        <w:t xml:space="preserve">, be disbarred from the practice of law in California and that </w:t>
      </w:r>
      <w:r w:rsidR="001E1694">
        <w:t>his</w:t>
      </w:r>
      <w:r w:rsidRPr="004D40BE">
        <w:t xml:space="preserve"> name be stricken from the roll of attorneys. </w:t>
      </w:r>
      <w:r>
        <w:t xml:space="preserve"> </w:t>
      </w:r>
    </w:p>
    <w:p w14:paraId="6A98B0BC" w14:textId="77777777" w:rsidR="004E4B0E" w:rsidRPr="004D40BE" w:rsidRDefault="004E4B0E" w:rsidP="004E4B0E">
      <w:pPr>
        <w:spacing w:line="480" w:lineRule="auto"/>
        <w:jc w:val="center"/>
        <w:rPr>
          <w:b/>
        </w:rPr>
      </w:pPr>
      <w:r w:rsidRPr="00FB13E2">
        <w:rPr>
          <w:b/>
        </w:rPr>
        <w:t xml:space="preserve">CALIFORNIA RULES OF COURT, RULE </w:t>
      </w:r>
      <w:r w:rsidRPr="004D40BE">
        <w:rPr>
          <w:b/>
        </w:rPr>
        <w:t>9.20</w:t>
      </w:r>
    </w:p>
    <w:p w14:paraId="772892E7" w14:textId="19B3B21A" w:rsidR="004E4B0E" w:rsidRDefault="004E4B0E" w:rsidP="004E4B0E">
      <w:pPr>
        <w:spacing w:line="480" w:lineRule="auto"/>
        <w:ind w:firstLine="720"/>
      </w:pPr>
      <w:r w:rsidRPr="004D40BE">
        <w:t>It is further recommended</w:t>
      </w:r>
      <w:r>
        <w:t xml:space="preserve"> that Rubin</w:t>
      </w:r>
      <w:r w:rsidRPr="004D40BE">
        <w:t xml:space="preserve"> be ordered to comply with the requirements of California Rules of Court, rule 9.20, and to perform the acts specified in subdivisions</w:t>
      </w:r>
      <w:r>
        <w:t> </w:t>
      </w:r>
      <w:r w:rsidRPr="004D40BE">
        <w:t xml:space="preserve">(a) and (c) </w:t>
      </w:r>
      <w:r w:rsidRPr="004D40BE">
        <w:lastRenderedPageBreak/>
        <w:t>of that rule within 30 and 40 days, respectively, after the effective date of the Supreme Court order imposing discipline in this matter.</w:t>
      </w:r>
      <w:r w:rsidRPr="004D40BE">
        <w:rPr>
          <w:vertAlign w:val="superscript"/>
        </w:rPr>
        <w:footnoteReference w:id="29"/>
      </w:r>
    </w:p>
    <w:p w14:paraId="02C650E7" w14:textId="77777777" w:rsidR="00BA6A8A" w:rsidRPr="00D20509" w:rsidRDefault="00BA6A8A" w:rsidP="00BA6A8A">
      <w:pPr>
        <w:pStyle w:val="Heading2"/>
        <w:ind w:right="0" w:firstLine="0"/>
      </w:pPr>
      <w:r w:rsidRPr="00D20509">
        <w:t>COSTS</w:t>
      </w:r>
    </w:p>
    <w:p w14:paraId="0D1A6512" w14:textId="77777777" w:rsidR="00BA6A8A" w:rsidRPr="00D20509" w:rsidRDefault="00BA6A8A" w:rsidP="00BA6A8A">
      <w:pPr>
        <w:tabs>
          <w:tab w:val="left" w:pos="720"/>
        </w:tabs>
        <w:spacing w:line="480" w:lineRule="auto"/>
        <w:ind w:right="-144" w:firstLine="720"/>
        <w:rPr>
          <w:b/>
        </w:rPr>
      </w:pPr>
      <w:r w:rsidRPr="00D20509">
        <w:t xml:space="preserve">It is further recommended that costs be awarded to the State Bar in accordance with Business and Professions Code section 6086.10, and are enforceable both as provided in Business and Professions Code section 6140.7 and as a money judgment, and may be collected by the State Bar through any means permitted by law.  Unless the time for payment of discipline costs is extended pursuant to subdivision (c) of section 6086.10, costs assessed against an attorney who is actually suspended or disbarred must be paid as a condition of reinstatement or return to active status.  </w:t>
      </w:r>
    </w:p>
    <w:p w14:paraId="11B8CA93" w14:textId="2013A544" w:rsidR="002F0D89" w:rsidRPr="002F0D89" w:rsidRDefault="002F0D89" w:rsidP="002A679D">
      <w:pPr>
        <w:spacing w:line="480" w:lineRule="auto"/>
        <w:jc w:val="center"/>
        <w:rPr>
          <w:b/>
          <w:bCs/>
          <w:szCs w:val="24"/>
        </w:rPr>
      </w:pPr>
      <w:r w:rsidRPr="002F0D89">
        <w:rPr>
          <w:b/>
          <w:bCs/>
          <w:szCs w:val="24"/>
        </w:rPr>
        <w:t>MONETARY SANCTIONS</w:t>
      </w:r>
    </w:p>
    <w:p w14:paraId="79402711" w14:textId="33762C8E" w:rsidR="001628E1" w:rsidRDefault="004E4B0E" w:rsidP="002A679D">
      <w:pPr>
        <w:tabs>
          <w:tab w:val="left" w:pos="720"/>
        </w:tabs>
        <w:spacing w:line="480" w:lineRule="auto"/>
        <w:ind w:right="-144" w:firstLine="720"/>
        <w:rPr>
          <w:szCs w:val="24"/>
        </w:rPr>
      </w:pPr>
      <w:r w:rsidRPr="00E514AD">
        <w:rPr>
          <w:szCs w:val="24"/>
        </w:rPr>
        <w:t>The court does not recommend the imposition of monetary sanctions in this matter, as this matter was submitted for decision</w:t>
      </w:r>
      <w:r>
        <w:rPr>
          <w:szCs w:val="24"/>
        </w:rPr>
        <w:t xml:space="preserve"> </w:t>
      </w:r>
      <w:r w:rsidRPr="00E514AD">
        <w:rPr>
          <w:szCs w:val="24"/>
        </w:rPr>
        <w:t xml:space="preserve">prior to March 1, 2021, the effective date of amended rule 5.137(H) of the Rules of Procedure of the State Bar, and all the misconduct in this matter occurred prior to April 1, 2020, the effective date of former rule 5.137 of the Rules of Procedure of the State Bar.  (See </w:t>
      </w:r>
      <w:proofErr w:type="gramStart"/>
      <w:r w:rsidRPr="00E514AD">
        <w:rPr>
          <w:i/>
          <w:iCs/>
          <w:szCs w:val="24"/>
        </w:rPr>
        <w:t>In</w:t>
      </w:r>
      <w:proofErr w:type="gramEnd"/>
      <w:r w:rsidRPr="00E514AD">
        <w:rPr>
          <w:i/>
          <w:iCs/>
          <w:szCs w:val="24"/>
        </w:rPr>
        <w:t xml:space="preserve"> the Matter of Wu </w:t>
      </w:r>
      <w:r w:rsidRPr="00E514AD">
        <w:rPr>
          <w:szCs w:val="24"/>
        </w:rPr>
        <w:t xml:space="preserve">(Review Dept. 2001) 4 Cal. State Bar Ct. Rptr. 263, 267 [the rules of statutory construction apply when interpreting the Rules of Procedure of the State Bar]; </w:t>
      </w:r>
      <w:r w:rsidRPr="00E514AD">
        <w:rPr>
          <w:i/>
          <w:iCs/>
          <w:szCs w:val="24"/>
        </w:rPr>
        <w:t>Evangelatos v. Superior Court</w:t>
      </w:r>
      <w:r w:rsidRPr="00E514AD">
        <w:rPr>
          <w:szCs w:val="24"/>
        </w:rPr>
        <w:t xml:space="preserve"> (1988) 44 Cal.3d 1188, 1208–1209 [absent an express retroactivity provision in the statute or clear extrinsic sources of intended retroactive application, a statute </w:t>
      </w:r>
      <w:r w:rsidRPr="00E514AD">
        <w:rPr>
          <w:szCs w:val="24"/>
        </w:rPr>
        <w:lastRenderedPageBreak/>
        <w:t xml:space="preserve">should not be retroactively applied]; </w:t>
      </w:r>
      <w:r w:rsidRPr="00E514AD">
        <w:rPr>
          <w:i/>
          <w:iCs/>
          <w:szCs w:val="24"/>
        </w:rPr>
        <w:t>Myers v. Philip Morris Companies, Inc.</w:t>
      </w:r>
      <w:r w:rsidRPr="00E514AD">
        <w:rPr>
          <w:szCs w:val="24"/>
        </w:rPr>
        <w:t xml:space="preserve"> (2002) 28 Cal.4th 828, 841 [where retroactive application of a statute is ambiguous, the statute should be construed to apply prospectively]; </w:t>
      </w:r>
      <w:r w:rsidRPr="00E514AD">
        <w:rPr>
          <w:i/>
          <w:iCs/>
          <w:szCs w:val="24"/>
        </w:rPr>
        <w:t>Fox v. Alexis</w:t>
      </w:r>
      <w:r w:rsidRPr="00E514AD">
        <w:rPr>
          <w:szCs w:val="24"/>
        </w:rPr>
        <w:t xml:space="preserve"> (1985) 38 Cal.3d 621, 630-631 [the date of the offense controls the issue of retroactivity].)</w:t>
      </w:r>
    </w:p>
    <w:p w14:paraId="2D27A3D3" w14:textId="5D36566B" w:rsidR="001628E1" w:rsidRPr="008732CC" w:rsidRDefault="004A63EC" w:rsidP="002A679D">
      <w:pPr>
        <w:spacing w:line="480" w:lineRule="auto"/>
        <w:jc w:val="center"/>
        <w:rPr>
          <w:rFonts w:eastAsia="Times New Roman"/>
          <w:b/>
          <w:szCs w:val="24"/>
        </w:rPr>
      </w:pPr>
      <w:r>
        <w:rPr>
          <w:rFonts w:eastAsia="Times New Roman"/>
          <w:b/>
          <w:szCs w:val="24"/>
        </w:rPr>
        <w:t>VIII</w:t>
      </w:r>
      <w:r w:rsidR="001628E1" w:rsidRPr="008732CC">
        <w:rPr>
          <w:rFonts w:eastAsia="Times New Roman"/>
          <w:b/>
          <w:szCs w:val="24"/>
        </w:rPr>
        <w:t>.  ORDER OF INVOLUNTARY INACTIVE ENROLLMENT</w:t>
      </w:r>
    </w:p>
    <w:p w14:paraId="3A684272" w14:textId="42C4C9BB" w:rsidR="004E4B0E" w:rsidRDefault="001628E1" w:rsidP="0080687D">
      <w:pPr>
        <w:spacing w:line="480" w:lineRule="auto"/>
        <w:ind w:firstLine="720"/>
        <w:rPr>
          <w:rFonts w:eastAsia="Times New Roman"/>
          <w:szCs w:val="24"/>
        </w:rPr>
      </w:pPr>
      <w:r>
        <w:rPr>
          <w:rFonts w:eastAsia="Times New Roman"/>
          <w:szCs w:val="24"/>
        </w:rPr>
        <w:t xml:space="preserve">The order that </w:t>
      </w:r>
      <w:r w:rsidR="002F0D89">
        <w:t>Michael Philip Rubin</w:t>
      </w:r>
      <w:r w:rsidR="002F0D89" w:rsidRPr="004D40BE">
        <w:t xml:space="preserve"> </w:t>
      </w:r>
      <w:r>
        <w:rPr>
          <w:rFonts w:eastAsia="Times New Roman"/>
          <w:szCs w:val="24"/>
        </w:rPr>
        <w:t>be involuntarily enrolled as an inactive attorney of the State Bar p</w:t>
      </w:r>
      <w:r w:rsidRPr="004072CB">
        <w:rPr>
          <w:rFonts w:eastAsia="Times New Roman"/>
          <w:szCs w:val="24"/>
        </w:rPr>
        <w:t>ursuant to sectio</w:t>
      </w:r>
      <w:r>
        <w:rPr>
          <w:rFonts w:eastAsia="Times New Roman"/>
          <w:szCs w:val="24"/>
        </w:rPr>
        <w:t>n </w:t>
      </w:r>
      <w:r w:rsidRPr="004072CB">
        <w:rPr>
          <w:rFonts w:eastAsia="Times New Roman"/>
          <w:szCs w:val="24"/>
        </w:rPr>
        <w:t>600</w:t>
      </w:r>
      <w:r>
        <w:rPr>
          <w:rFonts w:eastAsia="Times New Roman"/>
          <w:szCs w:val="24"/>
        </w:rPr>
        <w:t xml:space="preserve">7, subdivision (c)(4), </w:t>
      </w:r>
      <w:r w:rsidRPr="00A22936">
        <w:rPr>
          <w:rFonts w:eastAsia="Times New Roman"/>
          <w:szCs w:val="24"/>
        </w:rPr>
        <w:t xml:space="preserve">effective </w:t>
      </w:r>
      <w:r w:rsidR="002F0D89">
        <w:rPr>
          <w:rFonts w:eastAsia="Times New Roman"/>
          <w:szCs w:val="24"/>
        </w:rPr>
        <w:t>March</w:t>
      </w:r>
      <w:r>
        <w:rPr>
          <w:rFonts w:eastAsia="Times New Roman"/>
          <w:szCs w:val="24"/>
        </w:rPr>
        <w:t> </w:t>
      </w:r>
      <w:r w:rsidR="002F0D89">
        <w:rPr>
          <w:rFonts w:eastAsia="Times New Roman"/>
          <w:szCs w:val="24"/>
        </w:rPr>
        <w:t>8</w:t>
      </w:r>
      <w:r>
        <w:rPr>
          <w:rFonts w:eastAsia="Times New Roman"/>
          <w:szCs w:val="24"/>
        </w:rPr>
        <w:t>, 20</w:t>
      </w:r>
      <w:r w:rsidR="002F0D89">
        <w:rPr>
          <w:rFonts w:eastAsia="Times New Roman"/>
          <w:szCs w:val="24"/>
        </w:rPr>
        <w:t>20</w:t>
      </w:r>
      <w:r>
        <w:rPr>
          <w:rFonts w:eastAsia="Times New Roman"/>
          <w:szCs w:val="24"/>
        </w:rPr>
        <w:t xml:space="preserve">, will remain </w:t>
      </w:r>
    </w:p>
    <w:p w14:paraId="64C497D0" w14:textId="7F45F8D7" w:rsidR="001628E1" w:rsidRDefault="001628E1" w:rsidP="004E4B0E">
      <w:pPr>
        <w:spacing w:line="480" w:lineRule="auto"/>
        <w:rPr>
          <w:b/>
        </w:rPr>
      </w:pPr>
      <w:r>
        <w:rPr>
          <w:rFonts w:eastAsia="Times New Roman"/>
          <w:szCs w:val="24"/>
        </w:rPr>
        <w:t>in effect pending consideration and decision of the Supreme Court on this recommendation.</w:t>
      </w:r>
    </w:p>
    <w:p w14:paraId="6500EF4F" w14:textId="77777777" w:rsidR="001628E1" w:rsidRDefault="001628E1" w:rsidP="002A679D">
      <w:pPr>
        <w:spacing w:line="480" w:lineRule="auto"/>
      </w:pPr>
      <w:r w:rsidRPr="007768C9">
        <w:tab/>
      </w:r>
      <w:r w:rsidRPr="007768C9">
        <w:tab/>
      </w:r>
      <w:r w:rsidRPr="007768C9">
        <w:tab/>
      </w:r>
      <w:r w:rsidRPr="007768C9">
        <w:tab/>
      </w:r>
      <w:r w:rsidRPr="007768C9">
        <w:tab/>
      </w:r>
      <w:r>
        <w:tab/>
      </w:r>
      <w:r w:rsidRPr="007768C9">
        <w:tab/>
      </w:r>
      <w:bookmarkStart w:id="23" w:name="judge"/>
      <w:bookmarkEnd w:id="23"/>
      <w:r>
        <w:t>HONN, J.</w:t>
      </w:r>
    </w:p>
    <w:p w14:paraId="6FE9A75A" w14:textId="77777777" w:rsidR="001628E1" w:rsidRDefault="001628E1" w:rsidP="002A679D">
      <w:pPr>
        <w:spacing w:line="480" w:lineRule="auto"/>
      </w:pPr>
      <w:r>
        <w:t>WE CONCUR:</w:t>
      </w:r>
    </w:p>
    <w:p w14:paraId="71C618FC" w14:textId="77777777" w:rsidR="001628E1" w:rsidRDefault="001628E1" w:rsidP="002A679D">
      <w:pPr>
        <w:spacing w:line="480" w:lineRule="auto"/>
      </w:pPr>
      <w:bookmarkStart w:id="24" w:name="multinames"/>
      <w:bookmarkEnd w:id="24"/>
      <w:r>
        <w:t>PURCELL, P. J.</w:t>
      </w:r>
    </w:p>
    <w:p w14:paraId="57B96DF6" w14:textId="57DA790E" w:rsidR="006F4905" w:rsidRDefault="001628E1" w:rsidP="002A679D">
      <w:pPr>
        <w:spacing w:line="480" w:lineRule="auto"/>
      </w:pPr>
      <w:r>
        <w:t>McGILL, J.</w:t>
      </w:r>
    </w:p>
    <w:p w14:paraId="7362E812" w14:textId="77777777" w:rsidR="006F4905" w:rsidRDefault="006F4905">
      <w:r>
        <w:br w:type="page"/>
      </w:r>
    </w:p>
    <w:p w14:paraId="6B764CF1" w14:textId="77777777" w:rsidR="006F4905" w:rsidRPr="006F4905" w:rsidRDefault="006F4905" w:rsidP="006F4905">
      <w:pPr>
        <w:jc w:val="center"/>
        <w:outlineLvl w:val="0"/>
        <w:rPr>
          <w:b/>
          <w:bCs/>
          <w:szCs w:val="34"/>
        </w:rPr>
      </w:pPr>
      <w:r>
        <w:rPr>
          <w:b/>
          <w:bCs/>
          <w:szCs w:val="34"/>
        </w:rPr>
        <w:lastRenderedPageBreak/>
        <w:t xml:space="preserve">No. </w:t>
      </w:r>
      <w:r w:rsidRPr="006F4905">
        <w:rPr>
          <w:b/>
          <w:bCs/>
          <w:szCs w:val="34"/>
        </w:rPr>
        <w:t>17-O-01810; SBC-19-O-30352 (Consolidated)</w:t>
      </w:r>
    </w:p>
    <w:p w14:paraId="4EBB237C" w14:textId="3472B3D6" w:rsidR="006F4905" w:rsidRDefault="006F4905" w:rsidP="006F4905">
      <w:pPr>
        <w:jc w:val="center"/>
        <w:outlineLvl w:val="0"/>
        <w:rPr>
          <w:szCs w:val="34"/>
        </w:rPr>
      </w:pPr>
    </w:p>
    <w:p w14:paraId="7C4D2163" w14:textId="77777777" w:rsidR="006F4905" w:rsidRDefault="006F4905" w:rsidP="006F4905">
      <w:pPr>
        <w:jc w:val="center"/>
        <w:rPr>
          <w:b/>
          <w:bCs/>
          <w:i/>
          <w:iCs/>
          <w:szCs w:val="34"/>
        </w:rPr>
      </w:pPr>
    </w:p>
    <w:p w14:paraId="3606CEE6" w14:textId="77777777" w:rsidR="006F4905" w:rsidRDefault="006F4905" w:rsidP="006F4905">
      <w:pPr>
        <w:jc w:val="center"/>
        <w:rPr>
          <w:b/>
          <w:bCs/>
          <w:i/>
          <w:iCs/>
          <w:szCs w:val="34"/>
        </w:rPr>
      </w:pPr>
      <w:r>
        <w:rPr>
          <w:b/>
          <w:bCs/>
          <w:i/>
          <w:iCs/>
          <w:szCs w:val="34"/>
        </w:rPr>
        <w:br/>
      </w:r>
    </w:p>
    <w:p w14:paraId="3E3C11D1" w14:textId="77777777" w:rsidR="006F4905" w:rsidRDefault="006F4905" w:rsidP="006F4905">
      <w:pPr>
        <w:spacing w:line="360" w:lineRule="auto"/>
        <w:jc w:val="center"/>
        <w:outlineLvl w:val="0"/>
        <w:rPr>
          <w:b/>
          <w:bCs/>
          <w:i/>
          <w:iCs/>
          <w:szCs w:val="34"/>
        </w:rPr>
      </w:pPr>
      <w:r>
        <w:rPr>
          <w:b/>
          <w:bCs/>
          <w:i/>
          <w:iCs/>
          <w:szCs w:val="34"/>
        </w:rPr>
        <w:t xml:space="preserve">In the Matter of </w:t>
      </w:r>
    </w:p>
    <w:p w14:paraId="2184449C" w14:textId="0C49485D" w:rsidR="006F4905" w:rsidRDefault="006F4905" w:rsidP="006F4905">
      <w:pPr>
        <w:spacing w:line="360" w:lineRule="auto"/>
        <w:jc w:val="center"/>
        <w:outlineLvl w:val="0"/>
        <w:rPr>
          <w:szCs w:val="28"/>
        </w:rPr>
      </w:pPr>
      <w:r>
        <w:rPr>
          <w:b/>
          <w:bCs/>
          <w:szCs w:val="34"/>
        </w:rPr>
        <w:t>MICHAEL PHILIP RUBIN</w:t>
      </w:r>
      <w:r>
        <w:rPr>
          <w:szCs w:val="28"/>
        </w:rPr>
        <w:t xml:space="preserve"> </w:t>
      </w:r>
    </w:p>
    <w:p w14:paraId="6A48EBA9" w14:textId="77777777" w:rsidR="006F4905" w:rsidRDefault="006F4905" w:rsidP="006F4905">
      <w:pPr>
        <w:spacing w:line="360" w:lineRule="auto"/>
        <w:jc w:val="center"/>
        <w:rPr>
          <w:szCs w:val="28"/>
        </w:rPr>
      </w:pPr>
    </w:p>
    <w:p w14:paraId="0A85AE2E" w14:textId="77777777" w:rsidR="006F4905" w:rsidRDefault="006F4905" w:rsidP="006F4905">
      <w:pPr>
        <w:spacing w:line="360" w:lineRule="auto"/>
        <w:jc w:val="center"/>
        <w:rPr>
          <w:szCs w:val="28"/>
        </w:rPr>
      </w:pPr>
    </w:p>
    <w:p w14:paraId="4577D0E2" w14:textId="77777777" w:rsidR="006F4905" w:rsidRDefault="006F4905" w:rsidP="006F4905">
      <w:pPr>
        <w:spacing w:line="360" w:lineRule="auto"/>
        <w:jc w:val="center"/>
        <w:rPr>
          <w:szCs w:val="28"/>
        </w:rPr>
      </w:pPr>
    </w:p>
    <w:p w14:paraId="20955475" w14:textId="77777777" w:rsidR="006F4905" w:rsidRDefault="006F4905" w:rsidP="006F4905">
      <w:pPr>
        <w:spacing w:line="360" w:lineRule="auto"/>
        <w:jc w:val="center"/>
        <w:rPr>
          <w:szCs w:val="28"/>
        </w:rPr>
      </w:pPr>
    </w:p>
    <w:p w14:paraId="1BD5C4A1" w14:textId="77777777" w:rsidR="006F4905" w:rsidRDefault="006F4905" w:rsidP="006F4905">
      <w:pPr>
        <w:spacing w:line="360" w:lineRule="auto"/>
        <w:jc w:val="center"/>
        <w:rPr>
          <w:szCs w:val="28"/>
        </w:rPr>
      </w:pPr>
    </w:p>
    <w:p w14:paraId="72E509D6" w14:textId="77777777" w:rsidR="006F4905" w:rsidRDefault="006F4905" w:rsidP="006F4905">
      <w:pPr>
        <w:jc w:val="center"/>
        <w:outlineLvl w:val="0"/>
        <w:rPr>
          <w:i/>
          <w:iCs/>
          <w:szCs w:val="28"/>
        </w:rPr>
      </w:pPr>
      <w:r>
        <w:rPr>
          <w:i/>
          <w:iCs/>
          <w:szCs w:val="28"/>
        </w:rPr>
        <w:t>Hearing Judge</w:t>
      </w:r>
    </w:p>
    <w:p w14:paraId="57B73D2B" w14:textId="77777777" w:rsidR="006F4905" w:rsidRDefault="006F4905" w:rsidP="006F4905">
      <w:pPr>
        <w:jc w:val="center"/>
        <w:outlineLvl w:val="0"/>
        <w:rPr>
          <w:i/>
          <w:iCs/>
          <w:szCs w:val="28"/>
        </w:rPr>
      </w:pPr>
    </w:p>
    <w:p w14:paraId="2BB28027" w14:textId="77777777" w:rsidR="006F4905" w:rsidRDefault="006F4905" w:rsidP="006F4905">
      <w:pPr>
        <w:jc w:val="center"/>
        <w:outlineLvl w:val="0"/>
        <w:rPr>
          <w:szCs w:val="28"/>
        </w:rPr>
      </w:pPr>
      <w:r>
        <w:rPr>
          <w:b/>
          <w:bCs/>
          <w:szCs w:val="32"/>
        </w:rPr>
        <w:t>Hon. Cynthia Valenzuela</w:t>
      </w:r>
    </w:p>
    <w:p w14:paraId="79EB105C" w14:textId="77777777" w:rsidR="006F4905" w:rsidRDefault="006F4905" w:rsidP="006F4905">
      <w:pPr>
        <w:jc w:val="center"/>
        <w:rPr>
          <w:szCs w:val="28"/>
        </w:rPr>
      </w:pPr>
    </w:p>
    <w:p w14:paraId="49DFA277" w14:textId="77777777" w:rsidR="006F4905" w:rsidRDefault="006F4905" w:rsidP="006F4905">
      <w:pPr>
        <w:jc w:val="center"/>
        <w:rPr>
          <w:szCs w:val="28"/>
        </w:rPr>
      </w:pPr>
    </w:p>
    <w:p w14:paraId="2368919D" w14:textId="77777777" w:rsidR="006F4905" w:rsidRDefault="006F4905" w:rsidP="006F4905">
      <w:pPr>
        <w:jc w:val="center"/>
        <w:rPr>
          <w:szCs w:val="28"/>
        </w:rPr>
      </w:pPr>
    </w:p>
    <w:p w14:paraId="7DA6FA77" w14:textId="77777777" w:rsidR="006F4905" w:rsidRDefault="006F4905" w:rsidP="006F4905">
      <w:pPr>
        <w:jc w:val="center"/>
        <w:rPr>
          <w:szCs w:val="28"/>
        </w:rPr>
      </w:pPr>
    </w:p>
    <w:p w14:paraId="09E39D8C" w14:textId="77777777" w:rsidR="006F4905" w:rsidRDefault="006F4905" w:rsidP="006F4905">
      <w:pPr>
        <w:jc w:val="center"/>
        <w:rPr>
          <w:szCs w:val="28"/>
        </w:rPr>
      </w:pPr>
    </w:p>
    <w:p w14:paraId="7C1FB023" w14:textId="77777777" w:rsidR="006F4905" w:rsidRDefault="006F4905" w:rsidP="006F4905">
      <w:pPr>
        <w:jc w:val="center"/>
        <w:rPr>
          <w:szCs w:val="28"/>
        </w:rPr>
      </w:pPr>
    </w:p>
    <w:p w14:paraId="66B53C54" w14:textId="77777777" w:rsidR="006F4905" w:rsidRDefault="006F4905" w:rsidP="006F4905">
      <w:pPr>
        <w:jc w:val="center"/>
        <w:rPr>
          <w:szCs w:val="28"/>
        </w:rPr>
      </w:pPr>
    </w:p>
    <w:p w14:paraId="51D8480B" w14:textId="77777777" w:rsidR="006F4905" w:rsidRDefault="006F4905" w:rsidP="006F4905">
      <w:pPr>
        <w:rPr>
          <w:szCs w:val="28"/>
        </w:rPr>
      </w:pPr>
    </w:p>
    <w:p w14:paraId="7150AC8E" w14:textId="77777777" w:rsidR="006F4905" w:rsidRDefault="006F4905" w:rsidP="006F4905">
      <w:pPr>
        <w:jc w:val="center"/>
        <w:outlineLvl w:val="0"/>
        <w:rPr>
          <w:b/>
          <w:bCs/>
          <w:i/>
          <w:iCs/>
          <w:szCs w:val="28"/>
        </w:rPr>
      </w:pPr>
      <w:r>
        <w:rPr>
          <w:i/>
          <w:iCs/>
          <w:szCs w:val="28"/>
        </w:rPr>
        <w:t>Counsel for the Parties</w:t>
      </w:r>
    </w:p>
    <w:p w14:paraId="3EF8A644" w14:textId="77777777" w:rsidR="006F4905" w:rsidRDefault="006F4905" w:rsidP="006F4905">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6F4905" w14:paraId="7AFA1E2D" w14:textId="77777777" w:rsidTr="00AB1E40">
        <w:trPr>
          <w:cantSplit/>
        </w:trPr>
        <w:tc>
          <w:tcPr>
            <w:tcW w:w="5310" w:type="dxa"/>
          </w:tcPr>
          <w:p w14:paraId="640F6115" w14:textId="77777777" w:rsidR="006F4905" w:rsidRDefault="006F4905" w:rsidP="00AB1E40">
            <w:pPr>
              <w:spacing w:before="100" w:after="48"/>
              <w:rPr>
                <w:szCs w:val="28"/>
              </w:rPr>
            </w:pPr>
            <w:r>
              <w:rPr>
                <w:b/>
                <w:bCs/>
                <w:szCs w:val="28"/>
              </w:rPr>
              <w:tab/>
            </w:r>
            <w:r>
              <w:rPr>
                <w:b/>
                <w:bCs/>
                <w:szCs w:val="28"/>
              </w:rPr>
              <w:tab/>
            </w:r>
            <w:r>
              <w:rPr>
                <w:szCs w:val="28"/>
              </w:rPr>
              <w:t>For State Bar of California:</w:t>
            </w:r>
          </w:p>
        </w:tc>
        <w:tc>
          <w:tcPr>
            <w:tcW w:w="4140" w:type="dxa"/>
          </w:tcPr>
          <w:p w14:paraId="7CB82F6D" w14:textId="6C61A340" w:rsidR="006F4905" w:rsidRDefault="006F4905" w:rsidP="00AB1E40">
            <w:pPr>
              <w:rPr>
                <w:szCs w:val="28"/>
              </w:rPr>
            </w:pPr>
            <w:r>
              <w:rPr>
                <w:szCs w:val="28"/>
              </w:rPr>
              <w:t>Kimberly Gay Anderson, Esq.</w:t>
            </w:r>
          </w:p>
          <w:p w14:paraId="4100571E" w14:textId="77777777" w:rsidR="006F4905" w:rsidRDefault="006F4905" w:rsidP="00AB1E40">
            <w:pPr>
              <w:rPr>
                <w:szCs w:val="28"/>
              </w:rPr>
            </w:pPr>
            <w:r>
              <w:rPr>
                <w:szCs w:val="28"/>
              </w:rPr>
              <w:t>State Bar of CA/OCTC</w:t>
            </w:r>
          </w:p>
          <w:p w14:paraId="451AF0BE" w14:textId="77777777" w:rsidR="006F4905" w:rsidRDefault="006F4905" w:rsidP="00AB1E40">
            <w:pPr>
              <w:rPr>
                <w:szCs w:val="28"/>
              </w:rPr>
            </w:pPr>
            <w:r>
              <w:rPr>
                <w:szCs w:val="28"/>
              </w:rPr>
              <w:t>845 S. Figueroa St.</w:t>
            </w:r>
          </w:p>
          <w:p w14:paraId="35927082" w14:textId="77777777" w:rsidR="006F4905" w:rsidRDefault="006F4905" w:rsidP="00AB1E40">
            <w:pPr>
              <w:rPr>
                <w:szCs w:val="28"/>
              </w:rPr>
            </w:pPr>
            <w:r>
              <w:rPr>
                <w:szCs w:val="28"/>
              </w:rPr>
              <w:t>Los Angeles, CA 90017</w:t>
            </w:r>
          </w:p>
          <w:p w14:paraId="4DF2E9A4" w14:textId="77777777" w:rsidR="006F4905" w:rsidRDefault="006F4905" w:rsidP="00AB1E40">
            <w:pPr>
              <w:rPr>
                <w:szCs w:val="28"/>
              </w:rPr>
            </w:pPr>
          </w:p>
        </w:tc>
      </w:tr>
      <w:tr w:rsidR="006F4905" w14:paraId="7628AE51" w14:textId="77777777" w:rsidTr="00AB1E40">
        <w:trPr>
          <w:cantSplit/>
        </w:trPr>
        <w:tc>
          <w:tcPr>
            <w:tcW w:w="5310" w:type="dxa"/>
          </w:tcPr>
          <w:p w14:paraId="6864B03D" w14:textId="77777777" w:rsidR="006F4905" w:rsidRDefault="006F4905" w:rsidP="00AB1E40">
            <w:pPr>
              <w:spacing w:before="100" w:after="48"/>
              <w:rPr>
                <w:szCs w:val="28"/>
              </w:rPr>
            </w:pPr>
            <w:r>
              <w:rPr>
                <w:b/>
                <w:bCs/>
                <w:szCs w:val="28"/>
              </w:rPr>
              <w:tab/>
            </w:r>
            <w:r>
              <w:rPr>
                <w:b/>
                <w:bCs/>
                <w:szCs w:val="28"/>
              </w:rPr>
              <w:tab/>
            </w:r>
            <w:r>
              <w:rPr>
                <w:szCs w:val="28"/>
              </w:rPr>
              <w:t>For Respondent:</w:t>
            </w:r>
          </w:p>
        </w:tc>
        <w:tc>
          <w:tcPr>
            <w:tcW w:w="4140" w:type="dxa"/>
          </w:tcPr>
          <w:p w14:paraId="79C9F2CB" w14:textId="4ABFB14A" w:rsidR="006F4905" w:rsidRDefault="006F4905" w:rsidP="00AB1E40">
            <w:pPr>
              <w:rPr>
                <w:szCs w:val="28"/>
              </w:rPr>
            </w:pPr>
            <w:r>
              <w:rPr>
                <w:szCs w:val="28"/>
              </w:rPr>
              <w:t>Michael Philip Rubin, Esq., in pro. per.</w:t>
            </w:r>
          </w:p>
          <w:p w14:paraId="53743F65" w14:textId="335CD878" w:rsidR="006F4905" w:rsidRDefault="006F4905" w:rsidP="00AB1E40">
            <w:pPr>
              <w:rPr>
                <w:szCs w:val="28"/>
              </w:rPr>
            </w:pPr>
            <w:r>
              <w:rPr>
                <w:szCs w:val="28"/>
              </w:rPr>
              <w:t>6355 Topanga Canyon Blvd.</w:t>
            </w:r>
          </w:p>
          <w:p w14:paraId="2DB0E407" w14:textId="1239179B" w:rsidR="006F4905" w:rsidRDefault="006F4905" w:rsidP="00AB1E40">
            <w:pPr>
              <w:rPr>
                <w:szCs w:val="28"/>
              </w:rPr>
            </w:pPr>
            <w:r>
              <w:rPr>
                <w:szCs w:val="28"/>
              </w:rPr>
              <w:t>Woodland Hills, CA   91367-2104</w:t>
            </w:r>
          </w:p>
        </w:tc>
      </w:tr>
    </w:tbl>
    <w:p w14:paraId="11B44819" w14:textId="77777777" w:rsidR="006F4905" w:rsidRDefault="006F4905" w:rsidP="006F4905"/>
    <w:p w14:paraId="4C3EA57F" w14:textId="77777777" w:rsidR="006F4905" w:rsidRPr="00E26B8A" w:rsidRDefault="006F4905" w:rsidP="006F4905"/>
    <w:p w14:paraId="36C25242" w14:textId="77777777" w:rsidR="00486F79" w:rsidRPr="00E26B8A" w:rsidRDefault="00486F79" w:rsidP="002A679D">
      <w:pPr>
        <w:spacing w:line="480" w:lineRule="auto"/>
      </w:pPr>
    </w:p>
    <w:sectPr w:rsidR="00486F79" w:rsidRPr="00E26B8A" w:rsidSect="002A679D">
      <w:footerReference w:type="default" r:id="rId8"/>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B78CB" w14:textId="77777777" w:rsidR="00981A65" w:rsidRDefault="00981A65" w:rsidP="00055C8A">
      <w:r>
        <w:separator/>
      </w:r>
    </w:p>
  </w:endnote>
  <w:endnote w:type="continuationSeparator" w:id="0">
    <w:p w14:paraId="747233BD" w14:textId="77777777" w:rsidR="00981A65" w:rsidRDefault="00981A65"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28990"/>
      <w:docPartObj>
        <w:docPartGallery w:val="Page Numbers (Bottom of Page)"/>
        <w:docPartUnique/>
      </w:docPartObj>
    </w:sdtPr>
    <w:sdtEndPr/>
    <w:sdtContent>
      <w:p w14:paraId="1FAD3887" w14:textId="77777777" w:rsidR="00016E79" w:rsidRDefault="00016E79" w:rsidP="0099101B">
        <w:pPr>
          <w:pStyle w:val="Footer"/>
          <w:spacing w:before="120"/>
          <w:jc w:val="center"/>
        </w:pPr>
        <w:r>
          <w:t>-</w:t>
        </w:r>
        <w:r>
          <w:fldChar w:fldCharType="begin"/>
        </w:r>
        <w:r>
          <w:instrText xml:space="preserve"> PAGE   \* MERGEFORMAT </w:instrText>
        </w:r>
        <w:r>
          <w:fldChar w:fldCharType="separate"/>
        </w:r>
        <w:r w:rsidR="006C5C71">
          <w:rPr>
            <w:noProof/>
          </w:rPr>
          <w:t>5</w:t>
        </w:r>
        <w:r>
          <w:rPr>
            <w:noProof/>
          </w:rP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FA9E7" w14:textId="77777777" w:rsidR="00981A65" w:rsidRDefault="00981A65" w:rsidP="00055C8A">
      <w:r>
        <w:separator/>
      </w:r>
    </w:p>
  </w:footnote>
  <w:footnote w:type="continuationSeparator" w:id="0">
    <w:p w14:paraId="7629FEDF" w14:textId="77777777" w:rsidR="00981A65" w:rsidRDefault="00981A65" w:rsidP="00055C8A">
      <w:r>
        <w:continuationSeparator/>
      </w:r>
    </w:p>
  </w:footnote>
  <w:footnote w:id="1">
    <w:p w14:paraId="5DFF7265" w14:textId="77777777" w:rsidR="00016E79" w:rsidRDefault="00016E79" w:rsidP="00627438">
      <w:pPr>
        <w:pStyle w:val="FootnoteText"/>
        <w:spacing w:after="120"/>
      </w:pPr>
      <w:r>
        <w:rPr>
          <w:rStyle w:val="FootnoteReference"/>
        </w:rPr>
        <w:footnoteRef/>
      </w:r>
      <w:r>
        <w:t xml:space="preserve"> The factual background for both disciplinary matters in this opinion is based on trial testimony, documentary evidence, and factual findings by the hearing judge, which are entitled to great weight.  (Rules Proc. of State Bar, rule 5.155(A).) </w:t>
      </w:r>
    </w:p>
  </w:footnote>
  <w:footnote w:id="2">
    <w:p w14:paraId="2BD46F26" w14:textId="7C893D88" w:rsidR="00016E79" w:rsidRDefault="00016E79" w:rsidP="00627438">
      <w:pPr>
        <w:pStyle w:val="FootnoteText"/>
        <w:spacing w:after="120"/>
      </w:pPr>
      <w:r>
        <w:rPr>
          <w:rStyle w:val="FootnoteReference"/>
        </w:rPr>
        <w:footnoteRef/>
      </w:r>
      <w:r>
        <w:t xml:space="preserve"> The hearing judge found that Rubin </w:t>
      </w:r>
      <w:r w:rsidR="007B1BFC">
        <w:t>knowingly</w:t>
      </w:r>
      <w:r>
        <w:t xml:space="preserve"> misstated the holding in </w:t>
      </w:r>
      <w:r w:rsidRPr="00FF3094">
        <w:rPr>
          <w:i/>
          <w:iCs/>
        </w:rPr>
        <w:t>Singh</w:t>
      </w:r>
      <w:r>
        <w:t>.</w:t>
      </w:r>
    </w:p>
  </w:footnote>
  <w:footnote w:id="3">
    <w:p w14:paraId="0FB8D235" w14:textId="77777777" w:rsidR="00016E79" w:rsidRDefault="00016E79" w:rsidP="00DA071A">
      <w:pPr>
        <w:pStyle w:val="FootnoteText"/>
        <w:spacing w:after="120"/>
      </w:pPr>
      <w:r>
        <w:rPr>
          <w:rStyle w:val="FootnoteReference"/>
        </w:rPr>
        <w:footnoteRef/>
      </w:r>
      <w:r>
        <w:t xml:space="preserve"> The hearing judge found that Baumler’s testimony was credible.</w:t>
      </w:r>
    </w:p>
  </w:footnote>
  <w:footnote w:id="4">
    <w:p w14:paraId="40650715" w14:textId="146F30C3" w:rsidR="00016E79" w:rsidRDefault="00016E79" w:rsidP="0063748A">
      <w:pPr>
        <w:pStyle w:val="FootnoteText"/>
        <w:spacing w:after="120"/>
      </w:pPr>
      <w:r>
        <w:rPr>
          <w:rStyle w:val="FootnoteReference"/>
        </w:rPr>
        <w:footnoteRef/>
      </w:r>
      <w:r>
        <w:t xml:space="preserve"> On March 1, 2018, Rubin filed a formal complaint with the State Bar, which was deemed unmeritorious. </w:t>
      </w:r>
    </w:p>
  </w:footnote>
  <w:footnote w:id="5">
    <w:p w14:paraId="7ECD8392" w14:textId="6797E6C3" w:rsidR="00016E79" w:rsidRDefault="00016E79" w:rsidP="0063748A">
      <w:pPr>
        <w:pStyle w:val="FootnoteText"/>
        <w:spacing w:after="120"/>
      </w:pPr>
      <w:r>
        <w:rPr>
          <w:rStyle w:val="FootnoteReference"/>
        </w:rPr>
        <w:footnoteRef/>
      </w:r>
      <w:r>
        <w:t xml:space="preserve"> The hearing judge found that Mastin’s testimony was credible.</w:t>
      </w:r>
    </w:p>
  </w:footnote>
  <w:footnote w:id="6">
    <w:p w14:paraId="2D3D7B2A" w14:textId="3D0CAB6A" w:rsidR="00016E79" w:rsidRDefault="00016E79" w:rsidP="00BE1D5C">
      <w:pPr>
        <w:pStyle w:val="FootnoteText"/>
        <w:spacing w:after="120"/>
      </w:pPr>
      <w:r>
        <w:rPr>
          <w:rStyle w:val="FootnoteReference"/>
        </w:rPr>
        <w:footnoteRef/>
      </w:r>
      <w:r>
        <w:t xml:space="preserve"> All culpability findings in this opinion are established by clear and convincing evidence. </w:t>
      </w:r>
      <w:r w:rsidRPr="000D4F0C">
        <w:t>(</w:t>
      </w:r>
      <w:r w:rsidRPr="000D4F0C">
        <w:rPr>
          <w:i/>
        </w:rPr>
        <w:t>Conservatorship of Wendland</w:t>
      </w:r>
      <w:r w:rsidRPr="000D4F0C">
        <w:t xml:space="preserve"> (2001) 26</w:t>
      </w:r>
      <w:r>
        <w:t> </w:t>
      </w:r>
      <w:r w:rsidRPr="000D4F0C">
        <w:t>Cal.4th 519, 552</w:t>
      </w:r>
      <w:r>
        <w:t xml:space="preserve"> [c</w:t>
      </w:r>
      <w:r w:rsidRPr="000D4F0C">
        <w:t>lear and convincing evidence leaves no substantial doubt and is sufficiently strong to command unhesitating assent of every reasonable mind</w:t>
      </w:r>
      <w:r>
        <w:t>].)</w:t>
      </w:r>
    </w:p>
  </w:footnote>
  <w:footnote w:id="7">
    <w:p w14:paraId="2AAACF4E" w14:textId="37C5696D" w:rsidR="00016E79" w:rsidRDefault="00016E79" w:rsidP="00BE1D5C">
      <w:pPr>
        <w:pStyle w:val="FootnoteText"/>
        <w:spacing w:after="120"/>
      </w:pPr>
      <w:r>
        <w:rPr>
          <w:rStyle w:val="FootnoteReference"/>
        </w:rPr>
        <w:footnoteRef/>
      </w:r>
      <w:r>
        <w:t xml:space="preserve"> All further references to sections are to the Business and Professions Code, unless otherwise noted.</w:t>
      </w:r>
    </w:p>
  </w:footnote>
  <w:footnote w:id="8">
    <w:p w14:paraId="02384A97" w14:textId="2747CADE" w:rsidR="00016E79" w:rsidRDefault="00016E79">
      <w:pPr>
        <w:pStyle w:val="FootnoteText"/>
      </w:pPr>
      <w:r>
        <w:rPr>
          <w:rStyle w:val="FootnoteReference"/>
        </w:rPr>
        <w:footnoteRef/>
      </w:r>
      <w:r>
        <w:t xml:space="preserve"> At oral argument, Rubin acknowledged that the exception for discovery sanctions under section 6068, subdivision (o)(3), did not apply.</w:t>
      </w:r>
    </w:p>
  </w:footnote>
  <w:footnote w:id="9">
    <w:p w14:paraId="30BA63BC" w14:textId="76C5418A" w:rsidR="00016E79" w:rsidRPr="00A80D29" w:rsidRDefault="00016E79" w:rsidP="00A80D29">
      <w:pPr>
        <w:pStyle w:val="FootnoteText"/>
        <w:spacing w:after="120"/>
      </w:pPr>
      <w:r>
        <w:rPr>
          <w:rStyle w:val="FootnoteReference"/>
        </w:rPr>
        <w:footnoteRef/>
      </w:r>
      <w:r>
        <w:t xml:space="preserve"> The judicial sanctions imposed here were not for a failure to </w:t>
      </w:r>
      <w:r>
        <w:rPr>
          <w:i/>
          <w:iCs/>
        </w:rPr>
        <w:t>make</w:t>
      </w:r>
      <w:r>
        <w:t xml:space="preserve"> discovery.  To the contrary, Rubin was the one propounding the discovery.</w:t>
      </w:r>
    </w:p>
  </w:footnote>
  <w:footnote w:id="10">
    <w:p w14:paraId="1E981081" w14:textId="62C04170" w:rsidR="00016E79" w:rsidRDefault="00016E79" w:rsidP="005612AD">
      <w:pPr>
        <w:pStyle w:val="FootnoteText"/>
      </w:pPr>
      <w:r>
        <w:rPr>
          <w:rStyle w:val="FootnoteReference"/>
        </w:rPr>
        <w:footnoteRef/>
      </w:r>
      <w:r>
        <w:t xml:space="preserve"> Rubin argued the hearing judge improperly relied on his letter to Baumler and that when </w:t>
      </w:r>
      <w:r w:rsidR="0043225F">
        <w:t>Rubin</w:t>
      </w:r>
      <w:r>
        <w:t xml:space="preserve"> cited </w:t>
      </w:r>
      <w:r w:rsidRPr="009A5BF8">
        <w:rPr>
          <w:i/>
          <w:iCs/>
        </w:rPr>
        <w:t>Singh</w:t>
      </w:r>
      <w:r>
        <w:t xml:space="preserve">, he believed he was citing “good law.”  There are no grounds for this argument.  Rubin also argued that the judge improperly relied on the case management statement because </w:t>
      </w:r>
      <w:r w:rsidR="00F14396">
        <w:t>i</w:t>
      </w:r>
      <w:r>
        <w:t xml:space="preserve">t was a privileged communication under Civil Code section 47.  This argument is also rejected </w:t>
      </w:r>
      <w:r w:rsidR="00F14396">
        <w:t>because</w:t>
      </w:r>
      <w:r>
        <w:t xml:space="preserve"> the litigation privilege in Civil Code section 47 does not </w:t>
      </w:r>
      <w:r w:rsidR="0043225F">
        <w:t>apply</w:t>
      </w:r>
      <w:r>
        <w:t xml:space="preserve"> to disciplinary proceedings.</w:t>
      </w:r>
    </w:p>
  </w:footnote>
  <w:footnote w:id="11">
    <w:p w14:paraId="4ABDDB30" w14:textId="3FA0C809" w:rsidR="00016E79" w:rsidRDefault="00016E79" w:rsidP="00106492">
      <w:pPr>
        <w:pStyle w:val="FootnoteText"/>
        <w:spacing w:after="120"/>
      </w:pPr>
      <w:r>
        <w:rPr>
          <w:rStyle w:val="FootnoteReference"/>
        </w:rPr>
        <w:footnoteRef/>
      </w:r>
      <w:r>
        <w:t xml:space="preserve"> Other Business and Professions Code sections provide clear rules regarding attorney ethical conduct and do not require knowledge of the provision to </w:t>
      </w:r>
      <w:r w:rsidRPr="004E0C41">
        <w:t>violate</w:t>
      </w:r>
      <w:r w:rsidR="004F05D0" w:rsidRPr="004E0C41">
        <w:t xml:space="preserve"> it</w:t>
      </w:r>
      <w:r w:rsidRPr="004E0C41">
        <w:t>.</w:t>
      </w:r>
      <w:r>
        <w:t xml:space="preserve">  (E.g., § </w:t>
      </w:r>
      <w:r w:rsidRPr="00106492">
        <w:t>6103.5 [requirement that attorney c</w:t>
      </w:r>
      <w:r>
        <w:t>ommunicate settlement offer]; § </w:t>
      </w:r>
      <w:r w:rsidRPr="00106492">
        <w:t>6104 [attorney canno</w:t>
      </w:r>
      <w:r>
        <w:t>t appear without authority]; § </w:t>
      </w:r>
      <w:r w:rsidRPr="00106492">
        <w:t>6105 [lending name to person who is not attorney</w:t>
      </w:r>
      <w:r>
        <w:t>]; § </w:t>
      </w:r>
      <w:r w:rsidRPr="00106492">
        <w:t>6</w:t>
      </w:r>
      <w:r>
        <w:t>106.9 [sexual relations between attorney and client].)</w:t>
      </w:r>
    </w:p>
  </w:footnote>
  <w:footnote w:id="12">
    <w:p w14:paraId="27F85C08" w14:textId="370A4AC6" w:rsidR="00016E79" w:rsidRDefault="00016E79" w:rsidP="00045257">
      <w:pPr>
        <w:pStyle w:val="FootnoteText"/>
        <w:spacing w:after="120"/>
      </w:pPr>
      <w:r>
        <w:rPr>
          <w:rStyle w:val="FootnoteReference"/>
        </w:rPr>
        <w:footnoteRef/>
      </w:r>
      <w:r>
        <w:t xml:space="preserve"> Vanessa hired Stevenson in November 2017.  In February 2018, Vanessa hired Rubin in place of Stevenson.  However, a few days later, she informed Rubin that she had decided to remain with Stevenson.  Vanessa subsequently terminated Stevenson in March 2018 </w:t>
      </w:r>
      <w:r w:rsidR="006A055D">
        <w:t xml:space="preserve">and </w:t>
      </w:r>
      <w:r>
        <w:t>then rehired Rubin.</w:t>
      </w:r>
    </w:p>
  </w:footnote>
  <w:footnote w:id="13">
    <w:p w14:paraId="7DEF5513" w14:textId="332F785D" w:rsidR="00016E79" w:rsidRDefault="00016E79" w:rsidP="00985F39">
      <w:pPr>
        <w:pStyle w:val="FootnoteText"/>
      </w:pPr>
      <w:r>
        <w:rPr>
          <w:rStyle w:val="FootnoteReference"/>
        </w:rPr>
        <w:footnoteRef/>
      </w:r>
      <w:r>
        <w:t xml:space="preserve"> Rubin testified that Vanessa and Rade told him </w:t>
      </w:r>
      <w:r w:rsidR="006A055D">
        <w:t xml:space="preserve">at the meeting </w:t>
      </w:r>
      <w:r>
        <w:t>to continue to hold the refund.  The hearing judge found Rubin’s testimony not credible.</w:t>
      </w:r>
    </w:p>
  </w:footnote>
  <w:footnote w:id="14">
    <w:p w14:paraId="664A965E" w14:textId="2983DCCA" w:rsidR="00016E79" w:rsidRDefault="00016E79" w:rsidP="002E0B70">
      <w:pPr>
        <w:pStyle w:val="TemplateFootnote"/>
      </w:pPr>
      <w:r>
        <w:rPr>
          <w:rStyle w:val="FootnoteReference"/>
        </w:rPr>
        <w:footnoteRef/>
      </w:r>
      <w:r>
        <w:t xml:space="preserve"> Archiga also testified that after she sent the email to Rade </w:t>
      </w:r>
      <w:r w:rsidR="00C73840">
        <w:t>seeking</w:t>
      </w:r>
      <w:r>
        <w:t xml:space="preserve"> </w:t>
      </w:r>
      <w:r w:rsidR="00C73840">
        <w:t>authorization</w:t>
      </w:r>
      <w:r>
        <w:t xml:space="preserve"> to sign on his behalf, Rubin told her that </w:t>
      </w:r>
      <w:r w:rsidR="00C73840">
        <w:t xml:space="preserve">doing so </w:t>
      </w:r>
      <w:r>
        <w:t xml:space="preserve">was not </w:t>
      </w:r>
      <w:r w:rsidR="00C73840">
        <w:t>allowed</w:t>
      </w:r>
      <w:r>
        <w:t>.  Another secretary, Vanessa Ramirez</w:t>
      </w:r>
      <w:r w:rsidR="0019093C">
        <w:t xml:space="preserve">, </w:t>
      </w:r>
      <w:r>
        <w:t xml:space="preserve">testified that it was not office procedure to sign for clients on </w:t>
      </w:r>
      <w:r w:rsidR="00C73840">
        <w:t xml:space="preserve">discovery </w:t>
      </w:r>
      <w:r>
        <w:t>verifications.</w:t>
      </w:r>
    </w:p>
  </w:footnote>
  <w:footnote w:id="15">
    <w:p w14:paraId="619FC69E" w14:textId="77777777" w:rsidR="00016E79" w:rsidRDefault="00016E79" w:rsidP="00045257">
      <w:pPr>
        <w:pStyle w:val="FootnoteText"/>
        <w:spacing w:after="120"/>
      </w:pPr>
      <w:r>
        <w:rPr>
          <w:rStyle w:val="FootnoteReference"/>
        </w:rPr>
        <w:footnoteRef/>
      </w:r>
      <w:r>
        <w:t xml:space="preserve"> </w:t>
      </w:r>
      <w:r w:rsidRPr="00D53719">
        <w:t>Section 6106 provides, in part, that the commission of any act involving dishonesty, moral turpitude, or corruption constitutes cause for suspension or disbarment.</w:t>
      </w:r>
    </w:p>
  </w:footnote>
  <w:footnote w:id="16">
    <w:p w14:paraId="4AD52582" w14:textId="314A75B0" w:rsidR="00016E79" w:rsidRDefault="00016E79" w:rsidP="007A6C6B">
      <w:pPr>
        <w:pStyle w:val="TemplateFootnote"/>
      </w:pPr>
      <w:r>
        <w:rPr>
          <w:rStyle w:val="FootnoteReference"/>
        </w:rPr>
        <w:footnoteRef/>
      </w:r>
      <w:r>
        <w:t xml:space="preserve"> OCTC did not appeal the hearing judge’s culpability decision, but instead attempted to argue </w:t>
      </w:r>
      <w:r w:rsidRPr="005957EF">
        <w:t>misappropriation</w:t>
      </w:r>
      <w:r>
        <w:t xml:space="preserve"> </w:t>
      </w:r>
      <w:r w:rsidR="005957EF">
        <w:t xml:space="preserve">by </w:t>
      </w:r>
      <w:r w:rsidR="005957EF" w:rsidRPr="005957EF">
        <w:t xml:space="preserve">gross negligence </w:t>
      </w:r>
      <w:r>
        <w:t xml:space="preserve">in its responsive brief.  Some facts suggest that Rubin’s actions may have been grossly negligent or </w:t>
      </w:r>
      <w:r w:rsidR="00B102A5">
        <w:t>construed as</w:t>
      </w:r>
      <w:r>
        <w:t xml:space="preserve"> other misconduct.  </w:t>
      </w:r>
      <w:r w:rsidR="00A95A4C">
        <w:t>He</w:t>
      </w:r>
      <w:r>
        <w:t xml:space="preserve"> testified that he does not keep written journals or client ledgers or </w:t>
      </w:r>
      <w:r w:rsidR="00B102A5">
        <w:t>perform</w:t>
      </w:r>
      <w:r>
        <w:t xml:space="preserve"> monthly reconciliations for his CTA.  He admitted that his “bookkeeping was rather sloppy” and that he relied on a secretary to handle “a lot” of the </w:t>
      </w:r>
      <w:r w:rsidR="009A700C">
        <w:t xml:space="preserve">CTA </w:t>
      </w:r>
      <w:r>
        <w:t xml:space="preserve">work.  Also, his explanation of the dip was </w:t>
      </w:r>
      <w:r w:rsidR="00A95A4C">
        <w:t>incomplete</w:t>
      </w:r>
      <w:r>
        <w:t xml:space="preserve">.  </w:t>
      </w:r>
      <w:r w:rsidR="00A95A4C">
        <w:t xml:space="preserve">He </w:t>
      </w:r>
      <w:r>
        <w:t>accounted for only $2,500 of the $4,098.97</w:t>
      </w:r>
      <w:r w:rsidR="00183311">
        <w:t>,</w:t>
      </w:r>
      <w:r>
        <w:t xml:space="preserve"> attributing </w:t>
      </w:r>
      <w:r w:rsidR="00183311">
        <w:t>the missing funds</w:t>
      </w:r>
      <w:r>
        <w:t xml:space="preserve"> to an overpayment in another client matter.  </w:t>
      </w:r>
      <w:r w:rsidR="005B4347">
        <w:t>T</w:t>
      </w:r>
      <w:r>
        <w:t>he hearing judge did not find clear and convincing evidence of misappropriation and OCTC did not appeal that decision</w:t>
      </w:r>
      <w:r w:rsidR="005B4347">
        <w:t>.</w:t>
      </w:r>
      <w:r>
        <w:t xml:space="preserve"> </w:t>
      </w:r>
      <w:r w:rsidR="005B4347">
        <w:t>A</w:t>
      </w:r>
      <w:r w:rsidR="009B0222">
        <w:t>s a result</w:t>
      </w:r>
      <w:r w:rsidR="000D767E">
        <w:t>,</w:t>
      </w:r>
      <w:r w:rsidR="009B0222">
        <w:t xml:space="preserve"> </w:t>
      </w:r>
      <w:r>
        <w:t xml:space="preserve">we find that, in this instance, Rubin </w:t>
      </w:r>
      <w:r w:rsidR="005957EF">
        <w:t>did not</w:t>
      </w:r>
      <w:r w:rsidR="000D767E">
        <w:t xml:space="preserve"> have an opportunity to fully</w:t>
      </w:r>
      <w:r w:rsidR="005957EF">
        <w:t xml:space="preserve"> address the </w:t>
      </w:r>
      <w:r>
        <w:t>gross negligence issue</w:t>
      </w:r>
      <w:r w:rsidR="005957EF">
        <w:t xml:space="preserve"> on review</w:t>
      </w:r>
      <w:r>
        <w:t xml:space="preserve">.  Accordingly, it would be unfair for us to overturn the </w:t>
      </w:r>
      <w:r w:rsidR="00905DBA">
        <w:t xml:space="preserve">judge’s </w:t>
      </w:r>
      <w:r w:rsidR="009A700C">
        <w:t>finding</w:t>
      </w:r>
      <w:r>
        <w:t xml:space="preserve"> </w:t>
      </w:r>
      <w:r w:rsidR="00905DBA">
        <w:t>that Rubin is not culpable of this count</w:t>
      </w:r>
      <w:r>
        <w:t>.</w:t>
      </w:r>
    </w:p>
  </w:footnote>
  <w:footnote w:id="17">
    <w:p w14:paraId="637F3992" w14:textId="3FB58CEE" w:rsidR="00352FA0" w:rsidRDefault="00352FA0">
      <w:pPr>
        <w:pStyle w:val="FootnoteText"/>
      </w:pPr>
      <w:r>
        <w:rPr>
          <w:rStyle w:val="FootnoteReference"/>
        </w:rPr>
        <w:footnoteRef/>
      </w:r>
      <w:r>
        <w:t xml:space="preserve"> All further references to rules are to the former California Rules of Professional Conduct that were in effect until November 1, 2018, unless otherwise noted.</w:t>
      </w:r>
    </w:p>
  </w:footnote>
  <w:footnote w:id="18">
    <w:p w14:paraId="742C0E2E" w14:textId="733C9848" w:rsidR="00016E79" w:rsidRDefault="00016E79" w:rsidP="007B7771">
      <w:pPr>
        <w:pStyle w:val="FootnoteText"/>
        <w:spacing w:after="120"/>
      </w:pPr>
      <w:r>
        <w:rPr>
          <w:rStyle w:val="FootnoteReference"/>
        </w:rPr>
        <w:footnoteRef/>
      </w:r>
      <w:r>
        <w:t xml:space="preserve"> OCTC does not challenge the dismissal on review.</w:t>
      </w:r>
    </w:p>
  </w:footnote>
  <w:footnote w:id="19">
    <w:p w14:paraId="7656ABFA" w14:textId="2B520450" w:rsidR="00016E79" w:rsidRDefault="00016E79" w:rsidP="007B7771">
      <w:pPr>
        <w:pStyle w:val="FootnoteText"/>
        <w:spacing w:after="120"/>
      </w:pPr>
      <w:r>
        <w:rPr>
          <w:rStyle w:val="FootnoteReference"/>
        </w:rPr>
        <w:footnoteRef/>
      </w:r>
      <w:r>
        <w:t xml:space="preserve"> OCTC does not challenge the dismissal on review.</w:t>
      </w:r>
    </w:p>
  </w:footnote>
  <w:footnote w:id="20">
    <w:p w14:paraId="0AFF047E" w14:textId="1D0BD28A" w:rsidR="00016E79" w:rsidRDefault="00016E79" w:rsidP="00CF555E">
      <w:pPr>
        <w:pStyle w:val="TemplateFootnote"/>
      </w:pPr>
      <w:r>
        <w:rPr>
          <w:rStyle w:val="FootnoteReference"/>
        </w:rPr>
        <w:footnoteRef/>
      </w:r>
      <w:r>
        <w:t xml:space="preserve"> Rubin formed and represented PPL </w:t>
      </w:r>
      <w:r w:rsidR="00954141">
        <w:t>i</w:t>
      </w:r>
      <w:r>
        <w:t>n various matters unrelated to th</w:t>
      </w:r>
      <w:r w:rsidR="00F526AE">
        <w:t>os</w:t>
      </w:r>
      <w:r>
        <w:t>e described below.</w:t>
      </w:r>
    </w:p>
  </w:footnote>
  <w:footnote w:id="21">
    <w:p w14:paraId="745C1516" w14:textId="47513337" w:rsidR="00016E79" w:rsidRDefault="00016E79" w:rsidP="00891F49">
      <w:pPr>
        <w:pStyle w:val="FootnoteText"/>
        <w:spacing w:after="120"/>
      </w:pPr>
      <w:r>
        <w:rPr>
          <w:rStyle w:val="FootnoteReference"/>
        </w:rPr>
        <w:footnoteRef/>
      </w:r>
      <w:r>
        <w:t xml:space="preserve"> We reject Rubin’s argument that the hearing judge disregarded facts that would mitigate the commingling charges.  Rubin asserts that he lost $135,000 for a client, Ralph Hitchcock, when he received fraudulent wire instructions.  Therefore, he arranged for the loan and for Nomi to wire $100,000 into his CTA.  These facts m</w:t>
      </w:r>
      <w:r w:rsidR="00E71CDC">
        <w:t>ight</w:t>
      </w:r>
      <w:r>
        <w:t xml:space="preserve"> explain </w:t>
      </w:r>
      <w:r w:rsidR="00875343">
        <w:t>his need for</w:t>
      </w:r>
      <w:r>
        <w:t xml:space="preserve"> the $100,000, but</w:t>
      </w:r>
      <w:r w:rsidR="00875343">
        <w:t xml:space="preserve"> they</w:t>
      </w:r>
      <w:r>
        <w:t xml:space="preserve"> are not a defense for commingling personal funds in his CTA. </w:t>
      </w:r>
    </w:p>
  </w:footnote>
  <w:footnote w:id="22">
    <w:p w14:paraId="0BA1D97E" w14:textId="08D9B4DE" w:rsidR="00016E79" w:rsidRDefault="00016E79" w:rsidP="00C7417B">
      <w:pPr>
        <w:pStyle w:val="FootnoteText"/>
      </w:pPr>
      <w:r>
        <w:rPr>
          <w:rStyle w:val="FootnoteReference"/>
        </w:rPr>
        <w:footnoteRef/>
      </w:r>
      <w:r>
        <w:t xml:space="preserve"> Rubin argues that his prior records should not be considered as aggravation because a lengthy amount of time has passed since the previous disciplines.  We reject this argument</w:t>
      </w:r>
      <w:r w:rsidR="0008210C">
        <w:t>;</w:t>
      </w:r>
      <w:r>
        <w:t xml:space="preserve"> </w:t>
      </w:r>
      <w:r w:rsidR="007B22BB">
        <w:t xml:space="preserve">such </w:t>
      </w:r>
      <w:r>
        <w:t xml:space="preserve">remoteness </w:t>
      </w:r>
      <w:r w:rsidR="007B22BB">
        <w:t xml:space="preserve">does not </w:t>
      </w:r>
      <w:r>
        <w:t xml:space="preserve">bar us from considering prior misconduct.  We reiterate that the prior record here is especially relevant given the similarity of misconduct in the second discipline </w:t>
      </w:r>
      <w:r w:rsidR="005A07F8" w:rsidRPr="00C109A3">
        <w:t>to the present case</w:t>
      </w:r>
      <w:r w:rsidR="005A07F8">
        <w:t xml:space="preserve"> </w:t>
      </w:r>
      <w:r>
        <w:t xml:space="preserve">and the fact that </w:t>
      </w:r>
      <w:r w:rsidR="0008210C">
        <w:t>his</w:t>
      </w:r>
      <w:r>
        <w:t xml:space="preserve"> past interactions with the State Bar Court did not rehabilitate Rubin and prevent the current misconduct.</w:t>
      </w:r>
    </w:p>
  </w:footnote>
  <w:footnote w:id="23">
    <w:p w14:paraId="533EE7E2" w14:textId="1E8D19F1" w:rsidR="00016E79" w:rsidRDefault="00016E79" w:rsidP="00906C3B">
      <w:pPr>
        <w:pStyle w:val="FootnoteText"/>
        <w:spacing w:after="120"/>
      </w:pPr>
      <w:r>
        <w:rPr>
          <w:rStyle w:val="FootnoteReference"/>
        </w:rPr>
        <w:footnoteRef/>
      </w:r>
      <w:r>
        <w:t xml:space="preserve"> In finding indifference, the hearing judge noted Rubin’s approach to questioning particular witnesses at trial.  We find Rubin’s conduct more akin to mounting a vigorous defense.  </w:t>
      </w:r>
      <w:bookmarkStart w:id="20" w:name="_Hlk63898215"/>
      <w:r>
        <w:t xml:space="preserve">(See </w:t>
      </w:r>
      <w:r>
        <w:rPr>
          <w:i/>
        </w:rPr>
        <w:t>In re Morse</w:t>
      </w:r>
      <w:r>
        <w:t xml:space="preserve"> (1995) 11 Cal.4th 184, 209 [attorney has right to defend himself vigorously].)  </w:t>
      </w:r>
      <w:bookmarkEnd w:id="20"/>
      <w:r>
        <w:t>Therefore, we do not include these actions in our indifference finding.</w:t>
      </w:r>
    </w:p>
  </w:footnote>
  <w:footnote w:id="24">
    <w:p w14:paraId="0BC299DF" w14:textId="105405F2" w:rsidR="00016E79" w:rsidRDefault="00016E79" w:rsidP="00A40185">
      <w:pPr>
        <w:pStyle w:val="FootnoteText"/>
        <w:spacing w:after="120"/>
      </w:pPr>
      <w:r>
        <w:rPr>
          <w:rStyle w:val="FootnoteReference"/>
        </w:rPr>
        <w:footnoteRef/>
      </w:r>
      <w:r>
        <w:t xml:space="preserve"> The judge also stated that Rubin’s testimony lacked candor.  However, </w:t>
      </w:r>
      <w:r w:rsidR="00EF478C">
        <w:t>s</w:t>
      </w:r>
      <w:r>
        <w:t xml:space="preserve">he only made specific findings about Rubin’s </w:t>
      </w:r>
      <w:r w:rsidRPr="00BA2E77">
        <w:rPr>
          <w:i/>
          <w:iCs/>
        </w:rPr>
        <w:t>credibility</w:t>
      </w:r>
      <w:r>
        <w:t xml:space="preserve"> in the decision.  We do not find that the record supports a lack of candor finding</w:t>
      </w:r>
      <w:r w:rsidR="00C963FD">
        <w:t>, and</w:t>
      </w:r>
      <w:r>
        <w:t xml:space="preserve"> </w:t>
      </w:r>
      <w:r w:rsidR="00C963FD">
        <w:t>t</w:t>
      </w:r>
      <w:r>
        <w:t>herefore, we do not assign aggravation</w:t>
      </w:r>
      <w:r w:rsidR="00E148F8">
        <w:t xml:space="preserve"> on that basis</w:t>
      </w:r>
      <w:r>
        <w:t>.</w:t>
      </w:r>
    </w:p>
  </w:footnote>
  <w:footnote w:id="25">
    <w:p w14:paraId="42DFCDD1" w14:textId="7A56052E" w:rsidR="00016E79" w:rsidRDefault="00016E79" w:rsidP="003B5FD1">
      <w:pPr>
        <w:pStyle w:val="FootnoteText"/>
        <w:spacing w:after="120"/>
      </w:pPr>
      <w:r>
        <w:rPr>
          <w:rStyle w:val="FootnoteReference"/>
        </w:rPr>
        <w:footnoteRef/>
      </w:r>
      <w:r>
        <w:t xml:space="preserve"> In Rubin’s opening brief on review, he requests that we find that the hearing judge erred </w:t>
      </w:r>
      <w:r w:rsidR="00FA6440">
        <w:t xml:space="preserve">by </w:t>
      </w:r>
      <w:r>
        <w:t xml:space="preserve">failing to judicially notice the testimony of </w:t>
      </w:r>
      <w:r w:rsidRPr="00A77039">
        <w:t>Judge William D. Stewart of the Los Angeles County Superior Court.</w:t>
      </w:r>
      <w:r>
        <w:t xml:space="preserve">  R</w:t>
      </w:r>
      <w:r w:rsidR="00856A2D">
        <w:t>ubin</w:t>
      </w:r>
      <w:r w:rsidR="003F67A5">
        <w:t xml:space="preserve"> previously raised this issue in his</w:t>
      </w:r>
      <w:r w:rsidR="00856A2D">
        <w:t xml:space="preserve"> request filed on October </w:t>
      </w:r>
      <w:r>
        <w:t>5, 2020, which we</w:t>
      </w:r>
      <w:r w:rsidR="00856A2D">
        <w:t xml:space="preserve"> denied by order </w:t>
      </w:r>
      <w:r w:rsidR="00FA6440">
        <w:t xml:space="preserve">dated </w:t>
      </w:r>
      <w:r w:rsidR="00856A2D">
        <w:t>October </w:t>
      </w:r>
      <w:r>
        <w:t xml:space="preserve">23, 2020.  </w:t>
      </w:r>
      <w:r w:rsidRPr="002B176A">
        <w:t xml:space="preserve">We decline </w:t>
      </w:r>
      <w:r>
        <w:t>to revisit this request as the document</w:t>
      </w:r>
      <w:r w:rsidRPr="002B176A">
        <w:t xml:space="preserve"> is not a part of the record.</w:t>
      </w:r>
    </w:p>
  </w:footnote>
  <w:footnote w:id="26">
    <w:p w14:paraId="06758841" w14:textId="320ECBA8" w:rsidR="00016E79" w:rsidRDefault="00016E79" w:rsidP="003B5FD1">
      <w:pPr>
        <w:pStyle w:val="FootnoteText"/>
        <w:spacing w:after="120"/>
      </w:pPr>
      <w:r>
        <w:rPr>
          <w:rStyle w:val="FootnoteReference"/>
        </w:rPr>
        <w:footnoteRef/>
      </w:r>
      <w:r>
        <w:t xml:space="preserve"> Rubin represents Mathew in the Uvas cases discussed in this opinion.</w:t>
      </w:r>
    </w:p>
  </w:footnote>
  <w:footnote w:id="27">
    <w:p w14:paraId="65F8D078" w14:textId="725D1D98" w:rsidR="00016E79" w:rsidRDefault="00016E79" w:rsidP="00781DBF">
      <w:pPr>
        <w:pStyle w:val="FootnoteText"/>
        <w:spacing w:after="120"/>
      </w:pPr>
      <w:r>
        <w:rPr>
          <w:rStyle w:val="FootnoteReference"/>
        </w:rPr>
        <w:footnoteRef/>
      </w:r>
      <w:r>
        <w:t xml:space="preserve"> Standards 2.2(a)</w:t>
      </w:r>
      <w:r w:rsidR="0080441C">
        <w:t xml:space="preserve"> and (b)</w:t>
      </w:r>
      <w:r>
        <w:t>, 2.5(c), 2.12</w:t>
      </w:r>
      <w:r w:rsidR="0080441C">
        <w:t xml:space="preserve">(a) and </w:t>
      </w:r>
      <w:r>
        <w:t xml:space="preserve">(b), and 2.18 are also applicable.  </w:t>
      </w:r>
      <w:r w:rsidR="00E46608">
        <w:t>Standard </w:t>
      </w:r>
      <w:r>
        <w:t>2.2(a) provides for actual suspension of three months for commingling or for failure to promptly pay out entrusted funds</w:t>
      </w:r>
      <w:r w:rsidR="00AE5F87">
        <w:t>; standard 2.2(b) provides for suspension or reproval for other violations involving client funds</w:t>
      </w:r>
      <w:r>
        <w:t>.  Standard</w:t>
      </w:r>
      <w:r w:rsidR="00E46608">
        <w:t> </w:t>
      </w:r>
      <w:r>
        <w:t xml:space="preserve">2.5(c) provides for suspension or reproval for conflicts of interest. </w:t>
      </w:r>
      <w:r w:rsidR="00E46608">
        <w:t xml:space="preserve"> </w:t>
      </w:r>
      <w:r w:rsidR="00AE5F87">
        <w:t xml:space="preserve">Standard 2.12(a) provides for disbarment or actual suspension for </w:t>
      </w:r>
      <w:r w:rsidR="00975EA4">
        <w:t xml:space="preserve">a </w:t>
      </w:r>
      <w:r w:rsidR="00AE5F87">
        <w:t xml:space="preserve">violation </w:t>
      </w:r>
      <w:r w:rsidR="00310EFE">
        <w:t>of a court order; s</w:t>
      </w:r>
      <w:r w:rsidR="00E46608">
        <w:t>tandard </w:t>
      </w:r>
      <w:r>
        <w:t>2.12(b) provides for reproval for a violation of section</w:t>
      </w:r>
      <w:r w:rsidR="00E46608">
        <w:t> </w:t>
      </w:r>
      <w:r>
        <w:t>6068, subdi</w:t>
      </w:r>
      <w:r w:rsidR="00E46608">
        <w:t>vision </w:t>
      </w:r>
      <w:r>
        <w:t>(o).</w:t>
      </w:r>
      <w:r w:rsidR="00E46608">
        <w:t xml:space="preserve">  Standard </w:t>
      </w:r>
      <w:r>
        <w:t xml:space="preserve">2.18 provides for disbarment or actual suspension for a violation of a provision of Article 6 of the Business and Professions Code not otherwise specified.  </w:t>
      </w:r>
    </w:p>
  </w:footnote>
  <w:footnote w:id="28">
    <w:p w14:paraId="156287E7" w14:textId="76C97C61" w:rsidR="00016E79" w:rsidRDefault="00016E79">
      <w:pPr>
        <w:pStyle w:val="FootnoteText"/>
      </w:pPr>
      <w:r>
        <w:rPr>
          <w:rStyle w:val="FootnoteReference"/>
        </w:rPr>
        <w:footnoteRef/>
      </w:r>
      <w:r>
        <w:t xml:space="preserve"> We note that standard 1.8(b) is the controlling standard here and does not consider the remoteness of any prior discipline.  Remoteness is only considered under standard</w:t>
      </w:r>
      <w:r w:rsidR="00E109CC">
        <w:t> </w:t>
      </w:r>
      <w:r>
        <w:t>1.8(a) where there is a single prior record of discipline.</w:t>
      </w:r>
    </w:p>
  </w:footnote>
  <w:footnote w:id="29">
    <w:p w14:paraId="4F97C161" w14:textId="1EF0C993" w:rsidR="004E4B0E" w:rsidRPr="00E02158" w:rsidRDefault="004E4B0E" w:rsidP="004E4B0E">
      <w:pPr>
        <w:pStyle w:val="FootnoteText"/>
        <w:spacing w:after="120"/>
        <w:rPr>
          <w:szCs w:val="24"/>
        </w:rPr>
      </w:pPr>
      <w:r w:rsidRPr="00E02158">
        <w:rPr>
          <w:rStyle w:val="FootnoteReference"/>
          <w:szCs w:val="24"/>
        </w:rPr>
        <w:footnoteRef/>
      </w:r>
      <w:r w:rsidRPr="00E02158">
        <w:rPr>
          <w:szCs w:val="24"/>
        </w:rPr>
        <w:t xml:space="preserve"> For purposes of compliance with rule 9.20(a), the operative date for identification of “clients being represented in pending matters” and others to be notified is the filing date of the Supreme Court order, not any later “effective” date of the order.  (</w:t>
      </w:r>
      <w:r w:rsidRPr="00E02158">
        <w:rPr>
          <w:i/>
          <w:szCs w:val="24"/>
        </w:rPr>
        <w:t>Athearn v. State Bar</w:t>
      </w:r>
      <w:r w:rsidRPr="00E02158">
        <w:rPr>
          <w:szCs w:val="24"/>
        </w:rPr>
        <w:t xml:space="preserve"> (1982) 32</w:t>
      </w:r>
      <w:r>
        <w:rPr>
          <w:szCs w:val="24"/>
        </w:rPr>
        <w:t> </w:t>
      </w:r>
      <w:r w:rsidRPr="00E02158">
        <w:rPr>
          <w:szCs w:val="24"/>
        </w:rPr>
        <w:t xml:space="preserve">Cal.3d 38, 45.)  Further, </w:t>
      </w:r>
      <w:r w:rsidR="00D20509">
        <w:rPr>
          <w:szCs w:val="24"/>
        </w:rPr>
        <w:t>Rubin</w:t>
      </w:r>
      <w:r w:rsidRPr="00E02158">
        <w:rPr>
          <w:i/>
          <w:szCs w:val="24"/>
        </w:rPr>
        <w:t xml:space="preserve"> </w:t>
      </w:r>
      <w:r w:rsidRPr="00E02158">
        <w:rPr>
          <w:szCs w:val="24"/>
        </w:rPr>
        <w:t xml:space="preserve">is required to file a rule 9.20(c) affidavit even if </w:t>
      </w:r>
      <w:r w:rsidR="00D20509">
        <w:rPr>
          <w:szCs w:val="24"/>
        </w:rPr>
        <w:t>he</w:t>
      </w:r>
      <w:r w:rsidRPr="00E02158">
        <w:rPr>
          <w:szCs w:val="24"/>
        </w:rPr>
        <w:t xml:space="preserve"> has no clients to notify on the date the Supreme Court filed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D3D09"/>
    <w:multiLevelType w:val="hybridMultilevel"/>
    <w:tmpl w:val="47DAFF60"/>
    <w:lvl w:ilvl="0" w:tplc="1CC05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984927"/>
    <w:multiLevelType w:val="hybridMultilevel"/>
    <w:tmpl w:val="E3827686"/>
    <w:lvl w:ilvl="0" w:tplc="0409000F">
      <w:start w:val="1"/>
      <w:numFmt w:val="decimal"/>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D13D2"/>
    <w:multiLevelType w:val="hybridMultilevel"/>
    <w:tmpl w:val="7A4AD642"/>
    <w:lvl w:ilvl="0" w:tplc="FB0248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9"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51514"/>
    <w:multiLevelType w:val="hybridMultilevel"/>
    <w:tmpl w:val="47DAFF60"/>
    <w:lvl w:ilvl="0" w:tplc="1CC05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E1D04"/>
    <w:multiLevelType w:val="hybridMultilevel"/>
    <w:tmpl w:val="1138EB3E"/>
    <w:lvl w:ilvl="0" w:tplc="E594EDF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9"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5"/>
  </w:num>
  <w:num w:numId="2">
    <w:abstractNumId w:val="13"/>
  </w:num>
  <w:num w:numId="3">
    <w:abstractNumId w:val="6"/>
  </w:num>
  <w:num w:numId="4">
    <w:abstractNumId w:val="21"/>
  </w:num>
  <w:num w:numId="5">
    <w:abstractNumId w:val="5"/>
  </w:num>
  <w:num w:numId="6">
    <w:abstractNumId w:val="16"/>
  </w:num>
  <w:num w:numId="7">
    <w:abstractNumId w:val="10"/>
  </w:num>
  <w:num w:numId="8">
    <w:abstractNumId w:val="9"/>
  </w:num>
  <w:num w:numId="9">
    <w:abstractNumId w:val="19"/>
  </w:num>
  <w:num w:numId="10">
    <w:abstractNumId w:val="18"/>
  </w:num>
  <w:num w:numId="11">
    <w:abstractNumId w:val="12"/>
  </w:num>
  <w:num w:numId="12">
    <w:abstractNumId w:val="8"/>
  </w:num>
  <w:num w:numId="13">
    <w:abstractNumId w:val="24"/>
  </w:num>
  <w:num w:numId="14">
    <w:abstractNumId w:val="20"/>
  </w:num>
  <w:num w:numId="15">
    <w:abstractNumId w:val="11"/>
  </w:num>
  <w:num w:numId="16">
    <w:abstractNumId w:val="4"/>
  </w:num>
  <w:num w:numId="17">
    <w:abstractNumId w:val="0"/>
  </w:num>
  <w:num w:numId="18">
    <w:abstractNumId w:val="23"/>
  </w:num>
  <w:num w:numId="19">
    <w:abstractNumId w:val="1"/>
  </w:num>
  <w:num w:numId="20">
    <w:abstractNumId w:val="3"/>
  </w:num>
  <w:num w:numId="21">
    <w:abstractNumId w:val="22"/>
  </w:num>
  <w:num w:numId="22">
    <w:abstractNumId w:val="17"/>
  </w:num>
  <w:num w:numId="23">
    <w:abstractNumId w:val="2"/>
  </w:num>
  <w:num w:numId="24">
    <w:abstractNumId w:val="1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3B"/>
    <w:rsid w:val="000008B8"/>
    <w:rsid w:val="00000B56"/>
    <w:rsid w:val="00000F61"/>
    <w:rsid w:val="00001C48"/>
    <w:rsid w:val="00003360"/>
    <w:rsid w:val="00004183"/>
    <w:rsid w:val="0000478B"/>
    <w:rsid w:val="0000527C"/>
    <w:rsid w:val="0000609F"/>
    <w:rsid w:val="00007C35"/>
    <w:rsid w:val="00010721"/>
    <w:rsid w:val="00012188"/>
    <w:rsid w:val="0001281A"/>
    <w:rsid w:val="000137C7"/>
    <w:rsid w:val="0001531F"/>
    <w:rsid w:val="00015A4B"/>
    <w:rsid w:val="000161FD"/>
    <w:rsid w:val="00016CC9"/>
    <w:rsid w:val="00016E79"/>
    <w:rsid w:val="0001772F"/>
    <w:rsid w:val="00017F12"/>
    <w:rsid w:val="000204A2"/>
    <w:rsid w:val="00020B89"/>
    <w:rsid w:val="00021836"/>
    <w:rsid w:val="00021EBA"/>
    <w:rsid w:val="000220BB"/>
    <w:rsid w:val="0002630D"/>
    <w:rsid w:val="00027125"/>
    <w:rsid w:val="00027259"/>
    <w:rsid w:val="000312D3"/>
    <w:rsid w:val="0003196A"/>
    <w:rsid w:val="00032188"/>
    <w:rsid w:val="00032F2B"/>
    <w:rsid w:val="0003316A"/>
    <w:rsid w:val="0003339E"/>
    <w:rsid w:val="0003380F"/>
    <w:rsid w:val="000348E3"/>
    <w:rsid w:val="00034B68"/>
    <w:rsid w:val="00035863"/>
    <w:rsid w:val="00037B01"/>
    <w:rsid w:val="00040E3E"/>
    <w:rsid w:val="00040F12"/>
    <w:rsid w:val="000432A2"/>
    <w:rsid w:val="0004358B"/>
    <w:rsid w:val="00044848"/>
    <w:rsid w:val="00044890"/>
    <w:rsid w:val="00044F66"/>
    <w:rsid w:val="00045257"/>
    <w:rsid w:val="00045B3E"/>
    <w:rsid w:val="00045CD7"/>
    <w:rsid w:val="00046E4E"/>
    <w:rsid w:val="0004701F"/>
    <w:rsid w:val="00047661"/>
    <w:rsid w:val="00047B85"/>
    <w:rsid w:val="0005185E"/>
    <w:rsid w:val="00052CBF"/>
    <w:rsid w:val="00054C56"/>
    <w:rsid w:val="00055C8A"/>
    <w:rsid w:val="00057024"/>
    <w:rsid w:val="00060200"/>
    <w:rsid w:val="000612E7"/>
    <w:rsid w:val="00064E11"/>
    <w:rsid w:val="00064E32"/>
    <w:rsid w:val="00065411"/>
    <w:rsid w:val="000656B0"/>
    <w:rsid w:val="000659E1"/>
    <w:rsid w:val="00065A44"/>
    <w:rsid w:val="0006657A"/>
    <w:rsid w:val="000673CE"/>
    <w:rsid w:val="00070042"/>
    <w:rsid w:val="00070C2A"/>
    <w:rsid w:val="00070ECB"/>
    <w:rsid w:val="000712DA"/>
    <w:rsid w:val="000722A6"/>
    <w:rsid w:val="000734C8"/>
    <w:rsid w:val="00073E72"/>
    <w:rsid w:val="000755CC"/>
    <w:rsid w:val="00075F5A"/>
    <w:rsid w:val="000763B3"/>
    <w:rsid w:val="00076A6E"/>
    <w:rsid w:val="00076E86"/>
    <w:rsid w:val="00076FB9"/>
    <w:rsid w:val="000775FC"/>
    <w:rsid w:val="0008009C"/>
    <w:rsid w:val="00081658"/>
    <w:rsid w:val="0008191E"/>
    <w:rsid w:val="00081C98"/>
    <w:rsid w:val="0008210C"/>
    <w:rsid w:val="000830B4"/>
    <w:rsid w:val="00084517"/>
    <w:rsid w:val="00084721"/>
    <w:rsid w:val="00084727"/>
    <w:rsid w:val="000849DD"/>
    <w:rsid w:val="00085159"/>
    <w:rsid w:val="00085E0F"/>
    <w:rsid w:val="00085FCC"/>
    <w:rsid w:val="0008655C"/>
    <w:rsid w:val="0008745F"/>
    <w:rsid w:val="000910D3"/>
    <w:rsid w:val="00091281"/>
    <w:rsid w:val="00092189"/>
    <w:rsid w:val="00092576"/>
    <w:rsid w:val="000937C4"/>
    <w:rsid w:val="0009380E"/>
    <w:rsid w:val="0009382D"/>
    <w:rsid w:val="00094BA9"/>
    <w:rsid w:val="0009506D"/>
    <w:rsid w:val="00095856"/>
    <w:rsid w:val="000A0472"/>
    <w:rsid w:val="000A1C3D"/>
    <w:rsid w:val="000A25B4"/>
    <w:rsid w:val="000A54C1"/>
    <w:rsid w:val="000A5822"/>
    <w:rsid w:val="000A5C51"/>
    <w:rsid w:val="000A5ECE"/>
    <w:rsid w:val="000A703A"/>
    <w:rsid w:val="000B0DBE"/>
    <w:rsid w:val="000B1BE5"/>
    <w:rsid w:val="000B27DC"/>
    <w:rsid w:val="000B2BC0"/>
    <w:rsid w:val="000B3994"/>
    <w:rsid w:val="000B3BA7"/>
    <w:rsid w:val="000B4D85"/>
    <w:rsid w:val="000C03F7"/>
    <w:rsid w:val="000C0CF3"/>
    <w:rsid w:val="000C154E"/>
    <w:rsid w:val="000C1650"/>
    <w:rsid w:val="000C2389"/>
    <w:rsid w:val="000C2422"/>
    <w:rsid w:val="000C396A"/>
    <w:rsid w:val="000C4D16"/>
    <w:rsid w:val="000C5504"/>
    <w:rsid w:val="000C5A9C"/>
    <w:rsid w:val="000C5EF3"/>
    <w:rsid w:val="000C684B"/>
    <w:rsid w:val="000C768C"/>
    <w:rsid w:val="000D1286"/>
    <w:rsid w:val="000D3C19"/>
    <w:rsid w:val="000D446D"/>
    <w:rsid w:val="000D607D"/>
    <w:rsid w:val="000D63AB"/>
    <w:rsid w:val="000D6912"/>
    <w:rsid w:val="000D7064"/>
    <w:rsid w:val="000D767E"/>
    <w:rsid w:val="000E001B"/>
    <w:rsid w:val="000E09B5"/>
    <w:rsid w:val="000E0A7C"/>
    <w:rsid w:val="000E1CD0"/>
    <w:rsid w:val="000E1E53"/>
    <w:rsid w:val="000E1EDE"/>
    <w:rsid w:val="000E21F7"/>
    <w:rsid w:val="000E2397"/>
    <w:rsid w:val="000E23F8"/>
    <w:rsid w:val="000E31E9"/>
    <w:rsid w:val="000E32FD"/>
    <w:rsid w:val="000E3692"/>
    <w:rsid w:val="000E4055"/>
    <w:rsid w:val="000E4887"/>
    <w:rsid w:val="000E5E2E"/>
    <w:rsid w:val="000E6523"/>
    <w:rsid w:val="000E726A"/>
    <w:rsid w:val="000E75B2"/>
    <w:rsid w:val="000E7613"/>
    <w:rsid w:val="000E7C5A"/>
    <w:rsid w:val="000F09B4"/>
    <w:rsid w:val="000F2449"/>
    <w:rsid w:val="000F2860"/>
    <w:rsid w:val="000F5211"/>
    <w:rsid w:val="000F5D93"/>
    <w:rsid w:val="000F78CD"/>
    <w:rsid w:val="00100272"/>
    <w:rsid w:val="001005B2"/>
    <w:rsid w:val="001017CB"/>
    <w:rsid w:val="00102BE6"/>
    <w:rsid w:val="001048A2"/>
    <w:rsid w:val="00105C32"/>
    <w:rsid w:val="00106118"/>
    <w:rsid w:val="00106492"/>
    <w:rsid w:val="001077A4"/>
    <w:rsid w:val="001107FA"/>
    <w:rsid w:val="00111676"/>
    <w:rsid w:val="00111DFC"/>
    <w:rsid w:val="001131A7"/>
    <w:rsid w:val="00113252"/>
    <w:rsid w:val="0011559F"/>
    <w:rsid w:val="001159D1"/>
    <w:rsid w:val="00116AFF"/>
    <w:rsid w:val="00120374"/>
    <w:rsid w:val="00121304"/>
    <w:rsid w:val="001217D7"/>
    <w:rsid w:val="00121D89"/>
    <w:rsid w:val="001229DC"/>
    <w:rsid w:val="00123EF9"/>
    <w:rsid w:val="00124E3F"/>
    <w:rsid w:val="00124EBF"/>
    <w:rsid w:val="001256C8"/>
    <w:rsid w:val="00125B6C"/>
    <w:rsid w:val="00127BA7"/>
    <w:rsid w:val="00127CF9"/>
    <w:rsid w:val="0013076F"/>
    <w:rsid w:val="00131577"/>
    <w:rsid w:val="001320D2"/>
    <w:rsid w:val="00133911"/>
    <w:rsid w:val="0013516C"/>
    <w:rsid w:val="00135A4C"/>
    <w:rsid w:val="0013621A"/>
    <w:rsid w:val="00136BAB"/>
    <w:rsid w:val="001375F5"/>
    <w:rsid w:val="00140F9E"/>
    <w:rsid w:val="001441C5"/>
    <w:rsid w:val="00144657"/>
    <w:rsid w:val="00145390"/>
    <w:rsid w:val="00145CFE"/>
    <w:rsid w:val="00145D91"/>
    <w:rsid w:val="00146D53"/>
    <w:rsid w:val="00147211"/>
    <w:rsid w:val="001506A7"/>
    <w:rsid w:val="00150E67"/>
    <w:rsid w:val="00150F78"/>
    <w:rsid w:val="00151110"/>
    <w:rsid w:val="0015183F"/>
    <w:rsid w:val="00151D20"/>
    <w:rsid w:val="00151FC3"/>
    <w:rsid w:val="00152AA6"/>
    <w:rsid w:val="00152E78"/>
    <w:rsid w:val="00152FFA"/>
    <w:rsid w:val="00153B44"/>
    <w:rsid w:val="001542F1"/>
    <w:rsid w:val="001543C0"/>
    <w:rsid w:val="001548CD"/>
    <w:rsid w:val="0015497C"/>
    <w:rsid w:val="00155100"/>
    <w:rsid w:val="00155D68"/>
    <w:rsid w:val="00156C9B"/>
    <w:rsid w:val="00157B70"/>
    <w:rsid w:val="00160894"/>
    <w:rsid w:val="00161BBF"/>
    <w:rsid w:val="001628E1"/>
    <w:rsid w:val="001633B2"/>
    <w:rsid w:val="00164BF3"/>
    <w:rsid w:val="00166473"/>
    <w:rsid w:val="00166C13"/>
    <w:rsid w:val="00166CC7"/>
    <w:rsid w:val="00167E6C"/>
    <w:rsid w:val="001707B8"/>
    <w:rsid w:val="001718F2"/>
    <w:rsid w:val="00171C06"/>
    <w:rsid w:val="00171C0B"/>
    <w:rsid w:val="001728AD"/>
    <w:rsid w:val="00173505"/>
    <w:rsid w:val="0017417D"/>
    <w:rsid w:val="00176AB2"/>
    <w:rsid w:val="00176C82"/>
    <w:rsid w:val="00177977"/>
    <w:rsid w:val="00177C91"/>
    <w:rsid w:val="00177CBA"/>
    <w:rsid w:val="001818AB"/>
    <w:rsid w:val="0018243D"/>
    <w:rsid w:val="001827BE"/>
    <w:rsid w:val="00182C42"/>
    <w:rsid w:val="00182D6D"/>
    <w:rsid w:val="00183311"/>
    <w:rsid w:val="0018561E"/>
    <w:rsid w:val="0018686E"/>
    <w:rsid w:val="00186BBD"/>
    <w:rsid w:val="00186E9E"/>
    <w:rsid w:val="0019093C"/>
    <w:rsid w:val="001914A5"/>
    <w:rsid w:val="00195587"/>
    <w:rsid w:val="00195955"/>
    <w:rsid w:val="001959AC"/>
    <w:rsid w:val="00195FFB"/>
    <w:rsid w:val="00196741"/>
    <w:rsid w:val="0019753A"/>
    <w:rsid w:val="0019765B"/>
    <w:rsid w:val="00197BF4"/>
    <w:rsid w:val="00197C41"/>
    <w:rsid w:val="001A049B"/>
    <w:rsid w:val="001A0EAA"/>
    <w:rsid w:val="001A3082"/>
    <w:rsid w:val="001A3324"/>
    <w:rsid w:val="001A3FF2"/>
    <w:rsid w:val="001A44C2"/>
    <w:rsid w:val="001A4D44"/>
    <w:rsid w:val="001A4ED2"/>
    <w:rsid w:val="001A6CD9"/>
    <w:rsid w:val="001A6E33"/>
    <w:rsid w:val="001B0596"/>
    <w:rsid w:val="001B0733"/>
    <w:rsid w:val="001B12A4"/>
    <w:rsid w:val="001B1A0D"/>
    <w:rsid w:val="001B1C86"/>
    <w:rsid w:val="001B208B"/>
    <w:rsid w:val="001B21E7"/>
    <w:rsid w:val="001B2F13"/>
    <w:rsid w:val="001B2F2A"/>
    <w:rsid w:val="001B2F99"/>
    <w:rsid w:val="001B349D"/>
    <w:rsid w:val="001B3812"/>
    <w:rsid w:val="001B3B9E"/>
    <w:rsid w:val="001B466B"/>
    <w:rsid w:val="001B47B5"/>
    <w:rsid w:val="001B5F78"/>
    <w:rsid w:val="001B6F02"/>
    <w:rsid w:val="001B7B95"/>
    <w:rsid w:val="001C0964"/>
    <w:rsid w:val="001C0E8B"/>
    <w:rsid w:val="001C245B"/>
    <w:rsid w:val="001C2E60"/>
    <w:rsid w:val="001C3689"/>
    <w:rsid w:val="001C3791"/>
    <w:rsid w:val="001C5C0E"/>
    <w:rsid w:val="001C5F5D"/>
    <w:rsid w:val="001C753F"/>
    <w:rsid w:val="001C767B"/>
    <w:rsid w:val="001D0B7F"/>
    <w:rsid w:val="001D0DAE"/>
    <w:rsid w:val="001D3A1B"/>
    <w:rsid w:val="001D3A28"/>
    <w:rsid w:val="001D5172"/>
    <w:rsid w:val="001D69C0"/>
    <w:rsid w:val="001D7AF8"/>
    <w:rsid w:val="001E0E42"/>
    <w:rsid w:val="001E0F2F"/>
    <w:rsid w:val="001E1567"/>
    <w:rsid w:val="001E1694"/>
    <w:rsid w:val="001E2CCD"/>
    <w:rsid w:val="001E318F"/>
    <w:rsid w:val="001E3307"/>
    <w:rsid w:val="001E5088"/>
    <w:rsid w:val="001E57A9"/>
    <w:rsid w:val="001E595A"/>
    <w:rsid w:val="001E5A9B"/>
    <w:rsid w:val="001E6461"/>
    <w:rsid w:val="001E64A0"/>
    <w:rsid w:val="001E6A12"/>
    <w:rsid w:val="001E6CDD"/>
    <w:rsid w:val="001F0BBB"/>
    <w:rsid w:val="001F1335"/>
    <w:rsid w:val="001F1C24"/>
    <w:rsid w:val="001F2523"/>
    <w:rsid w:val="001F2C41"/>
    <w:rsid w:val="001F2E9A"/>
    <w:rsid w:val="001F352F"/>
    <w:rsid w:val="001F41E8"/>
    <w:rsid w:val="001F5100"/>
    <w:rsid w:val="001F59AC"/>
    <w:rsid w:val="001F5B35"/>
    <w:rsid w:val="001F5E84"/>
    <w:rsid w:val="001F64A4"/>
    <w:rsid w:val="001F6AC2"/>
    <w:rsid w:val="001F6DA7"/>
    <w:rsid w:val="001F6EA7"/>
    <w:rsid w:val="001F7547"/>
    <w:rsid w:val="001F7D17"/>
    <w:rsid w:val="001F7F52"/>
    <w:rsid w:val="00200752"/>
    <w:rsid w:val="00201000"/>
    <w:rsid w:val="0020181C"/>
    <w:rsid w:val="00202972"/>
    <w:rsid w:val="00203644"/>
    <w:rsid w:val="0020368B"/>
    <w:rsid w:val="002044EA"/>
    <w:rsid w:val="00205634"/>
    <w:rsid w:val="00206075"/>
    <w:rsid w:val="0020687C"/>
    <w:rsid w:val="00207895"/>
    <w:rsid w:val="00207B26"/>
    <w:rsid w:val="00211A95"/>
    <w:rsid w:val="00211B6A"/>
    <w:rsid w:val="00211D31"/>
    <w:rsid w:val="00211EFE"/>
    <w:rsid w:val="002120E8"/>
    <w:rsid w:val="00212DAE"/>
    <w:rsid w:val="00213BA7"/>
    <w:rsid w:val="00213D15"/>
    <w:rsid w:val="00213ECC"/>
    <w:rsid w:val="002155DC"/>
    <w:rsid w:val="002162A0"/>
    <w:rsid w:val="00216F00"/>
    <w:rsid w:val="002225CF"/>
    <w:rsid w:val="00223504"/>
    <w:rsid w:val="00223BF0"/>
    <w:rsid w:val="00223C6A"/>
    <w:rsid w:val="00223FAF"/>
    <w:rsid w:val="00224526"/>
    <w:rsid w:val="002248F0"/>
    <w:rsid w:val="00225A1C"/>
    <w:rsid w:val="0022654B"/>
    <w:rsid w:val="00226AF2"/>
    <w:rsid w:val="0023243C"/>
    <w:rsid w:val="00232600"/>
    <w:rsid w:val="00232F0B"/>
    <w:rsid w:val="00233CFE"/>
    <w:rsid w:val="00234D03"/>
    <w:rsid w:val="00234F21"/>
    <w:rsid w:val="002354B6"/>
    <w:rsid w:val="002367F7"/>
    <w:rsid w:val="00237600"/>
    <w:rsid w:val="0023766E"/>
    <w:rsid w:val="00237790"/>
    <w:rsid w:val="0024010D"/>
    <w:rsid w:val="00241353"/>
    <w:rsid w:val="002425AE"/>
    <w:rsid w:val="0024299E"/>
    <w:rsid w:val="00242C77"/>
    <w:rsid w:val="00243640"/>
    <w:rsid w:val="00243A9D"/>
    <w:rsid w:val="00243CB4"/>
    <w:rsid w:val="00244A80"/>
    <w:rsid w:val="00245DC3"/>
    <w:rsid w:val="002464C0"/>
    <w:rsid w:val="00246861"/>
    <w:rsid w:val="00246C3B"/>
    <w:rsid w:val="002472F7"/>
    <w:rsid w:val="00250153"/>
    <w:rsid w:val="002508B4"/>
    <w:rsid w:val="00250AD7"/>
    <w:rsid w:val="002518C1"/>
    <w:rsid w:val="00252C67"/>
    <w:rsid w:val="002556E2"/>
    <w:rsid w:val="00256841"/>
    <w:rsid w:val="00256C8B"/>
    <w:rsid w:val="00256EA5"/>
    <w:rsid w:val="002611C6"/>
    <w:rsid w:val="002627FB"/>
    <w:rsid w:val="002640F4"/>
    <w:rsid w:val="0026455C"/>
    <w:rsid w:val="00264701"/>
    <w:rsid w:val="00264922"/>
    <w:rsid w:val="00264F34"/>
    <w:rsid w:val="00264F3B"/>
    <w:rsid w:val="002657A8"/>
    <w:rsid w:val="00267EC6"/>
    <w:rsid w:val="00272626"/>
    <w:rsid w:val="0027303B"/>
    <w:rsid w:val="00274392"/>
    <w:rsid w:val="002749B9"/>
    <w:rsid w:val="00275D1C"/>
    <w:rsid w:val="002773F2"/>
    <w:rsid w:val="00277A4F"/>
    <w:rsid w:val="0028165C"/>
    <w:rsid w:val="00281E1E"/>
    <w:rsid w:val="0028221C"/>
    <w:rsid w:val="0028321F"/>
    <w:rsid w:val="002857AF"/>
    <w:rsid w:val="0028625D"/>
    <w:rsid w:val="00286AA8"/>
    <w:rsid w:val="00286EFD"/>
    <w:rsid w:val="002873CD"/>
    <w:rsid w:val="0028772B"/>
    <w:rsid w:val="00287F9F"/>
    <w:rsid w:val="00290783"/>
    <w:rsid w:val="0029158D"/>
    <w:rsid w:val="00291DF5"/>
    <w:rsid w:val="00293579"/>
    <w:rsid w:val="00293DB5"/>
    <w:rsid w:val="002943E1"/>
    <w:rsid w:val="00294B95"/>
    <w:rsid w:val="00295456"/>
    <w:rsid w:val="002954C8"/>
    <w:rsid w:val="0029593C"/>
    <w:rsid w:val="002962D3"/>
    <w:rsid w:val="002965E8"/>
    <w:rsid w:val="002978FA"/>
    <w:rsid w:val="00297FF5"/>
    <w:rsid w:val="002A010C"/>
    <w:rsid w:val="002A02B7"/>
    <w:rsid w:val="002A0586"/>
    <w:rsid w:val="002A1679"/>
    <w:rsid w:val="002A1963"/>
    <w:rsid w:val="002A1995"/>
    <w:rsid w:val="002A240A"/>
    <w:rsid w:val="002A4041"/>
    <w:rsid w:val="002A4075"/>
    <w:rsid w:val="002A535A"/>
    <w:rsid w:val="002A679D"/>
    <w:rsid w:val="002A6B49"/>
    <w:rsid w:val="002A7929"/>
    <w:rsid w:val="002A7DB0"/>
    <w:rsid w:val="002A7DEA"/>
    <w:rsid w:val="002B176A"/>
    <w:rsid w:val="002B40F3"/>
    <w:rsid w:val="002B445A"/>
    <w:rsid w:val="002B5243"/>
    <w:rsid w:val="002B60FE"/>
    <w:rsid w:val="002B638C"/>
    <w:rsid w:val="002B748D"/>
    <w:rsid w:val="002B7AEB"/>
    <w:rsid w:val="002C00BD"/>
    <w:rsid w:val="002C0CA3"/>
    <w:rsid w:val="002C10ED"/>
    <w:rsid w:val="002C1B57"/>
    <w:rsid w:val="002C1DF8"/>
    <w:rsid w:val="002C1E03"/>
    <w:rsid w:val="002C1E87"/>
    <w:rsid w:val="002C20F6"/>
    <w:rsid w:val="002C3502"/>
    <w:rsid w:val="002C3846"/>
    <w:rsid w:val="002C399B"/>
    <w:rsid w:val="002C39CB"/>
    <w:rsid w:val="002C57C5"/>
    <w:rsid w:val="002C5908"/>
    <w:rsid w:val="002C6486"/>
    <w:rsid w:val="002C7029"/>
    <w:rsid w:val="002C7105"/>
    <w:rsid w:val="002D04AB"/>
    <w:rsid w:val="002D09A9"/>
    <w:rsid w:val="002D09B3"/>
    <w:rsid w:val="002D1CC9"/>
    <w:rsid w:val="002D1D00"/>
    <w:rsid w:val="002D20AF"/>
    <w:rsid w:val="002D300F"/>
    <w:rsid w:val="002D36B4"/>
    <w:rsid w:val="002D3EB4"/>
    <w:rsid w:val="002D41B9"/>
    <w:rsid w:val="002D4545"/>
    <w:rsid w:val="002D4B0A"/>
    <w:rsid w:val="002D5C41"/>
    <w:rsid w:val="002D6875"/>
    <w:rsid w:val="002D74A2"/>
    <w:rsid w:val="002E0B70"/>
    <w:rsid w:val="002E180B"/>
    <w:rsid w:val="002E1BC1"/>
    <w:rsid w:val="002E1D2D"/>
    <w:rsid w:val="002E3C4E"/>
    <w:rsid w:val="002E3D64"/>
    <w:rsid w:val="002E3D98"/>
    <w:rsid w:val="002E4B0F"/>
    <w:rsid w:val="002E61F0"/>
    <w:rsid w:val="002E68B5"/>
    <w:rsid w:val="002E6D92"/>
    <w:rsid w:val="002E7B4A"/>
    <w:rsid w:val="002F0D89"/>
    <w:rsid w:val="002F1F9E"/>
    <w:rsid w:val="002F230D"/>
    <w:rsid w:val="002F3BFA"/>
    <w:rsid w:val="002F45AA"/>
    <w:rsid w:val="002F5184"/>
    <w:rsid w:val="002F58EF"/>
    <w:rsid w:val="002F5ABB"/>
    <w:rsid w:val="002F5B16"/>
    <w:rsid w:val="002F6174"/>
    <w:rsid w:val="002F6598"/>
    <w:rsid w:val="002F724C"/>
    <w:rsid w:val="002F794F"/>
    <w:rsid w:val="002F7963"/>
    <w:rsid w:val="00300265"/>
    <w:rsid w:val="00300571"/>
    <w:rsid w:val="00300D78"/>
    <w:rsid w:val="00300F6F"/>
    <w:rsid w:val="003030D9"/>
    <w:rsid w:val="003046FF"/>
    <w:rsid w:val="00305899"/>
    <w:rsid w:val="0030661C"/>
    <w:rsid w:val="00306668"/>
    <w:rsid w:val="00306B29"/>
    <w:rsid w:val="0031034A"/>
    <w:rsid w:val="0031075A"/>
    <w:rsid w:val="00310EFE"/>
    <w:rsid w:val="00311270"/>
    <w:rsid w:val="0031324C"/>
    <w:rsid w:val="00315898"/>
    <w:rsid w:val="00315AF2"/>
    <w:rsid w:val="003166A2"/>
    <w:rsid w:val="0031698D"/>
    <w:rsid w:val="00317047"/>
    <w:rsid w:val="0032043E"/>
    <w:rsid w:val="003209BE"/>
    <w:rsid w:val="0032125E"/>
    <w:rsid w:val="00321716"/>
    <w:rsid w:val="0032178F"/>
    <w:rsid w:val="00321E01"/>
    <w:rsid w:val="00325579"/>
    <w:rsid w:val="003255C7"/>
    <w:rsid w:val="00325C35"/>
    <w:rsid w:val="00326183"/>
    <w:rsid w:val="003263FE"/>
    <w:rsid w:val="003305BD"/>
    <w:rsid w:val="00330C70"/>
    <w:rsid w:val="00331284"/>
    <w:rsid w:val="003313E4"/>
    <w:rsid w:val="0033316B"/>
    <w:rsid w:val="00333654"/>
    <w:rsid w:val="0033391D"/>
    <w:rsid w:val="0033406D"/>
    <w:rsid w:val="0033592C"/>
    <w:rsid w:val="00336A7E"/>
    <w:rsid w:val="00337298"/>
    <w:rsid w:val="00337725"/>
    <w:rsid w:val="003427DA"/>
    <w:rsid w:val="00342A9D"/>
    <w:rsid w:val="00343A0C"/>
    <w:rsid w:val="00343CF9"/>
    <w:rsid w:val="00343FE6"/>
    <w:rsid w:val="003443AE"/>
    <w:rsid w:val="00344FB8"/>
    <w:rsid w:val="00345504"/>
    <w:rsid w:val="00345541"/>
    <w:rsid w:val="00347479"/>
    <w:rsid w:val="00350462"/>
    <w:rsid w:val="00350925"/>
    <w:rsid w:val="00351606"/>
    <w:rsid w:val="0035231B"/>
    <w:rsid w:val="00352DFC"/>
    <w:rsid w:val="00352FA0"/>
    <w:rsid w:val="0035392B"/>
    <w:rsid w:val="00353BAE"/>
    <w:rsid w:val="00353D37"/>
    <w:rsid w:val="00353EA0"/>
    <w:rsid w:val="0035432F"/>
    <w:rsid w:val="00354536"/>
    <w:rsid w:val="003546BF"/>
    <w:rsid w:val="00356517"/>
    <w:rsid w:val="0035697B"/>
    <w:rsid w:val="00357051"/>
    <w:rsid w:val="00360E0A"/>
    <w:rsid w:val="00362625"/>
    <w:rsid w:val="0036278C"/>
    <w:rsid w:val="0036342B"/>
    <w:rsid w:val="0036373F"/>
    <w:rsid w:val="00364264"/>
    <w:rsid w:val="00364D66"/>
    <w:rsid w:val="00365106"/>
    <w:rsid w:val="0036539B"/>
    <w:rsid w:val="003656A8"/>
    <w:rsid w:val="0036673E"/>
    <w:rsid w:val="00366A03"/>
    <w:rsid w:val="003671B8"/>
    <w:rsid w:val="003672AD"/>
    <w:rsid w:val="00367461"/>
    <w:rsid w:val="003679BE"/>
    <w:rsid w:val="00367B5B"/>
    <w:rsid w:val="00367FD0"/>
    <w:rsid w:val="00370961"/>
    <w:rsid w:val="0037127A"/>
    <w:rsid w:val="003717CC"/>
    <w:rsid w:val="00374340"/>
    <w:rsid w:val="0037465B"/>
    <w:rsid w:val="003747FF"/>
    <w:rsid w:val="0037594C"/>
    <w:rsid w:val="00375AD2"/>
    <w:rsid w:val="00376A30"/>
    <w:rsid w:val="003772F9"/>
    <w:rsid w:val="0038019C"/>
    <w:rsid w:val="00380B20"/>
    <w:rsid w:val="00381715"/>
    <w:rsid w:val="00382790"/>
    <w:rsid w:val="00382FFF"/>
    <w:rsid w:val="003835FC"/>
    <w:rsid w:val="00383AE7"/>
    <w:rsid w:val="0038403F"/>
    <w:rsid w:val="003843B0"/>
    <w:rsid w:val="00384443"/>
    <w:rsid w:val="00385FEB"/>
    <w:rsid w:val="00386928"/>
    <w:rsid w:val="0038709F"/>
    <w:rsid w:val="003900CB"/>
    <w:rsid w:val="00390428"/>
    <w:rsid w:val="00390D1C"/>
    <w:rsid w:val="00391D03"/>
    <w:rsid w:val="0039203F"/>
    <w:rsid w:val="003929C3"/>
    <w:rsid w:val="00393C9E"/>
    <w:rsid w:val="00394685"/>
    <w:rsid w:val="00394BC9"/>
    <w:rsid w:val="00394CF1"/>
    <w:rsid w:val="00395CDC"/>
    <w:rsid w:val="003966DE"/>
    <w:rsid w:val="003967C9"/>
    <w:rsid w:val="003A023F"/>
    <w:rsid w:val="003A10F6"/>
    <w:rsid w:val="003A34FA"/>
    <w:rsid w:val="003A422A"/>
    <w:rsid w:val="003A4298"/>
    <w:rsid w:val="003A53C0"/>
    <w:rsid w:val="003A5A32"/>
    <w:rsid w:val="003A5F40"/>
    <w:rsid w:val="003A63F7"/>
    <w:rsid w:val="003A66FD"/>
    <w:rsid w:val="003A68D8"/>
    <w:rsid w:val="003A6B81"/>
    <w:rsid w:val="003A6F97"/>
    <w:rsid w:val="003A7662"/>
    <w:rsid w:val="003B03F8"/>
    <w:rsid w:val="003B097F"/>
    <w:rsid w:val="003B115E"/>
    <w:rsid w:val="003B173D"/>
    <w:rsid w:val="003B2460"/>
    <w:rsid w:val="003B2A67"/>
    <w:rsid w:val="003B497C"/>
    <w:rsid w:val="003B5FD1"/>
    <w:rsid w:val="003C2306"/>
    <w:rsid w:val="003C3921"/>
    <w:rsid w:val="003C4321"/>
    <w:rsid w:val="003C6732"/>
    <w:rsid w:val="003C6FF9"/>
    <w:rsid w:val="003C74B5"/>
    <w:rsid w:val="003C7A7C"/>
    <w:rsid w:val="003D09FD"/>
    <w:rsid w:val="003D0DF8"/>
    <w:rsid w:val="003D1019"/>
    <w:rsid w:val="003D1986"/>
    <w:rsid w:val="003D3595"/>
    <w:rsid w:val="003D41D0"/>
    <w:rsid w:val="003D7000"/>
    <w:rsid w:val="003D7680"/>
    <w:rsid w:val="003D7B8F"/>
    <w:rsid w:val="003D7D88"/>
    <w:rsid w:val="003E1B80"/>
    <w:rsid w:val="003E2BE1"/>
    <w:rsid w:val="003E4921"/>
    <w:rsid w:val="003E50B9"/>
    <w:rsid w:val="003E54D6"/>
    <w:rsid w:val="003E55AE"/>
    <w:rsid w:val="003E6DB8"/>
    <w:rsid w:val="003E7ADA"/>
    <w:rsid w:val="003E7BB3"/>
    <w:rsid w:val="003F065B"/>
    <w:rsid w:val="003F06DF"/>
    <w:rsid w:val="003F0ADB"/>
    <w:rsid w:val="003F0EFC"/>
    <w:rsid w:val="003F15B8"/>
    <w:rsid w:val="003F2028"/>
    <w:rsid w:val="003F4278"/>
    <w:rsid w:val="003F4287"/>
    <w:rsid w:val="003F52FB"/>
    <w:rsid w:val="003F5A0E"/>
    <w:rsid w:val="003F616A"/>
    <w:rsid w:val="003F62BD"/>
    <w:rsid w:val="003F67A5"/>
    <w:rsid w:val="003F76A5"/>
    <w:rsid w:val="003F7D1F"/>
    <w:rsid w:val="003F7DB8"/>
    <w:rsid w:val="00400322"/>
    <w:rsid w:val="0040150E"/>
    <w:rsid w:val="00402A54"/>
    <w:rsid w:val="00403D37"/>
    <w:rsid w:val="0040436F"/>
    <w:rsid w:val="004043C3"/>
    <w:rsid w:val="00404FBB"/>
    <w:rsid w:val="00405F9B"/>
    <w:rsid w:val="004068D6"/>
    <w:rsid w:val="00406E9B"/>
    <w:rsid w:val="004072D6"/>
    <w:rsid w:val="00407B2A"/>
    <w:rsid w:val="0041025E"/>
    <w:rsid w:val="00410514"/>
    <w:rsid w:val="00411DC5"/>
    <w:rsid w:val="00411F11"/>
    <w:rsid w:val="00412010"/>
    <w:rsid w:val="00412F09"/>
    <w:rsid w:val="00413FD9"/>
    <w:rsid w:val="004145C7"/>
    <w:rsid w:val="0041472B"/>
    <w:rsid w:val="00415A9C"/>
    <w:rsid w:val="00415E8C"/>
    <w:rsid w:val="004169E7"/>
    <w:rsid w:val="00416D0F"/>
    <w:rsid w:val="00416D8D"/>
    <w:rsid w:val="00417E86"/>
    <w:rsid w:val="00417F20"/>
    <w:rsid w:val="004202D7"/>
    <w:rsid w:val="00420A93"/>
    <w:rsid w:val="00420C4C"/>
    <w:rsid w:val="00421862"/>
    <w:rsid w:val="00421C5C"/>
    <w:rsid w:val="00421C79"/>
    <w:rsid w:val="00421F0F"/>
    <w:rsid w:val="00422579"/>
    <w:rsid w:val="004229CD"/>
    <w:rsid w:val="00422A49"/>
    <w:rsid w:val="00424379"/>
    <w:rsid w:val="0042444A"/>
    <w:rsid w:val="004244E4"/>
    <w:rsid w:val="00424FA9"/>
    <w:rsid w:val="00425BF1"/>
    <w:rsid w:val="00426015"/>
    <w:rsid w:val="00426501"/>
    <w:rsid w:val="0042653B"/>
    <w:rsid w:val="00427460"/>
    <w:rsid w:val="004300B4"/>
    <w:rsid w:val="00431C44"/>
    <w:rsid w:val="00431E20"/>
    <w:rsid w:val="0043225F"/>
    <w:rsid w:val="0043240F"/>
    <w:rsid w:val="004330DE"/>
    <w:rsid w:val="00434C6B"/>
    <w:rsid w:val="00434FA7"/>
    <w:rsid w:val="004365C1"/>
    <w:rsid w:val="00437E94"/>
    <w:rsid w:val="00440060"/>
    <w:rsid w:val="00440D74"/>
    <w:rsid w:val="00441117"/>
    <w:rsid w:val="00443E9D"/>
    <w:rsid w:val="004443F4"/>
    <w:rsid w:val="00444F56"/>
    <w:rsid w:val="0044505B"/>
    <w:rsid w:val="00445E2C"/>
    <w:rsid w:val="00447FCA"/>
    <w:rsid w:val="00452D27"/>
    <w:rsid w:val="00453206"/>
    <w:rsid w:val="00453603"/>
    <w:rsid w:val="0045433F"/>
    <w:rsid w:val="00454FCE"/>
    <w:rsid w:val="00456034"/>
    <w:rsid w:val="004565B8"/>
    <w:rsid w:val="00456FE7"/>
    <w:rsid w:val="00457C7B"/>
    <w:rsid w:val="00460016"/>
    <w:rsid w:val="00460FFF"/>
    <w:rsid w:val="004619FC"/>
    <w:rsid w:val="004621AB"/>
    <w:rsid w:val="00464392"/>
    <w:rsid w:val="00465BBD"/>
    <w:rsid w:val="00466398"/>
    <w:rsid w:val="0047000D"/>
    <w:rsid w:val="00470B6C"/>
    <w:rsid w:val="00471641"/>
    <w:rsid w:val="00471F06"/>
    <w:rsid w:val="004723D7"/>
    <w:rsid w:val="004725BA"/>
    <w:rsid w:val="00473457"/>
    <w:rsid w:val="004738F0"/>
    <w:rsid w:val="00474987"/>
    <w:rsid w:val="00474BDE"/>
    <w:rsid w:val="004764B5"/>
    <w:rsid w:val="004773AA"/>
    <w:rsid w:val="004826F5"/>
    <w:rsid w:val="00482944"/>
    <w:rsid w:val="00482A0C"/>
    <w:rsid w:val="00482B27"/>
    <w:rsid w:val="004831CE"/>
    <w:rsid w:val="00483250"/>
    <w:rsid w:val="00483DB5"/>
    <w:rsid w:val="00484DCF"/>
    <w:rsid w:val="00484E87"/>
    <w:rsid w:val="00485171"/>
    <w:rsid w:val="00486056"/>
    <w:rsid w:val="00486F79"/>
    <w:rsid w:val="00487F8D"/>
    <w:rsid w:val="00491536"/>
    <w:rsid w:val="00492D76"/>
    <w:rsid w:val="00493997"/>
    <w:rsid w:val="00495E30"/>
    <w:rsid w:val="00497AF9"/>
    <w:rsid w:val="004A0A0F"/>
    <w:rsid w:val="004A1159"/>
    <w:rsid w:val="004A1AC5"/>
    <w:rsid w:val="004A273B"/>
    <w:rsid w:val="004A3C38"/>
    <w:rsid w:val="004A48FC"/>
    <w:rsid w:val="004A60B9"/>
    <w:rsid w:val="004A63EC"/>
    <w:rsid w:val="004A6DC3"/>
    <w:rsid w:val="004A718F"/>
    <w:rsid w:val="004A740B"/>
    <w:rsid w:val="004A7526"/>
    <w:rsid w:val="004B0CB5"/>
    <w:rsid w:val="004B1647"/>
    <w:rsid w:val="004B16F7"/>
    <w:rsid w:val="004B1CF4"/>
    <w:rsid w:val="004B3ADC"/>
    <w:rsid w:val="004B45B7"/>
    <w:rsid w:val="004B587D"/>
    <w:rsid w:val="004B6CDF"/>
    <w:rsid w:val="004B7D3B"/>
    <w:rsid w:val="004C0202"/>
    <w:rsid w:val="004C09E4"/>
    <w:rsid w:val="004C25AE"/>
    <w:rsid w:val="004C533D"/>
    <w:rsid w:val="004C604A"/>
    <w:rsid w:val="004C6A45"/>
    <w:rsid w:val="004C79A5"/>
    <w:rsid w:val="004C7F28"/>
    <w:rsid w:val="004D1704"/>
    <w:rsid w:val="004D1864"/>
    <w:rsid w:val="004D1B0D"/>
    <w:rsid w:val="004D2E38"/>
    <w:rsid w:val="004D32E9"/>
    <w:rsid w:val="004D389C"/>
    <w:rsid w:val="004D3CF1"/>
    <w:rsid w:val="004D56D0"/>
    <w:rsid w:val="004E02CE"/>
    <w:rsid w:val="004E061F"/>
    <w:rsid w:val="004E0AC8"/>
    <w:rsid w:val="004E0C41"/>
    <w:rsid w:val="004E0D84"/>
    <w:rsid w:val="004E131D"/>
    <w:rsid w:val="004E1EED"/>
    <w:rsid w:val="004E30F4"/>
    <w:rsid w:val="004E34BB"/>
    <w:rsid w:val="004E4AC6"/>
    <w:rsid w:val="004E4B0E"/>
    <w:rsid w:val="004E4CBA"/>
    <w:rsid w:val="004E7948"/>
    <w:rsid w:val="004F05D0"/>
    <w:rsid w:val="004F0F34"/>
    <w:rsid w:val="004F1C0F"/>
    <w:rsid w:val="004F2275"/>
    <w:rsid w:val="004F2D9F"/>
    <w:rsid w:val="004F34E2"/>
    <w:rsid w:val="004F3AE4"/>
    <w:rsid w:val="004F3EE4"/>
    <w:rsid w:val="004F4322"/>
    <w:rsid w:val="004F51FA"/>
    <w:rsid w:val="004F5D09"/>
    <w:rsid w:val="004F622B"/>
    <w:rsid w:val="004F69CA"/>
    <w:rsid w:val="004F72F7"/>
    <w:rsid w:val="00500262"/>
    <w:rsid w:val="005009E4"/>
    <w:rsid w:val="00502AC7"/>
    <w:rsid w:val="0050336E"/>
    <w:rsid w:val="00503F33"/>
    <w:rsid w:val="00506C94"/>
    <w:rsid w:val="005074A7"/>
    <w:rsid w:val="00507744"/>
    <w:rsid w:val="00511813"/>
    <w:rsid w:val="0051240F"/>
    <w:rsid w:val="00512D7D"/>
    <w:rsid w:val="00514D79"/>
    <w:rsid w:val="00515F5A"/>
    <w:rsid w:val="00517F09"/>
    <w:rsid w:val="00520042"/>
    <w:rsid w:val="005203E0"/>
    <w:rsid w:val="00520FA0"/>
    <w:rsid w:val="00521BD8"/>
    <w:rsid w:val="00521D53"/>
    <w:rsid w:val="00524225"/>
    <w:rsid w:val="00524990"/>
    <w:rsid w:val="005252A5"/>
    <w:rsid w:val="005254B0"/>
    <w:rsid w:val="00525F1F"/>
    <w:rsid w:val="00526191"/>
    <w:rsid w:val="00530E70"/>
    <w:rsid w:val="00531C03"/>
    <w:rsid w:val="00531F01"/>
    <w:rsid w:val="005328A2"/>
    <w:rsid w:val="005334D3"/>
    <w:rsid w:val="00533FBB"/>
    <w:rsid w:val="005347DE"/>
    <w:rsid w:val="0053489D"/>
    <w:rsid w:val="00534AC5"/>
    <w:rsid w:val="00535A2D"/>
    <w:rsid w:val="00536B98"/>
    <w:rsid w:val="00542B18"/>
    <w:rsid w:val="005431C9"/>
    <w:rsid w:val="00544362"/>
    <w:rsid w:val="005458B9"/>
    <w:rsid w:val="005466C8"/>
    <w:rsid w:val="00546ABC"/>
    <w:rsid w:val="00546ADE"/>
    <w:rsid w:val="00546CD9"/>
    <w:rsid w:val="00551A58"/>
    <w:rsid w:val="00552A93"/>
    <w:rsid w:val="00552E9D"/>
    <w:rsid w:val="00553292"/>
    <w:rsid w:val="005539CE"/>
    <w:rsid w:val="005539FB"/>
    <w:rsid w:val="005546FD"/>
    <w:rsid w:val="005556C2"/>
    <w:rsid w:val="005573EC"/>
    <w:rsid w:val="00557AA3"/>
    <w:rsid w:val="00560ED4"/>
    <w:rsid w:val="005612AD"/>
    <w:rsid w:val="00563BCB"/>
    <w:rsid w:val="0056471E"/>
    <w:rsid w:val="00564843"/>
    <w:rsid w:val="00565976"/>
    <w:rsid w:val="00565CE3"/>
    <w:rsid w:val="00565F7C"/>
    <w:rsid w:val="00566072"/>
    <w:rsid w:val="0056677B"/>
    <w:rsid w:val="00567B1A"/>
    <w:rsid w:val="00567D95"/>
    <w:rsid w:val="00570C3E"/>
    <w:rsid w:val="00571387"/>
    <w:rsid w:val="00571663"/>
    <w:rsid w:val="005722F8"/>
    <w:rsid w:val="005725C7"/>
    <w:rsid w:val="0057356B"/>
    <w:rsid w:val="00573EF6"/>
    <w:rsid w:val="005741CB"/>
    <w:rsid w:val="00574DB7"/>
    <w:rsid w:val="00575A75"/>
    <w:rsid w:val="00575CE4"/>
    <w:rsid w:val="00576CE7"/>
    <w:rsid w:val="00580BCF"/>
    <w:rsid w:val="00581B64"/>
    <w:rsid w:val="0058263F"/>
    <w:rsid w:val="005828C9"/>
    <w:rsid w:val="00582C9B"/>
    <w:rsid w:val="00584B20"/>
    <w:rsid w:val="005855B9"/>
    <w:rsid w:val="00585674"/>
    <w:rsid w:val="005868CE"/>
    <w:rsid w:val="00586A9F"/>
    <w:rsid w:val="00587ECC"/>
    <w:rsid w:val="005905B3"/>
    <w:rsid w:val="00590B3F"/>
    <w:rsid w:val="00595764"/>
    <w:rsid w:val="005957EF"/>
    <w:rsid w:val="00595CFC"/>
    <w:rsid w:val="00595F9C"/>
    <w:rsid w:val="005967FE"/>
    <w:rsid w:val="00596A43"/>
    <w:rsid w:val="005A07F8"/>
    <w:rsid w:val="005A1018"/>
    <w:rsid w:val="005A1784"/>
    <w:rsid w:val="005A1DA9"/>
    <w:rsid w:val="005A2543"/>
    <w:rsid w:val="005A2604"/>
    <w:rsid w:val="005A301D"/>
    <w:rsid w:val="005A53A3"/>
    <w:rsid w:val="005A6681"/>
    <w:rsid w:val="005A73E6"/>
    <w:rsid w:val="005A74E4"/>
    <w:rsid w:val="005A7A6B"/>
    <w:rsid w:val="005A7FE1"/>
    <w:rsid w:val="005B03DA"/>
    <w:rsid w:val="005B13BA"/>
    <w:rsid w:val="005B18A9"/>
    <w:rsid w:val="005B195E"/>
    <w:rsid w:val="005B1DFC"/>
    <w:rsid w:val="005B4347"/>
    <w:rsid w:val="005B4A3A"/>
    <w:rsid w:val="005B5080"/>
    <w:rsid w:val="005B582A"/>
    <w:rsid w:val="005B7CC3"/>
    <w:rsid w:val="005C17BF"/>
    <w:rsid w:val="005C237B"/>
    <w:rsid w:val="005C4C92"/>
    <w:rsid w:val="005C509A"/>
    <w:rsid w:val="005C6609"/>
    <w:rsid w:val="005C6FF7"/>
    <w:rsid w:val="005D0419"/>
    <w:rsid w:val="005D0578"/>
    <w:rsid w:val="005D1D9A"/>
    <w:rsid w:val="005D252F"/>
    <w:rsid w:val="005D28BF"/>
    <w:rsid w:val="005D2AB4"/>
    <w:rsid w:val="005D2CA7"/>
    <w:rsid w:val="005D3217"/>
    <w:rsid w:val="005D33FA"/>
    <w:rsid w:val="005D3B67"/>
    <w:rsid w:val="005D5E1A"/>
    <w:rsid w:val="005D63CE"/>
    <w:rsid w:val="005D700D"/>
    <w:rsid w:val="005D7993"/>
    <w:rsid w:val="005E030D"/>
    <w:rsid w:val="005E0349"/>
    <w:rsid w:val="005E14A5"/>
    <w:rsid w:val="005E289B"/>
    <w:rsid w:val="005E31C5"/>
    <w:rsid w:val="005E3966"/>
    <w:rsid w:val="005E4A18"/>
    <w:rsid w:val="005E4DBF"/>
    <w:rsid w:val="005E4FCC"/>
    <w:rsid w:val="005E66C4"/>
    <w:rsid w:val="005E6F87"/>
    <w:rsid w:val="005E70E1"/>
    <w:rsid w:val="005F106D"/>
    <w:rsid w:val="005F12BA"/>
    <w:rsid w:val="005F1A2C"/>
    <w:rsid w:val="005F1F2A"/>
    <w:rsid w:val="005F540A"/>
    <w:rsid w:val="005F5795"/>
    <w:rsid w:val="005F586B"/>
    <w:rsid w:val="005F686D"/>
    <w:rsid w:val="005F762F"/>
    <w:rsid w:val="00600085"/>
    <w:rsid w:val="00602D57"/>
    <w:rsid w:val="00605028"/>
    <w:rsid w:val="00605473"/>
    <w:rsid w:val="0060577F"/>
    <w:rsid w:val="00606130"/>
    <w:rsid w:val="00606597"/>
    <w:rsid w:val="00606D20"/>
    <w:rsid w:val="00607352"/>
    <w:rsid w:val="0061017D"/>
    <w:rsid w:val="006102C0"/>
    <w:rsid w:val="006126A4"/>
    <w:rsid w:val="0061274E"/>
    <w:rsid w:val="006138F4"/>
    <w:rsid w:val="00614BF6"/>
    <w:rsid w:val="00616C94"/>
    <w:rsid w:val="00617919"/>
    <w:rsid w:val="00617941"/>
    <w:rsid w:val="00620FB8"/>
    <w:rsid w:val="00621274"/>
    <w:rsid w:val="006213FD"/>
    <w:rsid w:val="00621CF1"/>
    <w:rsid w:val="00622267"/>
    <w:rsid w:val="00622A9E"/>
    <w:rsid w:val="00623387"/>
    <w:rsid w:val="00623F71"/>
    <w:rsid w:val="00625BF1"/>
    <w:rsid w:val="00625FCC"/>
    <w:rsid w:val="006268E8"/>
    <w:rsid w:val="00627438"/>
    <w:rsid w:val="006301AE"/>
    <w:rsid w:val="0063027B"/>
    <w:rsid w:val="00630D60"/>
    <w:rsid w:val="006318C0"/>
    <w:rsid w:val="00633564"/>
    <w:rsid w:val="00634B4D"/>
    <w:rsid w:val="0063748A"/>
    <w:rsid w:val="0063778C"/>
    <w:rsid w:val="00637AD2"/>
    <w:rsid w:val="00637E88"/>
    <w:rsid w:val="006408C2"/>
    <w:rsid w:val="00640B2A"/>
    <w:rsid w:val="00642191"/>
    <w:rsid w:val="00643332"/>
    <w:rsid w:val="00644BAB"/>
    <w:rsid w:val="0064578A"/>
    <w:rsid w:val="00645F6D"/>
    <w:rsid w:val="006476AD"/>
    <w:rsid w:val="0065009F"/>
    <w:rsid w:val="00650662"/>
    <w:rsid w:val="00650E13"/>
    <w:rsid w:val="006514AF"/>
    <w:rsid w:val="006514C5"/>
    <w:rsid w:val="00651EB4"/>
    <w:rsid w:val="00652245"/>
    <w:rsid w:val="00653104"/>
    <w:rsid w:val="00654D26"/>
    <w:rsid w:val="00654DF1"/>
    <w:rsid w:val="006562EF"/>
    <w:rsid w:val="00656B5F"/>
    <w:rsid w:val="006602DF"/>
    <w:rsid w:val="00661C97"/>
    <w:rsid w:val="006646F1"/>
    <w:rsid w:val="00664D1D"/>
    <w:rsid w:val="006651CE"/>
    <w:rsid w:val="00665C29"/>
    <w:rsid w:val="006661C8"/>
    <w:rsid w:val="0066774C"/>
    <w:rsid w:val="00667C6D"/>
    <w:rsid w:val="00667E9D"/>
    <w:rsid w:val="0067061F"/>
    <w:rsid w:val="0067078A"/>
    <w:rsid w:val="00672C77"/>
    <w:rsid w:val="00673F29"/>
    <w:rsid w:val="00674338"/>
    <w:rsid w:val="00674B6F"/>
    <w:rsid w:val="006761F3"/>
    <w:rsid w:val="0067630E"/>
    <w:rsid w:val="00677AEB"/>
    <w:rsid w:val="00680762"/>
    <w:rsid w:val="006811EF"/>
    <w:rsid w:val="0068147D"/>
    <w:rsid w:val="006814BF"/>
    <w:rsid w:val="00682A63"/>
    <w:rsid w:val="006833F4"/>
    <w:rsid w:val="006856D5"/>
    <w:rsid w:val="00686163"/>
    <w:rsid w:val="00686995"/>
    <w:rsid w:val="00686F53"/>
    <w:rsid w:val="0068701A"/>
    <w:rsid w:val="006900D5"/>
    <w:rsid w:val="006905B5"/>
    <w:rsid w:val="00691104"/>
    <w:rsid w:val="006916F1"/>
    <w:rsid w:val="006917E4"/>
    <w:rsid w:val="00692072"/>
    <w:rsid w:val="00692852"/>
    <w:rsid w:val="00692B45"/>
    <w:rsid w:val="00694588"/>
    <w:rsid w:val="00694E96"/>
    <w:rsid w:val="00694FD5"/>
    <w:rsid w:val="00695D56"/>
    <w:rsid w:val="006960B0"/>
    <w:rsid w:val="00697008"/>
    <w:rsid w:val="006971D6"/>
    <w:rsid w:val="006979F7"/>
    <w:rsid w:val="006A055D"/>
    <w:rsid w:val="006A0B37"/>
    <w:rsid w:val="006A1098"/>
    <w:rsid w:val="006A1ED9"/>
    <w:rsid w:val="006A27AD"/>
    <w:rsid w:val="006A2B97"/>
    <w:rsid w:val="006A2CC8"/>
    <w:rsid w:val="006A4705"/>
    <w:rsid w:val="006A5670"/>
    <w:rsid w:val="006A6AFF"/>
    <w:rsid w:val="006A7BBA"/>
    <w:rsid w:val="006B00B7"/>
    <w:rsid w:val="006B0A93"/>
    <w:rsid w:val="006B0EE0"/>
    <w:rsid w:val="006B17C3"/>
    <w:rsid w:val="006B1E21"/>
    <w:rsid w:val="006B1F77"/>
    <w:rsid w:val="006B3460"/>
    <w:rsid w:val="006B3505"/>
    <w:rsid w:val="006B4287"/>
    <w:rsid w:val="006B452A"/>
    <w:rsid w:val="006B5D2C"/>
    <w:rsid w:val="006B5F75"/>
    <w:rsid w:val="006B680F"/>
    <w:rsid w:val="006C0428"/>
    <w:rsid w:val="006C15AD"/>
    <w:rsid w:val="006C230C"/>
    <w:rsid w:val="006C2865"/>
    <w:rsid w:val="006C32C5"/>
    <w:rsid w:val="006C4248"/>
    <w:rsid w:val="006C463F"/>
    <w:rsid w:val="006C49B9"/>
    <w:rsid w:val="006C5471"/>
    <w:rsid w:val="006C5C71"/>
    <w:rsid w:val="006C65B0"/>
    <w:rsid w:val="006C6844"/>
    <w:rsid w:val="006D12FD"/>
    <w:rsid w:val="006D15CF"/>
    <w:rsid w:val="006D17BC"/>
    <w:rsid w:val="006D1D52"/>
    <w:rsid w:val="006D22B6"/>
    <w:rsid w:val="006D3109"/>
    <w:rsid w:val="006D319E"/>
    <w:rsid w:val="006D366D"/>
    <w:rsid w:val="006D38B8"/>
    <w:rsid w:val="006D3AC2"/>
    <w:rsid w:val="006D40BC"/>
    <w:rsid w:val="006D506F"/>
    <w:rsid w:val="006D562E"/>
    <w:rsid w:val="006D59F6"/>
    <w:rsid w:val="006D5DF2"/>
    <w:rsid w:val="006D7141"/>
    <w:rsid w:val="006E08A1"/>
    <w:rsid w:val="006E0A41"/>
    <w:rsid w:val="006E0AF3"/>
    <w:rsid w:val="006E1137"/>
    <w:rsid w:val="006E190A"/>
    <w:rsid w:val="006E22BC"/>
    <w:rsid w:val="006E4BAA"/>
    <w:rsid w:val="006E4C84"/>
    <w:rsid w:val="006E4CE2"/>
    <w:rsid w:val="006E554D"/>
    <w:rsid w:val="006E7068"/>
    <w:rsid w:val="006E71C1"/>
    <w:rsid w:val="006F0579"/>
    <w:rsid w:val="006F0A4B"/>
    <w:rsid w:val="006F127B"/>
    <w:rsid w:val="006F21CC"/>
    <w:rsid w:val="006F2C17"/>
    <w:rsid w:val="006F2C2E"/>
    <w:rsid w:val="006F2DD9"/>
    <w:rsid w:val="006F4667"/>
    <w:rsid w:val="006F4905"/>
    <w:rsid w:val="006F4B0D"/>
    <w:rsid w:val="006F5C04"/>
    <w:rsid w:val="006F7767"/>
    <w:rsid w:val="00701118"/>
    <w:rsid w:val="007014B0"/>
    <w:rsid w:val="00701803"/>
    <w:rsid w:val="00702EF5"/>
    <w:rsid w:val="00702FE3"/>
    <w:rsid w:val="00704489"/>
    <w:rsid w:val="007048DA"/>
    <w:rsid w:val="007076C8"/>
    <w:rsid w:val="00707F41"/>
    <w:rsid w:val="00710974"/>
    <w:rsid w:val="00710E84"/>
    <w:rsid w:val="0071180C"/>
    <w:rsid w:val="007118BC"/>
    <w:rsid w:val="0071225C"/>
    <w:rsid w:val="007129C8"/>
    <w:rsid w:val="007138EE"/>
    <w:rsid w:val="00713CEA"/>
    <w:rsid w:val="007152B1"/>
    <w:rsid w:val="00715D2E"/>
    <w:rsid w:val="0071758C"/>
    <w:rsid w:val="00717C4C"/>
    <w:rsid w:val="00717E84"/>
    <w:rsid w:val="00717F75"/>
    <w:rsid w:val="0072040A"/>
    <w:rsid w:val="00721BCE"/>
    <w:rsid w:val="0072277B"/>
    <w:rsid w:val="00722C09"/>
    <w:rsid w:val="00723822"/>
    <w:rsid w:val="00723B90"/>
    <w:rsid w:val="00723CAB"/>
    <w:rsid w:val="00723E7D"/>
    <w:rsid w:val="00723E9B"/>
    <w:rsid w:val="00724184"/>
    <w:rsid w:val="00725B3E"/>
    <w:rsid w:val="007268E0"/>
    <w:rsid w:val="00726ADB"/>
    <w:rsid w:val="007276C9"/>
    <w:rsid w:val="00730B4C"/>
    <w:rsid w:val="00730F0D"/>
    <w:rsid w:val="0073121A"/>
    <w:rsid w:val="007314DC"/>
    <w:rsid w:val="00731E85"/>
    <w:rsid w:val="00732A85"/>
    <w:rsid w:val="00732C25"/>
    <w:rsid w:val="00732E15"/>
    <w:rsid w:val="0073300D"/>
    <w:rsid w:val="00733F48"/>
    <w:rsid w:val="00735B63"/>
    <w:rsid w:val="00735FF8"/>
    <w:rsid w:val="007367C5"/>
    <w:rsid w:val="00736AC6"/>
    <w:rsid w:val="00737526"/>
    <w:rsid w:val="00737947"/>
    <w:rsid w:val="0074015C"/>
    <w:rsid w:val="00741351"/>
    <w:rsid w:val="00741516"/>
    <w:rsid w:val="00741655"/>
    <w:rsid w:val="007417B2"/>
    <w:rsid w:val="00741B8A"/>
    <w:rsid w:val="00741B93"/>
    <w:rsid w:val="0074327D"/>
    <w:rsid w:val="007441B6"/>
    <w:rsid w:val="0074426B"/>
    <w:rsid w:val="00744616"/>
    <w:rsid w:val="00744C8B"/>
    <w:rsid w:val="00744D1A"/>
    <w:rsid w:val="00744ECA"/>
    <w:rsid w:val="0074519A"/>
    <w:rsid w:val="00745595"/>
    <w:rsid w:val="007461A4"/>
    <w:rsid w:val="00747B6E"/>
    <w:rsid w:val="00747BAC"/>
    <w:rsid w:val="00750531"/>
    <w:rsid w:val="007510E8"/>
    <w:rsid w:val="00751632"/>
    <w:rsid w:val="0075411F"/>
    <w:rsid w:val="0075436F"/>
    <w:rsid w:val="007554E8"/>
    <w:rsid w:val="00755EEE"/>
    <w:rsid w:val="007573D8"/>
    <w:rsid w:val="007601A6"/>
    <w:rsid w:val="00760D13"/>
    <w:rsid w:val="007613BD"/>
    <w:rsid w:val="00761CBC"/>
    <w:rsid w:val="00762675"/>
    <w:rsid w:val="00763312"/>
    <w:rsid w:val="00764876"/>
    <w:rsid w:val="007649E1"/>
    <w:rsid w:val="007659D9"/>
    <w:rsid w:val="00767C07"/>
    <w:rsid w:val="00767C59"/>
    <w:rsid w:val="00767E70"/>
    <w:rsid w:val="0077029A"/>
    <w:rsid w:val="00770B87"/>
    <w:rsid w:val="0077159E"/>
    <w:rsid w:val="00771AAC"/>
    <w:rsid w:val="00773A4B"/>
    <w:rsid w:val="00774EE0"/>
    <w:rsid w:val="00775B86"/>
    <w:rsid w:val="00776B44"/>
    <w:rsid w:val="00776DE7"/>
    <w:rsid w:val="007806F2"/>
    <w:rsid w:val="00781409"/>
    <w:rsid w:val="00781BF2"/>
    <w:rsid w:val="00781D40"/>
    <w:rsid w:val="00781DBF"/>
    <w:rsid w:val="0078319E"/>
    <w:rsid w:val="00783344"/>
    <w:rsid w:val="007834C1"/>
    <w:rsid w:val="00783BEB"/>
    <w:rsid w:val="00783E17"/>
    <w:rsid w:val="00784C69"/>
    <w:rsid w:val="007857E4"/>
    <w:rsid w:val="007860DB"/>
    <w:rsid w:val="00787FE9"/>
    <w:rsid w:val="00791F8E"/>
    <w:rsid w:val="0079450C"/>
    <w:rsid w:val="00794D8A"/>
    <w:rsid w:val="00795963"/>
    <w:rsid w:val="00795BD1"/>
    <w:rsid w:val="00796018"/>
    <w:rsid w:val="0079676D"/>
    <w:rsid w:val="00797AE4"/>
    <w:rsid w:val="007A04AC"/>
    <w:rsid w:val="007A256E"/>
    <w:rsid w:val="007A28D9"/>
    <w:rsid w:val="007A3181"/>
    <w:rsid w:val="007A319B"/>
    <w:rsid w:val="007A35DC"/>
    <w:rsid w:val="007A4802"/>
    <w:rsid w:val="007A4A25"/>
    <w:rsid w:val="007A5274"/>
    <w:rsid w:val="007A68BC"/>
    <w:rsid w:val="007A6C6B"/>
    <w:rsid w:val="007A7342"/>
    <w:rsid w:val="007B0411"/>
    <w:rsid w:val="007B0E2C"/>
    <w:rsid w:val="007B1BFC"/>
    <w:rsid w:val="007B22BB"/>
    <w:rsid w:val="007B29D9"/>
    <w:rsid w:val="007B3BC3"/>
    <w:rsid w:val="007B4B63"/>
    <w:rsid w:val="007B4ECB"/>
    <w:rsid w:val="007B51FA"/>
    <w:rsid w:val="007B688D"/>
    <w:rsid w:val="007B7026"/>
    <w:rsid w:val="007B743F"/>
    <w:rsid w:val="007B7771"/>
    <w:rsid w:val="007C26E8"/>
    <w:rsid w:val="007C3975"/>
    <w:rsid w:val="007C446E"/>
    <w:rsid w:val="007C5047"/>
    <w:rsid w:val="007C5B1F"/>
    <w:rsid w:val="007C79B5"/>
    <w:rsid w:val="007D03BB"/>
    <w:rsid w:val="007D048F"/>
    <w:rsid w:val="007D0528"/>
    <w:rsid w:val="007D1264"/>
    <w:rsid w:val="007D26AE"/>
    <w:rsid w:val="007D2E98"/>
    <w:rsid w:val="007D4087"/>
    <w:rsid w:val="007D42AE"/>
    <w:rsid w:val="007D4F12"/>
    <w:rsid w:val="007D5798"/>
    <w:rsid w:val="007D5836"/>
    <w:rsid w:val="007E1790"/>
    <w:rsid w:val="007E1C4E"/>
    <w:rsid w:val="007E2020"/>
    <w:rsid w:val="007E3119"/>
    <w:rsid w:val="007E45B1"/>
    <w:rsid w:val="007E50A3"/>
    <w:rsid w:val="007E5547"/>
    <w:rsid w:val="007E6CA5"/>
    <w:rsid w:val="007E761D"/>
    <w:rsid w:val="007E7C45"/>
    <w:rsid w:val="007F02BB"/>
    <w:rsid w:val="007F0417"/>
    <w:rsid w:val="007F102C"/>
    <w:rsid w:val="007F16EB"/>
    <w:rsid w:val="007F2FE5"/>
    <w:rsid w:val="007F33AE"/>
    <w:rsid w:val="007F4535"/>
    <w:rsid w:val="007F4902"/>
    <w:rsid w:val="007F6339"/>
    <w:rsid w:val="007F6A0D"/>
    <w:rsid w:val="007F6ACA"/>
    <w:rsid w:val="007F6EFE"/>
    <w:rsid w:val="007F718B"/>
    <w:rsid w:val="00800373"/>
    <w:rsid w:val="00800B2D"/>
    <w:rsid w:val="008016EA"/>
    <w:rsid w:val="008017F5"/>
    <w:rsid w:val="0080184B"/>
    <w:rsid w:val="008021C7"/>
    <w:rsid w:val="00802A8B"/>
    <w:rsid w:val="0080351B"/>
    <w:rsid w:val="0080441C"/>
    <w:rsid w:val="008046C8"/>
    <w:rsid w:val="0080523C"/>
    <w:rsid w:val="008058B4"/>
    <w:rsid w:val="0080605B"/>
    <w:rsid w:val="0080623A"/>
    <w:rsid w:val="0080687D"/>
    <w:rsid w:val="0080760B"/>
    <w:rsid w:val="00811C78"/>
    <w:rsid w:val="00812E41"/>
    <w:rsid w:val="00812E50"/>
    <w:rsid w:val="00813125"/>
    <w:rsid w:val="008144E7"/>
    <w:rsid w:val="008145F7"/>
    <w:rsid w:val="00815347"/>
    <w:rsid w:val="008164A3"/>
    <w:rsid w:val="00816942"/>
    <w:rsid w:val="00817E1B"/>
    <w:rsid w:val="00820B0B"/>
    <w:rsid w:val="00821F12"/>
    <w:rsid w:val="0082321A"/>
    <w:rsid w:val="008236D8"/>
    <w:rsid w:val="00824E47"/>
    <w:rsid w:val="008251B3"/>
    <w:rsid w:val="008252BC"/>
    <w:rsid w:val="008258D0"/>
    <w:rsid w:val="00826028"/>
    <w:rsid w:val="00826257"/>
    <w:rsid w:val="008317A7"/>
    <w:rsid w:val="00832223"/>
    <w:rsid w:val="008336B5"/>
    <w:rsid w:val="00834216"/>
    <w:rsid w:val="00837F06"/>
    <w:rsid w:val="00841456"/>
    <w:rsid w:val="008414B0"/>
    <w:rsid w:val="00841687"/>
    <w:rsid w:val="0084319B"/>
    <w:rsid w:val="0084324A"/>
    <w:rsid w:val="00843B3B"/>
    <w:rsid w:val="00843FFF"/>
    <w:rsid w:val="008447D8"/>
    <w:rsid w:val="00844968"/>
    <w:rsid w:val="00845335"/>
    <w:rsid w:val="00845396"/>
    <w:rsid w:val="008457A7"/>
    <w:rsid w:val="00845B56"/>
    <w:rsid w:val="00845CE4"/>
    <w:rsid w:val="00846B79"/>
    <w:rsid w:val="00850436"/>
    <w:rsid w:val="00850A63"/>
    <w:rsid w:val="008514E4"/>
    <w:rsid w:val="008523A9"/>
    <w:rsid w:val="00853732"/>
    <w:rsid w:val="00853C1E"/>
    <w:rsid w:val="00853C42"/>
    <w:rsid w:val="00853CF6"/>
    <w:rsid w:val="00855A9B"/>
    <w:rsid w:val="00856A2D"/>
    <w:rsid w:val="00860091"/>
    <w:rsid w:val="0086037B"/>
    <w:rsid w:val="00860390"/>
    <w:rsid w:val="00861590"/>
    <w:rsid w:val="008619D6"/>
    <w:rsid w:val="00862C38"/>
    <w:rsid w:val="0086329F"/>
    <w:rsid w:val="00863C4E"/>
    <w:rsid w:val="008658F5"/>
    <w:rsid w:val="008660DA"/>
    <w:rsid w:val="008669D7"/>
    <w:rsid w:val="008676F9"/>
    <w:rsid w:val="00867ABD"/>
    <w:rsid w:val="00867C55"/>
    <w:rsid w:val="00870027"/>
    <w:rsid w:val="00870A05"/>
    <w:rsid w:val="00870BAF"/>
    <w:rsid w:val="00871D2D"/>
    <w:rsid w:val="00871E77"/>
    <w:rsid w:val="00872093"/>
    <w:rsid w:val="008726CB"/>
    <w:rsid w:val="00873813"/>
    <w:rsid w:val="00873D93"/>
    <w:rsid w:val="00874384"/>
    <w:rsid w:val="00874E18"/>
    <w:rsid w:val="00875343"/>
    <w:rsid w:val="00876806"/>
    <w:rsid w:val="00880605"/>
    <w:rsid w:val="008807C0"/>
    <w:rsid w:val="00881E5F"/>
    <w:rsid w:val="00882D54"/>
    <w:rsid w:val="00883219"/>
    <w:rsid w:val="00883238"/>
    <w:rsid w:val="00883F0B"/>
    <w:rsid w:val="00885989"/>
    <w:rsid w:val="00885EA7"/>
    <w:rsid w:val="008870B6"/>
    <w:rsid w:val="00887189"/>
    <w:rsid w:val="00887946"/>
    <w:rsid w:val="00887BEE"/>
    <w:rsid w:val="00890312"/>
    <w:rsid w:val="00891F49"/>
    <w:rsid w:val="00892DD0"/>
    <w:rsid w:val="0089381A"/>
    <w:rsid w:val="00894170"/>
    <w:rsid w:val="00894339"/>
    <w:rsid w:val="00895863"/>
    <w:rsid w:val="00896B25"/>
    <w:rsid w:val="00896B65"/>
    <w:rsid w:val="008977ED"/>
    <w:rsid w:val="00897F58"/>
    <w:rsid w:val="008A005A"/>
    <w:rsid w:val="008A05C6"/>
    <w:rsid w:val="008A0726"/>
    <w:rsid w:val="008A07E3"/>
    <w:rsid w:val="008A0E9C"/>
    <w:rsid w:val="008A0F8E"/>
    <w:rsid w:val="008A10D9"/>
    <w:rsid w:val="008A191C"/>
    <w:rsid w:val="008A3E6D"/>
    <w:rsid w:val="008A45E2"/>
    <w:rsid w:val="008A5625"/>
    <w:rsid w:val="008A59FC"/>
    <w:rsid w:val="008A5AD9"/>
    <w:rsid w:val="008A686E"/>
    <w:rsid w:val="008A6C9E"/>
    <w:rsid w:val="008A6CCC"/>
    <w:rsid w:val="008A700B"/>
    <w:rsid w:val="008B0113"/>
    <w:rsid w:val="008B02F1"/>
    <w:rsid w:val="008B054D"/>
    <w:rsid w:val="008B0B32"/>
    <w:rsid w:val="008B18AC"/>
    <w:rsid w:val="008B19F2"/>
    <w:rsid w:val="008B1FA2"/>
    <w:rsid w:val="008B23A4"/>
    <w:rsid w:val="008B3D4E"/>
    <w:rsid w:val="008B4002"/>
    <w:rsid w:val="008B5046"/>
    <w:rsid w:val="008B522C"/>
    <w:rsid w:val="008B52FF"/>
    <w:rsid w:val="008B54AF"/>
    <w:rsid w:val="008B6C95"/>
    <w:rsid w:val="008B736D"/>
    <w:rsid w:val="008B7607"/>
    <w:rsid w:val="008C029F"/>
    <w:rsid w:val="008C10F0"/>
    <w:rsid w:val="008C2A53"/>
    <w:rsid w:val="008C2C2D"/>
    <w:rsid w:val="008C2E5B"/>
    <w:rsid w:val="008C2E5E"/>
    <w:rsid w:val="008C33B9"/>
    <w:rsid w:val="008C4263"/>
    <w:rsid w:val="008C479E"/>
    <w:rsid w:val="008C5912"/>
    <w:rsid w:val="008D0557"/>
    <w:rsid w:val="008D0AAC"/>
    <w:rsid w:val="008D186E"/>
    <w:rsid w:val="008D1CD2"/>
    <w:rsid w:val="008D215E"/>
    <w:rsid w:val="008D2F9C"/>
    <w:rsid w:val="008D378E"/>
    <w:rsid w:val="008D3DEA"/>
    <w:rsid w:val="008D3F4D"/>
    <w:rsid w:val="008D4707"/>
    <w:rsid w:val="008D56DE"/>
    <w:rsid w:val="008D6352"/>
    <w:rsid w:val="008D6952"/>
    <w:rsid w:val="008D7271"/>
    <w:rsid w:val="008E0D74"/>
    <w:rsid w:val="008E4BA6"/>
    <w:rsid w:val="008E5807"/>
    <w:rsid w:val="008E6906"/>
    <w:rsid w:val="008E73DF"/>
    <w:rsid w:val="008E788D"/>
    <w:rsid w:val="008E793E"/>
    <w:rsid w:val="008F00E0"/>
    <w:rsid w:val="008F38B9"/>
    <w:rsid w:val="008F6676"/>
    <w:rsid w:val="008F699D"/>
    <w:rsid w:val="008F78DD"/>
    <w:rsid w:val="008F79D4"/>
    <w:rsid w:val="00900214"/>
    <w:rsid w:val="009009E6"/>
    <w:rsid w:val="00901201"/>
    <w:rsid w:val="009018B4"/>
    <w:rsid w:val="009027EE"/>
    <w:rsid w:val="00902EC6"/>
    <w:rsid w:val="009033E7"/>
    <w:rsid w:val="0090362F"/>
    <w:rsid w:val="009049FD"/>
    <w:rsid w:val="00905DBA"/>
    <w:rsid w:val="009066DC"/>
    <w:rsid w:val="00906C3B"/>
    <w:rsid w:val="0091005F"/>
    <w:rsid w:val="00910128"/>
    <w:rsid w:val="00912435"/>
    <w:rsid w:val="00912879"/>
    <w:rsid w:val="00912E2D"/>
    <w:rsid w:val="00913027"/>
    <w:rsid w:val="00914577"/>
    <w:rsid w:val="0091602D"/>
    <w:rsid w:val="00916CC1"/>
    <w:rsid w:val="00916CF2"/>
    <w:rsid w:val="00920278"/>
    <w:rsid w:val="009207B7"/>
    <w:rsid w:val="00920A67"/>
    <w:rsid w:val="00922B41"/>
    <w:rsid w:val="00923299"/>
    <w:rsid w:val="0092514B"/>
    <w:rsid w:val="0092576C"/>
    <w:rsid w:val="00926900"/>
    <w:rsid w:val="00926BDD"/>
    <w:rsid w:val="00931F5E"/>
    <w:rsid w:val="009324F3"/>
    <w:rsid w:val="00933BE4"/>
    <w:rsid w:val="00934279"/>
    <w:rsid w:val="00934AEA"/>
    <w:rsid w:val="00936991"/>
    <w:rsid w:val="00940194"/>
    <w:rsid w:val="00940B54"/>
    <w:rsid w:val="009414FC"/>
    <w:rsid w:val="00941667"/>
    <w:rsid w:val="009422FE"/>
    <w:rsid w:val="00942846"/>
    <w:rsid w:val="00942FB7"/>
    <w:rsid w:val="009432B8"/>
    <w:rsid w:val="00943857"/>
    <w:rsid w:val="00944310"/>
    <w:rsid w:val="0094455F"/>
    <w:rsid w:val="0094519A"/>
    <w:rsid w:val="0094582C"/>
    <w:rsid w:val="00946D0A"/>
    <w:rsid w:val="00947465"/>
    <w:rsid w:val="009476B0"/>
    <w:rsid w:val="009479EF"/>
    <w:rsid w:val="00947CF5"/>
    <w:rsid w:val="009517A0"/>
    <w:rsid w:val="00952F43"/>
    <w:rsid w:val="00954141"/>
    <w:rsid w:val="009545E1"/>
    <w:rsid w:val="00954CDE"/>
    <w:rsid w:val="00956993"/>
    <w:rsid w:val="009576B9"/>
    <w:rsid w:val="00961143"/>
    <w:rsid w:val="0096206E"/>
    <w:rsid w:val="009641B6"/>
    <w:rsid w:val="00966D8D"/>
    <w:rsid w:val="00967468"/>
    <w:rsid w:val="009677DF"/>
    <w:rsid w:val="0097009B"/>
    <w:rsid w:val="00970741"/>
    <w:rsid w:val="00970BF1"/>
    <w:rsid w:val="00971FAC"/>
    <w:rsid w:val="0097293B"/>
    <w:rsid w:val="0097295C"/>
    <w:rsid w:val="009732E1"/>
    <w:rsid w:val="00973B0B"/>
    <w:rsid w:val="009741D6"/>
    <w:rsid w:val="0097422D"/>
    <w:rsid w:val="009742D2"/>
    <w:rsid w:val="00974D27"/>
    <w:rsid w:val="00974F33"/>
    <w:rsid w:val="00975EA4"/>
    <w:rsid w:val="009760CA"/>
    <w:rsid w:val="00977F01"/>
    <w:rsid w:val="00977F49"/>
    <w:rsid w:val="00980269"/>
    <w:rsid w:val="00980D51"/>
    <w:rsid w:val="009811B0"/>
    <w:rsid w:val="00981A65"/>
    <w:rsid w:val="00982566"/>
    <w:rsid w:val="00984844"/>
    <w:rsid w:val="00984C7A"/>
    <w:rsid w:val="00985B19"/>
    <w:rsid w:val="00985F39"/>
    <w:rsid w:val="00986CF0"/>
    <w:rsid w:val="00987067"/>
    <w:rsid w:val="0098746D"/>
    <w:rsid w:val="00987654"/>
    <w:rsid w:val="009878E1"/>
    <w:rsid w:val="00987B13"/>
    <w:rsid w:val="00990A44"/>
    <w:rsid w:val="00990CB8"/>
    <w:rsid w:val="0099101B"/>
    <w:rsid w:val="0099352C"/>
    <w:rsid w:val="00993EE2"/>
    <w:rsid w:val="00994D07"/>
    <w:rsid w:val="00996FFD"/>
    <w:rsid w:val="0099703E"/>
    <w:rsid w:val="00997F11"/>
    <w:rsid w:val="00997F23"/>
    <w:rsid w:val="009A1873"/>
    <w:rsid w:val="009A19A3"/>
    <w:rsid w:val="009A2E90"/>
    <w:rsid w:val="009A3758"/>
    <w:rsid w:val="009A3BB9"/>
    <w:rsid w:val="009A442F"/>
    <w:rsid w:val="009A5898"/>
    <w:rsid w:val="009A5BF8"/>
    <w:rsid w:val="009A5CB7"/>
    <w:rsid w:val="009A6051"/>
    <w:rsid w:val="009A700C"/>
    <w:rsid w:val="009B0222"/>
    <w:rsid w:val="009B0EC4"/>
    <w:rsid w:val="009B0EEC"/>
    <w:rsid w:val="009B15D7"/>
    <w:rsid w:val="009B3ADC"/>
    <w:rsid w:val="009B454B"/>
    <w:rsid w:val="009B4736"/>
    <w:rsid w:val="009B4D80"/>
    <w:rsid w:val="009B4F16"/>
    <w:rsid w:val="009B5E45"/>
    <w:rsid w:val="009B6AB4"/>
    <w:rsid w:val="009B7126"/>
    <w:rsid w:val="009B7938"/>
    <w:rsid w:val="009C0ADC"/>
    <w:rsid w:val="009C1C9C"/>
    <w:rsid w:val="009C27AC"/>
    <w:rsid w:val="009C3028"/>
    <w:rsid w:val="009C3229"/>
    <w:rsid w:val="009C3293"/>
    <w:rsid w:val="009C3927"/>
    <w:rsid w:val="009C4A6F"/>
    <w:rsid w:val="009C51A2"/>
    <w:rsid w:val="009C5717"/>
    <w:rsid w:val="009C593F"/>
    <w:rsid w:val="009C6384"/>
    <w:rsid w:val="009C6992"/>
    <w:rsid w:val="009C6DCC"/>
    <w:rsid w:val="009D03A8"/>
    <w:rsid w:val="009D065E"/>
    <w:rsid w:val="009D0896"/>
    <w:rsid w:val="009D1AEC"/>
    <w:rsid w:val="009D1BB3"/>
    <w:rsid w:val="009D1E71"/>
    <w:rsid w:val="009D28BF"/>
    <w:rsid w:val="009D3139"/>
    <w:rsid w:val="009D4249"/>
    <w:rsid w:val="009D64D4"/>
    <w:rsid w:val="009D6605"/>
    <w:rsid w:val="009D66CF"/>
    <w:rsid w:val="009D6B2C"/>
    <w:rsid w:val="009D6C86"/>
    <w:rsid w:val="009D75F2"/>
    <w:rsid w:val="009E0236"/>
    <w:rsid w:val="009E0459"/>
    <w:rsid w:val="009E136A"/>
    <w:rsid w:val="009E2C29"/>
    <w:rsid w:val="009E2DD6"/>
    <w:rsid w:val="009E2ED3"/>
    <w:rsid w:val="009E3D9E"/>
    <w:rsid w:val="009E3E86"/>
    <w:rsid w:val="009E4E34"/>
    <w:rsid w:val="009E572B"/>
    <w:rsid w:val="009E5E7A"/>
    <w:rsid w:val="009E69E3"/>
    <w:rsid w:val="009E7177"/>
    <w:rsid w:val="009E7736"/>
    <w:rsid w:val="009E79B2"/>
    <w:rsid w:val="009F06B9"/>
    <w:rsid w:val="009F16EE"/>
    <w:rsid w:val="009F21D3"/>
    <w:rsid w:val="009F2C99"/>
    <w:rsid w:val="009F366E"/>
    <w:rsid w:val="009F382E"/>
    <w:rsid w:val="009F42D4"/>
    <w:rsid w:val="009F6FD7"/>
    <w:rsid w:val="009F784B"/>
    <w:rsid w:val="00A00CD2"/>
    <w:rsid w:val="00A00DBB"/>
    <w:rsid w:val="00A01B4D"/>
    <w:rsid w:val="00A01D0C"/>
    <w:rsid w:val="00A03670"/>
    <w:rsid w:val="00A04143"/>
    <w:rsid w:val="00A04863"/>
    <w:rsid w:val="00A05BC0"/>
    <w:rsid w:val="00A05F6C"/>
    <w:rsid w:val="00A06F1D"/>
    <w:rsid w:val="00A07519"/>
    <w:rsid w:val="00A07617"/>
    <w:rsid w:val="00A10681"/>
    <w:rsid w:val="00A11D3A"/>
    <w:rsid w:val="00A11D56"/>
    <w:rsid w:val="00A11DE0"/>
    <w:rsid w:val="00A128F2"/>
    <w:rsid w:val="00A13247"/>
    <w:rsid w:val="00A137C1"/>
    <w:rsid w:val="00A13D22"/>
    <w:rsid w:val="00A13E7B"/>
    <w:rsid w:val="00A140F1"/>
    <w:rsid w:val="00A149C6"/>
    <w:rsid w:val="00A15EFA"/>
    <w:rsid w:val="00A165CF"/>
    <w:rsid w:val="00A1665E"/>
    <w:rsid w:val="00A177B7"/>
    <w:rsid w:val="00A207BA"/>
    <w:rsid w:val="00A20CFF"/>
    <w:rsid w:val="00A2252D"/>
    <w:rsid w:val="00A22936"/>
    <w:rsid w:val="00A22F72"/>
    <w:rsid w:val="00A235D3"/>
    <w:rsid w:val="00A246E6"/>
    <w:rsid w:val="00A24815"/>
    <w:rsid w:val="00A248A7"/>
    <w:rsid w:val="00A25944"/>
    <w:rsid w:val="00A2701D"/>
    <w:rsid w:val="00A277AF"/>
    <w:rsid w:val="00A30B47"/>
    <w:rsid w:val="00A31301"/>
    <w:rsid w:val="00A316BE"/>
    <w:rsid w:val="00A317E4"/>
    <w:rsid w:val="00A31B88"/>
    <w:rsid w:val="00A3497C"/>
    <w:rsid w:val="00A34A95"/>
    <w:rsid w:val="00A35C0B"/>
    <w:rsid w:val="00A35D82"/>
    <w:rsid w:val="00A36F70"/>
    <w:rsid w:val="00A37E65"/>
    <w:rsid w:val="00A40185"/>
    <w:rsid w:val="00A40A36"/>
    <w:rsid w:val="00A4141F"/>
    <w:rsid w:val="00A4178B"/>
    <w:rsid w:val="00A44A81"/>
    <w:rsid w:val="00A47771"/>
    <w:rsid w:val="00A47C9A"/>
    <w:rsid w:val="00A501DD"/>
    <w:rsid w:val="00A51E50"/>
    <w:rsid w:val="00A5336D"/>
    <w:rsid w:val="00A53977"/>
    <w:rsid w:val="00A53C97"/>
    <w:rsid w:val="00A53F90"/>
    <w:rsid w:val="00A540CF"/>
    <w:rsid w:val="00A54F0C"/>
    <w:rsid w:val="00A567C6"/>
    <w:rsid w:val="00A5685E"/>
    <w:rsid w:val="00A56B62"/>
    <w:rsid w:val="00A57178"/>
    <w:rsid w:val="00A577D4"/>
    <w:rsid w:val="00A57A5E"/>
    <w:rsid w:val="00A57DE6"/>
    <w:rsid w:val="00A57E4F"/>
    <w:rsid w:val="00A57ED6"/>
    <w:rsid w:val="00A60019"/>
    <w:rsid w:val="00A61DDA"/>
    <w:rsid w:val="00A6203A"/>
    <w:rsid w:val="00A620CD"/>
    <w:rsid w:val="00A6244A"/>
    <w:rsid w:val="00A63AED"/>
    <w:rsid w:val="00A63CD9"/>
    <w:rsid w:val="00A649AA"/>
    <w:rsid w:val="00A676D3"/>
    <w:rsid w:val="00A67726"/>
    <w:rsid w:val="00A67809"/>
    <w:rsid w:val="00A67D0C"/>
    <w:rsid w:val="00A7034A"/>
    <w:rsid w:val="00A70615"/>
    <w:rsid w:val="00A70F61"/>
    <w:rsid w:val="00A717CC"/>
    <w:rsid w:val="00A71966"/>
    <w:rsid w:val="00A71CEA"/>
    <w:rsid w:val="00A71D6B"/>
    <w:rsid w:val="00A71F7F"/>
    <w:rsid w:val="00A72111"/>
    <w:rsid w:val="00A72C33"/>
    <w:rsid w:val="00A72CCD"/>
    <w:rsid w:val="00A73159"/>
    <w:rsid w:val="00A73401"/>
    <w:rsid w:val="00A743B0"/>
    <w:rsid w:val="00A74D8F"/>
    <w:rsid w:val="00A75962"/>
    <w:rsid w:val="00A759EF"/>
    <w:rsid w:val="00A7626F"/>
    <w:rsid w:val="00A76BBA"/>
    <w:rsid w:val="00A76C13"/>
    <w:rsid w:val="00A76C6E"/>
    <w:rsid w:val="00A76D3D"/>
    <w:rsid w:val="00A77039"/>
    <w:rsid w:val="00A804DE"/>
    <w:rsid w:val="00A80CD2"/>
    <w:rsid w:val="00A80D29"/>
    <w:rsid w:val="00A81866"/>
    <w:rsid w:val="00A83BA9"/>
    <w:rsid w:val="00A848C6"/>
    <w:rsid w:val="00A84C51"/>
    <w:rsid w:val="00A85FCB"/>
    <w:rsid w:val="00A86F17"/>
    <w:rsid w:val="00A901C2"/>
    <w:rsid w:val="00A901ED"/>
    <w:rsid w:val="00A905BB"/>
    <w:rsid w:val="00A90B92"/>
    <w:rsid w:val="00A91F78"/>
    <w:rsid w:val="00A93700"/>
    <w:rsid w:val="00A938AD"/>
    <w:rsid w:val="00A94B54"/>
    <w:rsid w:val="00A94B9A"/>
    <w:rsid w:val="00A954A6"/>
    <w:rsid w:val="00A954D7"/>
    <w:rsid w:val="00A95A4C"/>
    <w:rsid w:val="00A9736D"/>
    <w:rsid w:val="00A97B22"/>
    <w:rsid w:val="00A97BDF"/>
    <w:rsid w:val="00AA09F9"/>
    <w:rsid w:val="00AA1156"/>
    <w:rsid w:val="00AA19CC"/>
    <w:rsid w:val="00AA28FC"/>
    <w:rsid w:val="00AA2BA3"/>
    <w:rsid w:val="00AA37F3"/>
    <w:rsid w:val="00AA525B"/>
    <w:rsid w:val="00AA58CA"/>
    <w:rsid w:val="00AA5C23"/>
    <w:rsid w:val="00AA5D2B"/>
    <w:rsid w:val="00AA68E9"/>
    <w:rsid w:val="00AA6A91"/>
    <w:rsid w:val="00AA7535"/>
    <w:rsid w:val="00AB022D"/>
    <w:rsid w:val="00AB1556"/>
    <w:rsid w:val="00AB17EA"/>
    <w:rsid w:val="00AB2E02"/>
    <w:rsid w:val="00AB4E6A"/>
    <w:rsid w:val="00AB4E91"/>
    <w:rsid w:val="00AB6523"/>
    <w:rsid w:val="00AB666F"/>
    <w:rsid w:val="00AB75A8"/>
    <w:rsid w:val="00AC132A"/>
    <w:rsid w:val="00AC1E8F"/>
    <w:rsid w:val="00AC3649"/>
    <w:rsid w:val="00AC4130"/>
    <w:rsid w:val="00AC452C"/>
    <w:rsid w:val="00AC7F16"/>
    <w:rsid w:val="00AD12BF"/>
    <w:rsid w:val="00AD1F27"/>
    <w:rsid w:val="00AD2A42"/>
    <w:rsid w:val="00AD2F16"/>
    <w:rsid w:val="00AD380C"/>
    <w:rsid w:val="00AD4559"/>
    <w:rsid w:val="00AD5622"/>
    <w:rsid w:val="00AD6B30"/>
    <w:rsid w:val="00AD7167"/>
    <w:rsid w:val="00AD717D"/>
    <w:rsid w:val="00AD77BA"/>
    <w:rsid w:val="00AD7925"/>
    <w:rsid w:val="00AE008A"/>
    <w:rsid w:val="00AE03D9"/>
    <w:rsid w:val="00AE0D4A"/>
    <w:rsid w:val="00AE11EB"/>
    <w:rsid w:val="00AE1E39"/>
    <w:rsid w:val="00AE25E8"/>
    <w:rsid w:val="00AE29D0"/>
    <w:rsid w:val="00AE2C41"/>
    <w:rsid w:val="00AE5F87"/>
    <w:rsid w:val="00AE5FC5"/>
    <w:rsid w:val="00AE6454"/>
    <w:rsid w:val="00AE753A"/>
    <w:rsid w:val="00AF0357"/>
    <w:rsid w:val="00AF0D46"/>
    <w:rsid w:val="00AF1535"/>
    <w:rsid w:val="00AF2A48"/>
    <w:rsid w:val="00AF2B70"/>
    <w:rsid w:val="00AF5BF1"/>
    <w:rsid w:val="00AF5D31"/>
    <w:rsid w:val="00AF61AE"/>
    <w:rsid w:val="00AF630F"/>
    <w:rsid w:val="00AF64C4"/>
    <w:rsid w:val="00AF65B7"/>
    <w:rsid w:val="00AF682C"/>
    <w:rsid w:val="00AF6F6B"/>
    <w:rsid w:val="00AF7121"/>
    <w:rsid w:val="00AF774D"/>
    <w:rsid w:val="00B000A0"/>
    <w:rsid w:val="00B00128"/>
    <w:rsid w:val="00B0070A"/>
    <w:rsid w:val="00B00F2D"/>
    <w:rsid w:val="00B01F9E"/>
    <w:rsid w:val="00B01FF6"/>
    <w:rsid w:val="00B0210F"/>
    <w:rsid w:val="00B02BEF"/>
    <w:rsid w:val="00B03120"/>
    <w:rsid w:val="00B05826"/>
    <w:rsid w:val="00B06876"/>
    <w:rsid w:val="00B06BE6"/>
    <w:rsid w:val="00B07166"/>
    <w:rsid w:val="00B102A5"/>
    <w:rsid w:val="00B10840"/>
    <w:rsid w:val="00B10F5E"/>
    <w:rsid w:val="00B1226B"/>
    <w:rsid w:val="00B12773"/>
    <w:rsid w:val="00B12E05"/>
    <w:rsid w:val="00B13CEB"/>
    <w:rsid w:val="00B13D2B"/>
    <w:rsid w:val="00B146A4"/>
    <w:rsid w:val="00B151DF"/>
    <w:rsid w:val="00B1574E"/>
    <w:rsid w:val="00B15F46"/>
    <w:rsid w:val="00B178C7"/>
    <w:rsid w:val="00B220F4"/>
    <w:rsid w:val="00B231E1"/>
    <w:rsid w:val="00B24EEA"/>
    <w:rsid w:val="00B2507A"/>
    <w:rsid w:val="00B25927"/>
    <w:rsid w:val="00B26A86"/>
    <w:rsid w:val="00B26CD4"/>
    <w:rsid w:val="00B2760F"/>
    <w:rsid w:val="00B3021D"/>
    <w:rsid w:val="00B30FCF"/>
    <w:rsid w:val="00B31113"/>
    <w:rsid w:val="00B3114D"/>
    <w:rsid w:val="00B318EF"/>
    <w:rsid w:val="00B31CBB"/>
    <w:rsid w:val="00B32257"/>
    <w:rsid w:val="00B3251C"/>
    <w:rsid w:val="00B3387E"/>
    <w:rsid w:val="00B34B82"/>
    <w:rsid w:val="00B3507D"/>
    <w:rsid w:val="00B3599C"/>
    <w:rsid w:val="00B362DD"/>
    <w:rsid w:val="00B36394"/>
    <w:rsid w:val="00B366DD"/>
    <w:rsid w:val="00B36814"/>
    <w:rsid w:val="00B36FCE"/>
    <w:rsid w:val="00B37C57"/>
    <w:rsid w:val="00B40454"/>
    <w:rsid w:val="00B4096C"/>
    <w:rsid w:val="00B40D4B"/>
    <w:rsid w:val="00B413F8"/>
    <w:rsid w:val="00B424AE"/>
    <w:rsid w:val="00B4385C"/>
    <w:rsid w:val="00B444BF"/>
    <w:rsid w:val="00B4522F"/>
    <w:rsid w:val="00B45A1B"/>
    <w:rsid w:val="00B4607B"/>
    <w:rsid w:val="00B46BEB"/>
    <w:rsid w:val="00B46EB8"/>
    <w:rsid w:val="00B47518"/>
    <w:rsid w:val="00B47DB9"/>
    <w:rsid w:val="00B512C2"/>
    <w:rsid w:val="00B5194D"/>
    <w:rsid w:val="00B5293E"/>
    <w:rsid w:val="00B53951"/>
    <w:rsid w:val="00B5422E"/>
    <w:rsid w:val="00B549F2"/>
    <w:rsid w:val="00B56BBA"/>
    <w:rsid w:val="00B57459"/>
    <w:rsid w:val="00B601C1"/>
    <w:rsid w:val="00B60B90"/>
    <w:rsid w:val="00B611D3"/>
    <w:rsid w:val="00B6169E"/>
    <w:rsid w:val="00B616EE"/>
    <w:rsid w:val="00B6171D"/>
    <w:rsid w:val="00B6235F"/>
    <w:rsid w:val="00B623A5"/>
    <w:rsid w:val="00B628DD"/>
    <w:rsid w:val="00B63063"/>
    <w:rsid w:val="00B6383A"/>
    <w:rsid w:val="00B63CFE"/>
    <w:rsid w:val="00B6496B"/>
    <w:rsid w:val="00B65246"/>
    <w:rsid w:val="00B65493"/>
    <w:rsid w:val="00B65840"/>
    <w:rsid w:val="00B67405"/>
    <w:rsid w:val="00B705D6"/>
    <w:rsid w:val="00B72FE8"/>
    <w:rsid w:val="00B754BF"/>
    <w:rsid w:val="00B75A02"/>
    <w:rsid w:val="00B75A16"/>
    <w:rsid w:val="00B75D0D"/>
    <w:rsid w:val="00B76073"/>
    <w:rsid w:val="00B76567"/>
    <w:rsid w:val="00B76F6A"/>
    <w:rsid w:val="00B77217"/>
    <w:rsid w:val="00B77F77"/>
    <w:rsid w:val="00B803F6"/>
    <w:rsid w:val="00B83041"/>
    <w:rsid w:val="00B830AD"/>
    <w:rsid w:val="00B8473D"/>
    <w:rsid w:val="00B84D9B"/>
    <w:rsid w:val="00B85CFD"/>
    <w:rsid w:val="00B86315"/>
    <w:rsid w:val="00B86911"/>
    <w:rsid w:val="00B87B3C"/>
    <w:rsid w:val="00B910CB"/>
    <w:rsid w:val="00B92E1F"/>
    <w:rsid w:val="00B943F3"/>
    <w:rsid w:val="00B94841"/>
    <w:rsid w:val="00B94B3C"/>
    <w:rsid w:val="00B96945"/>
    <w:rsid w:val="00B972B4"/>
    <w:rsid w:val="00B97612"/>
    <w:rsid w:val="00BA0258"/>
    <w:rsid w:val="00BA14F0"/>
    <w:rsid w:val="00BA15AA"/>
    <w:rsid w:val="00BA2E77"/>
    <w:rsid w:val="00BA34B8"/>
    <w:rsid w:val="00BA3E3C"/>
    <w:rsid w:val="00BA4371"/>
    <w:rsid w:val="00BA688C"/>
    <w:rsid w:val="00BA6A8A"/>
    <w:rsid w:val="00BA6F81"/>
    <w:rsid w:val="00BA7431"/>
    <w:rsid w:val="00BA7C50"/>
    <w:rsid w:val="00BB2A18"/>
    <w:rsid w:val="00BB2B97"/>
    <w:rsid w:val="00BB3398"/>
    <w:rsid w:val="00BB5F65"/>
    <w:rsid w:val="00BB619F"/>
    <w:rsid w:val="00BB62C6"/>
    <w:rsid w:val="00BB73FD"/>
    <w:rsid w:val="00BB7A56"/>
    <w:rsid w:val="00BC2C42"/>
    <w:rsid w:val="00BC4670"/>
    <w:rsid w:val="00BC4900"/>
    <w:rsid w:val="00BC49A3"/>
    <w:rsid w:val="00BC53C2"/>
    <w:rsid w:val="00BC5A12"/>
    <w:rsid w:val="00BC5BEB"/>
    <w:rsid w:val="00BC5C26"/>
    <w:rsid w:val="00BC5DEE"/>
    <w:rsid w:val="00BC7D0B"/>
    <w:rsid w:val="00BC7F8C"/>
    <w:rsid w:val="00BD0653"/>
    <w:rsid w:val="00BD1F93"/>
    <w:rsid w:val="00BD210B"/>
    <w:rsid w:val="00BD26AB"/>
    <w:rsid w:val="00BD6F81"/>
    <w:rsid w:val="00BE0A97"/>
    <w:rsid w:val="00BE19AE"/>
    <w:rsid w:val="00BE1D5C"/>
    <w:rsid w:val="00BE218A"/>
    <w:rsid w:val="00BE2AE1"/>
    <w:rsid w:val="00BE37E7"/>
    <w:rsid w:val="00BE514D"/>
    <w:rsid w:val="00BE56EB"/>
    <w:rsid w:val="00BE68B7"/>
    <w:rsid w:val="00BE7AFC"/>
    <w:rsid w:val="00BF098A"/>
    <w:rsid w:val="00BF0A16"/>
    <w:rsid w:val="00BF0BC9"/>
    <w:rsid w:val="00BF0DFF"/>
    <w:rsid w:val="00BF1A9E"/>
    <w:rsid w:val="00BF2BDD"/>
    <w:rsid w:val="00BF2E2B"/>
    <w:rsid w:val="00BF3217"/>
    <w:rsid w:val="00BF3479"/>
    <w:rsid w:val="00BF38AA"/>
    <w:rsid w:val="00BF562D"/>
    <w:rsid w:val="00BF5885"/>
    <w:rsid w:val="00BF67A1"/>
    <w:rsid w:val="00BF700E"/>
    <w:rsid w:val="00C003B2"/>
    <w:rsid w:val="00C00EB9"/>
    <w:rsid w:val="00C0113D"/>
    <w:rsid w:val="00C01CEB"/>
    <w:rsid w:val="00C0203E"/>
    <w:rsid w:val="00C0211D"/>
    <w:rsid w:val="00C0264D"/>
    <w:rsid w:val="00C02EFA"/>
    <w:rsid w:val="00C03212"/>
    <w:rsid w:val="00C035E0"/>
    <w:rsid w:val="00C03CF1"/>
    <w:rsid w:val="00C0405E"/>
    <w:rsid w:val="00C0412B"/>
    <w:rsid w:val="00C05E6D"/>
    <w:rsid w:val="00C061E8"/>
    <w:rsid w:val="00C06411"/>
    <w:rsid w:val="00C075B6"/>
    <w:rsid w:val="00C07B6E"/>
    <w:rsid w:val="00C07BF7"/>
    <w:rsid w:val="00C109A3"/>
    <w:rsid w:val="00C10C53"/>
    <w:rsid w:val="00C10CD4"/>
    <w:rsid w:val="00C1101D"/>
    <w:rsid w:val="00C11062"/>
    <w:rsid w:val="00C11908"/>
    <w:rsid w:val="00C12464"/>
    <w:rsid w:val="00C12625"/>
    <w:rsid w:val="00C13950"/>
    <w:rsid w:val="00C13F27"/>
    <w:rsid w:val="00C146D2"/>
    <w:rsid w:val="00C15719"/>
    <w:rsid w:val="00C158EC"/>
    <w:rsid w:val="00C1670D"/>
    <w:rsid w:val="00C17160"/>
    <w:rsid w:val="00C17EAC"/>
    <w:rsid w:val="00C20134"/>
    <w:rsid w:val="00C204B3"/>
    <w:rsid w:val="00C205BF"/>
    <w:rsid w:val="00C22029"/>
    <w:rsid w:val="00C22148"/>
    <w:rsid w:val="00C226BD"/>
    <w:rsid w:val="00C22A91"/>
    <w:rsid w:val="00C23DD3"/>
    <w:rsid w:val="00C23E33"/>
    <w:rsid w:val="00C2496B"/>
    <w:rsid w:val="00C2618B"/>
    <w:rsid w:val="00C267C2"/>
    <w:rsid w:val="00C268B3"/>
    <w:rsid w:val="00C279C7"/>
    <w:rsid w:val="00C32256"/>
    <w:rsid w:val="00C32850"/>
    <w:rsid w:val="00C33620"/>
    <w:rsid w:val="00C33B0F"/>
    <w:rsid w:val="00C34F3E"/>
    <w:rsid w:val="00C3528C"/>
    <w:rsid w:val="00C352F9"/>
    <w:rsid w:val="00C35BDB"/>
    <w:rsid w:val="00C37091"/>
    <w:rsid w:val="00C40975"/>
    <w:rsid w:val="00C409CF"/>
    <w:rsid w:val="00C413DF"/>
    <w:rsid w:val="00C42B38"/>
    <w:rsid w:val="00C4370E"/>
    <w:rsid w:val="00C43BC7"/>
    <w:rsid w:val="00C4421A"/>
    <w:rsid w:val="00C44D74"/>
    <w:rsid w:val="00C44E55"/>
    <w:rsid w:val="00C45562"/>
    <w:rsid w:val="00C457D1"/>
    <w:rsid w:val="00C45F9D"/>
    <w:rsid w:val="00C47246"/>
    <w:rsid w:val="00C47468"/>
    <w:rsid w:val="00C475CC"/>
    <w:rsid w:val="00C47C1C"/>
    <w:rsid w:val="00C50061"/>
    <w:rsid w:val="00C50F70"/>
    <w:rsid w:val="00C51CA8"/>
    <w:rsid w:val="00C51ECD"/>
    <w:rsid w:val="00C525FF"/>
    <w:rsid w:val="00C5305C"/>
    <w:rsid w:val="00C53DAD"/>
    <w:rsid w:val="00C544A9"/>
    <w:rsid w:val="00C547DE"/>
    <w:rsid w:val="00C54B54"/>
    <w:rsid w:val="00C55D0B"/>
    <w:rsid w:val="00C567A0"/>
    <w:rsid w:val="00C56A26"/>
    <w:rsid w:val="00C56C24"/>
    <w:rsid w:val="00C57E6A"/>
    <w:rsid w:val="00C60946"/>
    <w:rsid w:val="00C60A55"/>
    <w:rsid w:val="00C617B6"/>
    <w:rsid w:val="00C6225A"/>
    <w:rsid w:val="00C63269"/>
    <w:rsid w:val="00C64265"/>
    <w:rsid w:val="00C64D03"/>
    <w:rsid w:val="00C65056"/>
    <w:rsid w:val="00C6543B"/>
    <w:rsid w:val="00C6598F"/>
    <w:rsid w:val="00C65F0D"/>
    <w:rsid w:val="00C668BC"/>
    <w:rsid w:val="00C67DD8"/>
    <w:rsid w:val="00C7007F"/>
    <w:rsid w:val="00C714F3"/>
    <w:rsid w:val="00C72D29"/>
    <w:rsid w:val="00C73840"/>
    <w:rsid w:val="00C73A6B"/>
    <w:rsid w:val="00C740F9"/>
    <w:rsid w:val="00C7417B"/>
    <w:rsid w:val="00C7470D"/>
    <w:rsid w:val="00C74775"/>
    <w:rsid w:val="00C7489B"/>
    <w:rsid w:val="00C76856"/>
    <w:rsid w:val="00C77164"/>
    <w:rsid w:val="00C806CA"/>
    <w:rsid w:val="00C81DC0"/>
    <w:rsid w:val="00C8284D"/>
    <w:rsid w:val="00C83C73"/>
    <w:rsid w:val="00C84E36"/>
    <w:rsid w:val="00C84F48"/>
    <w:rsid w:val="00C858CD"/>
    <w:rsid w:val="00C85A69"/>
    <w:rsid w:val="00C85F80"/>
    <w:rsid w:val="00C87167"/>
    <w:rsid w:val="00C874BF"/>
    <w:rsid w:val="00C9002C"/>
    <w:rsid w:val="00C901A7"/>
    <w:rsid w:val="00C9054A"/>
    <w:rsid w:val="00C91C94"/>
    <w:rsid w:val="00C95DE3"/>
    <w:rsid w:val="00C963FD"/>
    <w:rsid w:val="00C974B2"/>
    <w:rsid w:val="00C9760C"/>
    <w:rsid w:val="00C9774C"/>
    <w:rsid w:val="00CA0073"/>
    <w:rsid w:val="00CA017F"/>
    <w:rsid w:val="00CA1595"/>
    <w:rsid w:val="00CA1B71"/>
    <w:rsid w:val="00CA1E78"/>
    <w:rsid w:val="00CA32D8"/>
    <w:rsid w:val="00CA37E0"/>
    <w:rsid w:val="00CA41A2"/>
    <w:rsid w:val="00CA43F4"/>
    <w:rsid w:val="00CA5BC4"/>
    <w:rsid w:val="00CA6102"/>
    <w:rsid w:val="00CA72A5"/>
    <w:rsid w:val="00CB00AD"/>
    <w:rsid w:val="00CB084F"/>
    <w:rsid w:val="00CB0885"/>
    <w:rsid w:val="00CB125F"/>
    <w:rsid w:val="00CB14CD"/>
    <w:rsid w:val="00CB160E"/>
    <w:rsid w:val="00CB1AD2"/>
    <w:rsid w:val="00CB20F6"/>
    <w:rsid w:val="00CB2597"/>
    <w:rsid w:val="00CB31B8"/>
    <w:rsid w:val="00CB389C"/>
    <w:rsid w:val="00CB40C7"/>
    <w:rsid w:val="00CB4215"/>
    <w:rsid w:val="00CB43EF"/>
    <w:rsid w:val="00CB4820"/>
    <w:rsid w:val="00CB53CF"/>
    <w:rsid w:val="00CB7057"/>
    <w:rsid w:val="00CB7882"/>
    <w:rsid w:val="00CB7885"/>
    <w:rsid w:val="00CB7D2E"/>
    <w:rsid w:val="00CB7D66"/>
    <w:rsid w:val="00CC013E"/>
    <w:rsid w:val="00CC0B79"/>
    <w:rsid w:val="00CC1CAE"/>
    <w:rsid w:val="00CC1CB6"/>
    <w:rsid w:val="00CC2A08"/>
    <w:rsid w:val="00CC2CAA"/>
    <w:rsid w:val="00CC37F4"/>
    <w:rsid w:val="00CC37F5"/>
    <w:rsid w:val="00CC3FCB"/>
    <w:rsid w:val="00CC5F99"/>
    <w:rsid w:val="00CC7009"/>
    <w:rsid w:val="00CC70C8"/>
    <w:rsid w:val="00CC7133"/>
    <w:rsid w:val="00CC7353"/>
    <w:rsid w:val="00CD0717"/>
    <w:rsid w:val="00CD0787"/>
    <w:rsid w:val="00CD201C"/>
    <w:rsid w:val="00CD2E16"/>
    <w:rsid w:val="00CD3E5A"/>
    <w:rsid w:val="00CD4DEB"/>
    <w:rsid w:val="00CD56E3"/>
    <w:rsid w:val="00CD5808"/>
    <w:rsid w:val="00CD7C07"/>
    <w:rsid w:val="00CE0675"/>
    <w:rsid w:val="00CE0988"/>
    <w:rsid w:val="00CE17CE"/>
    <w:rsid w:val="00CE1F1F"/>
    <w:rsid w:val="00CE2E74"/>
    <w:rsid w:val="00CE3A27"/>
    <w:rsid w:val="00CE4699"/>
    <w:rsid w:val="00CE48B1"/>
    <w:rsid w:val="00CE5CA0"/>
    <w:rsid w:val="00CE5D4E"/>
    <w:rsid w:val="00CE73BF"/>
    <w:rsid w:val="00CE7857"/>
    <w:rsid w:val="00CE7E35"/>
    <w:rsid w:val="00CF067F"/>
    <w:rsid w:val="00CF1190"/>
    <w:rsid w:val="00CF14EE"/>
    <w:rsid w:val="00CF181A"/>
    <w:rsid w:val="00CF1BE4"/>
    <w:rsid w:val="00CF23C3"/>
    <w:rsid w:val="00CF2402"/>
    <w:rsid w:val="00CF301D"/>
    <w:rsid w:val="00CF31CC"/>
    <w:rsid w:val="00CF3379"/>
    <w:rsid w:val="00CF3CFA"/>
    <w:rsid w:val="00CF43BF"/>
    <w:rsid w:val="00CF46E9"/>
    <w:rsid w:val="00CF555E"/>
    <w:rsid w:val="00CF596A"/>
    <w:rsid w:val="00CF5FDD"/>
    <w:rsid w:val="00CF6142"/>
    <w:rsid w:val="00CF6A0E"/>
    <w:rsid w:val="00CF74E1"/>
    <w:rsid w:val="00CF75B7"/>
    <w:rsid w:val="00D024DE"/>
    <w:rsid w:val="00D02B6E"/>
    <w:rsid w:val="00D02B7E"/>
    <w:rsid w:val="00D02FED"/>
    <w:rsid w:val="00D030EE"/>
    <w:rsid w:val="00D048B7"/>
    <w:rsid w:val="00D05E35"/>
    <w:rsid w:val="00D0667C"/>
    <w:rsid w:val="00D06705"/>
    <w:rsid w:val="00D076E9"/>
    <w:rsid w:val="00D12468"/>
    <w:rsid w:val="00D151BE"/>
    <w:rsid w:val="00D176A6"/>
    <w:rsid w:val="00D20509"/>
    <w:rsid w:val="00D22501"/>
    <w:rsid w:val="00D22F01"/>
    <w:rsid w:val="00D22FF5"/>
    <w:rsid w:val="00D232D9"/>
    <w:rsid w:val="00D239A9"/>
    <w:rsid w:val="00D26727"/>
    <w:rsid w:val="00D272CB"/>
    <w:rsid w:val="00D27561"/>
    <w:rsid w:val="00D27D0C"/>
    <w:rsid w:val="00D30668"/>
    <w:rsid w:val="00D30F80"/>
    <w:rsid w:val="00D3174F"/>
    <w:rsid w:val="00D3348C"/>
    <w:rsid w:val="00D347CC"/>
    <w:rsid w:val="00D34A49"/>
    <w:rsid w:val="00D361D3"/>
    <w:rsid w:val="00D3762D"/>
    <w:rsid w:val="00D37A7F"/>
    <w:rsid w:val="00D40F61"/>
    <w:rsid w:val="00D41D59"/>
    <w:rsid w:val="00D424A5"/>
    <w:rsid w:val="00D4360A"/>
    <w:rsid w:val="00D437B6"/>
    <w:rsid w:val="00D43DFD"/>
    <w:rsid w:val="00D446E5"/>
    <w:rsid w:val="00D4661E"/>
    <w:rsid w:val="00D46C22"/>
    <w:rsid w:val="00D46DD0"/>
    <w:rsid w:val="00D470DC"/>
    <w:rsid w:val="00D47B64"/>
    <w:rsid w:val="00D5064C"/>
    <w:rsid w:val="00D50A64"/>
    <w:rsid w:val="00D51788"/>
    <w:rsid w:val="00D51DE7"/>
    <w:rsid w:val="00D522F3"/>
    <w:rsid w:val="00D525AB"/>
    <w:rsid w:val="00D533D3"/>
    <w:rsid w:val="00D53719"/>
    <w:rsid w:val="00D54AA3"/>
    <w:rsid w:val="00D54D8D"/>
    <w:rsid w:val="00D561A3"/>
    <w:rsid w:val="00D56F13"/>
    <w:rsid w:val="00D57FB4"/>
    <w:rsid w:val="00D60C08"/>
    <w:rsid w:val="00D615D4"/>
    <w:rsid w:val="00D619C5"/>
    <w:rsid w:val="00D627ED"/>
    <w:rsid w:val="00D635CC"/>
    <w:rsid w:val="00D6363C"/>
    <w:rsid w:val="00D638FF"/>
    <w:rsid w:val="00D65B55"/>
    <w:rsid w:val="00D65C89"/>
    <w:rsid w:val="00D65FD2"/>
    <w:rsid w:val="00D66666"/>
    <w:rsid w:val="00D6687A"/>
    <w:rsid w:val="00D6743D"/>
    <w:rsid w:val="00D70007"/>
    <w:rsid w:val="00D7066A"/>
    <w:rsid w:val="00D715A9"/>
    <w:rsid w:val="00D72B9D"/>
    <w:rsid w:val="00D73ED9"/>
    <w:rsid w:val="00D74ECE"/>
    <w:rsid w:val="00D758A6"/>
    <w:rsid w:val="00D759E7"/>
    <w:rsid w:val="00D76F88"/>
    <w:rsid w:val="00D77710"/>
    <w:rsid w:val="00D8030A"/>
    <w:rsid w:val="00D8128B"/>
    <w:rsid w:val="00D81782"/>
    <w:rsid w:val="00D81A48"/>
    <w:rsid w:val="00D836D6"/>
    <w:rsid w:val="00D84961"/>
    <w:rsid w:val="00D8538E"/>
    <w:rsid w:val="00D854C0"/>
    <w:rsid w:val="00D85AFF"/>
    <w:rsid w:val="00D90105"/>
    <w:rsid w:val="00D906C7"/>
    <w:rsid w:val="00D91868"/>
    <w:rsid w:val="00D92A09"/>
    <w:rsid w:val="00D933D3"/>
    <w:rsid w:val="00D93CFE"/>
    <w:rsid w:val="00D93D67"/>
    <w:rsid w:val="00D95008"/>
    <w:rsid w:val="00D95137"/>
    <w:rsid w:val="00D966A6"/>
    <w:rsid w:val="00DA0134"/>
    <w:rsid w:val="00DA042B"/>
    <w:rsid w:val="00DA071A"/>
    <w:rsid w:val="00DA0874"/>
    <w:rsid w:val="00DA0CF1"/>
    <w:rsid w:val="00DA19C0"/>
    <w:rsid w:val="00DA3138"/>
    <w:rsid w:val="00DA3160"/>
    <w:rsid w:val="00DA3709"/>
    <w:rsid w:val="00DA4E5C"/>
    <w:rsid w:val="00DA4FF6"/>
    <w:rsid w:val="00DA596A"/>
    <w:rsid w:val="00DA78C6"/>
    <w:rsid w:val="00DA7A1F"/>
    <w:rsid w:val="00DA7ACE"/>
    <w:rsid w:val="00DB089E"/>
    <w:rsid w:val="00DB2BD8"/>
    <w:rsid w:val="00DB2DE2"/>
    <w:rsid w:val="00DB34DF"/>
    <w:rsid w:val="00DB4E7B"/>
    <w:rsid w:val="00DB5F4A"/>
    <w:rsid w:val="00DB67AF"/>
    <w:rsid w:val="00DB7369"/>
    <w:rsid w:val="00DB774E"/>
    <w:rsid w:val="00DB7B49"/>
    <w:rsid w:val="00DB7F64"/>
    <w:rsid w:val="00DC0B82"/>
    <w:rsid w:val="00DC2530"/>
    <w:rsid w:val="00DC2889"/>
    <w:rsid w:val="00DC48E3"/>
    <w:rsid w:val="00DC5622"/>
    <w:rsid w:val="00DC631D"/>
    <w:rsid w:val="00DC6A6A"/>
    <w:rsid w:val="00DC7408"/>
    <w:rsid w:val="00DC76F9"/>
    <w:rsid w:val="00DD06D6"/>
    <w:rsid w:val="00DD08C8"/>
    <w:rsid w:val="00DD1116"/>
    <w:rsid w:val="00DD14F4"/>
    <w:rsid w:val="00DD1EED"/>
    <w:rsid w:val="00DD3872"/>
    <w:rsid w:val="00DD3ABF"/>
    <w:rsid w:val="00DD48A1"/>
    <w:rsid w:val="00DD54F2"/>
    <w:rsid w:val="00DD5C8F"/>
    <w:rsid w:val="00DD60BC"/>
    <w:rsid w:val="00DD68AA"/>
    <w:rsid w:val="00DE1067"/>
    <w:rsid w:val="00DE1BF9"/>
    <w:rsid w:val="00DE24FA"/>
    <w:rsid w:val="00DE307D"/>
    <w:rsid w:val="00DE5B50"/>
    <w:rsid w:val="00DE6063"/>
    <w:rsid w:val="00DE6815"/>
    <w:rsid w:val="00DE6AE2"/>
    <w:rsid w:val="00DF091A"/>
    <w:rsid w:val="00DF0B22"/>
    <w:rsid w:val="00DF1D48"/>
    <w:rsid w:val="00DF1F3C"/>
    <w:rsid w:val="00DF1FF6"/>
    <w:rsid w:val="00DF20EB"/>
    <w:rsid w:val="00DF35B4"/>
    <w:rsid w:val="00DF4A02"/>
    <w:rsid w:val="00DF5DAD"/>
    <w:rsid w:val="00DF675D"/>
    <w:rsid w:val="00E00966"/>
    <w:rsid w:val="00E01136"/>
    <w:rsid w:val="00E03216"/>
    <w:rsid w:val="00E03372"/>
    <w:rsid w:val="00E06A3E"/>
    <w:rsid w:val="00E07295"/>
    <w:rsid w:val="00E109CC"/>
    <w:rsid w:val="00E1104F"/>
    <w:rsid w:val="00E117DB"/>
    <w:rsid w:val="00E119B3"/>
    <w:rsid w:val="00E11E4D"/>
    <w:rsid w:val="00E12FD4"/>
    <w:rsid w:val="00E137F5"/>
    <w:rsid w:val="00E13AC1"/>
    <w:rsid w:val="00E148F8"/>
    <w:rsid w:val="00E14933"/>
    <w:rsid w:val="00E149DA"/>
    <w:rsid w:val="00E14A94"/>
    <w:rsid w:val="00E15148"/>
    <w:rsid w:val="00E17049"/>
    <w:rsid w:val="00E20175"/>
    <w:rsid w:val="00E214CB"/>
    <w:rsid w:val="00E217C9"/>
    <w:rsid w:val="00E23B9F"/>
    <w:rsid w:val="00E24FB7"/>
    <w:rsid w:val="00E2516F"/>
    <w:rsid w:val="00E254E3"/>
    <w:rsid w:val="00E25638"/>
    <w:rsid w:val="00E2667A"/>
    <w:rsid w:val="00E26B8A"/>
    <w:rsid w:val="00E2715B"/>
    <w:rsid w:val="00E272C4"/>
    <w:rsid w:val="00E27604"/>
    <w:rsid w:val="00E30683"/>
    <w:rsid w:val="00E3185F"/>
    <w:rsid w:val="00E31E83"/>
    <w:rsid w:val="00E31FAA"/>
    <w:rsid w:val="00E32513"/>
    <w:rsid w:val="00E32990"/>
    <w:rsid w:val="00E33F27"/>
    <w:rsid w:val="00E35094"/>
    <w:rsid w:val="00E353C8"/>
    <w:rsid w:val="00E357F7"/>
    <w:rsid w:val="00E375C3"/>
    <w:rsid w:val="00E37627"/>
    <w:rsid w:val="00E37D7A"/>
    <w:rsid w:val="00E37F4B"/>
    <w:rsid w:val="00E405D5"/>
    <w:rsid w:val="00E4251D"/>
    <w:rsid w:val="00E43F53"/>
    <w:rsid w:val="00E44A78"/>
    <w:rsid w:val="00E44B90"/>
    <w:rsid w:val="00E45222"/>
    <w:rsid w:val="00E46608"/>
    <w:rsid w:val="00E4776C"/>
    <w:rsid w:val="00E50327"/>
    <w:rsid w:val="00E50419"/>
    <w:rsid w:val="00E50F8F"/>
    <w:rsid w:val="00E5258E"/>
    <w:rsid w:val="00E52AC4"/>
    <w:rsid w:val="00E53017"/>
    <w:rsid w:val="00E53A93"/>
    <w:rsid w:val="00E53E7B"/>
    <w:rsid w:val="00E545F1"/>
    <w:rsid w:val="00E54C09"/>
    <w:rsid w:val="00E54F92"/>
    <w:rsid w:val="00E555D4"/>
    <w:rsid w:val="00E556F9"/>
    <w:rsid w:val="00E55883"/>
    <w:rsid w:val="00E5664E"/>
    <w:rsid w:val="00E56E04"/>
    <w:rsid w:val="00E57A89"/>
    <w:rsid w:val="00E60ECF"/>
    <w:rsid w:val="00E61749"/>
    <w:rsid w:val="00E63A34"/>
    <w:rsid w:val="00E63EBC"/>
    <w:rsid w:val="00E648C6"/>
    <w:rsid w:val="00E66827"/>
    <w:rsid w:val="00E66AD1"/>
    <w:rsid w:val="00E66EDF"/>
    <w:rsid w:val="00E6701E"/>
    <w:rsid w:val="00E6710D"/>
    <w:rsid w:val="00E703DD"/>
    <w:rsid w:val="00E70E29"/>
    <w:rsid w:val="00E71424"/>
    <w:rsid w:val="00E714D2"/>
    <w:rsid w:val="00E71CDC"/>
    <w:rsid w:val="00E73EED"/>
    <w:rsid w:val="00E74FF8"/>
    <w:rsid w:val="00E75833"/>
    <w:rsid w:val="00E77136"/>
    <w:rsid w:val="00E7748F"/>
    <w:rsid w:val="00E77DDF"/>
    <w:rsid w:val="00E82064"/>
    <w:rsid w:val="00E82230"/>
    <w:rsid w:val="00E844BD"/>
    <w:rsid w:val="00E86AA6"/>
    <w:rsid w:val="00E910F8"/>
    <w:rsid w:val="00E9242E"/>
    <w:rsid w:val="00E932D1"/>
    <w:rsid w:val="00E9386A"/>
    <w:rsid w:val="00E94063"/>
    <w:rsid w:val="00E9415F"/>
    <w:rsid w:val="00E96945"/>
    <w:rsid w:val="00E96D71"/>
    <w:rsid w:val="00E96DDA"/>
    <w:rsid w:val="00E97245"/>
    <w:rsid w:val="00E974E4"/>
    <w:rsid w:val="00E976C4"/>
    <w:rsid w:val="00E97A7A"/>
    <w:rsid w:val="00EA0A45"/>
    <w:rsid w:val="00EA1306"/>
    <w:rsid w:val="00EA257F"/>
    <w:rsid w:val="00EA27C5"/>
    <w:rsid w:val="00EA30A5"/>
    <w:rsid w:val="00EA36B3"/>
    <w:rsid w:val="00EA3B26"/>
    <w:rsid w:val="00EA67F3"/>
    <w:rsid w:val="00EA73EA"/>
    <w:rsid w:val="00EA78F5"/>
    <w:rsid w:val="00EA7EB8"/>
    <w:rsid w:val="00EB0A55"/>
    <w:rsid w:val="00EB0E95"/>
    <w:rsid w:val="00EB2F76"/>
    <w:rsid w:val="00EB4496"/>
    <w:rsid w:val="00EB5070"/>
    <w:rsid w:val="00EB52AD"/>
    <w:rsid w:val="00EB53D1"/>
    <w:rsid w:val="00EB5454"/>
    <w:rsid w:val="00EB5AA5"/>
    <w:rsid w:val="00EC0148"/>
    <w:rsid w:val="00EC1006"/>
    <w:rsid w:val="00EC28F8"/>
    <w:rsid w:val="00EC2908"/>
    <w:rsid w:val="00EC3055"/>
    <w:rsid w:val="00EC3B17"/>
    <w:rsid w:val="00EC3D6A"/>
    <w:rsid w:val="00EC4C93"/>
    <w:rsid w:val="00EC4DFD"/>
    <w:rsid w:val="00EC5BAD"/>
    <w:rsid w:val="00EC5E23"/>
    <w:rsid w:val="00EC7D56"/>
    <w:rsid w:val="00ED0197"/>
    <w:rsid w:val="00ED493D"/>
    <w:rsid w:val="00ED4E96"/>
    <w:rsid w:val="00ED5071"/>
    <w:rsid w:val="00ED529F"/>
    <w:rsid w:val="00ED541B"/>
    <w:rsid w:val="00ED7CCA"/>
    <w:rsid w:val="00EE030C"/>
    <w:rsid w:val="00EE0526"/>
    <w:rsid w:val="00EE1174"/>
    <w:rsid w:val="00EE29DC"/>
    <w:rsid w:val="00EE2C6D"/>
    <w:rsid w:val="00EE3801"/>
    <w:rsid w:val="00EE6592"/>
    <w:rsid w:val="00EE68BA"/>
    <w:rsid w:val="00EF42E0"/>
    <w:rsid w:val="00EF478C"/>
    <w:rsid w:val="00EF72F9"/>
    <w:rsid w:val="00F00077"/>
    <w:rsid w:val="00F007F4"/>
    <w:rsid w:val="00F0123F"/>
    <w:rsid w:val="00F012A2"/>
    <w:rsid w:val="00F01EA8"/>
    <w:rsid w:val="00F01F9A"/>
    <w:rsid w:val="00F01FEE"/>
    <w:rsid w:val="00F0283D"/>
    <w:rsid w:val="00F02BF8"/>
    <w:rsid w:val="00F02BF9"/>
    <w:rsid w:val="00F04375"/>
    <w:rsid w:val="00F0503F"/>
    <w:rsid w:val="00F05887"/>
    <w:rsid w:val="00F05BBB"/>
    <w:rsid w:val="00F05E58"/>
    <w:rsid w:val="00F0607F"/>
    <w:rsid w:val="00F06449"/>
    <w:rsid w:val="00F0676A"/>
    <w:rsid w:val="00F0694F"/>
    <w:rsid w:val="00F073CB"/>
    <w:rsid w:val="00F104D5"/>
    <w:rsid w:val="00F10EE3"/>
    <w:rsid w:val="00F11709"/>
    <w:rsid w:val="00F11BDD"/>
    <w:rsid w:val="00F11C70"/>
    <w:rsid w:val="00F1234B"/>
    <w:rsid w:val="00F130F1"/>
    <w:rsid w:val="00F13BCA"/>
    <w:rsid w:val="00F14396"/>
    <w:rsid w:val="00F147FA"/>
    <w:rsid w:val="00F150C5"/>
    <w:rsid w:val="00F166F1"/>
    <w:rsid w:val="00F16D7C"/>
    <w:rsid w:val="00F20B8A"/>
    <w:rsid w:val="00F212AE"/>
    <w:rsid w:val="00F22592"/>
    <w:rsid w:val="00F2376F"/>
    <w:rsid w:val="00F23FEF"/>
    <w:rsid w:val="00F24232"/>
    <w:rsid w:val="00F279ED"/>
    <w:rsid w:val="00F306F9"/>
    <w:rsid w:val="00F30BE8"/>
    <w:rsid w:val="00F3286E"/>
    <w:rsid w:val="00F330E7"/>
    <w:rsid w:val="00F331A6"/>
    <w:rsid w:val="00F33751"/>
    <w:rsid w:val="00F337B5"/>
    <w:rsid w:val="00F33C2B"/>
    <w:rsid w:val="00F34768"/>
    <w:rsid w:val="00F354EC"/>
    <w:rsid w:val="00F359D7"/>
    <w:rsid w:val="00F35D97"/>
    <w:rsid w:val="00F37878"/>
    <w:rsid w:val="00F37E93"/>
    <w:rsid w:val="00F4041E"/>
    <w:rsid w:val="00F41703"/>
    <w:rsid w:val="00F427B6"/>
    <w:rsid w:val="00F4323E"/>
    <w:rsid w:val="00F4356C"/>
    <w:rsid w:val="00F459B3"/>
    <w:rsid w:val="00F45C39"/>
    <w:rsid w:val="00F45C43"/>
    <w:rsid w:val="00F46907"/>
    <w:rsid w:val="00F46B53"/>
    <w:rsid w:val="00F50126"/>
    <w:rsid w:val="00F50D89"/>
    <w:rsid w:val="00F50E52"/>
    <w:rsid w:val="00F51539"/>
    <w:rsid w:val="00F52408"/>
    <w:rsid w:val="00F526AE"/>
    <w:rsid w:val="00F52936"/>
    <w:rsid w:val="00F53059"/>
    <w:rsid w:val="00F53588"/>
    <w:rsid w:val="00F535DD"/>
    <w:rsid w:val="00F5491D"/>
    <w:rsid w:val="00F573C0"/>
    <w:rsid w:val="00F6038E"/>
    <w:rsid w:val="00F605D9"/>
    <w:rsid w:val="00F61D7F"/>
    <w:rsid w:val="00F61E64"/>
    <w:rsid w:val="00F62C02"/>
    <w:rsid w:val="00F62FE3"/>
    <w:rsid w:val="00F632D9"/>
    <w:rsid w:val="00F635E9"/>
    <w:rsid w:val="00F647F0"/>
    <w:rsid w:val="00F64CBF"/>
    <w:rsid w:val="00F65B76"/>
    <w:rsid w:val="00F65BBA"/>
    <w:rsid w:val="00F660AA"/>
    <w:rsid w:val="00F67216"/>
    <w:rsid w:val="00F70E4A"/>
    <w:rsid w:val="00F7233F"/>
    <w:rsid w:val="00F73756"/>
    <w:rsid w:val="00F73DDB"/>
    <w:rsid w:val="00F73DF2"/>
    <w:rsid w:val="00F7410A"/>
    <w:rsid w:val="00F7451F"/>
    <w:rsid w:val="00F74A8D"/>
    <w:rsid w:val="00F754C3"/>
    <w:rsid w:val="00F75C1F"/>
    <w:rsid w:val="00F76459"/>
    <w:rsid w:val="00F76FAB"/>
    <w:rsid w:val="00F7704B"/>
    <w:rsid w:val="00F776B3"/>
    <w:rsid w:val="00F7791A"/>
    <w:rsid w:val="00F81344"/>
    <w:rsid w:val="00F8160F"/>
    <w:rsid w:val="00F82BD1"/>
    <w:rsid w:val="00F84407"/>
    <w:rsid w:val="00F844BE"/>
    <w:rsid w:val="00F84F80"/>
    <w:rsid w:val="00F85299"/>
    <w:rsid w:val="00F85927"/>
    <w:rsid w:val="00F8677A"/>
    <w:rsid w:val="00F868B1"/>
    <w:rsid w:val="00F87DEF"/>
    <w:rsid w:val="00F91750"/>
    <w:rsid w:val="00F9183B"/>
    <w:rsid w:val="00F91C91"/>
    <w:rsid w:val="00F91D2F"/>
    <w:rsid w:val="00F92832"/>
    <w:rsid w:val="00F92A2D"/>
    <w:rsid w:val="00F92B16"/>
    <w:rsid w:val="00F92C25"/>
    <w:rsid w:val="00F9328C"/>
    <w:rsid w:val="00F93820"/>
    <w:rsid w:val="00F94877"/>
    <w:rsid w:val="00F954E6"/>
    <w:rsid w:val="00F95661"/>
    <w:rsid w:val="00F95744"/>
    <w:rsid w:val="00F97A17"/>
    <w:rsid w:val="00F97A50"/>
    <w:rsid w:val="00F97ED8"/>
    <w:rsid w:val="00FA0371"/>
    <w:rsid w:val="00FA1686"/>
    <w:rsid w:val="00FA2EA2"/>
    <w:rsid w:val="00FA40F3"/>
    <w:rsid w:val="00FA4255"/>
    <w:rsid w:val="00FA4792"/>
    <w:rsid w:val="00FA52DA"/>
    <w:rsid w:val="00FA588F"/>
    <w:rsid w:val="00FA6440"/>
    <w:rsid w:val="00FA64EE"/>
    <w:rsid w:val="00FA699B"/>
    <w:rsid w:val="00FA7889"/>
    <w:rsid w:val="00FA7C0F"/>
    <w:rsid w:val="00FA7D97"/>
    <w:rsid w:val="00FB12DA"/>
    <w:rsid w:val="00FB2A72"/>
    <w:rsid w:val="00FB3749"/>
    <w:rsid w:val="00FB3A50"/>
    <w:rsid w:val="00FB3D78"/>
    <w:rsid w:val="00FB5243"/>
    <w:rsid w:val="00FB56B0"/>
    <w:rsid w:val="00FB5C9E"/>
    <w:rsid w:val="00FB688D"/>
    <w:rsid w:val="00FB6AD1"/>
    <w:rsid w:val="00FB7289"/>
    <w:rsid w:val="00FB797B"/>
    <w:rsid w:val="00FB7F83"/>
    <w:rsid w:val="00FC1827"/>
    <w:rsid w:val="00FC29EC"/>
    <w:rsid w:val="00FC371B"/>
    <w:rsid w:val="00FC4780"/>
    <w:rsid w:val="00FC5F75"/>
    <w:rsid w:val="00FC778F"/>
    <w:rsid w:val="00FD047D"/>
    <w:rsid w:val="00FD0664"/>
    <w:rsid w:val="00FD199D"/>
    <w:rsid w:val="00FD21D7"/>
    <w:rsid w:val="00FD2D3A"/>
    <w:rsid w:val="00FD3056"/>
    <w:rsid w:val="00FD383A"/>
    <w:rsid w:val="00FD5008"/>
    <w:rsid w:val="00FD52B5"/>
    <w:rsid w:val="00FD5455"/>
    <w:rsid w:val="00FD59B9"/>
    <w:rsid w:val="00FD5C25"/>
    <w:rsid w:val="00FD5DAD"/>
    <w:rsid w:val="00FE20C4"/>
    <w:rsid w:val="00FE28BF"/>
    <w:rsid w:val="00FE38BC"/>
    <w:rsid w:val="00FE49BC"/>
    <w:rsid w:val="00FE5395"/>
    <w:rsid w:val="00FE6299"/>
    <w:rsid w:val="00FE67A6"/>
    <w:rsid w:val="00FF12C3"/>
    <w:rsid w:val="00FF1C45"/>
    <w:rsid w:val="00FF1C8C"/>
    <w:rsid w:val="00FF265C"/>
    <w:rsid w:val="00FF3094"/>
    <w:rsid w:val="00FF4CA6"/>
    <w:rsid w:val="00FF5041"/>
    <w:rsid w:val="00FF53BC"/>
    <w:rsid w:val="00FF5D32"/>
    <w:rsid w:val="00FF7333"/>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BD2EB"/>
  <w15:docId w15:val="{C9CABB33-4D40-44CA-A740-D77DE62D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687D"/>
    <w:pPr>
      <w:keepNext/>
      <w:tabs>
        <w:tab w:val="left" w:pos="720"/>
      </w:tabs>
      <w:spacing w:line="480" w:lineRule="auto"/>
      <w:ind w:right="-144" w:firstLine="7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NoSpacing">
    <w:name w:val="No Spacing"/>
    <w:uiPriority w:val="1"/>
    <w:qFormat/>
    <w:rsid w:val="003B03F8"/>
    <w:rPr>
      <w:rFonts w:ascii="Times New Roman" w:hAnsi="Times New Roman"/>
      <w:sz w:val="24"/>
      <w:szCs w:val="22"/>
    </w:rPr>
  </w:style>
  <w:style w:type="paragraph" w:styleId="Revision">
    <w:name w:val="Revision"/>
    <w:hidden/>
    <w:uiPriority w:val="99"/>
    <w:semiHidden/>
    <w:rsid w:val="002C57C5"/>
    <w:rPr>
      <w:rFonts w:ascii="Times New Roman" w:hAnsi="Times New Roman"/>
      <w:sz w:val="24"/>
      <w:szCs w:val="22"/>
    </w:rPr>
  </w:style>
  <w:style w:type="character" w:styleId="CommentReference">
    <w:name w:val="annotation reference"/>
    <w:basedOn w:val="DefaultParagraphFont"/>
    <w:uiPriority w:val="99"/>
    <w:semiHidden/>
    <w:unhideWhenUsed/>
    <w:rsid w:val="00E2715B"/>
    <w:rPr>
      <w:sz w:val="16"/>
      <w:szCs w:val="16"/>
    </w:rPr>
  </w:style>
  <w:style w:type="paragraph" w:styleId="CommentText">
    <w:name w:val="annotation text"/>
    <w:basedOn w:val="Normal"/>
    <w:link w:val="CommentTextChar"/>
    <w:uiPriority w:val="99"/>
    <w:unhideWhenUsed/>
    <w:rsid w:val="00E2715B"/>
    <w:rPr>
      <w:sz w:val="20"/>
      <w:szCs w:val="20"/>
    </w:rPr>
  </w:style>
  <w:style w:type="character" w:customStyle="1" w:styleId="CommentTextChar">
    <w:name w:val="Comment Text Char"/>
    <w:basedOn w:val="DefaultParagraphFont"/>
    <w:link w:val="CommentText"/>
    <w:uiPriority w:val="99"/>
    <w:rsid w:val="00E2715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715B"/>
    <w:rPr>
      <w:b/>
      <w:bCs/>
    </w:rPr>
  </w:style>
  <w:style w:type="character" w:customStyle="1" w:styleId="CommentSubjectChar">
    <w:name w:val="Comment Subject Char"/>
    <w:basedOn w:val="CommentTextChar"/>
    <w:link w:val="CommentSubject"/>
    <w:uiPriority w:val="99"/>
    <w:semiHidden/>
    <w:rsid w:val="00E2715B"/>
    <w:rPr>
      <w:rFonts w:ascii="Times New Roman" w:hAnsi="Times New Roman"/>
      <w:b/>
      <w:bCs/>
    </w:rPr>
  </w:style>
  <w:style w:type="character" w:customStyle="1" w:styleId="Heading2Char">
    <w:name w:val="Heading 2 Char"/>
    <w:basedOn w:val="DefaultParagraphFont"/>
    <w:link w:val="Heading2"/>
    <w:uiPriority w:val="9"/>
    <w:rsid w:val="0080687D"/>
    <w:rPr>
      <w:rFonts w:ascii="Times New Roman" w:hAnsi="Times New Roman"/>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460952">
      <w:bodyDiv w:val="1"/>
      <w:marLeft w:val="0"/>
      <w:marRight w:val="0"/>
      <w:marTop w:val="0"/>
      <w:marBottom w:val="0"/>
      <w:divBdr>
        <w:top w:val="none" w:sz="0" w:space="0" w:color="auto"/>
        <w:left w:val="none" w:sz="0" w:space="0" w:color="auto"/>
        <w:bottom w:val="none" w:sz="0" w:space="0" w:color="auto"/>
        <w:right w:val="none" w:sz="0" w:space="0" w:color="auto"/>
      </w:divBdr>
    </w:div>
    <w:div w:id="960379020">
      <w:bodyDiv w:val="1"/>
      <w:marLeft w:val="0"/>
      <w:marRight w:val="0"/>
      <w:marTop w:val="0"/>
      <w:marBottom w:val="0"/>
      <w:divBdr>
        <w:top w:val="none" w:sz="0" w:space="0" w:color="auto"/>
        <w:left w:val="none" w:sz="0" w:space="0" w:color="auto"/>
        <w:bottom w:val="none" w:sz="0" w:space="0" w:color="auto"/>
        <w:right w:val="none" w:sz="0" w:space="0" w:color="auto"/>
      </w:divBdr>
    </w:div>
    <w:div w:id="13516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20BC-DC6F-47DD-94D3-AA9304D4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7868</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52611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Bar Court of California</dc:creator>
  <cp:lastModifiedBy>Fontes, Jenny</cp:lastModifiedBy>
  <cp:revision>2</cp:revision>
  <cp:lastPrinted>2020-01-09T18:30:00Z</cp:lastPrinted>
  <dcterms:created xsi:type="dcterms:W3CDTF">2021-04-19T22:48:00Z</dcterms:created>
  <dcterms:modified xsi:type="dcterms:W3CDTF">2021-04-19T22:48:00Z</dcterms:modified>
</cp:coreProperties>
</file>