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A687" w14:textId="22E477B7" w:rsidR="00A46F61" w:rsidRPr="00E26B8A" w:rsidRDefault="00A46F61" w:rsidP="00663613">
      <w:r>
        <w:t>PUBLIC MATTER—</w:t>
      </w:r>
      <w:sdt>
        <w:sdtPr>
          <w:alias w:val="Designation"/>
          <w:tag w:val="Designation"/>
          <w:id w:val="122977762"/>
          <w:placeholder>
            <w:docPart w:val="6165A4A77C1A4A7FADAF0592D790FD5B"/>
          </w:placeholder>
          <w15:color w:val="FF0000"/>
          <w:dropDownList>
            <w:listItem w:displayText="DESIGNATED FOR PUBLICATION" w:value="DESIGNATED FOR PUBLICATION"/>
            <w:listItem w:displayText="NOT DESIGNATED FOR PUBLICATION" w:value="NOT DESIGNATED FOR PUBLICATION"/>
          </w:dropDownList>
        </w:sdtPr>
        <w:sdtEndPr/>
        <w:sdtContent>
          <w:r w:rsidR="00F0756D">
            <w:t>DESIGNATED FOR PUBLICATION</w:t>
          </w:r>
        </w:sdtContent>
      </w:sdt>
    </w:p>
    <w:p w14:paraId="20916103" w14:textId="30356060" w:rsidR="00832223" w:rsidRDefault="00277F27" w:rsidP="00C9615B">
      <w:pPr>
        <w:tabs>
          <w:tab w:val="left" w:pos="720"/>
        </w:tabs>
        <w:spacing w:line="240" w:lineRule="auto"/>
      </w:pPr>
      <w:r>
        <w:tab/>
      </w:r>
      <w:r>
        <w:tab/>
      </w:r>
      <w:r>
        <w:tab/>
      </w:r>
      <w:r>
        <w:tab/>
      </w:r>
      <w:r>
        <w:tab/>
      </w:r>
      <w:r>
        <w:tab/>
      </w:r>
      <w:r>
        <w:tab/>
      </w:r>
      <w:r>
        <w:tab/>
      </w:r>
      <w:r>
        <w:tab/>
        <w:t>Filed April 15, 2024</w:t>
      </w:r>
    </w:p>
    <w:p w14:paraId="04436D03" w14:textId="0CA66CC5" w:rsidR="00832223" w:rsidRPr="00C11CC8" w:rsidRDefault="008F6CC6" w:rsidP="00C9615B">
      <w:pPr>
        <w:spacing w:line="240" w:lineRule="auto"/>
      </w:pPr>
      <w:r>
        <w:tab/>
      </w:r>
      <w:r>
        <w:tab/>
      </w:r>
      <w:r>
        <w:tab/>
      </w:r>
      <w:r>
        <w:tab/>
      </w:r>
      <w:r>
        <w:tab/>
      </w:r>
      <w:r>
        <w:tab/>
      </w:r>
      <w:r>
        <w:tab/>
      </w:r>
      <w:r>
        <w:tab/>
      </w:r>
      <w:r>
        <w:tab/>
      </w:r>
    </w:p>
    <w:p w14:paraId="29B9B30E" w14:textId="77777777" w:rsidR="00832223" w:rsidRDefault="00832223" w:rsidP="00C9615B">
      <w:pPr>
        <w:spacing w:line="240" w:lineRule="auto"/>
      </w:pPr>
    </w:p>
    <w:p w14:paraId="5416E4F2" w14:textId="77777777" w:rsidR="00C9615B" w:rsidRPr="00C11CC8" w:rsidRDefault="00C9615B" w:rsidP="00C9615B">
      <w:pPr>
        <w:spacing w:line="240" w:lineRule="auto"/>
      </w:pPr>
    </w:p>
    <w:p w14:paraId="0D59EEFC" w14:textId="77777777" w:rsidR="00832223" w:rsidRPr="00AB315E" w:rsidRDefault="00832223" w:rsidP="00AB315E">
      <w:pPr>
        <w:jc w:val="center"/>
        <w:rPr>
          <w:b/>
          <w:bCs/>
        </w:rPr>
      </w:pPr>
      <w:r w:rsidRPr="00AB315E">
        <w:rPr>
          <w:b/>
          <w:bCs/>
        </w:rPr>
        <w:t>STATE BAR COURT OF CALIFORNIA</w:t>
      </w:r>
    </w:p>
    <w:p w14:paraId="4E31EF92" w14:textId="77777777" w:rsidR="00832223" w:rsidRPr="00AB315E" w:rsidRDefault="00832223" w:rsidP="00AB315E">
      <w:pPr>
        <w:jc w:val="center"/>
        <w:rPr>
          <w:b/>
          <w:bCs/>
        </w:rPr>
      </w:pPr>
      <w:r w:rsidRPr="00AB315E">
        <w:rPr>
          <w:b/>
          <w:bCs/>
        </w:rPr>
        <w:t>REVIEW DEPARTMENT</w:t>
      </w:r>
    </w:p>
    <w:p w14:paraId="6CC08C74" w14:textId="77777777" w:rsidR="00832223" w:rsidRPr="00C11CC8" w:rsidRDefault="00832223" w:rsidP="00832223">
      <w:pPr>
        <w:jc w:val="center"/>
        <w:rPr>
          <w:b/>
        </w:rPr>
      </w:pPr>
    </w:p>
    <w:p w14:paraId="31D924DE" w14:textId="77777777" w:rsidR="00832223" w:rsidRPr="00C11CC8" w:rsidRDefault="00832223" w:rsidP="00C9615B">
      <w:pPr>
        <w:spacing w:line="240" w:lineRule="auto"/>
        <w:rPr>
          <w:b/>
        </w:rPr>
      </w:pPr>
    </w:p>
    <w:tbl>
      <w:tblPr>
        <w:tblStyle w:val="TableGrid"/>
        <w:tblW w:w="0" w:type="auto"/>
        <w:tblLook w:val="04A0" w:firstRow="1" w:lastRow="0" w:firstColumn="1" w:lastColumn="0" w:noHBand="0" w:noVBand="1"/>
      </w:tblPr>
      <w:tblGrid>
        <w:gridCol w:w="4717"/>
        <w:gridCol w:w="490"/>
        <w:gridCol w:w="4153"/>
      </w:tblGrid>
      <w:tr w:rsidR="00832223" w:rsidRPr="00C11CC8" w14:paraId="230FF1E6" w14:textId="77777777" w:rsidTr="00357051">
        <w:tc>
          <w:tcPr>
            <w:tcW w:w="4770" w:type="dxa"/>
            <w:tcBorders>
              <w:top w:val="nil"/>
              <w:left w:val="nil"/>
              <w:right w:val="nil"/>
            </w:tcBorders>
            <w:tcMar>
              <w:left w:w="0" w:type="dxa"/>
              <w:right w:w="0" w:type="dxa"/>
            </w:tcMar>
          </w:tcPr>
          <w:p w14:paraId="726833AF" w14:textId="77777777" w:rsidR="00832223" w:rsidRDefault="00832223" w:rsidP="00C9615B">
            <w:pPr>
              <w:spacing w:line="240" w:lineRule="auto"/>
            </w:pPr>
            <w:r>
              <w:t>In the Matter of</w:t>
            </w:r>
          </w:p>
          <w:p w14:paraId="2293B504" w14:textId="77777777" w:rsidR="00832223" w:rsidRDefault="00832223" w:rsidP="00C9615B">
            <w:pPr>
              <w:spacing w:line="240" w:lineRule="auto"/>
            </w:pPr>
          </w:p>
          <w:bookmarkStart w:id="0" w:name="Respondent"/>
          <w:bookmarkEnd w:id="0"/>
          <w:p w14:paraId="1794186C" w14:textId="733ACA22" w:rsidR="00832223" w:rsidRPr="008F3169" w:rsidRDefault="00277F27" w:rsidP="00C9615B">
            <w:pPr>
              <w:spacing w:line="240" w:lineRule="auto"/>
            </w:pPr>
            <w:sdt>
              <w:sdtPr>
                <w:alias w:val="Enter Respondent's Name"/>
                <w:tag w:val="Enter Respondent's Name"/>
                <w:id w:val="-1392577500"/>
                <w:placeholder>
                  <w:docPart w:val="3C6B7C5B5D7642F1A88F4392E848C3B6"/>
                </w:placeholder>
                <w15:color w:val="FF0000"/>
              </w:sdtPr>
              <w:sdtEndPr/>
              <w:sdtContent>
                <w:r w:rsidR="00681D20">
                  <w:t>ANTHONY AANAND PATEL</w:t>
                </w:r>
              </w:sdtContent>
            </w:sdt>
            <w:r w:rsidR="00832223" w:rsidRPr="008F3169">
              <w:t>,</w:t>
            </w:r>
          </w:p>
          <w:p w14:paraId="2779A307" w14:textId="77777777" w:rsidR="00832223" w:rsidRDefault="00832223" w:rsidP="00C9615B">
            <w:pPr>
              <w:spacing w:line="240" w:lineRule="auto"/>
            </w:pPr>
          </w:p>
          <w:p w14:paraId="00701B70" w14:textId="44925992" w:rsidR="00832223" w:rsidRPr="00C11CC8" w:rsidRDefault="00195783" w:rsidP="00C9615B">
            <w:pPr>
              <w:spacing w:line="240" w:lineRule="auto"/>
            </w:pPr>
            <w:bookmarkStart w:id="1" w:name="type"/>
            <w:bookmarkEnd w:id="1"/>
            <w:r>
              <w:t>Petitioner for Reinstatement</w:t>
            </w:r>
            <w:bookmarkStart w:id="2" w:name="memno"/>
            <w:bookmarkStart w:id="3" w:name="MemberNo"/>
            <w:bookmarkEnd w:id="2"/>
            <w:bookmarkEnd w:id="3"/>
            <w:r w:rsidR="00D8287E">
              <w:t>.</w:t>
            </w:r>
          </w:p>
        </w:tc>
        <w:tc>
          <w:tcPr>
            <w:tcW w:w="497" w:type="dxa"/>
            <w:tcBorders>
              <w:top w:val="nil"/>
              <w:left w:val="nil"/>
              <w:bottom w:val="nil"/>
              <w:right w:val="nil"/>
            </w:tcBorders>
            <w:tcMar>
              <w:left w:w="0" w:type="dxa"/>
              <w:right w:w="0" w:type="dxa"/>
            </w:tcMar>
          </w:tcPr>
          <w:p w14:paraId="67D94DA2" w14:textId="77777777" w:rsidR="00832223" w:rsidRPr="004D32E9" w:rsidRDefault="00832223" w:rsidP="00C9615B">
            <w:pPr>
              <w:spacing w:line="240" w:lineRule="auto"/>
            </w:pPr>
            <w:r w:rsidRPr="004D32E9">
              <w:t>)</w:t>
            </w:r>
          </w:p>
          <w:p w14:paraId="168437AA" w14:textId="77777777" w:rsidR="00832223" w:rsidRPr="004D32E9" w:rsidRDefault="00832223" w:rsidP="00C9615B">
            <w:pPr>
              <w:spacing w:line="240" w:lineRule="auto"/>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AFE25C9392964D679F1440F8E79A8A9C"/>
              </w:placeholder>
              <w15:color w:val="FF0000"/>
            </w:sdtPr>
            <w:sdtEndPr/>
            <w:sdtContent>
              <w:p w14:paraId="695844B4" w14:textId="2F6671BA" w:rsidR="00832223" w:rsidRPr="005E6703" w:rsidRDefault="00681D20" w:rsidP="00C9615B">
                <w:pPr>
                  <w:spacing w:line="240" w:lineRule="auto"/>
                </w:pPr>
                <w:r>
                  <w:t>19-R-10150</w:t>
                </w:r>
              </w:p>
            </w:sdtContent>
          </w:sdt>
          <w:p w14:paraId="7A50A652" w14:textId="77777777" w:rsidR="00832223" w:rsidRDefault="00832223" w:rsidP="00C9615B">
            <w:pPr>
              <w:spacing w:line="240" w:lineRule="auto"/>
            </w:pPr>
          </w:p>
          <w:bookmarkStart w:id="5" w:name="title"/>
          <w:bookmarkEnd w:id="5"/>
          <w:p w14:paraId="03099E70" w14:textId="27851201" w:rsidR="00832223" w:rsidRPr="00D90643" w:rsidRDefault="00277F27" w:rsidP="00C9615B">
            <w:pPr>
              <w:spacing w:line="240" w:lineRule="auto"/>
            </w:pPr>
            <w:sdt>
              <w:sdtPr>
                <w:alias w:val="Select Title"/>
                <w:tag w:val="Select Title"/>
                <w:id w:val="2093728980"/>
                <w:placeholder>
                  <w:docPart w:val="106CF76ED4074787BFB0A2F8B25454F4"/>
                </w:placeholder>
                <w15:color w:val="FF0000"/>
                <w:dropDownList>
                  <w:listItem w:displayText="OPINION" w:value="OPINION"/>
                  <w:listItem w:displayText="OPINION AND ORDER" w:value="OPINION AND ORDER"/>
                </w:dropDownList>
              </w:sdtPr>
              <w:sdtEndPr/>
              <w:sdtContent>
                <w:r w:rsidR="00681D20">
                  <w:t>OPINION</w:t>
                </w:r>
              </w:sdtContent>
            </w:sdt>
          </w:p>
        </w:tc>
      </w:tr>
    </w:tbl>
    <w:p w14:paraId="35BFDBC6" w14:textId="77777777" w:rsidR="00832223" w:rsidRDefault="00832223" w:rsidP="009E067F">
      <w:pPr>
        <w:spacing w:line="240" w:lineRule="auto"/>
      </w:pPr>
      <w:bookmarkStart w:id="6" w:name="start"/>
      <w:bookmarkEnd w:id="6"/>
    </w:p>
    <w:p w14:paraId="1C5F15E5" w14:textId="44929ADC" w:rsidR="00C66903" w:rsidRDefault="00AB315E" w:rsidP="00F92F43">
      <w:pPr>
        <w:ind w:firstLine="720"/>
      </w:pPr>
      <w:r>
        <w:t xml:space="preserve"> </w:t>
      </w:r>
      <w:r w:rsidR="00D674CE">
        <w:t>I</w:t>
      </w:r>
      <w:r w:rsidR="007A5284">
        <w:t xml:space="preserve">n 2017, petitioner Anthony Aanand Patel resigned from the practice of law without charges pending.  On January </w:t>
      </w:r>
      <w:r w:rsidR="007A7778">
        <w:t xml:space="preserve">10, </w:t>
      </w:r>
      <w:r w:rsidR="007A5284">
        <w:t xml:space="preserve">2019, Patel filed a petition for reinstatement (petition), </w:t>
      </w:r>
      <w:r w:rsidR="00D3751F">
        <w:t>and the hearing judge issued a decision making a recommendation to grant his petition</w:t>
      </w:r>
      <w:r w:rsidR="007A5284">
        <w:t xml:space="preserve">.  </w:t>
      </w:r>
      <w:r w:rsidR="00B278B8">
        <w:t>Shortly thereafter, t</w:t>
      </w:r>
      <w:r w:rsidR="007A7778">
        <w:t xml:space="preserve">he Office of Chief Trial Counsel of the State Bar (OCTC) moved to reopen the record and </w:t>
      </w:r>
      <w:r w:rsidR="00605F5A">
        <w:t xml:space="preserve">then </w:t>
      </w:r>
      <w:r w:rsidR="007A7778">
        <w:t>subsequently moved to dismiss the petition</w:t>
      </w:r>
      <w:r w:rsidR="00D3751F">
        <w:t xml:space="preserve"> when Patel failed to attend two depositions, one of which was court</w:t>
      </w:r>
      <w:r w:rsidR="004D302A">
        <w:t xml:space="preserve"> </w:t>
      </w:r>
      <w:r w:rsidR="00D3751F">
        <w:t>ordered</w:t>
      </w:r>
      <w:r w:rsidR="007A7778">
        <w:t xml:space="preserve">.  </w:t>
      </w:r>
      <w:r w:rsidR="00D3751F">
        <w:t>On January 24, 2023, t</w:t>
      </w:r>
      <w:r w:rsidR="007A7778">
        <w:t>he hearing judge dismissed</w:t>
      </w:r>
      <w:r w:rsidR="00025F61">
        <w:t xml:space="preserve"> the</w:t>
      </w:r>
      <w:r w:rsidR="007A7778">
        <w:t xml:space="preserve"> petition </w:t>
      </w:r>
      <w:r w:rsidR="00D3751F">
        <w:t xml:space="preserve">pursuant to </w:t>
      </w:r>
      <w:r w:rsidR="007A7778">
        <w:t>rule</w:t>
      </w:r>
      <w:r w:rsidR="00D3751F">
        <w:t>s 5.443(D) and</w:t>
      </w:r>
      <w:r w:rsidR="007A7778">
        <w:t xml:space="preserve"> 5.124(I) of the Rules of Procedure of the State Bar</w:t>
      </w:r>
      <w:r w:rsidR="007A7778">
        <w:rPr>
          <w:rStyle w:val="FootnoteReference"/>
        </w:rPr>
        <w:footnoteReference w:id="2"/>
      </w:r>
      <w:r w:rsidR="00025F61">
        <w:t xml:space="preserve"> due to Patel’s failure to comply with </w:t>
      </w:r>
      <w:r w:rsidR="004D302A">
        <w:t xml:space="preserve">his </w:t>
      </w:r>
      <w:r w:rsidR="00025F61">
        <w:t xml:space="preserve">discovery obligations. </w:t>
      </w:r>
    </w:p>
    <w:p w14:paraId="315CD433" w14:textId="1C3C5473" w:rsidR="00E9335F" w:rsidRPr="00B812C3" w:rsidRDefault="00090920" w:rsidP="00A236E8">
      <w:pPr>
        <w:ind w:firstLine="720"/>
      </w:pPr>
      <w:r>
        <w:t xml:space="preserve">Patel </w:t>
      </w:r>
      <w:r w:rsidR="00127D56">
        <w:t>appeals</w:t>
      </w:r>
      <w:r w:rsidR="00FD6924">
        <w:t xml:space="preserve">.  He challenges the hearing judge’s decisions to reopen the record and to dismiss his petition.  He also </w:t>
      </w:r>
      <w:r w:rsidR="00127D56">
        <w:t xml:space="preserve">seeks for this </w:t>
      </w:r>
      <w:r w:rsidR="000672CB">
        <w:t>c</w:t>
      </w:r>
      <w:r w:rsidR="00127D56">
        <w:t>ourt to reinstate him</w:t>
      </w:r>
      <w:r w:rsidR="00457167">
        <w:t xml:space="preserve"> to the practice of law</w:t>
      </w:r>
      <w:r>
        <w:t xml:space="preserve">.  </w:t>
      </w:r>
      <w:r w:rsidR="00127D56">
        <w:t xml:space="preserve">OCTC does not appeal and requests </w:t>
      </w:r>
      <w:r w:rsidR="00457167">
        <w:t xml:space="preserve">that </w:t>
      </w:r>
      <w:r w:rsidR="00127D56">
        <w:t>we affirm the judge’s decision</w:t>
      </w:r>
      <w:r w:rsidR="00FD6924">
        <w:t>s</w:t>
      </w:r>
      <w:r w:rsidR="00127D56">
        <w:t xml:space="preserve">.  </w:t>
      </w:r>
      <w:r w:rsidR="00BF41C9">
        <w:t xml:space="preserve">After independently </w:t>
      </w:r>
      <w:r w:rsidR="00BF41C9">
        <w:lastRenderedPageBreak/>
        <w:t xml:space="preserve">reviewing the record (Cal. Rules of Court, rule 9.12), we find the judge did not abuse her discretion in </w:t>
      </w:r>
      <w:r w:rsidR="00FD6924">
        <w:t xml:space="preserve">reopening the record or </w:t>
      </w:r>
      <w:r w:rsidR="00BF41C9">
        <w:t>dismissing Patel’s petition</w:t>
      </w:r>
      <w:r w:rsidR="00FD6924">
        <w:t xml:space="preserve">.  We </w:t>
      </w:r>
      <w:r w:rsidR="00BF41C9">
        <w:t xml:space="preserve">affirm the </w:t>
      </w:r>
      <w:r w:rsidR="00FD6924">
        <w:t xml:space="preserve">judge’s conclusions on both issues and dismiss the petition </w:t>
      </w:r>
      <w:r w:rsidR="00D3751F">
        <w:t>with prejudice</w:t>
      </w:r>
      <w:r w:rsidR="00B812C3">
        <w:t>.</w:t>
      </w:r>
    </w:p>
    <w:p w14:paraId="06D7B94D" w14:textId="7FD534F0" w:rsidR="00C66903" w:rsidRDefault="004821DB" w:rsidP="00A236E8">
      <w:pPr>
        <w:pStyle w:val="Heading1"/>
        <w:spacing w:after="0" w:line="480" w:lineRule="auto"/>
      </w:pPr>
      <w:r>
        <w:t>SIGNIFICANT PROCEDURAL HISTORY AND FACTUAL BACKGROUND</w:t>
      </w:r>
    </w:p>
    <w:p w14:paraId="39F1C7DD" w14:textId="02BE99A8" w:rsidR="00080419" w:rsidRDefault="00566C61" w:rsidP="00A236E8">
      <w:r>
        <w:tab/>
      </w:r>
      <w:r w:rsidR="00080419">
        <w:t>Patel was admitted to practice law in California on December 6, 1999.  He maintained a discipline-free</w:t>
      </w:r>
      <w:r w:rsidR="002E6303">
        <w:t xml:space="preserve"> </w:t>
      </w:r>
      <w:r w:rsidR="00080419">
        <w:t>record and resigned without charges pending</w:t>
      </w:r>
      <w:r w:rsidR="00725E47">
        <w:t>,</w:t>
      </w:r>
      <w:r w:rsidR="00080419">
        <w:t xml:space="preserve"> effective February 10, 2017.  After Patel’s resignation </w:t>
      </w:r>
      <w:r w:rsidR="00081179">
        <w:t xml:space="preserve">in California, </w:t>
      </w:r>
      <w:r w:rsidR="00080419">
        <w:t xml:space="preserve">he became licensed to practice law in Nevada </w:t>
      </w:r>
      <w:r w:rsidR="00F65377">
        <w:t>on</w:t>
      </w:r>
      <w:r w:rsidR="00080419">
        <w:t xml:space="preserve"> </w:t>
      </w:r>
      <w:r w:rsidR="00080419" w:rsidRPr="00081179">
        <w:t>May</w:t>
      </w:r>
      <w:r w:rsidR="00200336">
        <w:t xml:space="preserve"> 9</w:t>
      </w:r>
      <w:r w:rsidR="00452CB5">
        <w:t xml:space="preserve">, </w:t>
      </w:r>
      <w:r w:rsidR="00080419" w:rsidRPr="00081179">
        <w:t>2018.</w:t>
      </w:r>
      <w:r w:rsidR="00080419">
        <w:t xml:space="preserve">  </w:t>
      </w:r>
    </w:p>
    <w:p w14:paraId="439ABE7A" w14:textId="71046645" w:rsidR="008065D1" w:rsidRDefault="00080419" w:rsidP="00A236E8">
      <w:r>
        <w:tab/>
        <w:t>Patel</w:t>
      </w:r>
      <w:r w:rsidR="0091186F">
        <w:t xml:space="preserve"> filed his petition on January 10, 2019.  OCTC filed its response on May 17, </w:t>
      </w:r>
      <w:r w:rsidR="0091186F" w:rsidRPr="00725E47">
        <w:t xml:space="preserve">requesting to waive </w:t>
      </w:r>
      <w:r w:rsidR="009F73BD" w:rsidRPr="00725E47">
        <w:t xml:space="preserve">any </w:t>
      </w:r>
      <w:r w:rsidR="0091186F" w:rsidRPr="00725E47">
        <w:t>hearing</w:t>
      </w:r>
      <w:r w:rsidR="0091186F">
        <w:t xml:space="preserve"> and stating it d</w:t>
      </w:r>
      <w:r>
        <w:t>id</w:t>
      </w:r>
      <w:r w:rsidR="0091186F">
        <w:t xml:space="preserve"> not oppose the petition.  </w:t>
      </w:r>
      <w:r w:rsidR="00E82A34">
        <w:t xml:space="preserve">The hearing judge filed her decision on July 29, recommending that Patel’s petition be granted.  </w:t>
      </w:r>
    </w:p>
    <w:p w14:paraId="511F7EBA" w14:textId="2371A2DA" w:rsidR="00B4749B" w:rsidRDefault="00B4749B" w:rsidP="00A236E8">
      <w:pPr>
        <w:pStyle w:val="Heading2"/>
        <w:spacing w:before="0" w:after="0" w:line="480" w:lineRule="auto"/>
      </w:pPr>
      <w:r>
        <w:t xml:space="preserve">Investigation and Discovery </w:t>
      </w:r>
    </w:p>
    <w:p w14:paraId="792A3733" w14:textId="24A707B0" w:rsidR="00E82A34" w:rsidRDefault="00E82A34" w:rsidP="00A236E8">
      <w:r>
        <w:tab/>
        <w:t>On August 27, 2019, OCTC filed a motion to reopen the record, pursuant to rule</w:t>
      </w:r>
      <w:r w:rsidR="00444609">
        <w:t> </w:t>
      </w:r>
      <w:r>
        <w:t>5.113(B), based on newly discovered evidence</w:t>
      </w:r>
      <w:r w:rsidRPr="007D4263">
        <w:t>.</w:t>
      </w:r>
      <w:r w:rsidR="0096130E">
        <w:t xml:space="preserve">  </w:t>
      </w:r>
      <w:r w:rsidR="00486940" w:rsidRPr="007D4263">
        <w:t>The newly discovered evidence include</w:t>
      </w:r>
      <w:r w:rsidR="007D4263" w:rsidRPr="007D4263">
        <w:t>d</w:t>
      </w:r>
      <w:r w:rsidR="007D4263">
        <w:t xml:space="preserve"> </w:t>
      </w:r>
      <w:r w:rsidR="00DE4D9E">
        <w:t xml:space="preserve">numerous </w:t>
      </w:r>
      <w:r w:rsidR="007D4263">
        <w:t>emails sent by Patel to various members of the legal community</w:t>
      </w:r>
      <w:r w:rsidR="00DE4D9E">
        <w:t xml:space="preserve"> with profanity-laden insults and disparaging remarks</w:t>
      </w:r>
      <w:r w:rsidR="007D4263">
        <w:t>.</w:t>
      </w:r>
      <w:r w:rsidR="002E0716">
        <w:t xml:space="preserve">  </w:t>
      </w:r>
      <w:r>
        <w:t xml:space="preserve">Patel opposed the motion on September 25.  The hearing judge granted OCTC’s motion to reopen the record on </w:t>
      </w:r>
      <w:r w:rsidR="00080419">
        <w:t>October 29</w:t>
      </w:r>
      <w:r w:rsidR="00342A0E">
        <w:t xml:space="preserve">.  </w:t>
      </w:r>
      <w:r w:rsidR="00080419" w:rsidRPr="00AD60ED">
        <w:t>Patel sought reconsideration</w:t>
      </w:r>
      <w:r w:rsidR="00221316" w:rsidRPr="00AD60ED">
        <w:t>,</w:t>
      </w:r>
      <w:r w:rsidR="00080419" w:rsidRPr="00AD60ED">
        <w:t xml:space="preserve"> </w:t>
      </w:r>
      <w:r w:rsidR="00F424D2" w:rsidRPr="00AD60ED">
        <w:t xml:space="preserve">which </w:t>
      </w:r>
      <w:r w:rsidR="00221316" w:rsidRPr="00AD60ED">
        <w:t xml:space="preserve">the judge </w:t>
      </w:r>
      <w:r w:rsidR="00F424D2" w:rsidRPr="00AD60ED">
        <w:t>denied.</w:t>
      </w:r>
      <w:r w:rsidR="00F424D2">
        <w:t xml:space="preserve">  </w:t>
      </w:r>
      <w:r w:rsidR="00AD60ED">
        <w:t xml:space="preserve">Patel then sought to disqualify the judge and also another judge assigned to decide the disqualification motion, </w:t>
      </w:r>
      <w:r w:rsidR="00477A4B">
        <w:t>but</w:t>
      </w:r>
      <w:r w:rsidR="00AD60ED">
        <w:t xml:space="preserve"> he was unsuccessful in these challenges.</w:t>
      </w:r>
    </w:p>
    <w:p w14:paraId="4D18D8F4" w14:textId="5A552D73" w:rsidR="00200336" w:rsidRDefault="00F424D2" w:rsidP="00A236E8">
      <w:r>
        <w:tab/>
        <w:t xml:space="preserve">On June 30, 2020, </w:t>
      </w:r>
      <w:r w:rsidR="00725E47">
        <w:t xml:space="preserve">pursuant to a court order, </w:t>
      </w:r>
      <w:r>
        <w:t>Patel filed an amended petition</w:t>
      </w:r>
      <w:r w:rsidR="00607AA2">
        <w:t xml:space="preserve"> and </w:t>
      </w:r>
      <w:r>
        <w:t xml:space="preserve">OCTC </w:t>
      </w:r>
      <w:r w:rsidR="00607AA2">
        <w:t xml:space="preserve">filed </w:t>
      </w:r>
      <w:r w:rsidR="00452CB5">
        <w:t>its</w:t>
      </w:r>
      <w:r w:rsidR="00607AA2">
        <w:t xml:space="preserve"> </w:t>
      </w:r>
      <w:r>
        <w:t>oppos</w:t>
      </w:r>
      <w:r w:rsidR="00607AA2">
        <w:t>ition</w:t>
      </w:r>
      <w:r>
        <w:t xml:space="preserve"> on November 6.  On December 14, the hearing judge abated the </w:t>
      </w:r>
      <w:r w:rsidR="007B6C01">
        <w:t xml:space="preserve">reinstatement </w:t>
      </w:r>
      <w:r>
        <w:t>proceeding</w:t>
      </w:r>
      <w:r w:rsidR="00A555A0">
        <w:t>.</w:t>
      </w:r>
      <w:r w:rsidR="00902F34">
        <w:t xml:space="preserve">  The </w:t>
      </w:r>
      <w:r w:rsidR="007D4263">
        <w:t xml:space="preserve">abatement was </w:t>
      </w:r>
      <w:r w:rsidR="00A46820">
        <w:t>due to</w:t>
      </w:r>
      <w:r w:rsidR="007D4263">
        <w:t xml:space="preserve"> </w:t>
      </w:r>
      <w:r w:rsidR="004E6861">
        <w:t>a related proceeding</w:t>
      </w:r>
      <w:r w:rsidR="007B6C01">
        <w:t>, entitled</w:t>
      </w:r>
      <w:r w:rsidR="00D66A22">
        <w:t xml:space="preserve"> </w:t>
      </w:r>
      <w:r w:rsidR="00486940" w:rsidRPr="000B336B">
        <w:rPr>
          <w:i/>
          <w:iCs/>
        </w:rPr>
        <w:t>Anthony Patel v. Sonya Bhatia Patel</w:t>
      </w:r>
      <w:r w:rsidR="00486940">
        <w:t xml:space="preserve">, </w:t>
      </w:r>
      <w:r w:rsidR="002E6303">
        <w:t xml:space="preserve">Los Angeles County Superior Court, No. </w:t>
      </w:r>
      <w:r w:rsidR="00486940" w:rsidRPr="002E6303">
        <w:t>BD585163 (S265082)</w:t>
      </w:r>
      <w:r w:rsidR="007B6C01">
        <w:t>,</w:t>
      </w:r>
      <w:r w:rsidR="00D66A22">
        <w:t xml:space="preserve"> </w:t>
      </w:r>
      <w:r w:rsidR="007B6C01">
        <w:t xml:space="preserve">where Patel </w:t>
      </w:r>
      <w:r w:rsidR="007B6C01">
        <w:lastRenderedPageBreak/>
        <w:t xml:space="preserve">sought Supreme Court review of </w:t>
      </w:r>
      <w:r w:rsidR="007B6C01" w:rsidRPr="00725E47">
        <w:t>an order</w:t>
      </w:r>
      <w:r w:rsidR="007B6C01">
        <w:t xml:space="preserve"> declaring him a vexatious litigant.</w:t>
      </w:r>
      <w:r w:rsidR="00CB503F" w:rsidRPr="002E6303">
        <w:rPr>
          <w:rStyle w:val="FootnoteReference"/>
        </w:rPr>
        <w:footnoteReference w:id="3"/>
      </w:r>
      <w:r w:rsidR="007B6C01">
        <w:t xml:space="preserve">  </w:t>
      </w:r>
      <w:r w:rsidR="00D66A22">
        <w:t xml:space="preserve">The Supreme Court ultimately denied Patel’s petition for review. </w:t>
      </w:r>
      <w:r w:rsidR="00A147BB">
        <w:t xml:space="preserve"> </w:t>
      </w:r>
      <w:r w:rsidR="00351991">
        <w:t>On October 28, 2022</w:t>
      </w:r>
      <w:r w:rsidR="000036F1">
        <w:t>,</w:t>
      </w:r>
      <w:r w:rsidR="00351991">
        <w:t xml:space="preserve"> the judge issued an order </w:t>
      </w:r>
      <w:r w:rsidR="0056023D">
        <w:t xml:space="preserve">terminating </w:t>
      </w:r>
      <w:r w:rsidR="00351991">
        <w:t>the abatement and provid</w:t>
      </w:r>
      <w:r w:rsidR="0056023D">
        <w:t xml:space="preserve">ed Patel and OCTC </w:t>
      </w:r>
      <w:r w:rsidR="00351991">
        <w:t>an opportunity to supplement their pleadings</w:t>
      </w:r>
      <w:r w:rsidR="0056023D">
        <w:t xml:space="preserve"> by</w:t>
      </w:r>
      <w:r w:rsidR="00351991">
        <w:t xml:space="preserve"> November 14 and </w:t>
      </w:r>
      <w:r w:rsidR="0056023D">
        <w:t xml:space="preserve">December 5, respectively. </w:t>
      </w:r>
    </w:p>
    <w:p w14:paraId="2EA65B76" w14:textId="0DB5E45E" w:rsidR="00B4749B" w:rsidRDefault="00B4749B" w:rsidP="00A236E8">
      <w:pPr>
        <w:pStyle w:val="Heading2"/>
        <w:spacing w:before="0" w:after="0" w:line="480" w:lineRule="auto"/>
      </w:pPr>
      <w:r>
        <w:t xml:space="preserve">Petition Dismissal </w:t>
      </w:r>
    </w:p>
    <w:p w14:paraId="1E7EB9E1" w14:textId="0EF8362A" w:rsidR="00F424D2" w:rsidRDefault="00200336" w:rsidP="00A236E8">
      <w:r>
        <w:tab/>
        <w:t xml:space="preserve">On November 22, 2022, OCTC </w:t>
      </w:r>
      <w:r w:rsidR="00E65860">
        <w:t xml:space="preserve">properly noticed </w:t>
      </w:r>
      <w:r w:rsidR="007B6C01">
        <w:t xml:space="preserve">Patel’s </w:t>
      </w:r>
      <w:r w:rsidR="00E65860">
        <w:t>deposition for December 15.</w:t>
      </w:r>
      <w:r w:rsidR="006E3B08">
        <w:t xml:space="preserve">  </w:t>
      </w:r>
      <w:r w:rsidR="00D94FB7">
        <w:t>The following day, P</w:t>
      </w:r>
      <w:r w:rsidR="00951203">
        <w:t xml:space="preserve">atel emailed the Hearing Department </w:t>
      </w:r>
      <w:r w:rsidR="007B6C01">
        <w:t xml:space="preserve">and </w:t>
      </w:r>
      <w:r w:rsidR="00951203">
        <w:t>stat</w:t>
      </w:r>
      <w:r w:rsidR="007B6C01">
        <w:t xml:space="preserve">ed </w:t>
      </w:r>
      <w:r w:rsidR="00951203">
        <w:t xml:space="preserve">he did not plan to continue with the reinstatement if OCTC </w:t>
      </w:r>
      <w:r w:rsidR="003D6C8B">
        <w:t>still opposed his petition.</w:t>
      </w:r>
      <w:r w:rsidR="006E3B08">
        <w:t xml:space="preserve">  </w:t>
      </w:r>
      <w:r w:rsidR="00D94FB7">
        <w:t xml:space="preserve">On December 14, one day prior to </w:t>
      </w:r>
      <w:r w:rsidR="00B23B1B">
        <w:t>his</w:t>
      </w:r>
      <w:r w:rsidR="00D94FB7">
        <w:t xml:space="preserve"> scheduled deposition, Patel filed a motion to quash or protect deposition and </w:t>
      </w:r>
      <w:r w:rsidR="00AF7327">
        <w:t>subpoena</w:t>
      </w:r>
      <w:r w:rsidR="005515B9">
        <w:t xml:space="preserve"> (motion to quash)</w:t>
      </w:r>
      <w:r w:rsidR="00D94FB7">
        <w:t xml:space="preserve"> and requested </w:t>
      </w:r>
      <w:r w:rsidR="0016708F">
        <w:t xml:space="preserve">that </w:t>
      </w:r>
      <w:r w:rsidR="00D94FB7">
        <w:t>th</w:t>
      </w:r>
      <w:r w:rsidR="00A96606">
        <w:t xml:space="preserve">e </w:t>
      </w:r>
      <w:r w:rsidR="00D94FB7">
        <w:t>court take his deposition and trial “off-calendar</w:t>
      </w:r>
      <w:r w:rsidR="008C3824">
        <w:t>.</w:t>
      </w:r>
      <w:r w:rsidR="00D94FB7">
        <w:t xml:space="preserve">” </w:t>
      </w:r>
      <w:r w:rsidR="008C3824">
        <w:t xml:space="preserve"> He also filed a notice of withdrawal of</w:t>
      </w:r>
      <w:r w:rsidR="00032F31">
        <w:t xml:space="preserve"> the</w:t>
      </w:r>
      <w:r w:rsidR="008C3824">
        <w:t xml:space="preserve"> petition on December 14.  Patel failed to appear at the December 15 deposition.  </w:t>
      </w:r>
    </w:p>
    <w:p w14:paraId="728FA3BE" w14:textId="4AC71C45" w:rsidR="001438F2" w:rsidRDefault="005515B9" w:rsidP="00A236E8">
      <w:r>
        <w:tab/>
        <w:t>On December 27, 2022, OCTC filed its motion to dismiss the petition or</w:t>
      </w:r>
      <w:r w:rsidR="00BD51EF">
        <w:t>,</w:t>
      </w:r>
      <w:r>
        <w:t xml:space="preserve"> in the alternative</w:t>
      </w:r>
      <w:r w:rsidR="00BD51EF">
        <w:t>,</w:t>
      </w:r>
      <w:r>
        <w:t xml:space="preserve"> compel petitioner’s testimony at deposition (motion to compel).  O</w:t>
      </w:r>
      <w:r w:rsidR="00F65377">
        <w:t xml:space="preserve">n January </w:t>
      </w:r>
      <w:r w:rsidR="005A44ED">
        <w:t>3</w:t>
      </w:r>
      <w:r w:rsidR="00F65377">
        <w:t>, 2023, O</w:t>
      </w:r>
      <w:r>
        <w:t xml:space="preserve">CTC filed a belated </w:t>
      </w:r>
      <w:r w:rsidR="00F65377">
        <w:t xml:space="preserve">request to oppose </w:t>
      </w:r>
      <w:r>
        <w:t>Patel’s motion to quash.</w:t>
      </w:r>
      <w:r>
        <w:rPr>
          <w:rStyle w:val="FootnoteReference"/>
        </w:rPr>
        <w:footnoteReference w:id="4"/>
      </w:r>
      <w:r>
        <w:t xml:space="preserve">  </w:t>
      </w:r>
      <w:r w:rsidR="0019276C">
        <w:t>On January 5, the hearing judge granted OCTC’s motion to compel and ordered Patel to appear for his deposition within five court days of service of th</w:t>
      </w:r>
      <w:r w:rsidR="00BD51EF">
        <w:t>e</w:t>
      </w:r>
      <w:r w:rsidR="0019276C">
        <w:t xml:space="preserve"> order.</w:t>
      </w:r>
      <w:r w:rsidR="0019276C">
        <w:rPr>
          <w:rStyle w:val="FootnoteReference"/>
        </w:rPr>
        <w:footnoteReference w:id="5"/>
      </w:r>
      <w:r w:rsidR="0019276C">
        <w:t xml:space="preserve">  The order also stated that Patel’s “failure to comply with this order will result in sanctions pursuant to rule 5.69(C), </w:t>
      </w:r>
      <w:r w:rsidR="007D5669">
        <w:t>up to</w:t>
      </w:r>
      <w:r w:rsidR="0019276C">
        <w:t xml:space="preserve"> and including, dismissal of </w:t>
      </w:r>
      <w:r w:rsidR="0019276C">
        <w:lastRenderedPageBreak/>
        <w:t>[Patel’s] petition for reinstatement.”</w:t>
      </w:r>
      <w:r w:rsidR="00F16C3A">
        <w:t xml:space="preserve">  </w:t>
      </w:r>
      <w:r w:rsidR="001438F2">
        <w:t>Later that day, OCTC noticed Patel’s court-ordered deposition for January 10, 2023</w:t>
      </w:r>
      <w:r w:rsidR="0053295A">
        <w:t>,</w:t>
      </w:r>
      <w:r w:rsidR="001438F2">
        <w:t xml:space="preserve"> and Patel was served with the notice.  </w:t>
      </w:r>
    </w:p>
    <w:p w14:paraId="6FC13068" w14:textId="77777777" w:rsidR="00FB1B30" w:rsidRDefault="001438F2" w:rsidP="00A236E8">
      <w:r>
        <w:tab/>
      </w:r>
      <w:r w:rsidR="003C51FA">
        <w:t>On January 6,</w:t>
      </w:r>
      <w:r>
        <w:t xml:space="preserve"> 2023,</w:t>
      </w:r>
      <w:r w:rsidR="003C51FA">
        <w:t xml:space="preserve"> Patel filed a motion for an extension of time</w:t>
      </w:r>
      <w:r w:rsidR="0075366C">
        <w:t xml:space="preserve"> </w:t>
      </w:r>
      <w:r w:rsidR="003C51FA">
        <w:t>to “prepare and attempt to make himself available for the deposition.”</w:t>
      </w:r>
      <w:r w:rsidR="0031420C">
        <w:t xml:space="preserve">  </w:t>
      </w:r>
      <w:r>
        <w:t>OCTC opposed Patel’s motion</w:t>
      </w:r>
      <w:r w:rsidR="00BD51EF">
        <w:t>,</w:t>
      </w:r>
      <w:r>
        <w:t xml:space="preserve"> and</w:t>
      </w:r>
      <w:r w:rsidR="00BD51EF">
        <w:t>,</w:t>
      </w:r>
      <w:r>
        <w:t xml:space="preserve"> on </w:t>
      </w:r>
    </w:p>
    <w:p w14:paraId="03524015" w14:textId="37205DF4" w:rsidR="005515B9" w:rsidRDefault="001438F2" w:rsidP="00A236E8">
      <w:r>
        <w:t>January 10</w:t>
      </w:r>
      <w:r w:rsidR="008C5274">
        <w:t>,</w:t>
      </w:r>
      <w:r>
        <w:t xml:space="preserve"> </w:t>
      </w:r>
      <w:r w:rsidR="00BD51EF">
        <w:t>t</w:t>
      </w:r>
      <w:r>
        <w:t xml:space="preserve">he hearing judge </w:t>
      </w:r>
      <w:r w:rsidR="00BD51EF">
        <w:t xml:space="preserve">denied the motion </w:t>
      </w:r>
      <w:r>
        <w:t xml:space="preserve">for lack of good cause.  On January 9, Patel filed a motion to continue </w:t>
      </w:r>
      <w:r w:rsidR="00454527">
        <w:t xml:space="preserve">the pretrial hearing and trial date </w:t>
      </w:r>
      <w:r>
        <w:t xml:space="preserve">for 30 days or more, which </w:t>
      </w:r>
      <w:r w:rsidR="00BD51EF">
        <w:t>the judge a</w:t>
      </w:r>
      <w:r>
        <w:t xml:space="preserve">lso denied.  </w:t>
      </w:r>
      <w:r w:rsidR="0035589F">
        <w:t xml:space="preserve">Patel failed to appear </w:t>
      </w:r>
      <w:r w:rsidR="004D34C7">
        <w:t>at the</w:t>
      </w:r>
      <w:r w:rsidR="003F0CDA">
        <w:t xml:space="preserve"> January 10</w:t>
      </w:r>
      <w:r w:rsidR="004D34C7">
        <w:t xml:space="preserve"> deposition.</w:t>
      </w:r>
      <w:r w:rsidR="005331E0">
        <w:t xml:space="preserve">  </w:t>
      </w:r>
      <w:r w:rsidR="00BD51EF">
        <w:t>Also o</w:t>
      </w:r>
      <w:r w:rsidR="004D34C7">
        <w:t>n January 10,</w:t>
      </w:r>
      <w:r w:rsidR="007A6F8C">
        <w:t xml:space="preserve"> Patel</w:t>
      </w:r>
      <w:r w:rsidR="004D34C7">
        <w:t xml:space="preserve"> filed an amended notice of withdrawal of the petition</w:t>
      </w:r>
      <w:r w:rsidR="00BD51EF">
        <w:t>,</w:t>
      </w:r>
      <w:r w:rsidR="004D34C7">
        <w:t xml:space="preserve"> which stated</w:t>
      </w:r>
      <w:r w:rsidR="00BD51EF">
        <w:t>,</w:t>
      </w:r>
      <w:r w:rsidR="004D34C7">
        <w:t xml:space="preserve"> “if </w:t>
      </w:r>
      <w:r w:rsidR="00BD51EF">
        <w:t xml:space="preserve">[California State Senate President pro Tempore] </w:t>
      </w:r>
      <w:r w:rsidR="004D34C7">
        <w:t xml:space="preserve">Senator </w:t>
      </w:r>
      <w:r w:rsidR="00BD51EF">
        <w:t xml:space="preserve">[Toni] </w:t>
      </w:r>
      <w:r w:rsidR="004D34C7">
        <w:t>Atkins does not believe that Petitioner should be duly reinstated, the petition, originally filed January 10, 2019, can be immediately withdraw</w:t>
      </w:r>
      <w:r w:rsidR="00EB090B">
        <w:t>n</w:t>
      </w:r>
      <w:r w:rsidR="004D34C7">
        <w:t xml:space="preserve"> . . .</w:t>
      </w:r>
      <w:r w:rsidR="00C62749">
        <w:t xml:space="preserve"> .</w:t>
      </w:r>
      <w:r w:rsidR="004D34C7">
        <w:t>”</w:t>
      </w:r>
      <w:r w:rsidR="00E123D7">
        <w:rPr>
          <w:rStyle w:val="FootnoteReference"/>
        </w:rPr>
        <w:footnoteReference w:id="6"/>
      </w:r>
      <w:r w:rsidR="00106802">
        <w:t xml:space="preserve">  </w:t>
      </w:r>
      <w:r w:rsidR="004D34C7" w:rsidRPr="00927CA5">
        <w:t xml:space="preserve">On January 12, OCTC </w:t>
      </w:r>
      <w:r w:rsidR="00E80A6A" w:rsidRPr="00927CA5">
        <w:t>filed a motion to dismiss the petition</w:t>
      </w:r>
      <w:r w:rsidR="00EB090B" w:rsidRPr="00927CA5">
        <w:t xml:space="preserve"> with prejudice.</w:t>
      </w:r>
      <w:r w:rsidR="00EB090B">
        <w:t xml:space="preserve">  On January 23, Patel filed an opposition.  On January 24, the hearing judge </w:t>
      </w:r>
      <w:r w:rsidR="00CE24DF">
        <w:t xml:space="preserve">dismissed </w:t>
      </w:r>
      <w:r w:rsidR="00802914">
        <w:t xml:space="preserve">Patel’s </w:t>
      </w:r>
      <w:r w:rsidR="00E60178">
        <w:t xml:space="preserve">petition for </w:t>
      </w:r>
      <w:r w:rsidR="00802914">
        <w:t xml:space="preserve">failure to comply with </w:t>
      </w:r>
      <w:r w:rsidR="006266E6">
        <w:t xml:space="preserve">his </w:t>
      </w:r>
      <w:r w:rsidR="00802914">
        <w:t>discovery obligation</w:t>
      </w:r>
      <w:r w:rsidR="00EA481C">
        <w:t>s</w:t>
      </w:r>
      <w:r w:rsidR="00802914">
        <w:t xml:space="preserve"> pursuant to rule 5.443(D)</w:t>
      </w:r>
      <w:r w:rsidR="00927CA5">
        <w:t xml:space="preserve"> and </w:t>
      </w:r>
      <w:r w:rsidR="00E04E99">
        <w:t xml:space="preserve">rule 5.124(I) </w:t>
      </w:r>
      <w:r w:rsidR="00927CA5">
        <w:t>(dism</w:t>
      </w:r>
      <w:r w:rsidR="00E04E99">
        <w:t>issal order)</w:t>
      </w:r>
      <w:r w:rsidR="007A6F8C">
        <w:t>.</w:t>
      </w:r>
    </w:p>
    <w:p w14:paraId="15F0215D" w14:textId="3C2CA0DB" w:rsidR="00CA6164" w:rsidRDefault="00CA6164" w:rsidP="00A236E8">
      <w:pPr>
        <w:pStyle w:val="Heading2"/>
        <w:spacing w:before="0" w:after="0" w:line="480" w:lineRule="auto"/>
      </w:pPr>
      <w:r>
        <w:t>Re</w:t>
      </w:r>
      <w:r w:rsidR="00850D87">
        <w:t>consideration</w:t>
      </w:r>
      <w:r>
        <w:t xml:space="preserve"> and Request for Review</w:t>
      </w:r>
    </w:p>
    <w:p w14:paraId="578DB46D" w14:textId="1D7346E3" w:rsidR="00251273" w:rsidRDefault="00E04E99" w:rsidP="00A236E8">
      <w:r>
        <w:tab/>
        <w:t xml:space="preserve">On February 8, 2023, Patel filed a motion to reconsider the dismissal order, which the hearing judge denied on March 7.  </w:t>
      </w:r>
      <w:r w:rsidR="008F2A30">
        <w:t xml:space="preserve">On March 22, </w:t>
      </w:r>
      <w:r>
        <w:t>Patel sought reconsideration of th</w:t>
      </w:r>
      <w:r w:rsidR="00315723">
        <w:t>at</w:t>
      </w:r>
      <w:r>
        <w:t xml:space="preserve"> order</w:t>
      </w:r>
      <w:r w:rsidR="006266E6">
        <w:t xml:space="preserve">, which </w:t>
      </w:r>
      <w:r w:rsidR="001F3DBB">
        <w:t>was</w:t>
      </w:r>
      <w:r>
        <w:t xml:space="preserve"> denied on May 10.</w:t>
      </w:r>
      <w:r w:rsidR="00F853DC">
        <w:t xml:space="preserve">  </w:t>
      </w:r>
      <w:r w:rsidR="00B42ED3">
        <w:t>On June 9,</w:t>
      </w:r>
      <w:r w:rsidR="00F853DC">
        <w:t xml:space="preserve"> </w:t>
      </w:r>
      <w:r w:rsidR="00B42ED3">
        <w:t>Patel filed a request for review</w:t>
      </w:r>
      <w:r w:rsidR="00306D9B">
        <w:t xml:space="preserve"> of the reinstatement proceeding</w:t>
      </w:r>
      <w:r w:rsidR="00B42ED3">
        <w:t xml:space="preserve">.  </w:t>
      </w:r>
      <w:r w:rsidR="00CC6A94">
        <w:t xml:space="preserve">On </w:t>
      </w:r>
      <w:r w:rsidR="00756330">
        <w:t>January 19, 2024, Patel filed a waiver of oral argument pursuant to rule 5.154</w:t>
      </w:r>
      <w:r w:rsidR="00477A4B">
        <w:t xml:space="preserve"> and did not appear at the January 24 oral argument</w:t>
      </w:r>
      <w:r w:rsidR="00756330">
        <w:t>.  OCTC proceeded with its oral argument</w:t>
      </w:r>
      <w:r w:rsidR="006266E6">
        <w:t>,</w:t>
      </w:r>
      <w:r w:rsidR="00756330">
        <w:t xml:space="preserve"> </w:t>
      </w:r>
      <w:r w:rsidR="00306D9B">
        <w:t>and the matter was submitted the same day.</w:t>
      </w:r>
    </w:p>
    <w:p w14:paraId="54629CB4" w14:textId="77777777" w:rsidR="00FF110C" w:rsidRDefault="00FF110C" w:rsidP="00A236E8"/>
    <w:p w14:paraId="61DC2510" w14:textId="0A05DB89" w:rsidR="00C66903" w:rsidRDefault="000B532D" w:rsidP="00A236E8">
      <w:pPr>
        <w:pStyle w:val="Heading1"/>
        <w:spacing w:after="0" w:line="480" w:lineRule="auto"/>
      </w:pPr>
      <w:r>
        <w:lastRenderedPageBreak/>
        <w:t>DISCUSSION</w:t>
      </w:r>
    </w:p>
    <w:p w14:paraId="5A90CE69" w14:textId="4201E145" w:rsidR="005D62C6" w:rsidRDefault="00526AC8" w:rsidP="00A236E8">
      <w:pPr>
        <w:pStyle w:val="Heading2"/>
        <w:spacing w:before="0" w:after="0" w:line="480" w:lineRule="auto"/>
      </w:pPr>
      <w:r>
        <w:t xml:space="preserve">Patel’s Obligations Upon Filing </w:t>
      </w:r>
      <w:r w:rsidR="00EC49A6">
        <w:t xml:space="preserve">for Reinstatement </w:t>
      </w:r>
    </w:p>
    <w:p w14:paraId="3EF7255F" w14:textId="2B8A9F33" w:rsidR="007E35CE" w:rsidRDefault="0091186F" w:rsidP="00A236E8">
      <w:pPr>
        <w:ind w:firstLine="720"/>
      </w:pPr>
      <w:r>
        <w:t xml:space="preserve">Reinstatement proceedings are governed under rule 5.440 et seq.  </w:t>
      </w:r>
      <w:r w:rsidR="003F695F">
        <w:t>Specifically, rule</w:t>
      </w:r>
      <w:r w:rsidR="00C62749">
        <w:t> </w:t>
      </w:r>
      <w:r w:rsidR="003F695F">
        <w:t xml:space="preserve">5.443(C) allows </w:t>
      </w:r>
      <w:r w:rsidR="0015639B">
        <w:t xml:space="preserve">OCTC </w:t>
      </w:r>
      <w:r w:rsidR="003F695F">
        <w:t>to conduct discovery and investigat</w:t>
      </w:r>
      <w:r w:rsidR="007E35CE">
        <w:t>e</w:t>
      </w:r>
      <w:r w:rsidR="003F695F">
        <w:t xml:space="preserve"> for 120 days after </w:t>
      </w:r>
      <w:r w:rsidR="009F5F55">
        <w:t>OCTC’s</w:t>
      </w:r>
      <w:r w:rsidR="003F695F">
        <w:t xml:space="preserve"> response to </w:t>
      </w:r>
      <w:r w:rsidR="006156F5">
        <w:t>a</w:t>
      </w:r>
      <w:r w:rsidR="003F695F">
        <w:t xml:space="preserve"> petition is filed.  A</w:t>
      </w:r>
      <w:r w:rsidR="007E35CE">
        <w:t>s part of its investigation</w:t>
      </w:r>
      <w:r w:rsidR="002E27D0">
        <w:t xml:space="preserve">, rule 5.443(D) provides that OCTC may take a petitioner’s deposition.  </w:t>
      </w:r>
      <w:r w:rsidR="007E35CE">
        <w:t xml:space="preserve">Under rule 5.445(B), </w:t>
      </w:r>
      <w:r w:rsidR="00DE4D9E">
        <w:t xml:space="preserve">a petitioner who resigns without charges pending </w:t>
      </w:r>
      <w:r w:rsidR="007E35CE">
        <w:t xml:space="preserve">and is seeking reinstatement </w:t>
      </w:r>
      <w:r w:rsidR="00DE4D9E">
        <w:t>must</w:t>
      </w:r>
      <w:r w:rsidR="002E27D0" w:rsidRPr="002E27D0">
        <w:t xml:space="preserve"> </w:t>
      </w:r>
      <w:r w:rsidR="002E27D0" w:rsidRPr="001D6EA5">
        <w:t xml:space="preserve">(1) pass </w:t>
      </w:r>
      <w:r w:rsidR="002E27D0">
        <w:t xml:space="preserve">a professional responsibility exam </w:t>
      </w:r>
      <w:r w:rsidR="002E27D0" w:rsidRPr="001D6EA5">
        <w:t>within one year prior to filing the petition</w:t>
      </w:r>
      <w:r w:rsidR="002E27D0">
        <w:t>;</w:t>
      </w:r>
      <w:r w:rsidR="002E27D0" w:rsidRPr="001D6EA5">
        <w:t xml:space="preserve"> (2) establish present moral qualifications for reinstatement</w:t>
      </w:r>
      <w:r w:rsidR="002E27D0">
        <w:t>;</w:t>
      </w:r>
      <w:r w:rsidR="002E27D0" w:rsidRPr="001D6EA5">
        <w:t xml:space="preserve"> and (</w:t>
      </w:r>
      <w:r w:rsidR="004E6861">
        <w:t>3</w:t>
      </w:r>
      <w:r w:rsidR="002E27D0" w:rsidRPr="001D6EA5">
        <w:t>)</w:t>
      </w:r>
      <w:r w:rsidR="00FA11D9">
        <w:t> </w:t>
      </w:r>
      <w:r w:rsidR="002E27D0" w:rsidRPr="001D6EA5">
        <w:t>establish present ability and learning in the general law.</w:t>
      </w:r>
    </w:p>
    <w:p w14:paraId="1F274E32" w14:textId="1658052C" w:rsidR="00CE2323" w:rsidRPr="007E35CE" w:rsidRDefault="00CE2323" w:rsidP="00A236E8">
      <w:pPr>
        <w:pStyle w:val="Heading2"/>
        <w:spacing w:before="0" w:after="0" w:line="480" w:lineRule="auto"/>
      </w:pPr>
      <w:r w:rsidRPr="007E35CE">
        <w:t xml:space="preserve">OCTC’s </w:t>
      </w:r>
      <w:r w:rsidR="007E35CE">
        <w:t>M</w:t>
      </w:r>
      <w:r w:rsidRPr="007E35CE">
        <w:t xml:space="preserve">otion to </w:t>
      </w:r>
      <w:r w:rsidR="007E35CE">
        <w:t>R</w:t>
      </w:r>
      <w:r w:rsidRPr="007E35CE">
        <w:t xml:space="preserve">eopen the </w:t>
      </w:r>
      <w:r w:rsidR="007E35CE">
        <w:t>R</w:t>
      </w:r>
      <w:r w:rsidRPr="007E35CE">
        <w:t xml:space="preserve">ecord </w:t>
      </w:r>
      <w:r w:rsidR="007E35CE">
        <w:t>W</w:t>
      </w:r>
      <w:r w:rsidRPr="007E35CE">
        <w:t xml:space="preserve">as </w:t>
      </w:r>
      <w:r w:rsidR="007E35CE">
        <w:t>P</w:t>
      </w:r>
      <w:r w:rsidRPr="007E35CE">
        <w:t xml:space="preserve">roperly </w:t>
      </w:r>
      <w:r w:rsidR="007E35CE">
        <w:t>G</w:t>
      </w:r>
      <w:r w:rsidRPr="007E35CE">
        <w:t>ranted</w:t>
      </w:r>
    </w:p>
    <w:p w14:paraId="13E8C315" w14:textId="07C644C2" w:rsidR="00CE2323" w:rsidRDefault="00CE2323" w:rsidP="00A236E8">
      <w:r>
        <w:tab/>
        <w:t xml:space="preserve">Patel argues </w:t>
      </w:r>
      <w:r w:rsidR="00A254E9">
        <w:t xml:space="preserve">that </w:t>
      </w:r>
      <w:r>
        <w:t xml:space="preserve">the hearing judge </w:t>
      </w:r>
      <w:r w:rsidR="00A254E9">
        <w:t>abused her discretion</w:t>
      </w:r>
      <w:r>
        <w:t xml:space="preserve"> by granting OCTC’s motion to reopen the record after she issued the July 29, </w:t>
      </w:r>
      <w:r w:rsidRPr="005B1732">
        <w:t>2019 decision</w:t>
      </w:r>
      <w:r>
        <w:t xml:space="preserve"> that recommended </w:t>
      </w:r>
      <w:r w:rsidR="001D79AE">
        <w:t xml:space="preserve">the </w:t>
      </w:r>
      <w:r>
        <w:t xml:space="preserve">granting </w:t>
      </w:r>
      <w:r w:rsidR="001D79AE">
        <w:t xml:space="preserve">of </w:t>
      </w:r>
      <w:r>
        <w:t xml:space="preserve">Patel’s petition.  </w:t>
      </w:r>
      <w:r w:rsidR="005D3F2B">
        <w:t>T</w:t>
      </w:r>
      <w:r w:rsidR="005D3F2B" w:rsidRPr="005D3F2B">
        <w:t xml:space="preserve">he standard of review </w:t>
      </w:r>
      <w:r w:rsidR="003C08FA">
        <w:t xml:space="preserve">to apply to </w:t>
      </w:r>
      <w:r w:rsidR="005D3F2B" w:rsidRPr="005D3F2B">
        <w:t xml:space="preserve">procedural rulings is </w:t>
      </w:r>
      <w:r w:rsidR="005D3F2B">
        <w:t xml:space="preserve">generally </w:t>
      </w:r>
      <w:r w:rsidR="005D3F2B" w:rsidRPr="005D3F2B">
        <w:t>abuse of discretion</w:t>
      </w:r>
      <w:r w:rsidR="002C3418">
        <w:t xml:space="preserve">, and the test </w:t>
      </w:r>
      <w:r>
        <w:t>is whether the court “exceeded the bounds of reason, all of the circumstances before it being considered.”  (</w:t>
      </w:r>
      <w:r>
        <w:rPr>
          <w:i/>
          <w:iCs/>
        </w:rPr>
        <w:t>H. D. Arnaiz, Ltd. v. County of San Joaquin</w:t>
      </w:r>
      <w:r>
        <w:t xml:space="preserve"> (2002) 96</w:t>
      </w:r>
      <w:r w:rsidR="00444609">
        <w:t> </w:t>
      </w:r>
      <w:r>
        <w:t>Cal.App.4th 1357, 1368</w:t>
      </w:r>
      <w:r w:rsidR="003C08FA">
        <w:t xml:space="preserve">; see also </w:t>
      </w:r>
      <w:r w:rsidR="003C08FA">
        <w:rPr>
          <w:i/>
          <w:iCs/>
        </w:rPr>
        <w:t xml:space="preserve">In the Matter of Respondent L </w:t>
      </w:r>
      <w:r w:rsidR="003C08FA">
        <w:t xml:space="preserve">(Review Dept. 1993) </w:t>
      </w:r>
      <w:r w:rsidR="003C08FA" w:rsidRPr="00FA11D9">
        <w:t>2</w:t>
      </w:r>
      <w:r w:rsidR="00FA11D9">
        <w:t> </w:t>
      </w:r>
      <w:r w:rsidR="003C08FA" w:rsidRPr="00FA11D9">
        <w:t>Cal</w:t>
      </w:r>
      <w:r w:rsidR="003C08FA">
        <w:t>.</w:t>
      </w:r>
      <w:r w:rsidR="00FA11D9">
        <w:t> </w:t>
      </w:r>
      <w:r w:rsidR="003C08FA">
        <w:t>State Bar Ct. Rptr. 454, 461</w:t>
      </w:r>
      <w:r w:rsidR="00F2239A">
        <w:t xml:space="preserve"> </w:t>
      </w:r>
      <w:r w:rsidR="00F2239A" w:rsidRPr="00F2239A">
        <w:t>[hearing judge’s procedural ruling reviewed under abuse of discretion standard]</w:t>
      </w:r>
      <w:r w:rsidR="003C08FA">
        <w:t>.</w:t>
      </w:r>
      <w:r>
        <w:t>)</w:t>
      </w:r>
    </w:p>
    <w:p w14:paraId="7C557A09" w14:textId="2C6F471E" w:rsidR="001536F9" w:rsidRDefault="00CE2323" w:rsidP="00A236E8">
      <w:r>
        <w:tab/>
        <w:t xml:space="preserve">Patel </w:t>
      </w:r>
      <w:r w:rsidR="00CE5A45">
        <w:t xml:space="preserve">argues that the hearing judge had no basis to reopen </w:t>
      </w:r>
      <w:r w:rsidR="00FA22A7">
        <w:t xml:space="preserve">the record.  He further states that the record and facts support his reinstatement, and no new evidence is present that could change the judge’s </w:t>
      </w:r>
      <w:r w:rsidR="001D79AE">
        <w:t xml:space="preserve">initial </w:t>
      </w:r>
      <w:r w:rsidR="00FA22A7">
        <w:t>determination</w:t>
      </w:r>
      <w:r w:rsidR="001536F9">
        <w:t xml:space="preserve"> that he be reinstated</w:t>
      </w:r>
      <w:r w:rsidR="00FA22A7">
        <w:t xml:space="preserve">.  </w:t>
      </w:r>
      <w:r>
        <w:t xml:space="preserve">OCTC argues </w:t>
      </w:r>
      <w:r w:rsidR="00FA22A7">
        <w:t xml:space="preserve">that </w:t>
      </w:r>
      <w:r>
        <w:t xml:space="preserve">the judge </w:t>
      </w:r>
      <w:r w:rsidR="003C08FA">
        <w:t xml:space="preserve">properly </w:t>
      </w:r>
      <w:r>
        <w:t>reopen</w:t>
      </w:r>
      <w:r w:rsidR="00E56468">
        <w:t>ed the record</w:t>
      </w:r>
      <w:r w:rsidR="00CD3DC2">
        <w:t xml:space="preserve"> for </w:t>
      </w:r>
      <w:r w:rsidR="003C08FA">
        <w:t xml:space="preserve">good cause </w:t>
      </w:r>
      <w:r w:rsidR="00CD3DC2">
        <w:t xml:space="preserve">based on detailed evidence of concerning behavior </w:t>
      </w:r>
      <w:r w:rsidR="00447E90">
        <w:t>related</w:t>
      </w:r>
      <w:r w:rsidR="00CD3DC2">
        <w:t xml:space="preserve"> </w:t>
      </w:r>
      <w:r w:rsidR="00447E90">
        <w:t>to</w:t>
      </w:r>
      <w:r w:rsidR="00CD3DC2">
        <w:t xml:space="preserve"> Patel’s fitness and qualifications to practice law.</w:t>
      </w:r>
    </w:p>
    <w:p w14:paraId="1454D9D7" w14:textId="1F850956" w:rsidR="007C7805" w:rsidRDefault="00CE2323" w:rsidP="00A236E8">
      <w:pPr>
        <w:ind w:firstLine="720"/>
      </w:pPr>
      <w:r>
        <w:lastRenderedPageBreak/>
        <w:t>We find no merit to Patel’s challenge.</w:t>
      </w:r>
      <w:r w:rsidR="001536F9">
        <w:t xml:space="preserve">  </w:t>
      </w:r>
      <w:r w:rsidR="007C7805">
        <w:t>I</w:t>
      </w:r>
      <w:r w:rsidR="001B0E5A">
        <w:t>n a State Bar Court proceeding, a</w:t>
      </w:r>
      <w:r>
        <w:t xml:space="preserve"> party may make a motion for the Hearing Department to reopen the record to present additional evidence at any time before the period </w:t>
      </w:r>
      <w:r w:rsidR="00477A4B">
        <w:t xml:space="preserve">to </w:t>
      </w:r>
      <w:r>
        <w:t>request review by the Review Department expires.  (Rule</w:t>
      </w:r>
      <w:r w:rsidR="00444609">
        <w:t> </w:t>
      </w:r>
      <w:r>
        <w:t xml:space="preserve">5.113(A).)  </w:t>
      </w:r>
      <w:r w:rsidR="00DB01CF">
        <w:t xml:space="preserve">Given that the hearing judge issued her recommendation to reinstate Patel on July 29, 2019, </w:t>
      </w:r>
      <w:r>
        <w:t>OCTC</w:t>
      </w:r>
      <w:r w:rsidR="00DB01CF">
        <w:t xml:space="preserve">’s August 27 motion to reopen was </w:t>
      </w:r>
      <w:r w:rsidR="00597D29">
        <w:t>within the 30-day period to request review as provided in rule 5.151(B)</w:t>
      </w:r>
      <w:r w:rsidR="00DB01CF">
        <w:t>.</w:t>
      </w:r>
      <w:r w:rsidR="00597D29">
        <w:t xml:space="preserve">  </w:t>
      </w:r>
      <w:r w:rsidR="007C7805">
        <w:t>Additionally</w:t>
      </w:r>
      <w:r w:rsidR="00597D29">
        <w:t>, r</w:t>
      </w:r>
      <w:r w:rsidRPr="00EF72F5">
        <w:t xml:space="preserve">ule 5.113(B) requires </w:t>
      </w:r>
      <w:r>
        <w:t>a</w:t>
      </w:r>
      <w:r w:rsidRPr="00EF72F5">
        <w:t xml:space="preserve"> motion to reopen the record be accompanied </w:t>
      </w:r>
      <w:r w:rsidR="00597560">
        <w:t xml:space="preserve">by </w:t>
      </w:r>
      <w:r>
        <w:t>a</w:t>
      </w:r>
      <w:r w:rsidRPr="00EF72F5">
        <w:t xml:space="preserve"> declaration showing that the evidence is (1) newly discovered and could not have been reasonably produced earlier; (2) the best available evidence on the issue; and (3)</w:t>
      </w:r>
      <w:r w:rsidR="00FA11D9">
        <w:t> </w:t>
      </w:r>
      <w:r>
        <w:t xml:space="preserve">likely to lead </w:t>
      </w:r>
      <w:r w:rsidRPr="00EF72F5">
        <w:t>to a different result</w:t>
      </w:r>
      <w:r>
        <w:t xml:space="preserve"> after being considered</w:t>
      </w:r>
      <w:r w:rsidRPr="00EF72F5">
        <w:t xml:space="preserve">.  </w:t>
      </w:r>
      <w:r w:rsidR="007C7805">
        <w:t>As discussed below, a</w:t>
      </w:r>
      <w:r w:rsidR="001001CB">
        <w:t xml:space="preserve">ll three requirements set forth in rule 5.113(B) were satisfied.  </w:t>
      </w:r>
    </w:p>
    <w:p w14:paraId="1292B89E" w14:textId="6FBCC8C8" w:rsidR="00FF110C" w:rsidRDefault="007C7805" w:rsidP="0075366C">
      <w:pPr>
        <w:ind w:firstLine="720"/>
        <w:rPr>
          <w:rFonts w:eastAsiaTheme="majorEastAsia" w:cstheme="majorBidi"/>
          <w:b/>
          <w:szCs w:val="26"/>
        </w:rPr>
      </w:pPr>
      <w:r>
        <w:t>First, t</w:t>
      </w:r>
      <w:r w:rsidR="00CE2323">
        <w:t xml:space="preserve">he newly discovered evidence included numerous emails sent by Patel to members of the legal community between July 29 and August 17, </w:t>
      </w:r>
      <w:r w:rsidR="00447E90">
        <w:t xml:space="preserve">2019, </w:t>
      </w:r>
      <w:r w:rsidR="00597D29">
        <w:t xml:space="preserve">in which he </w:t>
      </w:r>
      <w:r w:rsidR="006B675E">
        <w:t>made</w:t>
      </w:r>
      <w:r w:rsidR="00CE2323">
        <w:t xml:space="preserve"> disparaging remarks about specific judges and attorneys that contained profanity-laden insults and baseless assertions.  The evidence also included an ex parte application Patel filed on August 17, in </w:t>
      </w:r>
      <w:r w:rsidR="00CE2323" w:rsidRPr="00ED42F1">
        <w:rPr>
          <w:i/>
          <w:iCs/>
        </w:rPr>
        <w:t>Patel</w:t>
      </w:r>
      <w:r w:rsidR="00444609">
        <w:rPr>
          <w:i/>
          <w:iCs/>
        </w:rPr>
        <w:t> </w:t>
      </w:r>
      <w:r w:rsidR="00CE2323" w:rsidRPr="00ED42F1">
        <w:rPr>
          <w:i/>
          <w:iCs/>
        </w:rPr>
        <w:t>v. Robinson et al</w:t>
      </w:r>
      <w:r w:rsidR="00CE2323">
        <w:t>.,</w:t>
      </w:r>
      <w:r w:rsidR="00CE2323">
        <w:rPr>
          <w:rStyle w:val="FootnoteReference"/>
        </w:rPr>
        <w:footnoteReference w:id="7"/>
      </w:r>
      <w:r w:rsidR="00CE2323">
        <w:t xml:space="preserve"> requesting </w:t>
      </w:r>
      <w:r w:rsidR="00A016B8">
        <w:t xml:space="preserve">that </w:t>
      </w:r>
      <w:r w:rsidR="00CE2323">
        <w:t xml:space="preserve">the district court </w:t>
      </w:r>
      <w:r w:rsidR="00A016B8">
        <w:t>order the University of California “</w:t>
      </w:r>
      <w:r w:rsidR="00CE2323">
        <w:t xml:space="preserve">to </w:t>
      </w:r>
      <w:r w:rsidR="00A016B8">
        <w:t xml:space="preserve">declare that Patel has not been suffering from any form of mental illness” </w:t>
      </w:r>
      <w:r w:rsidR="00EC1CDC">
        <w:t xml:space="preserve">and </w:t>
      </w:r>
      <w:r w:rsidR="00A016B8">
        <w:t xml:space="preserve">“to </w:t>
      </w:r>
      <w:r w:rsidR="00CE2323">
        <w:t xml:space="preserve">correct </w:t>
      </w:r>
      <w:r w:rsidR="00A016B8">
        <w:t xml:space="preserve">this </w:t>
      </w:r>
      <w:r w:rsidR="00CE2323">
        <w:t>misdiagnosis,</w:t>
      </w:r>
      <w:r w:rsidR="00A016B8">
        <w:t>”</w:t>
      </w:r>
      <w:r w:rsidR="00CE2323">
        <w:t xml:space="preserve"> and</w:t>
      </w:r>
      <w:r w:rsidR="00A016B8">
        <w:t>, additionally,</w:t>
      </w:r>
      <w:r w:rsidR="00CE2323">
        <w:t xml:space="preserve"> order the State Bar not to delay his reinstatement to practice law or </w:t>
      </w:r>
      <w:r w:rsidR="00A016B8">
        <w:t xml:space="preserve">allow any lawyer or judge in California to </w:t>
      </w:r>
      <w:r w:rsidR="00CE2323">
        <w:t xml:space="preserve">use </w:t>
      </w:r>
      <w:r w:rsidR="00A016B8">
        <w:t>“this false health</w:t>
      </w:r>
      <w:r w:rsidR="00CE2323">
        <w:t xml:space="preserve"> </w:t>
      </w:r>
      <w:r w:rsidR="00A016B8">
        <w:t>mis</w:t>
      </w:r>
      <w:r w:rsidR="00CE2323">
        <w:t>diagnosis</w:t>
      </w:r>
      <w:r w:rsidR="00A016B8">
        <w:t>”</w:t>
      </w:r>
      <w:r w:rsidR="00CE2323">
        <w:t xml:space="preserve"> </w:t>
      </w:r>
      <w:r w:rsidR="00A016B8">
        <w:t xml:space="preserve">or his ongoing civil litigation </w:t>
      </w:r>
      <w:r w:rsidR="00CE2323">
        <w:t xml:space="preserve">to his detriment.  </w:t>
      </w:r>
      <w:r w:rsidR="001001CB" w:rsidRPr="001001CB">
        <w:t>As the hearing judge noted in her October 29, 2019 order</w:t>
      </w:r>
      <w:r>
        <w:t xml:space="preserve"> reopening the record</w:t>
      </w:r>
      <w:r w:rsidR="001001CB" w:rsidRPr="001001CB">
        <w:t xml:space="preserve">, </w:t>
      </w:r>
      <w:r w:rsidR="004C3C94">
        <w:t>t</w:t>
      </w:r>
      <w:r w:rsidR="00CE2323">
        <w:t xml:space="preserve">he additional evidence </w:t>
      </w:r>
      <w:r w:rsidR="004C3C94">
        <w:t xml:space="preserve">relied upon </w:t>
      </w:r>
      <w:r w:rsidR="00CE2323">
        <w:t xml:space="preserve">did not exist until after the petition was submitted for decision in the Hearing Department.  </w:t>
      </w:r>
      <w:r>
        <w:t>Next, t</w:t>
      </w:r>
      <w:r w:rsidR="00154D36">
        <w:t>he emails and the ex parte application are the best evidence as they contain the statements written by Patel</w:t>
      </w:r>
      <w:r w:rsidR="00EC1CDC">
        <w:t xml:space="preserve"> himself</w:t>
      </w:r>
      <w:r w:rsidR="00154D36">
        <w:t>.</w:t>
      </w:r>
      <w:r w:rsidR="00301BF3">
        <w:t xml:space="preserve">  </w:t>
      </w:r>
      <w:r w:rsidR="00154D36">
        <w:t xml:space="preserve">Finally, </w:t>
      </w:r>
      <w:r w:rsidR="00CE2323">
        <w:lastRenderedPageBreak/>
        <w:t>as the judge properly found, the evidence of Patel’s conduct in sending numerous concerning emails and filing the ex parte application lowers the persuasiveness of his present moral character qualifications</w:t>
      </w:r>
      <w:r w:rsidR="00EC1CDC">
        <w:t xml:space="preserve"> that Patel is required to establish under rule 5.445(B)(2)</w:t>
      </w:r>
      <w:r w:rsidR="00CE2323">
        <w:t xml:space="preserve">.  </w:t>
      </w:r>
      <w:r w:rsidR="00CE2323" w:rsidRPr="00ED42F1">
        <w:t>With respect to moral qualifications, the question before the court is</w:t>
      </w:r>
      <w:r w:rsidR="00CE2323">
        <w:t xml:space="preserve"> </w:t>
      </w:r>
      <w:r w:rsidR="00CE2323" w:rsidRPr="00ED42F1">
        <w:rPr>
          <w:rFonts w:hint="cs"/>
        </w:rPr>
        <w:t>“</w:t>
      </w:r>
      <w:r w:rsidR="00C3690F">
        <w:t>‘</w:t>
      </w:r>
      <w:r w:rsidR="00CE2323" w:rsidRPr="00ED42F1">
        <w:t xml:space="preserve">whether </w:t>
      </w:r>
      <w:r w:rsidR="00CA539A">
        <w:t>p</w:t>
      </w:r>
      <w:r w:rsidR="00CE2323" w:rsidRPr="00ED42F1">
        <w:t>etitioner is a fit and proper person t</w:t>
      </w:r>
      <w:r w:rsidR="00CE2323">
        <w:t>o</w:t>
      </w:r>
      <w:r w:rsidR="00CE2323" w:rsidRPr="00ED42F1">
        <w:t xml:space="preserve"> practice law at this time.</w:t>
      </w:r>
      <w:r w:rsidR="00C3690F">
        <w:t>’</w:t>
      </w:r>
      <w:r w:rsidR="00CE2323" w:rsidRPr="00ED42F1">
        <w:rPr>
          <w:rFonts w:hint="cs"/>
        </w:rPr>
        <w:t>”</w:t>
      </w:r>
      <w:r w:rsidR="00CE2323" w:rsidRPr="00ED42F1">
        <w:t xml:space="preserve"> (</w:t>
      </w:r>
      <w:r w:rsidR="00CE2323" w:rsidRPr="00ED42F1">
        <w:rPr>
          <w:i/>
          <w:iCs/>
        </w:rPr>
        <w:t>Pacheco v. State Bar</w:t>
      </w:r>
      <w:r w:rsidR="00CE2323">
        <w:t xml:space="preserve"> </w:t>
      </w:r>
      <w:r w:rsidR="00CE2323" w:rsidRPr="00ED42F1">
        <w:t xml:space="preserve">(1987) </w:t>
      </w:r>
      <w:bookmarkStart w:id="7" w:name="_Hlk163828779"/>
      <w:r w:rsidR="00CE2323" w:rsidRPr="00ED42F1">
        <w:t>43 Cal.3d 1041</w:t>
      </w:r>
      <w:bookmarkEnd w:id="7"/>
      <w:r w:rsidR="00A152DE">
        <w:t>, 1051</w:t>
      </w:r>
      <w:r w:rsidR="00CE2323" w:rsidRPr="00ED42F1">
        <w:t>.)</w:t>
      </w:r>
      <w:r w:rsidR="00CE2323">
        <w:t xml:space="preserve">  As OCTC points out </w:t>
      </w:r>
      <w:r w:rsidR="00FD1CB2">
        <w:t>in its arguments</w:t>
      </w:r>
      <w:r w:rsidR="00CE2323">
        <w:t xml:space="preserve">, Patel’s </w:t>
      </w:r>
      <w:r w:rsidR="00154D36">
        <w:t>writings</w:t>
      </w:r>
      <w:r w:rsidR="00CE2323">
        <w:t xml:space="preserve"> call into question his fitness to practice law and whether he possesses good moral character.</w:t>
      </w:r>
      <w:r w:rsidR="00543463">
        <w:rPr>
          <w:rStyle w:val="FootnoteReference"/>
        </w:rPr>
        <w:footnoteReference w:id="8"/>
      </w:r>
      <w:r w:rsidR="00CE2323">
        <w:t xml:space="preserve">  Good moral character includes qualities of honesty, fairness, candor, trustworthiness, observance of fiduciary responsibility, respect for and obedience of the law</w:t>
      </w:r>
      <w:r w:rsidR="004132A5">
        <w:t xml:space="preserve">, </w:t>
      </w:r>
      <w:r w:rsidR="00CE2323">
        <w:t>and respect for others and the judicial process.  (</w:t>
      </w:r>
      <w:r w:rsidR="00CE2323" w:rsidRPr="00761034">
        <w:rPr>
          <w:i/>
          <w:iCs/>
        </w:rPr>
        <w:t>In the Matter of Kirwan</w:t>
      </w:r>
      <w:r w:rsidR="00CE2323">
        <w:t xml:space="preserve"> (Review Dept. 1997) 3 Cal. State Bar Ct. Rptr. 630, 634-635.)  Any act bearing on those qualities “is relevant in a reinstatement proceeding.”  (</w:t>
      </w:r>
      <w:r w:rsidR="00CE2323" w:rsidRPr="00F57AC7">
        <w:rPr>
          <w:i/>
          <w:iCs/>
        </w:rPr>
        <w:t>Id</w:t>
      </w:r>
      <w:r w:rsidR="00CE2323">
        <w:t xml:space="preserve">. at p. 635.)  </w:t>
      </w:r>
      <w:r w:rsidR="00EC1CDC">
        <w:t>Based upon our review of the record, we find that OCTC presented sufficient evidence to reopen the record</w:t>
      </w:r>
      <w:r w:rsidR="008D1BD8">
        <w:t xml:space="preserve"> pursuant to rule</w:t>
      </w:r>
      <w:r w:rsidR="00A152DE">
        <w:t> </w:t>
      </w:r>
      <w:r w:rsidR="008D1BD8">
        <w:t>5.113</w:t>
      </w:r>
      <w:r w:rsidR="00EC1CDC">
        <w:t>.</w:t>
      </w:r>
      <w:r w:rsidR="008D1BD8">
        <w:t xml:space="preserve">  </w:t>
      </w:r>
      <w:r w:rsidR="00CE2323">
        <w:t xml:space="preserve">Accordingly, we </w:t>
      </w:r>
      <w:r w:rsidR="008D1BD8">
        <w:t xml:space="preserve">find no abuse of discretion and </w:t>
      </w:r>
      <w:r w:rsidR="00CE2323">
        <w:t>agree with the judge’s decision</w:t>
      </w:r>
      <w:r w:rsidR="008D1BD8">
        <w:t xml:space="preserve"> on this issue.</w:t>
      </w:r>
      <w:r w:rsidR="00CE2323">
        <w:t xml:space="preserve">    </w:t>
      </w:r>
    </w:p>
    <w:p w14:paraId="666B44CF" w14:textId="35CCF2FE" w:rsidR="00CF3DD8" w:rsidRDefault="00CE2323" w:rsidP="00A236E8">
      <w:pPr>
        <w:pStyle w:val="Heading2"/>
        <w:spacing w:before="0" w:after="0" w:line="480" w:lineRule="auto"/>
      </w:pPr>
      <w:r>
        <w:t xml:space="preserve">Dismissal of Patel’s Petition Was </w:t>
      </w:r>
      <w:r w:rsidR="00F806FF">
        <w:t>Also Properly Granted</w:t>
      </w:r>
    </w:p>
    <w:p w14:paraId="75C9A85E" w14:textId="2D750D7E" w:rsidR="00791B26" w:rsidRPr="00F806FF" w:rsidRDefault="00F806FF" w:rsidP="00A236E8">
      <w:pPr>
        <w:ind w:firstLine="720"/>
      </w:pPr>
      <w:r>
        <w:t>Notwithstanding our discussion of the hearing judge’s decision to reopen the record, the</w:t>
      </w:r>
      <w:r w:rsidR="0060591F">
        <w:t xml:space="preserve"> </w:t>
      </w:r>
      <w:r w:rsidR="00801333">
        <w:t>determinative</w:t>
      </w:r>
      <w:r w:rsidR="00072132">
        <w:t xml:space="preserve"> </w:t>
      </w:r>
      <w:r w:rsidR="0060591F">
        <w:t xml:space="preserve">issue </w:t>
      </w:r>
      <w:r>
        <w:t xml:space="preserve">we consider </w:t>
      </w:r>
      <w:r w:rsidR="0060591F">
        <w:t xml:space="preserve">is whether the judge’s dismissal of Patel’s petition as a sanction </w:t>
      </w:r>
      <w:r w:rsidR="002C3418">
        <w:lastRenderedPageBreak/>
        <w:t xml:space="preserve">for violating the January 5, 2023 discovery order </w:t>
      </w:r>
      <w:r w:rsidR="0060591F">
        <w:t>was appropriate</w:t>
      </w:r>
      <w:r w:rsidR="0015767C">
        <w:t xml:space="preserve">, which is </w:t>
      </w:r>
      <w:r w:rsidR="005B2641">
        <w:t xml:space="preserve">also </w:t>
      </w:r>
      <w:r w:rsidR="00072132">
        <w:t xml:space="preserve">reviewed </w:t>
      </w:r>
      <w:r w:rsidR="0015767C">
        <w:t>under the</w:t>
      </w:r>
      <w:r w:rsidR="0060591F">
        <w:t xml:space="preserve"> abuse of discretion</w:t>
      </w:r>
      <w:r w:rsidR="0015767C">
        <w:t xml:space="preserve"> standard</w:t>
      </w:r>
      <w:r w:rsidR="0060591F">
        <w:t>.  (</w:t>
      </w:r>
      <w:r w:rsidR="00E47DCD">
        <w:rPr>
          <w:i/>
          <w:iCs/>
        </w:rPr>
        <w:t>H. D. Arnaiz, Ltd. v. County of San Joaquin</w:t>
      </w:r>
      <w:r w:rsidR="00E47DCD">
        <w:t xml:space="preserve">, </w:t>
      </w:r>
      <w:r w:rsidR="00E47DCD">
        <w:rPr>
          <w:i/>
          <w:iCs/>
        </w:rPr>
        <w:t>supra</w:t>
      </w:r>
      <w:r w:rsidR="00E47DCD">
        <w:t>, 96</w:t>
      </w:r>
      <w:r w:rsidR="00FA11D9">
        <w:t> </w:t>
      </w:r>
      <w:r w:rsidR="00E47DCD">
        <w:t xml:space="preserve">Cal.App.4th at p. 1368; </w:t>
      </w:r>
      <w:r w:rsidR="0060591F">
        <w:rPr>
          <w:i/>
          <w:iCs/>
        </w:rPr>
        <w:t xml:space="preserve">In the Matter of </w:t>
      </w:r>
      <w:r w:rsidR="00072132">
        <w:rPr>
          <w:i/>
          <w:iCs/>
        </w:rPr>
        <w:t>Respondent L</w:t>
      </w:r>
      <w:r w:rsidR="00E47DCD">
        <w:t xml:space="preserve">, </w:t>
      </w:r>
      <w:r w:rsidR="00E47DCD">
        <w:rPr>
          <w:i/>
          <w:iCs/>
        </w:rPr>
        <w:t>supra</w:t>
      </w:r>
      <w:r w:rsidR="00E47DCD">
        <w:t xml:space="preserve">, </w:t>
      </w:r>
      <w:r w:rsidR="00072132">
        <w:t>2</w:t>
      </w:r>
      <w:r w:rsidR="0060591F" w:rsidRPr="002C203F">
        <w:t xml:space="preserve"> Cal. State Bar Ct. Rptr. </w:t>
      </w:r>
      <w:r w:rsidR="00E47DCD">
        <w:t>at p.</w:t>
      </w:r>
      <w:r w:rsidR="00FA11D9">
        <w:t> </w:t>
      </w:r>
      <w:r w:rsidR="00072132">
        <w:t>461</w:t>
      </w:r>
      <w:r w:rsidR="002C3418">
        <w:t xml:space="preserve">; see also </w:t>
      </w:r>
      <w:r w:rsidR="002C3418">
        <w:rPr>
          <w:i/>
          <w:iCs/>
        </w:rPr>
        <w:t xml:space="preserve">In the Matter of </w:t>
      </w:r>
      <w:r w:rsidR="002C3418" w:rsidRPr="002C203F">
        <w:rPr>
          <w:i/>
          <w:iCs/>
        </w:rPr>
        <w:t>Aulakh</w:t>
      </w:r>
      <w:r w:rsidR="002C3418">
        <w:rPr>
          <w:i/>
          <w:iCs/>
        </w:rPr>
        <w:t xml:space="preserve"> </w:t>
      </w:r>
      <w:r w:rsidR="002C3418" w:rsidRPr="002C203F">
        <w:t>(Review Dept. 1997) 3 Cal. State Bar Ct. Rptr. 690</w:t>
      </w:r>
      <w:r w:rsidR="002C3418">
        <w:t>, 695 [</w:t>
      </w:r>
      <w:r w:rsidR="002C3418" w:rsidRPr="002C3418">
        <w:t>review of discovery order on appeal of hearing judge</w:t>
      </w:r>
      <w:r w:rsidR="00465963">
        <w:t>’</w:t>
      </w:r>
      <w:r w:rsidR="002C3418" w:rsidRPr="002C3418">
        <w:t>s decision that fully disposes of entire proceeding</w:t>
      </w:r>
      <w:r w:rsidR="002C3418">
        <w:t xml:space="preserve"> is under abuse of discretion standard].)</w:t>
      </w:r>
      <w:r w:rsidR="0060591F">
        <w:rPr>
          <w:kern w:val="16"/>
        </w:rPr>
        <w:t xml:space="preserve">  </w:t>
      </w:r>
      <w:r w:rsidR="00EC369D">
        <w:rPr>
          <w:kern w:val="16"/>
        </w:rPr>
        <w:t xml:space="preserve"> </w:t>
      </w:r>
      <w:r w:rsidR="00791B26" w:rsidRPr="00F0756D">
        <w:rPr>
          <w:b/>
          <w:bCs/>
          <w:u w:val="single"/>
        </w:rPr>
        <w:t xml:space="preserve"> </w:t>
      </w:r>
    </w:p>
    <w:p w14:paraId="07E8D8CD" w14:textId="545BC070" w:rsidR="00273ABE" w:rsidRPr="00014047" w:rsidRDefault="00791B26" w:rsidP="00A236E8">
      <w:r>
        <w:tab/>
      </w:r>
      <w:r w:rsidR="00C41E01" w:rsidRPr="00014047">
        <w:t>The hearing judge dismissed Patel’s petition because he failed to attend a properly noticed deposition scheduled for December 15, 2022, and a court-ordered deposition on January</w:t>
      </w:r>
      <w:r w:rsidR="00A152DE">
        <w:t> </w:t>
      </w:r>
      <w:r w:rsidR="00C41E01" w:rsidRPr="00014047">
        <w:t xml:space="preserve">10, 2023.  </w:t>
      </w:r>
      <w:r w:rsidR="00273ABE" w:rsidRPr="00014047">
        <w:t>Disobeying a court order to provide discovery is a misuse of the discovery process under the Civil Discovery Act.  (Code Civ. Proc., § 2023.010, subd. (g); see also rule</w:t>
      </w:r>
      <w:r w:rsidR="00FA11D9">
        <w:t> </w:t>
      </w:r>
      <w:r w:rsidR="00273ABE" w:rsidRPr="00014047">
        <w:t xml:space="preserve">5.69(C) [Civil Discovery Act provisions about misuse of discovery and sanctions applicable in State Bar Court proceedings].) </w:t>
      </w:r>
      <w:r w:rsidR="00014047" w:rsidRPr="00014047">
        <w:t xml:space="preserve"> </w:t>
      </w:r>
      <w:r w:rsidR="00273ABE" w:rsidRPr="00014047">
        <w:t xml:space="preserve">A permissible sanction in the State Bar Court under the Civil Discovery Act is a terminating sanction that dismisses the action. </w:t>
      </w:r>
      <w:r w:rsidR="00876628">
        <w:t xml:space="preserve"> </w:t>
      </w:r>
      <w:r w:rsidR="00273ABE" w:rsidRPr="00014047">
        <w:t>(Code Civ. Proc., § 2023.030, subd. (d)(3)</w:t>
      </w:r>
      <w:r w:rsidR="00014047" w:rsidRPr="00014047">
        <w:t xml:space="preserve">; </w:t>
      </w:r>
      <w:r w:rsidR="00273ABE" w:rsidRPr="00014047">
        <w:t xml:space="preserve">rule 5.69(C) [court must consider effect on </w:t>
      </w:r>
      <w:r w:rsidR="00511C4F">
        <w:t xml:space="preserve">public </w:t>
      </w:r>
      <w:r w:rsidR="00273ABE" w:rsidRPr="00014047">
        <w:t>protection when ordering dismissal as discovery sanction]</w:t>
      </w:r>
      <w:r w:rsidR="0015767C">
        <w:t>;</w:t>
      </w:r>
      <w:r w:rsidR="00273ABE" w:rsidRPr="00014047">
        <w:t xml:space="preserve"> </w:t>
      </w:r>
      <w:r w:rsidR="002F156F">
        <w:t xml:space="preserve">rule </w:t>
      </w:r>
      <w:r w:rsidR="00273ABE" w:rsidRPr="00014047">
        <w:t>5.124(</w:t>
      </w:r>
      <w:r w:rsidR="00F871D2">
        <w:t>I</w:t>
      </w:r>
      <w:r w:rsidR="00273ABE" w:rsidRPr="00014047">
        <w:t>) [dismissal as discovery sanction].)</w:t>
      </w:r>
    </w:p>
    <w:p w14:paraId="59E402B2" w14:textId="1E8FAEBC" w:rsidR="00FD14B0" w:rsidRDefault="00273ABE" w:rsidP="00A236E8">
      <w:r>
        <w:tab/>
      </w:r>
      <w:r w:rsidR="00C31895">
        <w:t>O</w:t>
      </w:r>
      <w:r w:rsidR="00876628">
        <w:t>n review, O</w:t>
      </w:r>
      <w:r w:rsidR="00C31895">
        <w:t xml:space="preserve">CTC asserts its right to </w:t>
      </w:r>
      <w:r w:rsidR="00A13743">
        <w:t>investigate</w:t>
      </w:r>
      <w:r w:rsidR="00C31895">
        <w:t xml:space="preserve"> Patel’s petition through discovery, </w:t>
      </w:r>
      <w:r w:rsidR="00876628">
        <w:t>which includes</w:t>
      </w:r>
      <w:r w:rsidR="00C31895">
        <w:t xml:space="preserve"> taking Patel’s deposition as provided under rule 5.443</w:t>
      </w:r>
      <w:r w:rsidR="00F871D2">
        <w:t>(D)</w:t>
      </w:r>
      <w:r w:rsidR="00C31895">
        <w:t xml:space="preserve">.  OCTC’s position is that Patel’s refusal to appear at </w:t>
      </w:r>
      <w:r w:rsidR="00876628">
        <w:t xml:space="preserve">two properly noticed </w:t>
      </w:r>
      <w:r w:rsidR="00C31895">
        <w:t>deposition</w:t>
      </w:r>
      <w:r w:rsidR="00876628">
        <w:t>s</w:t>
      </w:r>
      <w:r w:rsidR="00C31895">
        <w:t xml:space="preserve">, while simultaneously </w:t>
      </w:r>
      <w:r w:rsidR="008037FE">
        <w:t>stating</w:t>
      </w:r>
      <w:r w:rsidR="00C31895">
        <w:t xml:space="preserve"> an intention to withdraw his petition, obstructed the discovery process.</w:t>
      </w:r>
      <w:r w:rsidR="004B1FE3">
        <w:t xml:space="preserve">  </w:t>
      </w:r>
      <w:r w:rsidR="00C31895">
        <w:t xml:space="preserve">Patel argues </w:t>
      </w:r>
      <w:r w:rsidR="00887057">
        <w:t xml:space="preserve">that </w:t>
      </w:r>
      <w:r w:rsidR="00C31895">
        <w:t>th</w:t>
      </w:r>
      <w:r w:rsidR="00C41E01">
        <w:t xml:space="preserve">e hearing judge abused her discretion by ordering his deposition </w:t>
      </w:r>
      <w:r w:rsidR="00FA247F">
        <w:t>because</w:t>
      </w:r>
      <w:r w:rsidR="00C41E01">
        <w:t xml:space="preserve"> </w:t>
      </w:r>
      <w:r w:rsidR="00C41E01" w:rsidRPr="00511C4F">
        <w:rPr>
          <w:i/>
          <w:iCs/>
        </w:rPr>
        <w:t>he</w:t>
      </w:r>
      <w:r w:rsidR="00C41E01">
        <w:t xml:space="preserve"> </w:t>
      </w:r>
      <w:r w:rsidR="00511C4F">
        <w:t>believes that OCTC cannot uncover any useful information from his deposition</w:t>
      </w:r>
      <w:r w:rsidR="00C41E01">
        <w:t>.</w:t>
      </w:r>
      <w:r w:rsidR="004B1FE3">
        <w:t xml:space="preserve">  </w:t>
      </w:r>
      <w:r w:rsidR="00C31895">
        <w:t xml:space="preserve">He </w:t>
      </w:r>
      <w:r w:rsidR="00511C4F">
        <w:t xml:space="preserve">further </w:t>
      </w:r>
      <w:r w:rsidR="00C31895">
        <w:t>claims that</w:t>
      </w:r>
      <w:r w:rsidR="00511C4F">
        <w:t>,</w:t>
      </w:r>
      <w:r w:rsidR="00C31895">
        <w:t xml:space="preserve"> </w:t>
      </w:r>
      <w:r w:rsidR="009C5FA2">
        <w:t xml:space="preserve">because </w:t>
      </w:r>
      <w:r w:rsidR="00F871D2">
        <w:t>his</w:t>
      </w:r>
      <w:r w:rsidR="009C5FA2">
        <w:t xml:space="preserve"> profanity-laden emails and vexatious litigant orders</w:t>
      </w:r>
      <w:r w:rsidR="00511C4F">
        <w:t xml:space="preserve"> are</w:t>
      </w:r>
      <w:r w:rsidR="00C31895">
        <w:t xml:space="preserve"> not </w:t>
      </w:r>
      <w:r w:rsidR="009C5FA2">
        <w:t>in dispute, a deposition would not clarify any issues or provide facts that would change the outcome</w:t>
      </w:r>
      <w:r w:rsidR="00511C4F">
        <w:t>, and, hence, no good cause exists for a deposition</w:t>
      </w:r>
      <w:r w:rsidR="001F57B3">
        <w:t xml:space="preserve">.  </w:t>
      </w:r>
      <w:r w:rsidR="00FA247F">
        <w:t xml:space="preserve">His arguments are unavailing. </w:t>
      </w:r>
    </w:p>
    <w:p w14:paraId="2B4222A6" w14:textId="4D48F40F" w:rsidR="004E0ECE" w:rsidRDefault="00C41E01" w:rsidP="00A236E8">
      <w:r>
        <w:lastRenderedPageBreak/>
        <w:tab/>
      </w:r>
      <w:r w:rsidR="003C0FC8">
        <w:t xml:space="preserve">OCTC cites in its brief, </w:t>
      </w:r>
      <w:r w:rsidR="003C0FC8">
        <w:rPr>
          <w:i/>
          <w:iCs/>
        </w:rPr>
        <w:t xml:space="preserve">In the Matter of Applicant C </w:t>
      </w:r>
      <w:r w:rsidR="003C0FC8">
        <w:t>(Review Dept. 2022) 5 Cal. State Bar. Ct. Rptr. 989, 995</w:t>
      </w:r>
      <w:r w:rsidR="006416F7">
        <w:t>, which</w:t>
      </w:r>
      <w:r w:rsidR="003C0FC8">
        <w:t xml:space="preserve"> state</w:t>
      </w:r>
      <w:r w:rsidR="009904BD">
        <w:t>s</w:t>
      </w:r>
      <w:r w:rsidR="00FA11D9">
        <w:t xml:space="preserve">, </w:t>
      </w:r>
      <w:r w:rsidR="003C0FC8">
        <w:t xml:space="preserve">“In analyzing a discovery ruling, </w:t>
      </w:r>
      <w:r w:rsidR="0006759A">
        <w:t>we are guided by long-standing California public policy favor</w:t>
      </w:r>
      <w:r w:rsidR="003C0FC8">
        <w:t>ing</w:t>
      </w:r>
      <w:r w:rsidR="0006759A">
        <w:t xml:space="preserve"> disclosure</w:t>
      </w:r>
      <w:r w:rsidR="00C3738D">
        <w:t xml:space="preserve"> and the objectives that discovery rules </w:t>
      </w:r>
      <w:r w:rsidR="00A152DE">
        <w:t xml:space="preserve">were </w:t>
      </w:r>
      <w:r w:rsidR="00C3738D">
        <w:t>enacted to accomplish</w:t>
      </w:r>
      <w:r w:rsidR="003C0FC8">
        <w:t xml:space="preserve">.”  </w:t>
      </w:r>
      <w:r w:rsidR="009904BD">
        <w:t>U</w:t>
      </w:r>
      <w:r w:rsidR="00786EA2">
        <w:t>nder rule 5.443(C)</w:t>
      </w:r>
      <w:r w:rsidR="00181981">
        <w:t>,</w:t>
      </w:r>
      <w:r w:rsidR="00786EA2">
        <w:t xml:space="preserve"> OCTC has the authority </w:t>
      </w:r>
      <w:r w:rsidR="007069EA">
        <w:t xml:space="preserve">to </w:t>
      </w:r>
      <w:r w:rsidR="00786EA2">
        <w:t>conduct discovery as provided under rule 5.65.  Additionally, a</w:t>
      </w:r>
      <w:r w:rsidR="003927E9">
        <w:t xml:space="preserve">s stated </w:t>
      </w:r>
      <w:r w:rsidR="003927E9" w:rsidRPr="00791B26">
        <w:rPr>
          <w:i/>
          <w:iCs/>
        </w:rPr>
        <w:t>ante</w:t>
      </w:r>
      <w:r w:rsidR="003927E9">
        <w:t xml:space="preserve">, rule 5.443(D) </w:t>
      </w:r>
      <w:r w:rsidR="00786EA2">
        <w:t xml:space="preserve">specifically </w:t>
      </w:r>
      <w:r w:rsidR="003927E9">
        <w:t xml:space="preserve">permits OCTC to take Patel’s deposition.  Patel’s subjective belief that </w:t>
      </w:r>
      <w:r w:rsidR="00511C4F">
        <w:t>OCTC cannot show a need to</w:t>
      </w:r>
      <w:r w:rsidR="003927E9">
        <w:t xml:space="preserve"> depose him </w:t>
      </w:r>
      <w:r w:rsidR="009904BD">
        <w:t xml:space="preserve">or establish good cause for the deposition </w:t>
      </w:r>
      <w:r w:rsidR="003927E9">
        <w:t>is i</w:t>
      </w:r>
      <w:r w:rsidR="00FA247F">
        <w:t>rrelevant</w:t>
      </w:r>
      <w:r w:rsidR="003927E9">
        <w:t>.</w:t>
      </w:r>
      <w:r w:rsidR="009904BD">
        <w:rPr>
          <w:rStyle w:val="FootnoteReference"/>
        </w:rPr>
        <w:footnoteReference w:id="9"/>
      </w:r>
      <w:r w:rsidR="009040C6">
        <w:t xml:space="preserve"> </w:t>
      </w:r>
      <w:r w:rsidR="003927E9">
        <w:t xml:space="preserve"> </w:t>
      </w:r>
    </w:p>
    <w:p w14:paraId="4F536D8B" w14:textId="1B068B2B" w:rsidR="009C5FA2" w:rsidRDefault="00F74000" w:rsidP="00A236E8">
      <w:r>
        <w:tab/>
      </w:r>
      <w:r w:rsidR="00F03182">
        <w:t xml:space="preserve">Patel </w:t>
      </w:r>
      <w:r>
        <w:t xml:space="preserve">argues the </w:t>
      </w:r>
      <w:r w:rsidR="00181981">
        <w:t xml:space="preserve">hearing </w:t>
      </w:r>
      <w:r>
        <w:t>judge’s dismissal order “exceed</w:t>
      </w:r>
      <w:r w:rsidR="00985E24">
        <w:t>[</w:t>
      </w:r>
      <w:r>
        <w:t>ed</w:t>
      </w:r>
      <w:r w:rsidR="00985E24">
        <w:t>]</w:t>
      </w:r>
      <w:r>
        <w:t xml:space="preserve"> </w:t>
      </w:r>
      <w:r w:rsidR="002D6754">
        <w:t xml:space="preserve">the </w:t>
      </w:r>
      <w:r>
        <w:t>bounds of reason and resulted in a miscarriage of justice.”</w:t>
      </w:r>
      <w:r w:rsidR="000F3279">
        <w:t xml:space="preserve">  </w:t>
      </w:r>
      <w:r w:rsidR="00CD176D">
        <w:t>We disagree</w:t>
      </w:r>
      <w:r w:rsidR="00A627E6">
        <w:t xml:space="preserve">.  </w:t>
      </w:r>
      <w:r w:rsidR="009C5FA2">
        <w:t>The judge correctly determined discovery sanctions were appropriate when Patel failed to appear for a properly notice</w:t>
      </w:r>
      <w:r w:rsidR="006869B2">
        <w:t>d</w:t>
      </w:r>
      <w:r w:rsidR="009C5FA2">
        <w:t xml:space="preserve"> deposition and subsequently failed to appear for a second court-ordered deposition.  </w:t>
      </w:r>
      <w:r w:rsidR="00837587">
        <w:t>A</w:t>
      </w:r>
      <w:r w:rsidR="009C5FA2">
        <w:t xml:space="preserve">s OCTC points out in its brief, this court concluded in </w:t>
      </w:r>
      <w:r w:rsidR="009C5FA2" w:rsidRPr="00A25725">
        <w:rPr>
          <w:i/>
          <w:iCs/>
        </w:rPr>
        <w:t>In the Matter of Torres</w:t>
      </w:r>
      <w:r w:rsidR="00A152DE">
        <w:t xml:space="preserve"> (Review Dept. 2007)</w:t>
      </w:r>
      <w:r w:rsidR="00014047">
        <w:t xml:space="preserve"> </w:t>
      </w:r>
      <w:r w:rsidR="009C5FA2">
        <w:t>5 Cal. State Bar Ct. Rptr.</w:t>
      </w:r>
      <w:r w:rsidR="00014047">
        <w:t xml:space="preserve"> </w:t>
      </w:r>
      <w:r w:rsidR="00A152DE">
        <w:t xml:space="preserve">19, </w:t>
      </w:r>
      <w:r w:rsidR="009C5FA2">
        <w:t>25</w:t>
      </w:r>
      <w:r w:rsidR="009C5FA2">
        <w:rPr>
          <w:i/>
          <w:iCs/>
        </w:rPr>
        <w:t xml:space="preserve"> </w:t>
      </w:r>
      <w:r w:rsidR="009C5FA2">
        <w:t>that terminating sanctions are warranted against a litigant who persistently refuses to comply with discovery obligations, which includes a party who refuses to appear for scheduled depositions</w:t>
      </w:r>
      <w:r w:rsidR="006869B2">
        <w:t>.</w:t>
      </w:r>
      <w:r w:rsidR="003A0797">
        <w:t xml:space="preserve">  We recently came to the same conclusion </w:t>
      </w:r>
      <w:r w:rsidR="00801333">
        <w:t xml:space="preserve">and affirmed a dismissal of </w:t>
      </w:r>
      <w:r w:rsidR="003A0797">
        <w:t xml:space="preserve">a moral character case where an applicant failed to attend a deposition after a court order, asserting her </w:t>
      </w:r>
      <w:r w:rsidR="003A0797">
        <w:lastRenderedPageBreak/>
        <w:t xml:space="preserve">own subjective belief that it was not necessary to attend a deposition. </w:t>
      </w:r>
      <w:r w:rsidR="003B230B">
        <w:t xml:space="preserve"> </w:t>
      </w:r>
      <w:r w:rsidR="003A0797">
        <w:t>(</w:t>
      </w:r>
      <w:r w:rsidR="003A0797">
        <w:rPr>
          <w:i/>
          <w:iCs/>
        </w:rPr>
        <w:t>In the Matter of Applicant</w:t>
      </w:r>
      <w:r w:rsidR="00A152DE">
        <w:rPr>
          <w:i/>
          <w:iCs/>
        </w:rPr>
        <w:t> </w:t>
      </w:r>
      <w:r w:rsidR="003A0797">
        <w:rPr>
          <w:i/>
          <w:iCs/>
        </w:rPr>
        <w:t>C</w:t>
      </w:r>
      <w:r w:rsidR="003A0797">
        <w:t xml:space="preserve">, </w:t>
      </w:r>
      <w:r w:rsidR="003A0797">
        <w:rPr>
          <w:i/>
          <w:iCs/>
        </w:rPr>
        <w:t>supra</w:t>
      </w:r>
      <w:r w:rsidR="003A0797">
        <w:t>, 5 Cal. State Bar Ct. Rptr.</w:t>
      </w:r>
      <w:r w:rsidR="009C5FA2">
        <w:t xml:space="preserve"> </w:t>
      </w:r>
      <w:r w:rsidR="003A0797">
        <w:t>at p. 993.)</w:t>
      </w:r>
    </w:p>
    <w:p w14:paraId="57F788DD" w14:textId="1004CCB3" w:rsidR="009040C6" w:rsidRDefault="009C5FA2" w:rsidP="00A236E8">
      <w:r>
        <w:tab/>
      </w:r>
      <w:r w:rsidR="00A25725">
        <w:t>The discretion afforded to a hearing judge in determining appropriate discovery sanctions is broad.  (</w:t>
      </w:r>
      <w:r w:rsidR="00A25725" w:rsidRPr="00A25725">
        <w:rPr>
          <w:i/>
          <w:iCs/>
        </w:rPr>
        <w:t>In the Matter of Torres</w:t>
      </w:r>
      <w:r w:rsidR="00014047">
        <w:t xml:space="preserve">, </w:t>
      </w:r>
      <w:r w:rsidR="00014047" w:rsidRPr="00014047">
        <w:rPr>
          <w:i/>
          <w:iCs/>
        </w:rPr>
        <w:t>supra</w:t>
      </w:r>
      <w:r w:rsidR="00014047" w:rsidRPr="0075366C">
        <w:t>,</w:t>
      </w:r>
      <w:r w:rsidR="00014047">
        <w:t xml:space="preserve"> </w:t>
      </w:r>
      <w:r w:rsidR="00A25725">
        <w:t xml:space="preserve">5 Cal. State Bar Ct. Rptr. </w:t>
      </w:r>
      <w:r w:rsidR="00014047">
        <w:t>at p.</w:t>
      </w:r>
      <w:r w:rsidR="00A25725">
        <w:t xml:space="preserve"> 23.)  </w:t>
      </w:r>
      <w:r w:rsidR="00C31895">
        <w:t xml:space="preserve">Two requirements must be met when a court imposes </w:t>
      </w:r>
      <w:r w:rsidR="00E422F6">
        <w:t>a discovery sanction: (1) failure to comply with court-ordered discovery and (2) the failure must be willful.  (</w:t>
      </w:r>
      <w:r w:rsidR="00014047">
        <w:rPr>
          <w:i/>
          <w:iCs/>
        </w:rPr>
        <w:t>Ibid</w:t>
      </w:r>
      <w:r w:rsidR="00014047" w:rsidRPr="00014047">
        <w:t>.</w:t>
      </w:r>
      <w:r w:rsidR="00E422F6">
        <w:t xml:space="preserve">, citing </w:t>
      </w:r>
      <w:r w:rsidR="00E422F6" w:rsidRPr="00E422F6">
        <w:rPr>
          <w:i/>
          <w:iCs/>
        </w:rPr>
        <w:t>Valbona v. Springer</w:t>
      </w:r>
      <w:r w:rsidR="00E422F6">
        <w:t xml:space="preserve"> (1996) 43</w:t>
      </w:r>
      <w:r w:rsidR="00A236E8">
        <w:t> </w:t>
      </w:r>
      <w:r w:rsidR="00E422F6">
        <w:t>Cal.App.</w:t>
      </w:r>
      <w:r w:rsidR="00A152DE">
        <w:t>4th</w:t>
      </w:r>
      <w:r w:rsidR="00E422F6">
        <w:t xml:space="preserve"> </w:t>
      </w:r>
      <w:r w:rsidR="00A152DE">
        <w:t>1525, 1545</w:t>
      </w:r>
      <w:r w:rsidR="00E422F6">
        <w:t>.)</w:t>
      </w:r>
      <w:r w:rsidR="00013D18">
        <w:t xml:space="preserve">  </w:t>
      </w:r>
      <w:r w:rsidR="00E422F6">
        <w:t xml:space="preserve">Despite Patel’s arguments to the contrary, the judge was not required to choose </w:t>
      </w:r>
      <w:r w:rsidR="00BA5961">
        <w:t xml:space="preserve">a less “draconian outcome” than imposing terminating sanctions.  </w:t>
      </w:r>
      <w:r w:rsidR="00013D18">
        <w:t xml:space="preserve">The day prior to Patel’s properly noticed deposition, he submitted filings attempting to </w:t>
      </w:r>
      <w:r w:rsidR="00014047">
        <w:t>move</w:t>
      </w:r>
      <w:r w:rsidR="00013D18">
        <w:t xml:space="preserve"> the deposition </w:t>
      </w:r>
      <w:r w:rsidR="00CD176D">
        <w:t xml:space="preserve">and trial </w:t>
      </w:r>
      <w:r w:rsidR="00013D18">
        <w:t>“off-calendar</w:t>
      </w:r>
      <w:r w:rsidR="006869B2">
        <w:t>,</w:t>
      </w:r>
      <w:r w:rsidR="00013D18">
        <w:t xml:space="preserve">” while also indicating an obscure intention to withdraw his petition </w:t>
      </w:r>
      <w:r w:rsidR="00CD176D">
        <w:t xml:space="preserve">only </w:t>
      </w:r>
      <w:r w:rsidR="00013D18">
        <w:t xml:space="preserve">if OCTC </w:t>
      </w:r>
      <w:r w:rsidR="00CD176D">
        <w:t xml:space="preserve">still </w:t>
      </w:r>
      <w:r w:rsidR="00013D18">
        <w:t xml:space="preserve">opposed </w:t>
      </w:r>
      <w:r w:rsidR="00CD176D">
        <w:t>the</w:t>
      </w:r>
      <w:r w:rsidR="00013D18">
        <w:t xml:space="preserve"> petition</w:t>
      </w:r>
      <w:r w:rsidR="00CD176D">
        <w:t xml:space="preserve"> at the time of trial or if Senator Atkins believed he should not be reinstated</w:t>
      </w:r>
      <w:r w:rsidR="00013D18">
        <w:t xml:space="preserve">.  After </w:t>
      </w:r>
      <w:r w:rsidR="00273F95">
        <w:t xml:space="preserve">Patel failed to appear </w:t>
      </w:r>
      <w:r w:rsidR="00013D18">
        <w:t xml:space="preserve">for his deposition </w:t>
      </w:r>
      <w:r w:rsidR="00273F95">
        <w:t xml:space="preserve">and OCTC moved to compel his testimony, the judge issued an order for </w:t>
      </w:r>
      <w:r w:rsidR="00E34BC5">
        <w:t>him</w:t>
      </w:r>
      <w:r w:rsidR="00273F95">
        <w:t xml:space="preserve"> to appear for his deposition within five court days and warned that </w:t>
      </w:r>
      <w:r w:rsidR="00181981">
        <w:t xml:space="preserve">a </w:t>
      </w:r>
      <w:r w:rsidR="00273F95">
        <w:t>failure to appear “would result in sanctions pursuant to rule</w:t>
      </w:r>
      <w:r w:rsidR="001F57B3">
        <w:t> </w:t>
      </w:r>
      <w:r w:rsidR="00273F95">
        <w:t>5.69(C)</w:t>
      </w:r>
      <w:r w:rsidR="001F57B3">
        <w:t> </w:t>
      </w:r>
      <w:r w:rsidR="00FA11D9">
        <w:t xml:space="preserve">. . . </w:t>
      </w:r>
      <w:r w:rsidR="00273F95">
        <w:t>including dismissal of [Patel’s] petition.”</w:t>
      </w:r>
      <w:r w:rsidR="0009285B">
        <w:t xml:space="preserve">  </w:t>
      </w:r>
      <w:r w:rsidR="00013D18">
        <w:t>Patel was given an opportunity to comply with the court’s order</w:t>
      </w:r>
      <w:r w:rsidR="005275C6">
        <w:t xml:space="preserve"> and notice</w:t>
      </w:r>
      <w:r w:rsidR="008A16B2">
        <w:t xml:space="preserve">, which clearly stated that </w:t>
      </w:r>
      <w:r w:rsidR="005275C6">
        <w:t xml:space="preserve">his failure to </w:t>
      </w:r>
      <w:r w:rsidR="008A16B2">
        <w:t>appear at the deposition c</w:t>
      </w:r>
      <w:r w:rsidR="005275C6">
        <w:t xml:space="preserve">ould lead to </w:t>
      </w:r>
      <w:r w:rsidR="008A16B2">
        <w:t xml:space="preserve">the </w:t>
      </w:r>
      <w:r w:rsidR="005275C6">
        <w:t>dismissal of his petition</w:t>
      </w:r>
      <w:r w:rsidR="00013D18">
        <w:t xml:space="preserve">, but </w:t>
      </w:r>
      <w:r w:rsidR="00DB6A43">
        <w:t xml:space="preserve">he </w:t>
      </w:r>
      <w:r w:rsidR="00013D18">
        <w:t xml:space="preserve">willfully failed </w:t>
      </w:r>
      <w:r w:rsidR="008A16B2">
        <w:t>in his obligation</w:t>
      </w:r>
      <w:r w:rsidR="00013D18">
        <w:t xml:space="preserve"> by electing not to attend </w:t>
      </w:r>
      <w:r w:rsidR="006869B2">
        <w:t>the</w:t>
      </w:r>
      <w:r w:rsidR="00013D18">
        <w:t xml:space="preserve"> court-ordered deposition.</w:t>
      </w:r>
      <w:r w:rsidR="00D30549">
        <w:t xml:space="preserve">  </w:t>
      </w:r>
      <w:r w:rsidR="00013D18">
        <w:t xml:space="preserve">Patel has not articulated any justifiable reason as to why he failed to appear for </w:t>
      </w:r>
      <w:r w:rsidR="00801333">
        <w:t xml:space="preserve">two </w:t>
      </w:r>
      <w:r w:rsidR="00013D18">
        <w:t>properly noticed deposition</w:t>
      </w:r>
      <w:r w:rsidR="00646ED4">
        <w:t>s</w:t>
      </w:r>
      <w:r w:rsidR="00D30549">
        <w:t xml:space="preserve"> and we find none in the record.  H</w:t>
      </w:r>
      <w:r w:rsidR="00013D18">
        <w:t xml:space="preserve">is assertions that he </w:t>
      </w:r>
      <w:r w:rsidR="00E34BC5">
        <w:t>has not</w:t>
      </w:r>
      <w:r w:rsidR="00013D18">
        <w:t xml:space="preserve"> refus</w:t>
      </w:r>
      <w:r w:rsidR="00E34BC5">
        <w:t>ed</w:t>
      </w:r>
      <w:r w:rsidR="00013D18">
        <w:t xml:space="preserve"> to cooperate with </w:t>
      </w:r>
      <w:r w:rsidR="00013D18" w:rsidRPr="00515CE7">
        <w:rPr>
          <w:i/>
          <w:iCs/>
        </w:rPr>
        <w:t>written</w:t>
      </w:r>
      <w:r w:rsidR="00013D18">
        <w:t xml:space="preserve"> discovery </w:t>
      </w:r>
      <w:r w:rsidR="00E34BC5">
        <w:t xml:space="preserve">does not justify or excuse </w:t>
      </w:r>
      <w:r w:rsidR="00D30549">
        <w:t xml:space="preserve">his refusal to comply with </w:t>
      </w:r>
      <w:r w:rsidR="00646ED4">
        <w:t xml:space="preserve">his </w:t>
      </w:r>
      <w:r w:rsidR="00D30549">
        <w:t>court-ordered discovery obligations under rule 5.443(D)</w:t>
      </w:r>
      <w:r w:rsidR="00013D18">
        <w:t xml:space="preserve">.  </w:t>
      </w:r>
    </w:p>
    <w:p w14:paraId="423B25D7" w14:textId="79AC445A" w:rsidR="00C13AF7" w:rsidRPr="00D62268" w:rsidRDefault="00E34BC5" w:rsidP="00A236E8">
      <w:r w:rsidRPr="00E34BC5">
        <w:tab/>
      </w:r>
      <w:r w:rsidR="00F64537">
        <w:t xml:space="preserve">Patel </w:t>
      </w:r>
      <w:r>
        <w:t>also claims</w:t>
      </w:r>
      <w:r w:rsidR="009C5FA2" w:rsidRPr="00E34BC5">
        <w:t xml:space="preserve"> the dismissal unduly benefited OCTC and prejudiced him, relying on </w:t>
      </w:r>
      <w:r w:rsidR="009C5FA2" w:rsidRPr="00E34BC5">
        <w:rPr>
          <w:i/>
          <w:iCs/>
        </w:rPr>
        <w:t>Rail Services of America v. State Comp. Ins. Fund</w:t>
      </w:r>
      <w:r w:rsidR="009C5FA2" w:rsidRPr="00E34BC5">
        <w:t xml:space="preserve"> (2003) </w:t>
      </w:r>
      <w:bookmarkStart w:id="8" w:name="_Hlk160828462"/>
      <w:r w:rsidR="009C5FA2" w:rsidRPr="00E34BC5">
        <w:t>110 Cal.App.4th 323</w:t>
      </w:r>
      <w:bookmarkEnd w:id="8"/>
      <w:r w:rsidR="00B365B9">
        <w:t xml:space="preserve"> </w:t>
      </w:r>
      <w:r w:rsidR="009C5FA2" w:rsidRPr="00E34BC5">
        <w:t>to support his proposition</w:t>
      </w:r>
      <w:r w:rsidR="009C5FA2">
        <w:t>.</w:t>
      </w:r>
      <w:r w:rsidR="00DB087A">
        <w:t xml:space="preserve">  </w:t>
      </w:r>
      <w:r>
        <w:t xml:space="preserve">His reliance on </w:t>
      </w:r>
      <w:r w:rsidRPr="00E34BC5">
        <w:rPr>
          <w:i/>
          <w:iCs/>
        </w:rPr>
        <w:t>Rail Services of America</w:t>
      </w:r>
      <w:r>
        <w:rPr>
          <w:i/>
          <w:iCs/>
        </w:rPr>
        <w:t xml:space="preserve"> </w:t>
      </w:r>
      <w:r>
        <w:t xml:space="preserve">is </w:t>
      </w:r>
      <w:r w:rsidR="00A1173C">
        <w:t xml:space="preserve">not persuasive and </w:t>
      </w:r>
      <w:r w:rsidR="00F64537">
        <w:t xml:space="preserve">is </w:t>
      </w:r>
      <w:r>
        <w:t xml:space="preserve">misplaced.  </w:t>
      </w:r>
      <w:r w:rsidR="002C2FB1" w:rsidRPr="00732B93">
        <w:rPr>
          <w:i/>
          <w:iCs/>
        </w:rPr>
        <w:t xml:space="preserve">Rail </w:t>
      </w:r>
      <w:r w:rsidR="002C2FB1" w:rsidRPr="00732B93">
        <w:rPr>
          <w:i/>
          <w:iCs/>
        </w:rPr>
        <w:lastRenderedPageBreak/>
        <w:t>Services of America</w:t>
      </w:r>
      <w:r w:rsidR="002C2FB1">
        <w:t xml:space="preserve"> is a civil case </w:t>
      </w:r>
      <w:r w:rsidR="00C62F93">
        <w:t xml:space="preserve">where </w:t>
      </w:r>
      <w:r w:rsidR="004655C8">
        <w:t>one cause of action remained after summary judgment</w:t>
      </w:r>
      <w:r w:rsidR="00541FBD">
        <w:t xml:space="preserve">, </w:t>
      </w:r>
      <w:r w:rsidR="004655C8">
        <w:t xml:space="preserve">and </w:t>
      </w:r>
      <w:r w:rsidR="00C62F93">
        <w:t xml:space="preserve">the appellate court </w:t>
      </w:r>
      <w:r w:rsidR="002C2FB1">
        <w:t xml:space="preserve">held the trial court did not abuse its discretion in imposing </w:t>
      </w:r>
      <w:r w:rsidR="00732B93">
        <w:t xml:space="preserve">a </w:t>
      </w:r>
      <w:r w:rsidR="002C2FB1">
        <w:t xml:space="preserve">terminating sanction </w:t>
      </w:r>
      <w:r w:rsidR="005B1A4E">
        <w:t>to th</w:t>
      </w:r>
      <w:r w:rsidR="00541FBD">
        <w:t>at</w:t>
      </w:r>
      <w:r w:rsidR="005B1A4E">
        <w:t xml:space="preserve"> final claim</w:t>
      </w:r>
      <w:r w:rsidR="00CD4543">
        <w:t xml:space="preserve"> when the plaintiff failed to comply with the trial court’s discovery order</w:t>
      </w:r>
      <w:r w:rsidR="002C2FB1">
        <w:t xml:space="preserve">.  </w:t>
      </w:r>
      <w:r w:rsidR="00A1173C">
        <w:t>(</w:t>
      </w:r>
      <w:r w:rsidR="00A1173C" w:rsidRPr="00A1173C">
        <w:rPr>
          <w:i/>
          <w:iCs/>
        </w:rPr>
        <w:t>Id</w:t>
      </w:r>
      <w:r w:rsidR="00295ED9">
        <w:rPr>
          <w:i/>
          <w:iCs/>
        </w:rPr>
        <w:t>.</w:t>
      </w:r>
      <w:r w:rsidR="00A1173C">
        <w:t xml:space="preserve"> at p. 331.)  </w:t>
      </w:r>
      <w:r w:rsidR="00C62F93">
        <w:t>T</w:t>
      </w:r>
      <w:r w:rsidR="00826F96">
        <w:t xml:space="preserve">he Court of Appeal concluded </w:t>
      </w:r>
      <w:r w:rsidR="008A16B2">
        <w:t xml:space="preserve">that </w:t>
      </w:r>
      <w:r w:rsidR="00826F96">
        <w:t xml:space="preserve">the lower court’s dismissal of the </w:t>
      </w:r>
      <w:r w:rsidR="001D0772">
        <w:t>final</w:t>
      </w:r>
      <w:r w:rsidR="00826F96">
        <w:t xml:space="preserve"> cause of action </w:t>
      </w:r>
      <w:r w:rsidR="00B365B9">
        <w:t xml:space="preserve">as a sanction </w:t>
      </w:r>
      <w:r w:rsidR="00826F96">
        <w:t xml:space="preserve">was </w:t>
      </w:r>
      <w:r w:rsidR="00C62F93">
        <w:t>appropriate</w:t>
      </w:r>
      <w:r w:rsidR="00B365B9">
        <w:t xml:space="preserve"> as the discovery to which plaintiff failed to provide was related to the final cause of action.</w:t>
      </w:r>
      <w:r w:rsidR="00826F96">
        <w:t xml:space="preserve">  (</w:t>
      </w:r>
      <w:r w:rsidR="00826F96" w:rsidRPr="00732B93">
        <w:rPr>
          <w:i/>
          <w:iCs/>
        </w:rPr>
        <w:t>Id</w:t>
      </w:r>
      <w:r w:rsidR="00295ED9">
        <w:rPr>
          <w:i/>
          <w:iCs/>
        </w:rPr>
        <w:t>.</w:t>
      </w:r>
      <w:r w:rsidR="00826F96">
        <w:t xml:space="preserve"> at pp. 331-332.)  </w:t>
      </w:r>
      <w:r w:rsidR="00245949">
        <w:t>Here, t</w:t>
      </w:r>
      <w:r w:rsidR="00826F96">
        <w:t xml:space="preserve">he only issue on review is </w:t>
      </w:r>
      <w:r w:rsidR="00C62F93">
        <w:t xml:space="preserve">the hearing judge’s order </w:t>
      </w:r>
      <w:r w:rsidR="00ED3DE9">
        <w:t>that</w:t>
      </w:r>
      <w:r w:rsidR="00245949">
        <w:t xml:space="preserve"> </w:t>
      </w:r>
      <w:r w:rsidR="00C62F93">
        <w:t>dismiss</w:t>
      </w:r>
      <w:r w:rsidR="00245949">
        <w:t>ed</w:t>
      </w:r>
      <w:r w:rsidR="00C62F93">
        <w:t xml:space="preserve"> Patel’s petition for his failure to comply with </w:t>
      </w:r>
      <w:r w:rsidR="00FD6924">
        <w:t xml:space="preserve">his </w:t>
      </w:r>
      <w:r w:rsidR="00C62F93">
        <w:t>discovery obligations</w:t>
      </w:r>
      <w:r w:rsidR="00B365B9">
        <w:t>, which relate</w:t>
      </w:r>
      <w:r w:rsidR="00C371BC">
        <w:t>s</w:t>
      </w:r>
      <w:r w:rsidR="00B365B9">
        <w:t xml:space="preserve"> to </w:t>
      </w:r>
      <w:r w:rsidR="00FD6924">
        <w:t xml:space="preserve">the </w:t>
      </w:r>
      <w:r w:rsidR="00B365B9">
        <w:t xml:space="preserve">petition, and it </w:t>
      </w:r>
      <w:r w:rsidR="008B2896">
        <w:t xml:space="preserve">was </w:t>
      </w:r>
      <w:r w:rsidR="00314CDC">
        <w:rPr>
          <w:szCs w:val="24"/>
        </w:rPr>
        <w:t xml:space="preserve">properly </w:t>
      </w:r>
      <w:r w:rsidR="00A1173C">
        <w:rPr>
          <w:szCs w:val="24"/>
        </w:rPr>
        <w:t>dismissed</w:t>
      </w:r>
      <w:r w:rsidR="00014047">
        <w:t xml:space="preserve">.  </w:t>
      </w:r>
      <w:r w:rsidR="00B365B9">
        <w:rPr>
          <w:szCs w:val="24"/>
        </w:rPr>
        <w:t xml:space="preserve">Additionally, he </w:t>
      </w:r>
      <w:r w:rsidR="00C62F93">
        <w:rPr>
          <w:szCs w:val="24"/>
        </w:rPr>
        <w:t xml:space="preserve">has not established </w:t>
      </w:r>
      <w:r w:rsidR="00B365B9">
        <w:rPr>
          <w:szCs w:val="24"/>
        </w:rPr>
        <w:t xml:space="preserve">that he suffered </w:t>
      </w:r>
      <w:r w:rsidR="00C62F93" w:rsidRPr="00161290">
        <w:rPr>
          <w:szCs w:val="24"/>
        </w:rPr>
        <w:t>any actual prejudice</w:t>
      </w:r>
      <w:r w:rsidR="00C62F93">
        <w:rPr>
          <w:szCs w:val="24"/>
        </w:rPr>
        <w:t xml:space="preserve">—the depositions were properly noticed, and Patel was aware that his failure to appear </w:t>
      </w:r>
      <w:r w:rsidR="008A16B2">
        <w:rPr>
          <w:szCs w:val="24"/>
        </w:rPr>
        <w:t>c</w:t>
      </w:r>
      <w:r w:rsidR="00C62F93">
        <w:rPr>
          <w:szCs w:val="24"/>
        </w:rPr>
        <w:t>ould result in dismissal</w:t>
      </w:r>
      <w:r w:rsidR="00C62F93" w:rsidRPr="00161290">
        <w:rPr>
          <w:szCs w:val="24"/>
        </w:rPr>
        <w:t>.</w:t>
      </w:r>
      <w:r w:rsidR="00C62F93">
        <w:rPr>
          <w:szCs w:val="24"/>
        </w:rPr>
        <w:t xml:space="preserve">  </w:t>
      </w:r>
      <w:r w:rsidR="00C62F93" w:rsidRPr="00046E63">
        <w:rPr>
          <w:rStyle w:val="normaltextrun"/>
          <w:color w:val="000000"/>
          <w:szCs w:val="24"/>
          <w:shd w:val="clear" w:color="auto" w:fill="FFFFFF"/>
        </w:rPr>
        <w:t>(</w:t>
      </w:r>
      <w:r w:rsidR="00C62F93" w:rsidRPr="00046E63">
        <w:rPr>
          <w:rStyle w:val="normaltextrun"/>
          <w:i/>
          <w:iCs/>
          <w:color w:val="000000"/>
          <w:szCs w:val="24"/>
          <w:shd w:val="clear" w:color="auto" w:fill="FFFFFF"/>
        </w:rPr>
        <w:t>In the Matter of Johnson</w:t>
      </w:r>
      <w:r w:rsidR="00C62F93" w:rsidRPr="00046E63">
        <w:rPr>
          <w:rStyle w:val="normaltextrun"/>
          <w:color w:val="000000"/>
          <w:szCs w:val="24"/>
          <w:shd w:val="clear" w:color="auto" w:fill="FFFFFF"/>
        </w:rPr>
        <w:t xml:space="preserve"> (Review Dept. 1995) 3 Cal. State Bar Ct. </w:t>
      </w:r>
      <w:r w:rsidR="00C62F93" w:rsidRPr="006E31EF">
        <w:rPr>
          <w:rStyle w:val="spellingerror"/>
          <w:color w:val="000000"/>
          <w:szCs w:val="24"/>
          <w:shd w:val="clear" w:color="auto" w:fill="FFFFFF"/>
        </w:rPr>
        <w:t>Rptr</w:t>
      </w:r>
      <w:r w:rsidR="00C62F93" w:rsidRPr="006E31EF">
        <w:rPr>
          <w:rStyle w:val="normaltextrun"/>
          <w:color w:val="000000"/>
          <w:szCs w:val="24"/>
          <w:shd w:val="clear" w:color="auto" w:fill="FFFFFF"/>
        </w:rPr>
        <w:t xml:space="preserve">. 233, 241 </w:t>
      </w:r>
      <w:r w:rsidR="00C62F93" w:rsidRPr="00063204">
        <w:t>[absent actual prejudice, party not entitled to relief].)</w:t>
      </w:r>
      <w:r w:rsidR="00C62F93">
        <w:t xml:space="preserve">  </w:t>
      </w:r>
      <w:r w:rsidR="0037554D">
        <w:t>Under these circumstances, we find the</w:t>
      </w:r>
      <w:r w:rsidR="00093D10">
        <w:t xml:space="preserve"> </w:t>
      </w:r>
      <w:r w:rsidR="0037554D">
        <w:t>judge</w:t>
      </w:r>
      <w:r w:rsidR="004D28AE">
        <w:t xml:space="preserve"> did not abuse her discretion by dismissing</w:t>
      </w:r>
      <w:r w:rsidR="0037554D">
        <w:t xml:space="preserve"> Patel’s petition under rule 5.124(I) for his </w:t>
      </w:r>
      <w:r w:rsidR="0069055D">
        <w:t xml:space="preserve">willful </w:t>
      </w:r>
      <w:r w:rsidR="0037554D">
        <w:t xml:space="preserve">failure to comply with </w:t>
      </w:r>
      <w:r w:rsidR="00093D10">
        <w:t xml:space="preserve">his </w:t>
      </w:r>
      <w:r w:rsidR="0037554D">
        <w:t xml:space="preserve">discovery </w:t>
      </w:r>
      <w:r w:rsidR="00230C81">
        <w:t>obligation</w:t>
      </w:r>
      <w:r w:rsidR="00093D10">
        <w:t>s</w:t>
      </w:r>
      <w:r w:rsidR="00230C81">
        <w:t xml:space="preserve">.  </w:t>
      </w:r>
      <w:r w:rsidR="0095577F">
        <w:tab/>
      </w:r>
      <w:r w:rsidR="00F03182">
        <w:t xml:space="preserve"> </w:t>
      </w:r>
    </w:p>
    <w:p w14:paraId="66780F02" w14:textId="47D63EE4" w:rsidR="00FF0F12" w:rsidRPr="00FF0F12" w:rsidRDefault="00FF0F12" w:rsidP="00A236E8">
      <w:pPr>
        <w:pStyle w:val="Heading2"/>
        <w:spacing w:before="0" w:after="0" w:line="480" w:lineRule="auto"/>
      </w:pPr>
      <w:r>
        <w:t xml:space="preserve">Patel’s </w:t>
      </w:r>
      <w:r w:rsidR="005B1732">
        <w:t xml:space="preserve">Additional </w:t>
      </w:r>
      <w:r>
        <w:t>Arguments</w:t>
      </w:r>
      <w:r w:rsidR="00D64CD1">
        <w:t xml:space="preserve"> </w:t>
      </w:r>
      <w:r>
        <w:t>Lack Merit</w:t>
      </w:r>
      <w:r w:rsidR="005B1732">
        <w:rPr>
          <w:rStyle w:val="FootnoteReference"/>
        </w:rPr>
        <w:footnoteReference w:id="10"/>
      </w:r>
      <w:r>
        <w:t xml:space="preserve"> </w:t>
      </w:r>
    </w:p>
    <w:p w14:paraId="6E8C168B" w14:textId="6548F796" w:rsidR="004204D6" w:rsidRDefault="00D62268" w:rsidP="00A236E8">
      <w:r>
        <w:tab/>
        <w:t>Patel</w:t>
      </w:r>
      <w:r w:rsidR="00161758">
        <w:t xml:space="preserve">’s briefs on review raise several repetitive and generalized pronouncements that OCTC and the hearing judge </w:t>
      </w:r>
      <w:r w:rsidR="00C815D2">
        <w:t>exhibited</w:t>
      </w:r>
      <w:r w:rsidR="00161758">
        <w:t xml:space="preserve"> bias against him for political motives</w:t>
      </w:r>
      <w:r w:rsidR="00C815D2">
        <w:t xml:space="preserve">, </w:t>
      </w:r>
      <w:r w:rsidR="00161758">
        <w:t>interfer</w:t>
      </w:r>
      <w:r w:rsidR="00C815D2">
        <w:t>ed</w:t>
      </w:r>
      <w:r w:rsidR="00161758">
        <w:t xml:space="preserve"> with his ability to work</w:t>
      </w:r>
      <w:r w:rsidR="00C815D2">
        <w:t xml:space="preserve">, </w:t>
      </w:r>
      <w:r w:rsidR="00161758">
        <w:t xml:space="preserve">and other baseless </w:t>
      </w:r>
      <w:r w:rsidR="00C815D2">
        <w:t>claims</w:t>
      </w:r>
      <w:r w:rsidR="00161758">
        <w:t xml:space="preserve">.  </w:t>
      </w:r>
      <w:r w:rsidR="00522B02">
        <w:t xml:space="preserve">The record does not support Patel’s accusations and we find no misconduct committed by OCTC or the hearing judge.  </w:t>
      </w:r>
    </w:p>
    <w:p w14:paraId="29A7B5AA" w14:textId="6855D279" w:rsidR="008B55AA" w:rsidRDefault="004204D6" w:rsidP="00A236E8">
      <w:r>
        <w:tab/>
      </w:r>
      <w:r w:rsidR="00161758">
        <w:t xml:space="preserve">In </w:t>
      </w:r>
      <w:r>
        <w:t xml:space="preserve">this </w:t>
      </w:r>
      <w:r w:rsidR="00161758">
        <w:t>reinstatement proceeding</w:t>
      </w:r>
      <w:r>
        <w:t xml:space="preserve">, our sole </w:t>
      </w:r>
      <w:r w:rsidR="00704905">
        <w:t>duty</w:t>
      </w:r>
      <w:r>
        <w:t xml:space="preserve"> is to determine whether the hearing judge’s dismissal of Patel’s petition was an appropriate discovery sanction.  </w:t>
      </w:r>
      <w:r w:rsidR="00522B02">
        <w:t xml:space="preserve">Patel specifically requests </w:t>
      </w:r>
      <w:r w:rsidR="008E4962">
        <w:t>us to</w:t>
      </w:r>
      <w:r w:rsidR="00522B02">
        <w:t xml:space="preserve"> immediately reinstate him to practice law in California.  </w:t>
      </w:r>
      <w:r w:rsidR="00704905">
        <w:t>To be clear, w</w:t>
      </w:r>
      <w:r w:rsidR="00522B02">
        <w:t xml:space="preserve">e cannot </w:t>
      </w:r>
      <w:r w:rsidR="00522B02">
        <w:lastRenderedPageBreak/>
        <w:t xml:space="preserve">reinstate Patel’s license to practice law in </w:t>
      </w:r>
      <w:r w:rsidR="00704905">
        <w:t>California</w:t>
      </w:r>
      <w:r w:rsidR="001F57B3">
        <w:t>—</w:t>
      </w:r>
      <w:r w:rsidR="00522B02">
        <w:t xml:space="preserve">only the Supreme Court has such authority.  </w:t>
      </w:r>
    </w:p>
    <w:p w14:paraId="4EFB492E" w14:textId="6C0D2249" w:rsidR="001F0253" w:rsidRDefault="004204D6" w:rsidP="00A236E8">
      <w:pPr>
        <w:ind w:firstLine="720"/>
      </w:pPr>
      <w:r>
        <w:t>P</w:t>
      </w:r>
      <w:r w:rsidR="003927E9">
        <w:t xml:space="preserve">atel </w:t>
      </w:r>
      <w:r w:rsidR="00522B02">
        <w:t xml:space="preserve">also </w:t>
      </w:r>
      <w:r>
        <w:t xml:space="preserve">argues this proceeding </w:t>
      </w:r>
      <w:r w:rsidR="003927E9">
        <w:t xml:space="preserve">should have been decided on its merits </w:t>
      </w:r>
      <w:r>
        <w:t>by the hearing judge.</w:t>
      </w:r>
      <w:r w:rsidR="00351074">
        <w:t xml:space="preserve">  </w:t>
      </w:r>
      <w:r>
        <w:t xml:space="preserve">He asserts the record contains all the information necessary for the case to be adjudicated.  He further maintains </w:t>
      </w:r>
      <w:r w:rsidR="008E4962">
        <w:t>that his</w:t>
      </w:r>
      <w:r w:rsidR="00566C61">
        <w:t xml:space="preserve"> </w:t>
      </w:r>
      <w:r w:rsidR="00CA5108">
        <w:t>lack of any misconduct</w:t>
      </w:r>
      <w:r w:rsidR="008A16B2">
        <w:t xml:space="preserve"> </w:t>
      </w:r>
      <w:r w:rsidR="00627340">
        <w:t>during</w:t>
      </w:r>
      <w:r w:rsidR="00CA5108">
        <w:t xml:space="preserve"> the years he had his California license and that he now has a </w:t>
      </w:r>
      <w:r w:rsidR="00566C61">
        <w:t xml:space="preserve">Nevada </w:t>
      </w:r>
      <w:r>
        <w:t xml:space="preserve">license </w:t>
      </w:r>
      <w:r w:rsidR="00CA5108">
        <w:t xml:space="preserve">in good standing </w:t>
      </w:r>
      <w:r w:rsidR="00566C61">
        <w:t xml:space="preserve">establish that he </w:t>
      </w:r>
      <w:r w:rsidR="00761034">
        <w:t>meets the</w:t>
      </w:r>
      <w:r w:rsidR="00566C61">
        <w:t xml:space="preserve"> requirements to practice law </w:t>
      </w:r>
      <w:r w:rsidR="00CA5108">
        <w:t xml:space="preserve">again </w:t>
      </w:r>
      <w:r w:rsidR="00566C61">
        <w:t>in California.</w:t>
      </w:r>
      <w:r w:rsidR="008B55AA">
        <w:t xml:space="preserve">  </w:t>
      </w:r>
      <w:r w:rsidR="00CA5108">
        <w:t xml:space="preserve">We disagree </w:t>
      </w:r>
      <w:r w:rsidR="008B55AA">
        <w:t xml:space="preserve">with his arguments </w:t>
      </w:r>
      <w:r w:rsidR="00CA5108">
        <w:t>because his actions as discussed in this opinion raise serious concerns that lower the persuasiveness such evidence c</w:t>
      </w:r>
      <w:r w:rsidR="002F35FE">
        <w:t>ould</w:t>
      </w:r>
      <w:r w:rsidR="00CA5108">
        <w:t xml:space="preserve"> provide</w:t>
      </w:r>
      <w:r w:rsidR="00E33DF4">
        <w:t xml:space="preserve"> of his moral character</w:t>
      </w:r>
      <w:r w:rsidR="00CA5108">
        <w:t>.</w:t>
      </w:r>
      <w:r w:rsidR="00761034">
        <w:t xml:space="preserve">  </w:t>
      </w:r>
      <w:r w:rsidR="008C629B">
        <w:t xml:space="preserve">His failure to </w:t>
      </w:r>
      <w:r w:rsidR="00631F69">
        <w:t>comply with discovery obligations under rule</w:t>
      </w:r>
      <w:r w:rsidR="001F57B3">
        <w:t> </w:t>
      </w:r>
      <w:r w:rsidR="00631F69">
        <w:t>5.443(D)</w:t>
      </w:r>
      <w:r w:rsidR="00761034">
        <w:t xml:space="preserve"> result</w:t>
      </w:r>
      <w:r w:rsidR="008C629B">
        <w:t>ed</w:t>
      </w:r>
      <w:r w:rsidR="00761034">
        <w:t xml:space="preserve"> in </w:t>
      </w:r>
      <w:r w:rsidR="00522B02">
        <w:t>terminating sanctions</w:t>
      </w:r>
      <w:r w:rsidR="008C629B">
        <w:t xml:space="preserve"> that</w:t>
      </w:r>
      <w:r w:rsidR="00761034">
        <w:t xml:space="preserve"> precluded his </w:t>
      </w:r>
      <w:r w:rsidR="00631F69">
        <w:t xml:space="preserve">petition </w:t>
      </w:r>
      <w:r w:rsidR="00761034">
        <w:t>from</w:t>
      </w:r>
      <w:r w:rsidR="00631F69">
        <w:t xml:space="preserve"> proceed</w:t>
      </w:r>
      <w:r w:rsidR="00761034">
        <w:t>ing</w:t>
      </w:r>
      <w:r w:rsidR="00631F69">
        <w:t xml:space="preserve"> to a hearing </w:t>
      </w:r>
      <w:r w:rsidR="00522B02">
        <w:t>on the</w:t>
      </w:r>
      <w:r w:rsidR="00631F69">
        <w:t xml:space="preserve"> merits.</w:t>
      </w:r>
      <w:r w:rsidR="00F87F6C">
        <w:t xml:space="preserve">  </w:t>
      </w:r>
      <w:r w:rsidR="001F0253">
        <w:t>Finally, the fact that he had many years of discipline-free practice in California before h</w:t>
      </w:r>
      <w:r w:rsidR="00F5188D">
        <w:t>e resigned</w:t>
      </w:r>
      <w:r w:rsidR="001F0253">
        <w:t xml:space="preserve"> and that he has a Nevada license in good standing is not determinative in reinstating him to the practice of law in California. </w:t>
      </w:r>
    </w:p>
    <w:p w14:paraId="6BF86BFF" w14:textId="0394236F" w:rsidR="00C66903" w:rsidRDefault="00EC49A6" w:rsidP="00A236E8">
      <w:pPr>
        <w:pStyle w:val="Heading1"/>
        <w:spacing w:after="0" w:line="480" w:lineRule="auto"/>
      </w:pPr>
      <w:r>
        <w:t>CONCLUSION</w:t>
      </w:r>
    </w:p>
    <w:p w14:paraId="166CB4F9" w14:textId="46CEBFDB" w:rsidR="00645A4E" w:rsidRPr="00645A4E" w:rsidRDefault="00FF0F12" w:rsidP="00A236E8">
      <w:r>
        <w:tab/>
      </w:r>
      <w:r w:rsidR="001F0253" w:rsidRPr="001F0253">
        <w:t>One of the underlying purposes of reinstatement proceedings is to insure only persons of good moral character are reinstated, and therefore the State Bar Court may consider any act or conduct that is relevant to moral character regardless of when or where it occurred.  (</w:t>
      </w:r>
      <w:r w:rsidR="001F0253" w:rsidRPr="00F5188D">
        <w:rPr>
          <w:i/>
          <w:iCs/>
        </w:rPr>
        <w:t>In the Matter of Kirwan</w:t>
      </w:r>
      <w:r w:rsidR="001F0253" w:rsidRPr="001F0253">
        <w:t xml:space="preserve">, </w:t>
      </w:r>
      <w:r w:rsidR="001F0253" w:rsidRPr="00F5188D">
        <w:rPr>
          <w:i/>
          <w:iCs/>
        </w:rPr>
        <w:t>supra</w:t>
      </w:r>
      <w:r w:rsidR="001F0253" w:rsidRPr="001F0253">
        <w:t>, 3 Cal. State Bar Ct. Rptr. at p. 634.)</w:t>
      </w:r>
      <w:r w:rsidR="001F0253">
        <w:t xml:space="preserve">  We find Patel’s actions that occurred after he filed his reinstatement petition </w:t>
      </w:r>
      <w:r w:rsidR="008628F6">
        <w:t>to be sufficiently concerning</w:t>
      </w:r>
      <w:r w:rsidR="001F57B3">
        <w:t xml:space="preserve">.  </w:t>
      </w:r>
      <w:r w:rsidR="002F35FE">
        <w:t xml:space="preserve">Hence, </w:t>
      </w:r>
      <w:r w:rsidR="008628F6">
        <w:t>OCTC was justified in seeking to reopen the reinstatement</w:t>
      </w:r>
      <w:r w:rsidR="00F5188D">
        <w:t xml:space="preserve"> proceeding</w:t>
      </w:r>
      <w:r w:rsidR="00570B45">
        <w:t>,</w:t>
      </w:r>
      <w:r w:rsidR="008628F6">
        <w:t xml:space="preserve"> </w:t>
      </w:r>
      <w:r w:rsidR="001F0253">
        <w:t xml:space="preserve">and </w:t>
      </w:r>
      <w:r w:rsidR="008628F6">
        <w:t>Patel’s</w:t>
      </w:r>
      <w:r w:rsidR="001F0253">
        <w:t xml:space="preserve"> failure to </w:t>
      </w:r>
      <w:r w:rsidR="008628F6">
        <w:t xml:space="preserve">comply with his discovery obligations </w:t>
      </w:r>
      <w:r w:rsidR="00570B45">
        <w:t xml:space="preserve">was </w:t>
      </w:r>
      <w:r w:rsidR="008628F6">
        <w:t>sufficient for the hearing judge to dismiss his petition.  Therefore, w</w:t>
      </w:r>
      <w:r w:rsidRPr="005E55C7">
        <w:t>e affirm the judge</w:t>
      </w:r>
      <w:r>
        <w:t>’</w:t>
      </w:r>
      <w:r w:rsidRPr="005E55C7">
        <w:t xml:space="preserve">s </w:t>
      </w:r>
      <w:r>
        <w:t>decision to dismiss</w:t>
      </w:r>
      <w:r w:rsidRPr="005E55C7">
        <w:t xml:space="preserve"> </w:t>
      </w:r>
      <w:r w:rsidR="00D62268">
        <w:t>Anthony Aanand Patel</w:t>
      </w:r>
      <w:r>
        <w:t>’s</w:t>
      </w:r>
      <w:r w:rsidRPr="005E55C7">
        <w:t xml:space="preserve"> petition for reinstatement to the practice of law</w:t>
      </w:r>
      <w:r w:rsidR="007E2193">
        <w:t xml:space="preserve"> with prejudice.  </w:t>
      </w:r>
      <w:r w:rsidR="00522B02" w:rsidRPr="00522B02">
        <w:t>Rule 5.124(</w:t>
      </w:r>
      <w:r w:rsidR="00522B02">
        <w:t>I</w:t>
      </w:r>
      <w:r w:rsidR="00522B02" w:rsidRPr="00522B02">
        <w:t xml:space="preserve">) states, “Dismissal may be ordered as a discovery sanction. </w:t>
      </w:r>
      <w:r w:rsidR="00522B02">
        <w:t xml:space="preserve"> </w:t>
      </w:r>
      <w:r w:rsidR="00522B02" w:rsidRPr="00522B02">
        <w:t xml:space="preserve">Unless the Court orders otherwise for good cause shown, </w:t>
      </w:r>
      <w:r w:rsidR="00522B02" w:rsidRPr="00522B02">
        <w:lastRenderedPageBreak/>
        <w:t>dismissal is with prejudice.”</w:t>
      </w:r>
      <w:r w:rsidR="00522B02">
        <w:t xml:space="preserve">  Although Patel’s </w:t>
      </w:r>
      <w:r w:rsidR="00A57EE0">
        <w:t>petition</w:t>
      </w:r>
      <w:r w:rsidR="00522B02">
        <w:t xml:space="preserve"> is dismissed with prejudice, </w:t>
      </w:r>
      <w:r w:rsidR="00A57EE0">
        <w:t xml:space="preserve">this opinion does not preclude </w:t>
      </w:r>
      <w:r w:rsidR="00BA5038">
        <w:t>him</w:t>
      </w:r>
      <w:r w:rsidR="00A57EE0">
        <w:t xml:space="preserve"> f</w:t>
      </w:r>
      <w:r w:rsidR="006A5614">
        <w:t>ro</w:t>
      </w:r>
      <w:r w:rsidR="00A57EE0">
        <w:t>m</w:t>
      </w:r>
      <w:r w:rsidR="00522B02">
        <w:t xml:space="preserve"> fil</w:t>
      </w:r>
      <w:r w:rsidR="00A57EE0">
        <w:t>ing</w:t>
      </w:r>
      <w:r w:rsidR="00522B02">
        <w:t xml:space="preserve"> </w:t>
      </w:r>
      <w:r w:rsidR="00506A3D">
        <w:t xml:space="preserve">a subsequent </w:t>
      </w:r>
      <w:r w:rsidR="00522B02">
        <w:t>petition for reinstatement</w:t>
      </w:r>
      <w:r w:rsidR="00B718CF">
        <w:t xml:space="preserve"> when he chooses to do so</w:t>
      </w:r>
      <w:r w:rsidR="00522B02">
        <w:t>.  (Rule 5.442(A).)</w:t>
      </w:r>
    </w:p>
    <w:p w14:paraId="10CEB037" w14:textId="2B37C7B4" w:rsidR="00645A4E" w:rsidRPr="00645A4E" w:rsidRDefault="00645A4E" w:rsidP="00A236E8">
      <w:r w:rsidRPr="00645A4E">
        <w:tab/>
      </w:r>
      <w:r w:rsidRPr="00645A4E">
        <w:tab/>
      </w:r>
      <w:r w:rsidRPr="00645A4E">
        <w:tab/>
      </w:r>
      <w:r w:rsidRPr="00645A4E">
        <w:tab/>
      </w:r>
      <w:r w:rsidRPr="00645A4E">
        <w:tab/>
      </w:r>
      <w:r w:rsidRPr="00645A4E">
        <w:tab/>
      </w:r>
      <w:r w:rsidRPr="00645A4E">
        <w:tab/>
      </w:r>
      <w:r w:rsidRPr="00645A4E">
        <w:tab/>
      </w:r>
      <w:bookmarkStart w:id="9" w:name="judge"/>
      <w:bookmarkEnd w:id="9"/>
      <w:sdt>
        <w:sdtPr>
          <w:alias w:val="Select Judge"/>
          <w:tag w:val="Select Judge"/>
          <w:id w:val="110014445"/>
          <w:placeholder>
            <w:docPart w:val="027E1A74560D4D6E9A902AC4DF71C6F0"/>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0B532D">
            <w:t>McGILL, J.</w:t>
          </w:r>
        </w:sdtContent>
      </w:sdt>
    </w:p>
    <w:p w14:paraId="34BFA712" w14:textId="77777777" w:rsidR="00645A4E" w:rsidRPr="00645A4E" w:rsidRDefault="00645A4E" w:rsidP="00A236E8">
      <w:r w:rsidRPr="00645A4E">
        <w:t>WE CONCUR:</w:t>
      </w:r>
    </w:p>
    <w:bookmarkStart w:id="10" w:name="multinames"/>
    <w:bookmarkEnd w:id="10"/>
    <w:p w14:paraId="3779343B" w14:textId="76847B63" w:rsidR="00645A4E" w:rsidRPr="00645A4E" w:rsidRDefault="00277F27" w:rsidP="00A236E8">
      <w:sdt>
        <w:sdtPr>
          <w:alias w:val="Select Concurring Judges"/>
          <w:tag w:val="Select Concurring Judges"/>
          <w:id w:val="1727411610"/>
          <w:placeholder>
            <w:docPart w:val="BCC2605889FA4DFA93A7C79063C8C585"/>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0B532D">
            <w:t>HONN, P. J.</w:t>
          </w:r>
        </w:sdtContent>
      </w:sdt>
    </w:p>
    <w:p w14:paraId="0772FFB4" w14:textId="77DF4826" w:rsidR="00070682" w:rsidRDefault="00277F27" w:rsidP="00A236E8">
      <w:sdt>
        <w:sdtPr>
          <w:alias w:val="Select Concurring Judges"/>
          <w:tag w:val="Select Concurring Judges"/>
          <w:id w:val="505484268"/>
          <w:placeholder>
            <w:docPart w:val="8CFFF3BB0A05481E8B9BA59840A9B85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0B532D">
            <w:t>RIBAS, J.</w:t>
          </w:r>
        </w:sdtContent>
      </w:sdt>
    </w:p>
    <w:p w14:paraId="7FD38ABC" w14:textId="77777777" w:rsidR="00A66B81" w:rsidRDefault="00A66B81" w:rsidP="00A236E8"/>
    <w:p w14:paraId="286154B8" w14:textId="5E6CB98B" w:rsidR="00A66B81" w:rsidRDefault="00A66B81">
      <w:pPr>
        <w:spacing w:line="240" w:lineRule="auto"/>
      </w:pPr>
      <w:r>
        <w:br w:type="page"/>
      </w:r>
    </w:p>
    <w:p w14:paraId="6ADC499B" w14:textId="77777777" w:rsidR="00A66B81" w:rsidRDefault="00A66B81">
      <w:pPr>
        <w:spacing w:line="240" w:lineRule="auto"/>
      </w:pPr>
    </w:p>
    <w:p w14:paraId="3380365A" w14:textId="77777777" w:rsidR="00A66B81" w:rsidRDefault="00A66B81">
      <w:pPr>
        <w:spacing w:line="240" w:lineRule="auto"/>
      </w:pPr>
    </w:p>
    <w:p w14:paraId="55AC1C74" w14:textId="77777777" w:rsidR="00A66B81" w:rsidRDefault="00A66B81">
      <w:pPr>
        <w:spacing w:line="240" w:lineRule="auto"/>
      </w:pPr>
    </w:p>
    <w:p w14:paraId="4B977387" w14:textId="77777777" w:rsidR="00A66B81" w:rsidRDefault="00A66B81" w:rsidP="00A66B81">
      <w:pPr>
        <w:jc w:val="center"/>
        <w:outlineLvl w:val="0"/>
        <w:rPr>
          <w:b/>
          <w:bCs/>
          <w:szCs w:val="34"/>
        </w:rPr>
      </w:pPr>
      <w:r>
        <w:rPr>
          <w:b/>
          <w:bCs/>
          <w:szCs w:val="34"/>
        </w:rPr>
        <w:t xml:space="preserve">No. </w:t>
      </w:r>
      <w:sdt>
        <w:sdtPr>
          <w:rPr>
            <w:b/>
            <w:bCs/>
            <w:szCs w:val="34"/>
          </w:rPr>
          <w:id w:val="1857532092"/>
          <w:placeholder>
            <w:docPart w:val="F830AE24A0DE483693F709BED372C83F"/>
          </w:placeholder>
          <w:text/>
        </w:sdtPr>
        <w:sdtEndPr/>
        <w:sdtContent>
          <w:r>
            <w:rPr>
              <w:b/>
              <w:bCs/>
              <w:szCs w:val="34"/>
            </w:rPr>
            <w:t>19-R-10150</w:t>
          </w:r>
        </w:sdtContent>
      </w:sdt>
    </w:p>
    <w:p w14:paraId="65402733" w14:textId="2F3B3593" w:rsidR="00A66B81" w:rsidRDefault="00A66B81" w:rsidP="00A66B81">
      <w:pPr>
        <w:jc w:val="center"/>
        <w:rPr>
          <w:b/>
          <w:bCs/>
          <w:i/>
          <w:iCs/>
          <w:szCs w:val="34"/>
        </w:rPr>
      </w:pPr>
      <w:r>
        <w:rPr>
          <w:b/>
          <w:bCs/>
          <w:i/>
          <w:iCs/>
          <w:szCs w:val="34"/>
        </w:rPr>
        <w:br/>
      </w:r>
    </w:p>
    <w:p w14:paraId="692CBC52" w14:textId="77777777" w:rsidR="00A66B81" w:rsidRDefault="00A66B81" w:rsidP="00A66B81">
      <w:pPr>
        <w:spacing w:line="360" w:lineRule="auto"/>
        <w:jc w:val="center"/>
        <w:outlineLvl w:val="0"/>
        <w:rPr>
          <w:b/>
          <w:bCs/>
          <w:i/>
          <w:iCs/>
          <w:szCs w:val="34"/>
        </w:rPr>
      </w:pPr>
      <w:r>
        <w:rPr>
          <w:b/>
          <w:bCs/>
          <w:i/>
          <w:iCs/>
          <w:szCs w:val="34"/>
        </w:rPr>
        <w:t xml:space="preserve">In the Matter of </w:t>
      </w:r>
    </w:p>
    <w:sdt>
      <w:sdtPr>
        <w:rPr>
          <w:b/>
          <w:bCs/>
          <w:szCs w:val="28"/>
        </w:rPr>
        <w:id w:val="-1673560664"/>
        <w:placeholder>
          <w:docPart w:val="F830AE24A0DE483693F709BED372C83F"/>
        </w:placeholder>
        <w:text/>
      </w:sdtPr>
      <w:sdtEndPr/>
      <w:sdtContent>
        <w:p w14:paraId="74418C19" w14:textId="77777777" w:rsidR="00A66B81" w:rsidRDefault="00A66B81" w:rsidP="00A66B81">
          <w:pPr>
            <w:spacing w:line="360" w:lineRule="auto"/>
            <w:jc w:val="center"/>
            <w:outlineLvl w:val="0"/>
            <w:rPr>
              <w:szCs w:val="28"/>
            </w:rPr>
          </w:pPr>
          <w:r>
            <w:rPr>
              <w:b/>
              <w:bCs/>
              <w:szCs w:val="28"/>
            </w:rPr>
            <w:t>Anthony Aanand Patel</w:t>
          </w:r>
        </w:p>
      </w:sdtContent>
    </w:sdt>
    <w:p w14:paraId="11A89405" w14:textId="77777777" w:rsidR="00A66B81" w:rsidRDefault="00A66B81" w:rsidP="00A66B81">
      <w:pPr>
        <w:spacing w:line="360" w:lineRule="auto"/>
        <w:jc w:val="center"/>
        <w:rPr>
          <w:szCs w:val="28"/>
        </w:rPr>
      </w:pPr>
    </w:p>
    <w:p w14:paraId="0B433DE4" w14:textId="77777777" w:rsidR="00A66B81" w:rsidRDefault="00A66B81" w:rsidP="00A66B81">
      <w:pPr>
        <w:spacing w:line="360" w:lineRule="auto"/>
        <w:jc w:val="center"/>
        <w:rPr>
          <w:szCs w:val="28"/>
        </w:rPr>
      </w:pPr>
    </w:p>
    <w:p w14:paraId="2DA9FE8A" w14:textId="77777777" w:rsidR="00A66B81" w:rsidRDefault="00A66B81" w:rsidP="00A66B81">
      <w:pPr>
        <w:spacing w:line="360" w:lineRule="auto"/>
        <w:jc w:val="center"/>
        <w:rPr>
          <w:szCs w:val="28"/>
        </w:rPr>
      </w:pPr>
    </w:p>
    <w:p w14:paraId="3B9DA867" w14:textId="77777777" w:rsidR="00A66B81" w:rsidRDefault="00A66B81" w:rsidP="00A66B81">
      <w:pPr>
        <w:jc w:val="center"/>
        <w:outlineLvl w:val="0"/>
        <w:rPr>
          <w:i/>
          <w:iCs/>
          <w:szCs w:val="28"/>
        </w:rPr>
      </w:pPr>
      <w:r>
        <w:rPr>
          <w:i/>
          <w:iCs/>
          <w:szCs w:val="28"/>
        </w:rPr>
        <w:t>Hearing Judge</w:t>
      </w:r>
    </w:p>
    <w:p w14:paraId="2A523935" w14:textId="504299E9" w:rsidR="00A66B81" w:rsidRDefault="00A66B81" w:rsidP="00A66B81">
      <w:pPr>
        <w:jc w:val="center"/>
        <w:outlineLvl w:val="0"/>
        <w:rPr>
          <w:szCs w:val="28"/>
        </w:rPr>
      </w:pPr>
      <w:r>
        <w:rPr>
          <w:b/>
          <w:bCs/>
          <w:szCs w:val="32"/>
        </w:rPr>
        <w:t xml:space="preserve">Hon. </w:t>
      </w:r>
      <w:sdt>
        <w:sdtPr>
          <w:rPr>
            <w:b/>
            <w:bCs/>
            <w:szCs w:val="32"/>
          </w:rPr>
          <w:id w:val="-2064322851"/>
          <w:placeholder>
            <w:docPart w:val="F830AE24A0DE483693F709BED372C83F"/>
          </w:placeholder>
          <w:text/>
        </w:sdtPr>
        <w:sdtEndPr/>
        <w:sdtContent>
          <w:r w:rsidR="00FB1B30">
            <w:rPr>
              <w:b/>
              <w:bCs/>
              <w:szCs w:val="32"/>
            </w:rPr>
            <w:t>Yvette D. Roland</w:t>
          </w:r>
        </w:sdtContent>
      </w:sdt>
    </w:p>
    <w:p w14:paraId="2F696C2A" w14:textId="77777777" w:rsidR="00A66B81" w:rsidRDefault="00A66B81" w:rsidP="00A66B81">
      <w:pPr>
        <w:jc w:val="center"/>
        <w:rPr>
          <w:szCs w:val="28"/>
        </w:rPr>
      </w:pPr>
    </w:p>
    <w:p w14:paraId="65CD37C2" w14:textId="77777777" w:rsidR="00A66B81" w:rsidRDefault="00A66B81" w:rsidP="00A66B81">
      <w:pPr>
        <w:jc w:val="center"/>
        <w:rPr>
          <w:szCs w:val="28"/>
        </w:rPr>
      </w:pPr>
    </w:p>
    <w:p w14:paraId="150314FB" w14:textId="77777777" w:rsidR="00A66B81" w:rsidRDefault="00A66B81" w:rsidP="00A66B81">
      <w:pPr>
        <w:jc w:val="center"/>
        <w:outlineLvl w:val="0"/>
        <w:rPr>
          <w:b/>
          <w:bCs/>
          <w:i/>
          <w:iCs/>
          <w:szCs w:val="28"/>
        </w:rPr>
      </w:pPr>
      <w:r>
        <w:rPr>
          <w:i/>
          <w:iCs/>
          <w:szCs w:val="28"/>
        </w:rPr>
        <w:t>Counsel for the Parties</w:t>
      </w:r>
    </w:p>
    <w:p w14:paraId="3248B09C" w14:textId="77777777" w:rsidR="00A66B81" w:rsidRDefault="00A66B81" w:rsidP="00A66B81">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A66B81" w14:paraId="703AAD4C" w14:textId="77777777" w:rsidTr="00D67B7D">
        <w:trPr>
          <w:cantSplit/>
        </w:trPr>
        <w:tc>
          <w:tcPr>
            <w:tcW w:w="5310" w:type="dxa"/>
          </w:tcPr>
          <w:p w14:paraId="29AC18D4" w14:textId="77777777" w:rsidR="00A66B81" w:rsidRDefault="00A66B81" w:rsidP="00716F51">
            <w:pPr>
              <w:spacing w:line="240" w:lineRule="auto"/>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F830AE24A0DE483693F709BED372C83F"/>
              </w:placeholder>
              <w:text/>
            </w:sdtPr>
            <w:sdtEndPr/>
            <w:sdtContent>
              <w:p w14:paraId="4A4153C8" w14:textId="77777777" w:rsidR="00A66B81" w:rsidRDefault="00A66B81" w:rsidP="00716F51">
                <w:pPr>
                  <w:spacing w:line="240" w:lineRule="auto"/>
                  <w:rPr>
                    <w:szCs w:val="28"/>
                  </w:rPr>
                </w:pPr>
                <w:r>
                  <w:rPr>
                    <w:szCs w:val="28"/>
                  </w:rPr>
                  <w:t>Gillian Susan Studwell</w:t>
                </w:r>
              </w:p>
            </w:sdtContent>
          </w:sdt>
          <w:p w14:paraId="47380688" w14:textId="77777777" w:rsidR="00A66B81" w:rsidRDefault="00A66B81" w:rsidP="00716F51">
            <w:pPr>
              <w:spacing w:line="240" w:lineRule="auto"/>
              <w:rPr>
                <w:szCs w:val="28"/>
              </w:rPr>
            </w:pPr>
            <w:r>
              <w:rPr>
                <w:szCs w:val="28"/>
              </w:rPr>
              <w:t>Office of Chief Trial Counsel</w:t>
            </w:r>
          </w:p>
          <w:p w14:paraId="4B5F784E" w14:textId="77777777" w:rsidR="00A66B81" w:rsidRDefault="00A66B81" w:rsidP="00716F51">
            <w:pPr>
              <w:spacing w:line="240" w:lineRule="auto"/>
              <w:rPr>
                <w:szCs w:val="28"/>
              </w:rPr>
            </w:pPr>
            <w:r>
              <w:rPr>
                <w:szCs w:val="28"/>
              </w:rPr>
              <w:t>The State Bar of California</w:t>
            </w:r>
          </w:p>
          <w:p w14:paraId="28972D91" w14:textId="77777777" w:rsidR="00A66B81" w:rsidRDefault="00A66B81" w:rsidP="00716F51">
            <w:pPr>
              <w:spacing w:line="240" w:lineRule="auto"/>
              <w:rPr>
                <w:szCs w:val="28"/>
              </w:rPr>
            </w:pPr>
            <w:r>
              <w:rPr>
                <w:szCs w:val="28"/>
              </w:rPr>
              <w:t>845 S. Figueroa St.</w:t>
            </w:r>
          </w:p>
          <w:p w14:paraId="4ABBD65D" w14:textId="77777777" w:rsidR="00A66B81" w:rsidRDefault="00A66B81" w:rsidP="00716F51">
            <w:pPr>
              <w:spacing w:line="240" w:lineRule="auto"/>
              <w:rPr>
                <w:szCs w:val="28"/>
              </w:rPr>
            </w:pPr>
            <w:r>
              <w:rPr>
                <w:szCs w:val="28"/>
              </w:rPr>
              <w:t>Los Angeles, CA  90017-2515</w:t>
            </w:r>
          </w:p>
          <w:p w14:paraId="231B7A97" w14:textId="77777777" w:rsidR="00A66B81" w:rsidRDefault="00A66B81" w:rsidP="00716F51">
            <w:pPr>
              <w:spacing w:line="240" w:lineRule="auto"/>
              <w:rPr>
                <w:szCs w:val="28"/>
              </w:rPr>
            </w:pPr>
          </w:p>
        </w:tc>
      </w:tr>
      <w:tr w:rsidR="00A66B81" w14:paraId="4906FC33" w14:textId="77777777" w:rsidTr="00D67B7D">
        <w:trPr>
          <w:cantSplit/>
          <w:trHeight w:val="1458"/>
        </w:trPr>
        <w:tc>
          <w:tcPr>
            <w:tcW w:w="5310" w:type="dxa"/>
          </w:tcPr>
          <w:p w14:paraId="16173087" w14:textId="67A77830" w:rsidR="00A66B81" w:rsidRDefault="00A66B81" w:rsidP="00716F51">
            <w:pPr>
              <w:spacing w:line="240" w:lineRule="auto"/>
              <w:rPr>
                <w:szCs w:val="28"/>
              </w:rPr>
            </w:pPr>
            <w:r>
              <w:rPr>
                <w:b/>
                <w:bCs/>
                <w:szCs w:val="28"/>
              </w:rPr>
              <w:tab/>
            </w:r>
            <w:r>
              <w:rPr>
                <w:szCs w:val="28"/>
              </w:rPr>
              <w:t xml:space="preserve">For </w:t>
            </w:r>
            <w:sdt>
              <w:sdtPr>
                <w:rPr>
                  <w:szCs w:val="28"/>
                </w:rPr>
                <w:id w:val="1280833705"/>
                <w:placeholder>
                  <w:docPart w:val="F830AE24A0DE483693F709BED372C83F"/>
                </w:placeholder>
                <w:text/>
              </w:sdtPr>
              <w:sdtEndPr/>
              <w:sdtContent>
                <w:r>
                  <w:rPr>
                    <w:szCs w:val="28"/>
                  </w:rPr>
                  <w:t>Petitioner In Pro</w:t>
                </w:r>
                <w:r w:rsidR="00195783">
                  <w:rPr>
                    <w:szCs w:val="28"/>
                  </w:rPr>
                  <w:t>.</w:t>
                </w:r>
                <w:r>
                  <w:rPr>
                    <w:szCs w:val="28"/>
                  </w:rPr>
                  <w:t xml:space="preserve"> Per</w:t>
                </w:r>
                <w:r w:rsidR="00C161C2">
                  <w:rPr>
                    <w:szCs w:val="28"/>
                  </w:rPr>
                  <w:t>.</w:t>
                </w:r>
                <w:r>
                  <w:rPr>
                    <w:szCs w:val="28"/>
                  </w:rPr>
                  <w:t>:</w:t>
                </w:r>
              </w:sdtContent>
            </w:sdt>
          </w:p>
        </w:tc>
        <w:tc>
          <w:tcPr>
            <w:tcW w:w="4140" w:type="dxa"/>
          </w:tcPr>
          <w:sdt>
            <w:sdtPr>
              <w:rPr>
                <w:szCs w:val="28"/>
              </w:rPr>
              <w:id w:val="1627428901"/>
              <w:placeholder>
                <w:docPart w:val="F830AE24A0DE483693F709BED372C83F"/>
              </w:placeholder>
              <w:text/>
            </w:sdtPr>
            <w:sdtEndPr/>
            <w:sdtContent>
              <w:p w14:paraId="12AD5E86" w14:textId="77777777" w:rsidR="00A66B81" w:rsidRDefault="00A66B81" w:rsidP="00716F51">
                <w:pPr>
                  <w:spacing w:line="240" w:lineRule="auto"/>
                  <w:rPr>
                    <w:szCs w:val="28"/>
                  </w:rPr>
                </w:pPr>
                <w:r>
                  <w:rPr>
                    <w:szCs w:val="28"/>
                  </w:rPr>
                  <w:t>Anthony Aanand Patel</w:t>
                </w:r>
              </w:p>
            </w:sdtContent>
          </w:sdt>
          <w:p w14:paraId="38FFC433" w14:textId="77777777" w:rsidR="00A66B81" w:rsidRDefault="003924D3" w:rsidP="00716F51">
            <w:pPr>
              <w:spacing w:line="240" w:lineRule="auto"/>
              <w:rPr>
                <w:szCs w:val="28"/>
              </w:rPr>
            </w:pPr>
            <w:r>
              <w:rPr>
                <w:szCs w:val="28"/>
              </w:rPr>
              <w:t>553 N. Pacific Coast Hwy., Suite B-522</w:t>
            </w:r>
          </w:p>
          <w:p w14:paraId="1CF6F44D" w14:textId="7FE83BC1" w:rsidR="003924D3" w:rsidRDefault="003924D3" w:rsidP="00716F51">
            <w:pPr>
              <w:spacing w:line="240" w:lineRule="auto"/>
              <w:rPr>
                <w:szCs w:val="28"/>
              </w:rPr>
            </w:pPr>
            <w:r>
              <w:rPr>
                <w:szCs w:val="28"/>
              </w:rPr>
              <w:t>Redondo Beach, CA  90277</w:t>
            </w:r>
          </w:p>
        </w:tc>
      </w:tr>
    </w:tbl>
    <w:p w14:paraId="2C05FC48" w14:textId="77777777" w:rsidR="00A66B81" w:rsidRDefault="00A66B81" w:rsidP="00A66B81"/>
    <w:p w14:paraId="0C16F386" w14:textId="77777777" w:rsidR="00A66B81" w:rsidRPr="00E26B8A" w:rsidRDefault="00A66B81" w:rsidP="00A236E8"/>
    <w:sectPr w:rsidR="00A66B81"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DA65" w14:textId="77777777" w:rsidR="0022072F" w:rsidRDefault="0022072F" w:rsidP="00055C8A">
      <w:r>
        <w:separator/>
      </w:r>
    </w:p>
  </w:endnote>
  <w:endnote w:type="continuationSeparator" w:id="0">
    <w:p w14:paraId="2FD82B77" w14:textId="77777777" w:rsidR="0022072F" w:rsidRDefault="0022072F"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2DDF63C6"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1674" w14:textId="77777777" w:rsidR="00784251" w:rsidRDefault="00784251">
    <w:pPr>
      <w:pStyle w:val="Footer"/>
      <w:jc w:val="center"/>
    </w:pPr>
  </w:p>
  <w:p w14:paraId="24BE2800"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E2D3" w14:textId="77777777" w:rsidR="0022072F" w:rsidRPr="004F7297" w:rsidRDefault="0022072F" w:rsidP="004F7297">
      <w:pPr>
        <w:pStyle w:val="Footer"/>
        <w:spacing w:line="240" w:lineRule="auto"/>
      </w:pPr>
      <w:r w:rsidRPr="004F7297">
        <w:separator/>
      </w:r>
      <w:r>
        <w:t xml:space="preserve"> </w:t>
      </w:r>
    </w:p>
  </w:footnote>
  <w:footnote w:type="continuationSeparator" w:id="0">
    <w:p w14:paraId="095EBDB9" w14:textId="77777777" w:rsidR="0022072F" w:rsidRPr="000308F7" w:rsidRDefault="0022072F" w:rsidP="000308F7">
      <w:pPr>
        <w:pStyle w:val="Footer"/>
      </w:pPr>
    </w:p>
  </w:footnote>
  <w:footnote w:type="continuationNotice" w:id="1">
    <w:p w14:paraId="4B227137" w14:textId="77777777" w:rsidR="0022072F" w:rsidRDefault="0022072F">
      <w:pPr>
        <w:spacing w:line="240" w:lineRule="auto"/>
      </w:pPr>
    </w:p>
  </w:footnote>
  <w:footnote w:id="2">
    <w:p w14:paraId="1C2775BD" w14:textId="6128AF69" w:rsidR="007A7778" w:rsidRDefault="007A7778">
      <w:pPr>
        <w:pStyle w:val="FootnoteText"/>
      </w:pPr>
      <w:r>
        <w:rPr>
          <w:rStyle w:val="FootnoteReference"/>
        </w:rPr>
        <w:footnoteRef/>
      </w:r>
      <w:r>
        <w:t xml:space="preserve"> </w:t>
      </w:r>
      <w:r w:rsidR="00A236E8">
        <w:t>All f</w:t>
      </w:r>
      <w:r>
        <w:t xml:space="preserve">urther references to rules are to </w:t>
      </w:r>
      <w:r w:rsidR="00A236E8">
        <w:t>the Rules of Procedure of the State Bar unless otherwise noted.</w:t>
      </w:r>
    </w:p>
  </w:footnote>
  <w:footnote w:id="3">
    <w:p w14:paraId="55EBB256" w14:textId="50A37FA4" w:rsidR="00CB503F" w:rsidRDefault="00CB503F" w:rsidP="00FA11D9">
      <w:pPr>
        <w:pStyle w:val="FootnoteText"/>
        <w:spacing w:after="120"/>
      </w:pPr>
      <w:r>
        <w:rPr>
          <w:rStyle w:val="FootnoteReference"/>
        </w:rPr>
        <w:footnoteRef/>
      </w:r>
      <w:r>
        <w:t xml:space="preserve"> In its brief, OCTC states it is aware of another vexatious litigant order filed against Patel</w:t>
      </w:r>
      <w:r w:rsidR="00203E9B">
        <w:t xml:space="preserve"> in </w:t>
      </w:r>
      <w:r w:rsidRPr="00B265D7">
        <w:rPr>
          <w:i/>
          <w:iCs/>
        </w:rPr>
        <w:t>Patel v. Miller</w:t>
      </w:r>
      <w:r>
        <w:t xml:space="preserve">, United States District Court for the </w:t>
      </w:r>
      <w:r w:rsidRPr="00F5406F">
        <w:t>Central District of California, No.</w:t>
      </w:r>
      <w:r w:rsidR="00444609">
        <w:t> </w:t>
      </w:r>
      <w:r w:rsidRPr="00F5406F">
        <w:t>CV-19-0090-CBM</w:t>
      </w:r>
      <w:r w:rsidRPr="006A5614">
        <w:t>.</w:t>
      </w:r>
      <w:r w:rsidR="00725E47">
        <w:t xml:space="preserve">  In his reply brief, Patel admits the existence </w:t>
      </w:r>
      <w:r w:rsidR="00D2502A">
        <w:t>of two vexatious litigant orders.</w:t>
      </w:r>
      <w:r>
        <w:t xml:space="preserve"> </w:t>
      </w:r>
    </w:p>
  </w:footnote>
  <w:footnote w:id="4">
    <w:p w14:paraId="5E175350" w14:textId="74B3C293" w:rsidR="005515B9" w:rsidRDefault="005515B9" w:rsidP="00ED362E">
      <w:pPr>
        <w:pStyle w:val="FootnoteText"/>
        <w:spacing w:after="120"/>
      </w:pPr>
      <w:r>
        <w:rPr>
          <w:rStyle w:val="FootnoteReference"/>
        </w:rPr>
        <w:footnoteRef/>
      </w:r>
      <w:r>
        <w:t xml:space="preserve"> In its </w:t>
      </w:r>
      <w:r w:rsidR="00F65377">
        <w:t>opposition</w:t>
      </w:r>
      <w:r w:rsidR="00B23B1B">
        <w:t>,</w:t>
      </w:r>
      <w:r w:rsidR="00F65377">
        <w:t xml:space="preserve"> OCTC requested </w:t>
      </w:r>
      <w:r w:rsidR="00BD51EF">
        <w:t xml:space="preserve">that </w:t>
      </w:r>
      <w:r w:rsidR="00F65377">
        <w:t xml:space="preserve">the hearing judge </w:t>
      </w:r>
      <w:r w:rsidR="00F51570">
        <w:t>consider</w:t>
      </w:r>
      <w:r w:rsidR="00F65377">
        <w:t xml:space="preserve"> its motion to compel as </w:t>
      </w:r>
      <w:r w:rsidR="00027A8F">
        <w:t>the pleading opposing</w:t>
      </w:r>
      <w:r w:rsidR="00F65377">
        <w:t xml:space="preserve"> Patel’s motion to quash.</w:t>
      </w:r>
      <w:r w:rsidR="00B4749B">
        <w:t xml:space="preserve"> </w:t>
      </w:r>
    </w:p>
  </w:footnote>
  <w:footnote w:id="5">
    <w:p w14:paraId="01E9EB5D" w14:textId="64B7DE90" w:rsidR="0019276C" w:rsidRDefault="0019276C" w:rsidP="00FA11D9">
      <w:pPr>
        <w:pStyle w:val="FootnoteText"/>
      </w:pPr>
      <w:r>
        <w:rPr>
          <w:rStyle w:val="FootnoteReference"/>
        </w:rPr>
        <w:footnoteRef/>
      </w:r>
      <w:r>
        <w:t xml:space="preserve"> </w:t>
      </w:r>
      <w:r w:rsidR="00BD51EF">
        <w:t>At the time, t</w:t>
      </w:r>
      <w:r>
        <w:t xml:space="preserve">he hearing judge denied OCTC’s motion seeking dismissal of the petition. </w:t>
      </w:r>
    </w:p>
  </w:footnote>
  <w:footnote w:id="6">
    <w:p w14:paraId="03CDCFFF" w14:textId="0D735F9C" w:rsidR="00E123D7" w:rsidRDefault="00E123D7">
      <w:pPr>
        <w:pStyle w:val="FootnoteText"/>
      </w:pPr>
      <w:r>
        <w:rPr>
          <w:rStyle w:val="FootnoteReference"/>
        </w:rPr>
        <w:footnoteRef/>
      </w:r>
      <w:r>
        <w:t xml:space="preserve"> In Patel’s motion to continue, Patel stated he included a reference to Senator Atkins because she appointed </w:t>
      </w:r>
      <w:r w:rsidR="00BD51EF">
        <w:t xml:space="preserve">the hearing judge </w:t>
      </w:r>
      <w:r w:rsidR="00290996">
        <w:t xml:space="preserve">who </w:t>
      </w:r>
      <w:r w:rsidR="00BD51EF">
        <w:t xml:space="preserve">was </w:t>
      </w:r>
      <w:r w:rsidR="00290996">
        <w:t>presid</w:t>
      </w:r>
      <w:r w:rsidR="00BD51EF">
        <w:t>ing</w:t>
      </w:r>
      <w:r w:rsidR="00290996">
        <w:t xml:space="preserve"> over his reinstatement proceeding</w:t>
      </w:r>
      <w:r>
        <w:t xml:space="preserve">. </w:t>
      </w:r>
    </w:p>
  </w:footnote>
  <w:footnote w:id="7">
    <w:p w14:paraId="0A32D86D" w14:textId="588C8AEA" w:rsidR="00CE2323" w:rsidRDefault="00CE2323" w:rsidP="00CE2323">
      <w:pPr>
        <w:pStyle w:val="FootnoteText"/>
      </w:pPr>
      <w:r>
        <w:rPr>
          <w:rStyle w:val="FootnoteReference"/>
        </w:rPr>
        <w:footnoteRef/>
      </w:r>
      <w:r>
        <w:t xml:space="preserve"> </w:t>
      </w:r>
      <w:r w:rsidRPr="00ED42F1">
        <w:rPr>
          <w:i/>
          <w:iCs/>
        </w:rPr>
        <w:t>Patel v. Robinson et al</w:t>
      </w:r>
      <w:r>
        <w:t>., United States District Court for the Central District of California, No. CV-19-2851</w:t>
      </w:r>
      <w:r w:rsidR="00FB1B30">
        <w:t>-DOC</w:t>
      </w:r>
      <w:r>
        <w:t xml:space="preserve">.  </w:t>
      </w:r>
    </w:p>
  </w:footnote>
  <w:footnote w:id="8">
    <w:p w14:paraId="174B070B" w14:textId="4CF16242" w:rsidR="00543463" w:rsidRPr="00C173D8" w:rsidRDefault="00543463" w:rsidP="00543463">
      <w:pPr>
        <w:pStyle w:val="FootnoteText"/>
      </w:pPr>
      <w:r>
        <w:rPr>
          <w:rStyle w:val="FootnoteReference"/>
        </w:rPr>
        <w:footnoteRef/>
      </w:r>
      <w:r>
        <w:t xml:space="preserve"> In its August 27, 2019 motion to reopen the record, </w:t>
      </w:r>
      <w:r w:rsidR="00C173D8">
        <w:t>OCTC detail</w:t>
      </w:r>
      <w:r w:rsidR="0045386B">
        <w:t>ed</w:t>
      </w:r>
      <w:r w:rsidR="00C173D8">
        <w:t xml:space="preserve"> multiple examples of Patel’s written statements that call into question his fitness to practice law</w:t>
      </w:r>
      <w:r w:rsidR="006019B1">
        <w:t>, particularly his respect for the law and for the judicial process,</w:t>
      </w:r>
      <w:r w:rsidR="00271544">
        <w:t xml:space="preserve"> and </w:t>
      </w:r>
      <w:r w:rsidR="00953A4F">
        <w:t xml:space="preserve">these </w:t>
      </w:r>
      <w:r w:rsidR="00CC19D1">
        <w:t xml:space="preserve">examples </w:t>
      </w:r>
      <w:r w:rsidR="00271544">
        <w:t>were provided as attachments to the motion</w:t>
      </w:r>
      <w:r w:rsidR="00C173D8">
        <w:t xml:space="preserve">.  </w:t>
      </w:r>
      <w:r w:rsidR="00917DC0">
        <w:t xml:space="preserve">In them, </w:t>
      </w:r>
      <w:r w:rsidR="0045386B">
        <w:t>Patel</w:t>
      </w:r>
      <w:r w:rsidR="00C173D8">
        <w:t xml:space="preserve"> insult</w:t>
      </w:r>
      <w:r w:rsidR="007929F0">
        <w:t>ed</w:t>
      </w:r>
      <w:r w:rsidR="00C173D8">
        <w:t xml:space="preserve"> a Los Angeles superior court judge, the then-general counsel of the State Bar, his former family law attorney, </w:t>
      </w:r>
      <w:r w:rsidR="007929F0">
        <w:t xml:space="preserve">along with multiple other attorneys, </w:t>
      </w:r>
      <w:r w:rsidR="00271544">
        <w:t xml:space="preserve">and </w:t>
      </w:r>
      <w:r w:rsidR="007929F0">
        <w:t>often us</w:t>
      </w:r>
      <w:r w:rsidR="00B10780">
        <w:t>ed</w:t>
      </w:r>
      <w:r w:rsidR="007929F0">
        <w:t xml:space="preserve"> profanity to emphasize his points.  Beyond his insults to these individuals, he also labeled the family court system in California a “joke,” </w:t>
      </w:r>
      <w:r w:rsidR="00EC1CDC">
        <w:t xml:space="preserve">stated that </w:t>
      </w:r>
      <w:r w:rsidR="007929F0">
        <w:t>the State Bar</w:t>
      </w:r>
      <w:r w:rsidR="00EC1CDC">
        <w:t xml:space="preserve">, </w:t>
      </w:r>
      <w:r w:rsidR="00271544">
        <w:t>attorneys</w:t>
      </w:r>
      <w:r w:rsidR="00EC1CDC">
        <w:t>,</w:t>
      </w:r>
      <w:r w:rsidR="00271544">
        <w:t xml:space="preserve"> and judges in general </w:t>
      </w:r>
      <w:r w:rsidR="00EC1CDC">
        <w:t>were</w:t>
      </w:r>
      <w:r w:rsidR="00271544">
        <w:t xml:space="preserve"> “inept” and “incompetent,” and that his actions would “become more fun if I can just tell lawyers and judges in [California] how fucking stupid they are all day since their entire </w:t>
      </w:r>
      <w:r w:rsidR="006019B1">
        <w:t>[s]</w:t>
      </w:r>
      <w:r w:rsidR="00271544">
        <w:t>tate government is dumb as hell</w:t>
      </w:r>
      <w:r w:rsidR="00FA11D9">
        <w:t xml:space="preserve"> . . . .</w:t>
      </w:r>
      <w:r w:rsidR="00271544">
        <w:t xml:space="preserve">”  Almost all of these emails were </w:t>
      </w:r>
      <w:r w:rsidR="00301BF3">
        <w:t xml:space="preserve">copied and </w:t>
      </w:r>
      <w:r w:rsidR="00271544">
        <w:t xml:space="preserve">sent by Patel to dozens of individuals, either attorneys or </w:t>
      </w:r>
      <w:r w:rsidR="00887057">
        <w:t xml:space="preserve">other </w:t>
      </w:r>
      <w:r w:rsidR="00271544">
        <w:t>members of the public.</w:t>
      </w:r>
    </w:p>
  </w:footnote>
  <w:footnote w:id="9">
    <w:p w14:paraId="284230E0" w14:textId="0DEA34BA" w:rsidR="009904BD" w:rsidRDefault="009904BD">
      <w:pPr>
        <w:pStyle w:val="FootnoteText"/>
      </w:pPr>
      <w:r>
        <w:rPr>
          <w:rStyle w:val="FootnoteReference"/>
        </w:rPr>
        <w:footnoteRef/>
      </w:r>
      <w:r>
        <w:t xml:space="preserve"> We also reject Patel’s claim that OCTC waived the opportunity to depose him in 2019</w:t>
      </w:r>
      <w:r w:rsidR="001F57B3">
        <w:t xml:space="preserve">.  </w:t>
      </w:r>
      <w:r w:rsidR="00697B73">
        <w:t xml:space="preserve">Upon our review of the record, </w:t>
      </w:r>
      <w:r w:rsidR="007C241E">
        <w:t xml:space="preserve">the record was reopened on October 29, 2019, and Patel’s motion for reconsideration was denied on February 6, 2020, </w:t>
      </w:r>
      <w:r w:rsidR="006416F7">
        <w:t xml:space="preserve">and </w:t>
      </w:r>
      <w:r w:rsidR="004C01FB">
        <w:t xml:space="preserve">Patel </w:t>
      </w:r>
      <w:r w:rsidR="009C2C90">
        <w:t xml:space="preserve">then sought to disqualify the hearing judge and also </w:t>
      </w:r>
      <w:r w:rsidR="00697B73">
        <w:t>another</w:t>
      </w:r>
      <w:r w:rsidR="009C2C90">
        <w:t xml:space="preserve"> hearing judge assigned to decide the disqualification motion.</w:t>
      </w:r>
      <w:r w:rsidR="00697B73">
        <w:t xml:space="preserve">  </w:t>
      </w:r>
      <w:r w:rsidR="001813E1">
        <w:t>Pursuant to a court order, Patel</w:t>
      </w:r>
      <w:r w:rsidR="00697B73">
        <w:t xml:space="preserve"> </w:t>
      </w:r>
      <w:r w:rsidR="004C01FB">
        <w:t xml:space="preserve">filed </w:t>
      </w:r>
      <w:r w:rsidR="00697B73">
        <w:t>an</w:t>
      </w:r>
      <w:r w:rsidR="004C01FB">
        <w:t xml:space="preserve"> amended petition on June 30</w:t>
      </w:r>
      <w:r w:rsidR="001813E1">
        <w:t xml:space="preserve">.  </w:t>
      </w:r>
      <w:r w:rsidR="004C01FB">
        <w:t>OCTC filed its opposition on November 6.  The reinstatement proceeding was abated from December 14</w:t>
      </w:r>
      <w:r w:rsidR="00446E98">
        <w:t xml:space="preserve"> </w:t>
      </w:r>
      <w:r w:rsidR="004C01FB">
        <w:t>through October</w:t>
      </w:r>
      <w:r w:rsidR="00A152DE">
        <w:t> </w:t>
      </w:r>
      <w:r w:rsidR="004C01FB">
        <w:t xml:space="preserve">28, 2022, as detailed </w:t>
      </w:r>
      <w:r w:rsidR="004C01FB">
        <w:rPr>
          <w:i/>
          <w:iCs/>
        </w:rPr>
        <w:t>ante</w:t>
      </w:r>
      <w:r w:rsidR="004C01FB">
        <w:t>.  Once the abatement was terminated</w:t>
      </w:r>
      <w:r w:rsidR="001813E1">
        <w:t xml:space="preserve"> on October 28</w:t>
      </w:r>
      <w:r w:rsidR="004C01FB">
        <w:t>, the judge ordered Patel to file any supplemental pleading by November 14, and OCTC to file its supplement</w:t>
      </w:r>
      <w:r w:rsidR="001813E1">
        <w:t xml:space="preserve">al response </w:t>
      </w:r>
      <w:r w:rsidR="004C01FB">
        <w:t xml:space="preserve">by December 5.  </w:t>
      </w:r>
      <w:r w:rsidR="00446E98">
        <w:t xml:space="preserve">On November 22, OCTC noticed Patel’s deposition, </w:t>
      </w:r>
      <w:r w:rsidR="006416F7">
        <w:t xml:space="preserve">which was </w:t>
      </w:r>
      <w:r w:rsidR="00446E98">
        <w:t xml:space="preserve">scheduled for December 15.  </w:t>
      </w:r>
      <w:r w:rsidR="00A236E8">
        <w:t>Because</w:t>
      </w:r>
      <w:r w:rsidR="00446E98">
        <w:t xml:space="preserve"> rule 5.443(D) provides that a scheduled deposition must be held no later than 45 days after OCTC’s response to the petition is due, the </w:t>
      </w:r>
      <w:r w:rsidR="004C01FB">
        <w:t xml:space="preserve">deposition was timely scheduled because December 15 </w:t>
      </w:r>
      <w:r w:rsidR="00446E98">
        <w:t>is</w:t>
      </w:r>
      <w:r w:rsidR="004C01FB">
        <w:t xml:space="preserve"> within </w:t>
      </w:r>
      <w:r w:rsidR="00633D70">
        <w:t xml:space="preserve">the </w:t>
      </w:r>
      <w:r w:rsidR="004C01FB">
        <w:t>45</w:t>
      </w:r>
      <w:r w:rsidR="00446E98">
        <w:t>-</w:t>
      </w:r>
      <w:r w:rsidR="004C01FB">
        <w:t>day</w:t>
      </w:r>
      <w:r w:rsidR="00446E98">
        <w:t xml:space="preserve"> time period that began to run from </w:t>
      </w:r>
      <w:r w:rsidR="004C01FB">
        <w:t>OCTC’s supplemental response due date of December 5.</w:t>
      </w:r>
    </w:p>
  </w:footnote>
  <w:footnote w:id="10">
    <w:p w14:paraId="0137843A" w14:textId="486B7AC9" w:rsidR="005B1732" w:rsidRDefault="005B1732">
      <w:pPr>
        <w:pStyle w:val="FootnoteText"/>
      </w:pPr>
      <w:r>
        <w:rPr>
          <w:rStyle w:val="FootnoteReference"/>
        </w:rPr>
        <w:footnoteRef/>
      </w:r>
      <w:r>
        <w:t xml:space="preserve"> </w:t>
      </w:r>
      <w:r w:rsidR="003F6E3D">
        <w:t xml:space="preserve">Having independently reviewed all arguments set forth by Patel, those not specifically addressed have been considered and rejected as without merit.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4D6C8812"/>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135E2F"/>
    <w:multiLevelType w:val="multilevel"/>
    <w:tmpl w:val="4D6C8812"/>
    <w:numStyleLink w:val="Headings"/>
  </w:abstractNum>
  <w:abstractNum w:abstractNumId="4"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15:restartNumberingAfterBreak="0">
    <w:nsid w:val="1FD435BD"/>
    <w:multiLevelType w:val="multilevel"/>
    <w:tmpl w:val="4D6C8812"/>
    <w:numStyleLink w:val="Headings"/>
  </w:abstractNum>
  <w:abstractNum w:abstractNumId="7"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2BC72EEA"/>
    <w:multiLevelType w:val="multilevel"/>
    <w:tmpl w:val="4D6C8812"/>
    <w:numStyleLink w:val="Headings"/>
  </w:abstractNum>
  <w:abstractNum w:abstractNumId="11"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D0381"/>
    <w:multiLevelType w:val="multilevel"/>
    <w:tmpl w:val="4D6C8812"/>
    <w:numStyleLink w:val="Headings"/>
  </w:abstractNum>
  <w:abstractNum w:abstractNumId="17"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007E6"/>
    <w:multiLevelType w:val="hybridMultilevel"/>
    <w:tmpl w:val="4134B23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940D72"/>
    <w:multiLevelType w:val="multilevel"/>
    <w:tmpl w:val="4D6C8812"/>
    <w:numStyleLink w:val="Headings"/>
  </w:abstractNum>
  <w:abstractNum w:abstractNumId="21"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7"/>
  </w:num>
  <w:num w:numId="2" w16cid:durableId="420680347">
    <w:abstractNumId w:val="15"/>
  </w:num>
  <w:num w:numId="3" w16cid:durableId="966157666">
    <w:abstractNumId w:val="8"/>
  </w:num>
  <w:num w:numId="4" w16cid:durableId="484661747">
    <w:abstractNumId w:val="24"/>
  </w:num>
  <w:num w:numId="5" w16cid:durableId="1734502494">
    <w:abstractNumId w:val="7"/>
  </w:num>
  <w:num w:numId="6" w16cid:durableId="834035563">
    <w:abstractNumId w:val="18"/>
  </w:num>
  <w:num w:numId="7" w16cid:durableId="1507743089">
    <w:abstractNumId w:val="12"/>
  </w:num>
  <w:num w:numId="8" w16cid:durableId="1863933771">
    <w:abstractNumId w:val="11"/>
  </w:num>
  <w:num w:numId="9" w16cid:durableId="1630552243">
    <w:abstractNumId w:val="22"/>
  </w:num>
  <w:num w:numId="10" w16cid:durableId="116488163">
    <w:abstractNumId w:val="21"/>
  </w:num>
  <w:num w:numId="11" w16cid:durableId="1136068887">
    <w:abstractNumId w:val="14"/>
  </w:num>
  <w:num w:numId="12" w16cid:durableId="706490734">
    <w:abstractNumId w:val="9"/>
  </w:num>
  <w:num w:numId="13" w16cid:durableId="239557790">
    <w:abstractNumId w:val="27"/>
  </w:num>
  <w:num w:numId="14" w16cid:durableId="139661034">
    <w:abstractNumId w:val="23"/>
  </w:num>
  <w:num w:numId="15" w16cid:durableId="682822722">
    <w:abstractNumId w:val="13"/>
  </w:num>
  <w:num w:numId="16" w16cid:durableId="593125076">
    <w:abstractNumId w:val="5"/>
  </w:num>
  <w:num w:numId="17" w16cid:durableId="2006278029">
    <w:abstractNumId w:val="0"/>
  </w:num>
  <w:num w:numId="18" w16cid:durableId="1823958345">
    <w:abstractNumId w:val="26"/>
  </w:num>
  <w:num w:numId="19" w16cid:durableId="18089073">
    <w:abstractNumId w:val="1"/>
  </w:num>
  <w:num w:numId="20" w16cid:durableId="1925644500">
    <w:abstractNumId w:val="4"/>
  </w:num>
  <w:num w:numId="21" w16cid:durableId="309598706">
    <w:abstractNumId w:val="25"/>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6"/>
  </w:num>
  <w:num w:numId="27" w16cid:durableId="1481192543">
    <w:abstractNumId w:val="19"/>
  </w:num>
  <w:num w:numId="28" w16cid:durableId="981033225">
    <w:abstractNumId w:val="19"/>
    <w:lvlOverride w:ilvl="0">
      <w:startOverride w:val="1"/>
    </w:lvlOverride>
  </w:num>
  <w:num w:numId="29" w16cid:durableId="119301498">
    <w:abstractNumId w:val="16"/>
  </w:num>
  <w:num w:numId="30" w16cid:durableId="2015762135">
    <w:abstractNumId w:val="20"/>
  </w:num>
  <w:num w:numId="31" w16cid:durableId="1466041677">
    <w:abstractNumId w:val="3"/>
  </w:num>
  <w:num w:numId="32" w16cid:durableId="1124419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1E7D"/>
    <w:rsid w:val="000036F1"/>
    <w:rsid w:val="00007BEB"/>
    <w:rsid w:val="00013D18"/>
    <w:rsid w:val="00014047"/>
    <w:rsid w:val="000161FD"/>
    <w:rsid w:val="00025F61"/>
    <w:rsid w:val="00027125"/>
    <w:rsid w:val="00027A8F"/>
    <w:rsid w:val="000308F7"/>
    <w:rsid w:val="00030D42"/>
    <w:rsid w:val="0003252A"/>
    <w:rsid w:val="00032F31"/>
    <w:rsid w:val="0003339E"/>
    <w:rsid w:val="000432A2"/>
    <w:rsid w:val="000469FB"/>
    <w:rsid w:val="00046C6B"/>
    <w:rsid w:val="00055C8A"/>
    <w:rsid w:val="00065A44"/>
    <w:rsid w:val="000672CB"/>
    <w:rsid w:val="0006759A"/>
    <w:rsid w:val="00070682"/>
    <w:rsid w:val="00070A43"/>
    <w:rsid w:val="00071315"/>
    <w:rsid w:val="00072132"/>
    <w:rsid w:val="00073E72"/>
    <w:rsid w:val="0007505C"/>
    <w:rsid w:val="00076C89"/>
    <w:rsid w:val="00076FB9"/>
    <w:rsid w:val="00080419"/>
    <w:rsid w:val="00081179"/>
    <w:rsid w:val="000811DE"/>
    <w:rsid w:val="00085D2A"/>
    <w:rsid w:val="00087C83"/>
    <w:rsid w:val="00090920"/>
    <w:rsid w:val="000910D3"/>
    <w:rsid w:val="00092189"/>
    <w:rsid w:val="0009285B"/>
    <w:rsid w:val="00093D10"/>
    <w:rsid w:val="000A5822"/>
    <w:rsid w:val="000B336B"/>
    <w:rsid w:val="000B3BA7"/>
    <w:rsid w:val="000B532D"/>
    <w:rsid w:val="000B58B9"/>
    <w:rsid w:val="000C4D16"/>
    <w:rsid w:val="000D3AB3"/>
    <w:rsid w:val="000D6901"/>
    <w:rsid w:val="000E0A7C"/>
    <w:rsid w:val="000E23F8"/>
    <w:rsid w:val="000F26EC"/>
    <w:rsid w:val="000F3279"/>
    <w:rsid w:val="000F7272"/>
    <w:rsid w:val="001001CB"/>
    <w:rsid w:val="0010366E"/>
    <w:rsid w:val="00106802"/>
    <w:rsid w:val="00110766"/>
    <w:rsid w:val="00111A17"/>
    <w:rsid w:val="00122657"/>
    <w:rsid w:val="00126A4D"/>
    <w:rsid w:val="00127D56"/>
    <w:rsid w:val="001438F2"/>
    <w:rsid w:val="001536F9"/>
    <w:rsid w:val="0015497C"/>
    <w:rsid w:val="00154D36"/>
    <w:rsid w:val="0015639B"/>
    <w:rsid w:val="0015767C"/>
    <w:rsid w:val="00160894"/>
    <w:rsid w:val="00161758"/>
    <w:rsid w:val="001633B2"/>
    <w:rsid w:val="00166898"/>
    <w:rsid w:val="0016708F"/>
    <w:rsid w:val="00175C1C"/>
    <w:rsid w:val="001813E1"/>
    <w:rsid w:val="00181981"/>
    <w:rsid w:val="00182CBE"/>
    <w:rsid w:val="0019276C"/>
    <w:rsid w:val="00195783"/>
    <w:rsid w:val="001979B1"/>
    <w:rsid w:val="001A3082"/>
    <w:rsid w:val="001A6CD9"/>
    <w:rsid w:val="001B0733"/>
    <w:rsid w:val="001B0E5A"/>
    <w:rsid w:val="001B12A4"/>
    <w:rsid w:val="001B208B"/>
    <w:rsid w:val="001B21E7"/>
    <w:rsid w:val="001B2F99"/>
    <w:rsid w:val="001B3B9E"/>
    <w:rsid w:val="001C0964"/>
    <w:rsid w:val="001D0772"/>
    <w:rsid w:val="001D3A28"/>
    <w:rsid w:val="001D4BCD"/>
    <w:rsid w:val="001D525B"/>
    <w:rsid w:val="001D69C0"/>
    <w:rsid w:val="001D79AE"/>
    <w:rsid w:val="001D7AF8"/>
    <w:rsid w:val="001E1D79"/>
    <w:rsid w:val="001E595A"/>
    <w:rsid w:val="001E5A9B"/>
    <w:rsid w:val="001E64A0"/>
    <w:rsid w:val="001F0253"/>
    <w:rsid w:val="001F15CC"/>
    <w:rsid w:val="001F3DBB"/>
    <w:rsid w:val="001F57B3"/>
    <w:rsid w:val="00200336"/>
    <w:rsid w:val="00203644"/>
    <w:rsid w:val="00203E9B"/>
    <w:rsid w:val="0022072F"/>
    <w:rsid w:val="00221316"/>
    <w:rsid w:val="00223504"/>
    <w:rsid w:val="00223BF0"/>
    <w:rsid w:val="00224D6E"/>
    <w:rsid w:val="00230C81"/>
    <w:rsid w:val="00234C81"/>
    <w:rsid w:val="00234D03"/>
    <w:rsid w:val="0023766E"/>
    <w:rsid w:val="0024265F"/>
    <w:rsid w:val="0024299E"/>
    <w:rsid w:val="00243A9D"/>
    <w:rsid w:val="00244A80"/>
    <w:rsid w:val="00245949"/>
    <w:rsid w:val="002464C0"/>
    <w:rsid w:val="002508B4"/>
    <w:rsid w:val="00251273"/>
    <w:rsid w:val="002518C1"/>
    <w:rsid w:val="00252C67"/>
    <w:rsid w:val="002531AC"/>
    <w:rsid w:val="00271544"/>
    <w:rsid w:val="00273ABE"/>
    <w:rsid w:val="00273F95"/>
    <w:rsid w:val="002752CD"/>
    <w:rsid w:val="00277F27"/>
    <w:rsid w:val="0028034A"/>
    <w:rsid w:val="0028396D"/>
    <w:rsid w:val="00284DC9"/>
    <w:rsid w:val="0028625D"/>
    <w:rsid w:val="002871B4"/>
    <w:rsid w:val="00290996"/>
    <w:rsid w:val="002933A5"/>
    <w:rsid w:val="00293579"/>
    <w:rsid w:val="00295ED9"/>
    <w:rsid w:val="00296F44"/>
    <w:rsid w:val="002A010C"/>
    <w:rsid w:val="002A535A"/>
    <w:rsid w:val="002A6179"/>
    <w:rsid w:val="002B005C"/>
    <w:rsid w:val="002C1DF8"/>
    <w:rsid w:val="002C2FB1"/>
    <w:rsid w:val="002C3418"/>
    <w:rsid w:val="002C521E"/>
    <w:rsid w:val="002D6754"/>
    <w:rsid w:val="002E0716"/>
    <w:rsid w:val="002E27D0"/>
    <w:rsid w:val="002E6303"/>
    <w:rsid w:val="002F156F"/>
    <w:rsid w:val="002F35FE"/>
    <w:rsid w:val="002F3BFA"/>
    <w:rsid w:val="002F45AA"/>
    <w:rsid w:val="002F6E9F"/>
    <w:rsid w:val="00301BF3"/>
    <w:rsid w:val="003042C4"/>
    <w:rsid w:val="00305D52"/>
    <w:rsid w:val="00306D9B"/>
    <w:rsid w:val="00311270"/>
    <w:rsid w:val="00312D33"/>
    <w:rsid w:val="0031420C"/>
    <w:rsid w:val="00314CDC"/>
    <w:rsid w:val="0031510C"/>
    <w:rsid w:val="00315723"/>
    <w:rsid w:val="003209BE"/>
    <w:rsid w:val="003313E4"/>
    <w:rsid w:val="00331ADF"/>
    <w:rsid w:val="0033314E"/>
    <w:rsid w:val="003427DA"/>
    <w:rsid w:val="00342A0E"/>
    <w:rsid w:val="00345541"/>
    <w:rsid w:val="00351074"/>
    <w:rsid w:val="00351991"/>
    <w:rsid w:val="0035432F"/>
    <w:rsid w:val="0035589F"/>
    <w:rsid w:val="00357051"/>
    <w:rsid w:val="003605AC"/>
    <w:rsid w:val="00362E70"/>
    <w:rsid w:val="00367461"/>
    <w:rsid w:val="00374340"/>
    <w:rsid w:val="0037554D"/>
    <w:rsid w:val="00376A30"/>
    <w:rsid w:val="00382790"/>
    <w:rsid w:val="00390739"/>
    <w:rsid w:val="003924D3"/>
    <w:rsid w:val="003927E9"/>
    <w:rsid w:val="003A023F"/>
    <w:rsid w:val="003A0797"/>
    <w:rsid w:val="003A5F40"/>
    <w:rsid w:val="003B230B"/>
    <w:rsid w:val="003B53BD"/>
    <w:rsid w:val="003B5B2E"/>
    <w:rsid w:val="003C08FA"/>
    <w:rsid w:val="003C0FC8"/>
    <w:rsid w:val="003C51FA"/>
    <w:rsid w:val="003D092E"/>
    <w:rsid w:val="003D09FD"/>
    <w:rsid w:val="003D41D0"/>
    <w:rsid w:val="003D6C8B"/>
    <w:rsid w:val="003D7D88"/>
    <w:rsid w:val="003E2BE1"/>
    <w:rsid w:val="003E4103"/>
    <w:rsid w:val="003E4FB8"/>
    <w:rsid w:val="003F06DF"/>
    <w:rsid w:val="003F0CDA"/>
    <w:rsid w:val="003F5A0E"/>
    <w:rsid w:val="003F695F"/>
    <w:rsid w:val="003F6E3D"/>
    <w:rsid w:val="003F76A5"/>
    <w:rsid w:val="003F7F9B"/>
    <w:rsid w:val="004000B1"/>
    <w:rsid w:val="00410050"/>
    <w:rsid w:val="00410826"/>
    <w:rsid w:val="004132A5"/>
    <w:rsid w:val="00415A9C"/>
    <w:rsid w:val="004204D6"/>
    <w:rsid w:val="00426015"/>
    <w:rsid w:val="00427D8B"/>
    <w:rsid w:val="00430D72"/>
    <w:rsid w:val="004330DE"/>
    <w:rsid w:val="004348AD"/>
    <w:rsid w:val="00434FA7"/>
    <w:rsid w:val="004369EF"/>
    <w:rsid w:val="00444609"/>
    <w:rsid w:val="00446B10"/>
    <w:rsid w:val="00446E98"/>
    <w:rsid w:val="00447E90"/>
    <w:rsid w:val="00452CB5"/>
    <w:rsid w:val="00453603"/>
    <w:rsid w:val="0045386B"/>
    <w:rsid w:val="00454527"/>
    <w:rsid w:val="004565B8"/>
    <w:rsid w:val="00457167"/>
    <w:rsid w:val="004655C8"/>
    <w:rsid w:val="00465963"/>
    <w:rsid w:val="00470843"/>
    <w:rsid w:val="004738F0"/>
    <w:rsid w:val="00474987"/>
    <w:rsid w:val="00477A4B"/>
    <w:rsid w:val="004821DB"/>
    <w:rsid w:val="00486056"/>
    <w:rsid w:val="0048664E"/>
    <w:rsid w:val="00486940"/>
    <w:rsid w:val="00491814"/>
    <w:rsid w:val="00494073"/>
    <w:rsid w:val="00497144"/>
    <w:rsid w:val="004B1FE3"/>
    <w:rsid w:val="004B2EE1"/>
    <w:rsid w:val="004B30E6"/>
    <w:rsid w:val="004C01FB"/>
    <w:rsid w:val="004C3C94"/>
    <w:rsid w:val="004C5DEF"/>
    <w:rsid w:val="004C6A45"/>
    <w:rsid w:val="004C74BF"/>
    <w:rsid w:val="004D0B8A"/>
    <w:rsid w:val="004D28AE"/>
    <w:rsid w:val="004D302A"/>
    <w:rsid w:val="004D32E9"/>
    <w:rsid w:val="004D34C7"/>
    <w:rsid w:val="004D5D7F"/>
    <w:rsid w:val="004E0D84"/>
    <w:rsid w:val="004E0ECE"/>
    <w:rsid w:val="004E3619"/>
    <w:rsid w:val="004E6861"/>
    <w:rsid w:val="004F4322"/>
    <w:rsid w:val="004F622B"/>
    <w:rsid w:val="004F7297"/>
    <w:rsid w:val="004F7552"/>
    <w:rsid w:val="005063A9"/>
    <w:rsid w:val="00506A3D"/>
    <w:rsid w:val="00511C4F"/>
    <w:rsid w:val="0051433C"/>
    <w:rsid w:val="00514D79"/>
    <w:rsid w:val="00515CE7"/>
    <w:rsid w:val="00517F94"/>
    <w:rsid w:val="005216EF"/>
    <w:rsid w:val="00522B02"/>
    <w:rsid w:val="00522B24"/>
    <w:rsid w:val="00526AC8"/>
    <w:rsid w:val="005275C6"/>
    <w:rsid w:val="005306CB"/>
    <w:rsid w:val="0053295A"/>
    <w:rsid w:val="005331E0"/>
    <w:rsid w:val="00536E72"/>
    <w:rsid w:val="00541FBD"/>
    <w:rsid w:val="00543463"/>
    <w:rsid w:val="005438FD"/>
    <w:rsid w:val="00546CD9"/>
    <w:rsid w:val="005515B9"/>
    <w:rsid w:val="005539CE"/>
    <w:rsid w:val="00553A10"/>
    <w:rsid w:val="005566FC"/>
    <w:rsid w:val="0055688B"/>
    <w:rsid w:val="0056023D"/>
    <w:rsid w:val="00560ED4"/>
    <w:rsid w:val="00566C61"/>
    <w:rsid w:val="00567D95"/>
    <w:rsid w:val="00570B45"/>
    <w:rsid w:val="00570C3E"/>
    <w:rsid w:val="005717E4"/>
    <w:rsid w:val="005722F8"/>
    <w:rsid w:val="005725C7"/>
    <w:rsid w:val="00581B64"/>
    <w:rsid w:val="0059009E"/>
    <w:rsid w:val="00592104"/>
    <w:rsid w:val="005929E3"/>
    <w:rsid w:val="00597560"/>
    <w:rsid w:val="00597D29"/>
    <w:rsid w:val="005A44ED"/>
    <w:rsid w:val="005B1732"/>
    <w:rsid w:val="005B1A4E"/>
    <w:rsid w:val="005B2641"/>
    <w:rsid w:val="005C0928"/>
    <w:rsid w:val="005C17BF"/>
    <w:rsid w:val="005C18CA"/>
    <w:rsid w:val="005C7E0D"/>
    <w:rsid w:val="005D0452"/>
    <w:rsid w:val="005D3F2B"/>
    <w:rsid w:val="005D62C6"/>
    <w:rsid w:val="005E0349"/>
    <w:rsid w:val="005E0E43"/>
    <w:rsid w:val="005E1515"/>
    <w:rsid w:val="005E4AE9"/>
    <w:rsid w:val="005F17DC"/>
    <w:rsid w:val="0060045F"/>
    <w:rsid w:val="006019B1"/>
    <w:rsid w:val="00605473"/>
    <w:rsid w:val="0060591F"/>
    <w:rsid w:val="00605F5A"/>
    <w:rsid w:val="00607AA2"/>
    <w:rsid w:val="006102C0"/>
    <w:rsid w:val="0061274E"/>
    <w:rsid w:val="006138F4"/>
    <w:rsid w:val="006139D2"/>
    <w:rsid w:val="006156F5"/>
    <w:rsid w:val="006164AB"/>
    <w:rsid w:val="006259CD"/>
    <w:rsid w:val="00625BF1"/>
    <w:rsid w:val="006266E6"/>
    <w:rsid w:val="00627340"/>
    <w:rsid w:val="00631F69"/>
    <w:rsid w:val="00633485"/>
    <w:rsid w:val="00633599"/>
    <w:rsid w:val="00633D70"/>
    <w:rsid w:val="00635FD4"/>
    <w:rsid w:val="006378E2"/>
    <w:rsid w:val="006416F7"/>
    <w:rsid w:val="00642191"/>
    <w:rsid w:val="00643332"/>
    <w:rsid w:val="00645A4E"/>
    <w:rsid w:val="00646ED4"/>
    <w:rsid w:val="006476AD"/>
    <w:rsid w:val="0065009F"/>
    <w:rsid w:val="0065088D"/>
    <w:rsid w:val="00650E13"/>
    <w:rsid w:val="00651EB4"/>
    <w:rsid w:val="00661C97"/>
    <w:rsid w:val="00663613"/>
    <w:rsid w:val="006720E2"/>
    <w:rsid w:val="00672705"/>
    <w:rsid w:val="00672C77"/>
    <w:rsid w:val="00673F29"/>
    <w:rsid w:val="00674101"/>
    <w:rsid w:val="00675177"/>
    <w:rsid w:val="0067745D"/>
    <w:rsid w:val="0068151C"/>
    <w:rsid w:val="00681D20"/>
    <w:rsid w:val="006857E8"/>
    <w:rsid w:val="006869B2"/>
    <w:rsid w:val="0069055D"/>
    <w:rsid w:val="00693358"/>
    <w:rsid w:val="00693CFC"/>
    <w:rsid w:val="00697B73"/>
    <w:rsid w:val="006A5614"/>
    <w:rsid w:val="006A5C1E"/>
    <w:rsid w:val="006B0A93"/>
    <w:rsid w:val="006B1E21"/>
    <w:rsid w:val="006B3460"/>
    <w:rsid w:val="006B675E"/>
    <w:rsid w:val="006C3630"/>
    <w:rsid w:val="006C7DF9"/>
    <w:rsid w:val="006E0A41"/>
    <w:rsid w:val="006E3B08"/>
    <w:rsid w:val="006E50BB"/>
    <w:rsid w:val="006E7919"/>
    <w:rsid w:val="006F4667"/>
    <w:rsid w:val="006F4DBB"/>
    <w:rsid w:val="00702FE3"/>
    <w:rsid w:val="00704905"/>
    <w:rsid w:val="00706041"/>
    <w:rsid w:val="007069EA"/>
    <w:rsid w:val="007152B1"/>
    <w:rsid w:val="00716F51"/>
    <w:rsid w:val="00717F75"/>
    <w:rsid w:val="007249C4"/>
    <w:rsid w:val="00724AA9"/>
    <w:rsid w:val="00725E47"/>
    <w:rsid w:val="00726A28"/>
    <w:rsid w:val="00730B4C"/>
    <w:rsid w:val="007314DC"/>
    <w:rsid w:val="00732B93"/>
    <w:rsid w:val="00735FF8"/>
    <w:rsid w:val="0073736C"/>
    <w:rsid w:val="00737BDA"/>
    <w:rsid w:val="00741B93"/>
    <w:rsid w:val="0074426B"/>
    <w:rsid w:val="0075366C"/>
    <w:rsid w:val="00754AE9"/>
    <w:rsid w:val="00756330"/>
    <w:rsid w:val="00761034"/>
    <w:rsid w:val="00761E44"/>
    <w:rsid w:val="00763312"/>
    <w:rsid w:val="007633EC"/>
    <w:rsid w:val="00765A59"/>
    <w:rsid w:val="00767C07"/>
    <w:rsid w:val="0077680E"/>
    <w:rsid w:val="00776B44"/>
    <w:rsid w:val="0078319E"/>
    <w:rsid w:val="00784251"/>
    <w:rsid w:val="00786EA2"/>
    <w:rsid w:val="007912FB"/>
    <w:rsid w:val="00791B26"/>
    <w:rsid w:val="007929F0"/>
    <w:rsid w:val="0079450C"/>
    <w:rsid w:val="007948F5"/>
    <w:rsid w:val="00794D8A"/>
    <w:rsid w:val="00795963"/>
    <w:rsid w:val="00795AC1"/>
    <w:rsid w:val="007A0760"/>
    <w:rsid w:val="007A208C"/>
    <w:rsid w:val="007A46B7"/>
    <w:rsid w:val="007A4829"/>
    <w:rsid w:val="007A5284"/>
    <w:rsid w:val="007A6F8C"/>
    <w:rsid w:val="007A7778"/>
    <w:rsid w:val="007B3BC3"/>
    <w:rsid w:val="007B4B4D"/>
    <w:rsid w:val="007B6C01"/>
    <w:rsid w:val="007C241E"/>
    <w:rsid w:val="007C2498"/>
    <w:rsid w:val="007C26E8"/>
    <w:rsid w:val="007C2EE9"/>
    <w:rsid w:val="007C7805"/>
    <w:rsid w:val="007D2036"/>
    <w:rsid w:val="007D4263"/>
    <w:rsid w:val="007D5669"/>
    <w:rsid w:val="007E17F4"/>
    <w:rsid w:val="007E1C4E"/>
    <w:rsid w:val="007E2193"/>
    <w:rsid w:val="007E35CE"/>
    <w:rsid w:val="007E4655"/>
    <w:rsid w:val="007E5547"/>
    <w:rsid w:val="007E62DA"/>
    <w:rsid w:val="007E761D"/>
    <w:rsid w:val="00800373"/>
    <w:rsid w:val="00801333"/>
    <w:rsid w:val="00802914"/>
    <w:rsid w:val="008037FE"/>
    <w:rsid w:val="008055A6"/>
    <w:rsid w:val="008065D1"/>
    <w:rsid w:val="008079AC"/>
    <w:rsid w:val="00812E41"/>
    <w:rsid w:val="00813125"/>
    <w:rsid w:val="00814BA1"/>
    <w:rsid w:val="00815347"/>
    <w:rsid w:val="008209FD"/>
    <w:rsid w:val="00821030"/>
    <w:rsid w:val="00821605"/>
    <w:rsid w:val="00824E47"/>
    <w:rsid w:val="00826F96"/>
    <w:rsid w:val="008311BB"/>
    <w:rsid w:val="00832223"/>
    <w:rsid w:val="008355CD"/>
    <w:rsid w:val="00837587"/>
    <w:rsid w:val="00841AF1"/>
    <w:rsid w:val="0084324A"/>
    <w:rsid w:val="008453F4"/>
    <w:rsid w:val="00845829"/>
    <w:rsid w:val="00850D87"/>
    <w:rsid w:val="00853BA7"/>
    <w:rsid w:val="00853CF6"/>
    <w:rsid w:val="008628F6"/>
    <w:rsid w:val="008726CB"/>
    <w:rsid w:val="00876628"/>
    <w:rsid w:val="00885EA7"/>
    <w:rsid w:val="00887057"/>
    <w:rsid w:val="008A16B2"/>
    <w:rsid w:val="008B02F1"/>
    <w:rsid w:val="008B2896"/>
    <w:rsid w:val="008B522C"/>
    <w:rsid w:val="008B55AA"/>
    <w:rsid w:val="008B6125"/>
    <w:rsid w:val="008C2C2D"/>
    <w:rsid w:val="008C3824"/>
    <w:rsid w:val="008C5274"/>
    <w:rsid w:val="008C629B"/>
    <w:rsid w:val="008D1BD8"/>
    <w:rsid w:val="008D6952"/>
    <w:rsid w:val="008E3DDC"/>
    <w:rsid w:val="008E4962"/>
    <w:rsid w:val="008F2A30"/>
    <w:rsid w:val="008F6CC6"/>
    <w:rsid w:val="00902F34"/>
    <w:rsid w:val="009033E7"/>
    <w:rsid w:val="009040C6"/>
    <w:rsid w:val="00910128"/>
    <w:rsid w:val="0091186F"/>
    <w:rsid w:val="00913027"/>
    <w:rsid w:val="00916F28"/>
    <w:rsid w:val="00917DC0"/>
    <w:rsid w:val="00927CA5"/>
    <w:rsid w:val="00932577"/>
    <w:rsid w:val="0093502E"/>
    <w:rsid w:val="0093708B"/>
    <w:rsid w:val="009422FE"/>
    <w:rsid w:val="0094519A"/>
    <w:rsid w:val="00951203"/>
    <w:rsid w:val="00953A4F"/>
    <w:rsid w:val="0095577F"/>
    <w:rsid w:val="0096130E"/>
    <w:rsid w:val="009712AF"/>
    <w:rsid w:val="009742D2"/>
    <w:rsid w:val="00984C7A"/>
    <w:rsid w:val="00985E24"/>
    <w:rsid w:val="0098739D"/>
    <w:rsid w:val="009904BD"/>
    <w:rsid w:val="0099101B"/>
    <w:rsid w:val="0099472C"/>
    <w:rsid w:val="009A21EC"/>
    <w:rsid w:val="009A29D1"/>
    <w:rsid w:val="009A5CB7"/>
    <w:rsid w:val="009A5F33"/>
    <w:rsid w:val="009B4736"/>
    <w:rsid w:val="009B6DF3"/>
    <w:rsid w:val="009C2C90"/>
    <w:rsid w:val="009C3229"/>
    <w:rsid w:val="009C5FA2"/>
    <w:rsid w:val="009C6992"/>
    <w:rsid w:val="009D1BB3"/>
    <w:rsid w:val="009D4848"/>
    <w:rsid w:val="009E067F"/>
    <w:rsid w:val="009E1D40"/>
    <w:rsid w:val="009E7736"/>
    <w:rsid w:val="009F0CEE"/>
    <w:rsid w:val="009F5F55"/>
    <w:rsid w:val="009F73BD"/>
    <w:rsid w:val="00A00C6E"/>
    <w:rsid w:val="00A016B8"/>
    <w:rsid w:val="00A1173C"/>
    <w:rsid w:val="00A11DE0"/>
    <w:rsid w:val="00A13743"/>
    <w:rsid w:val="00A137C1"/>
    <w:rsid w:val="00A147BB"/>
    <w:rsid w:val="00A152DE"/>
    <w:rsid w:val="00A15EFA"/>
    <w:rsid w:val="00A236E8"/>
    <w:rsid w:val="00A254E9"/>
    <w:rsid w:val="00A25725"/>
    <w:rsid w:val="00A37B5C"/>
    <w:rsid w:val="00A40494"/>
    <w:rsid w:val="00A46820"/>
    <w:rsid w:val="00A46F61"/>
    <w:rsid w:val="00A555A0"/>
    <w:rsid w:val="00A57EE0"/>
    <w:rsid w:val="00A627E6"/>
    <w:rsid w:val="00A649AA"/>
    <w:rsid w:val="00A668AD"/>
    <w:rsid w:val="00A66B81"/>
    <w:rsid w:val="00A71CEA"/>
    <w:rsid w:val="00A73A63"/>
    <w:rsid w:val="00A75DA9"/>
    <w:rsid w:val="00A83C1A"/>
    <w:rsid w:val="00A87D41"/>
    <w:rsid w:val="00A905BB"/>
    <w:rsid w:val="00A94B9A"/>
    <w:rsid w:val="00A96606"/>
    <w:rsid w:val="00A96A6C"/>
    <w:rsid w:val="00A9781C"/>
    <w:rsid w:val="00AA68E9"/>
    <w:rsid w:val="00AB315E"/>
    <w:rsid w:val="00AD0407"/>
    <w:rsid w:val="00AD60ED"/>
    <w:rsid w:val="00AD767C"/>
    <w:rsid w:val="00AE201D"/>
    <w:rsid w:val="00AF0D46"/>
    <w:rsid w:val="00AF3FA0"/>
    <w:rsid w:val="00AF7121"/>
    <w:rsid w:val="00AF7327"/>
    <w:rsid w:val="00B05826"/>
    <w:rsid w:val="00B10780"/>
    <w:rsid w:val="00B231E1"/>
    <w:rsid w:val="00B23B1B"/>
    <w:rsid w:val="00B2507A"/>
    <w:rsid w:val="00B265D7"/>
    <w:rsid w:val="00B278B8"/>
    <w:rsid w:val="00B365B9"/>
    <w:rsid w:val="00B42ED3"/>
    <w:rsid w:val="00B43559"/>
    <w:rsid w:val="00B4749B"/>
    <w:rsid w:val="00B474DD"/>
    <w:rsid w:val="00B50753"/>
    <w:rsid w:val="00B616EE"/>
    <w:rsid w:val="00B67E68"/>
    <w:rsid w:val="00B705D6"/>
    <w:rsid w:val="00B718CF"/>
    <w:rsid w:val="00B76F6A"/>
    <w:rsid w:val="00B812C3"/>
    <w:rsid w:val="00B85CEB"/>
    <w:rsid w:val="00B860EE"/>
    <w:rsid w:val="00B87B3C"/>
    <w:rsid w:val="00B9725F"/>
    <w:rsid w:val="00BA5038"/>
    <w:rsid w:val="00BA5961"/>
    <w:rsid w:val="00BA7C50"/>
    <w:rsid w:val="00BB62C6"/>
    <w:rsid w:val="00BC19B3"/>
    <w:rsid w:val="00BC2B7E"/>
    <w:rsid w:val="00BC53C2"/>
    <w:rsid w:val="00BC75CB"/>
    <w:rsid w:val="00BD0653"/>
    <w:rsid w:val="00BD430D"/>
    <w:rsid w:val="00BD51EF"/>
    <w:rsid w:val="00BD606F"/>
    <w:rsid w:val="00BE5AB8"/>
    <w:rsid w:val="00BE5C0E"/>
    <w:rsid w:val="00BF098A"/>
    <w:rsid w:val="00BF0999"/>
    <w:rsid w:val="00BF2BDD"/>
    <w:rsid w:val="00BF3217"/>
    <w:rsid w:val="00BF38AA"/>
    <w:rsid w:val="00BF41C9"/>
    <w:rsid w:val="00BF532A"/>
    <w:rsid w:val="00BF562D"/>
    <w:rsid w:val="00C13AF7"/>
    <w:rsid w:val="00C13F27"/>
    <w:rsid w:val="00C161C2"/>
    <w:rsid w:val="00C1636E"/>
    <w:rsid w:val="00C173D8"/>
    <w:rsid w:val="00C23E33"/>
    <w:rsid w:val="00C2496B"/>
    <w:rsid w:val="00C30C3B"/>
    <w:rsid w:val="00C31895"/>
    <w:rsid w:val="00C3690F"/>
    <w:rsid w:val="00C36D5B"/>
    <w:rsid w:val="00C371BC"/>
    <w:rsid w:val="00C3738D"/>
    <w:rsid w:val="00C40EA6"/>
    <w:rsid w:val="00C41E01"/>
    <w:rsid w:val="00C44D74"/>
    <w:rsid w:val="00C62749"/>
    <w:rsid w:val="00C62F93"/>
    <w:rsid w:val="00C66903"/>
    <w:rsid w:val="00C70FF2"/>
    <w:rsid w:val="00C717D2"/>
    <w:rsid w:val="00C73BC0"/>
    <w:rsid w:val="00C740F9"/>
    <w:rsid w:val="00C751EA"/>
    <w:rsid w:val="00C77164"/>
    <w:rsid w:val="00C815D2"/>
    <w:rsid w:val="00C816E2"/>
    <w:rsid w:val="00C85F80"/>
    <w:rsid w:val="00C93DCA"/>
    <w:rsid w:val="00C9615B"/>
    <w:rsid w:val="00C9774C"/>
    <w:rsid w:val="00CA0073"/>
    <w:rsid w:val="00CA1595"/>
    <w:rsid w:val="00CA32D8"/>
    <w:rsid w:val="00CA5108"/>
    <w:rsid w:val="00CA539A"/>
    <w:rsid w:val="00CA6164"/>
    <w:rsid w:val="00CB160E"/>
    <w:rsid w:val="00CB4820"/>
    <w:rsid w:val="00CB503F"/>
    <w:rsid w:val="00CB7057"/>
    <w:rsid w:val="00CB7D2E"/>
    <w:rsid w:val="00CC19D1"/>
    <w:rsid w:val="00CC6A94"/>
    <w:rsid w:val="00CD0CB7"/>
    <w:rsid w:val="00CD176D"/>
    <w:rsid w:val="00CD3DC2"/>
    <w:rsid w:val="00CD4543"/>
    <w:rsid w:val="00CD7A70"/>
    <w:rsid w:val="00CE0675"/>
    <w:rsid w:val="00CE2323"/>
    <w:rsid w:val="00CE24DF"/>
    <w:rsid w:val="00CE4699"/>
    <w:rsid w:val="00CE5A45"/>
    <w:rsid w:val="00CE5CA0"/>
    <w:rsid w:val="00CF3379"/>
    <w:rsid w:val="00CF3CFA"/>
    <w:rsid w:val="00CF3DD8"/>
    <w:rsid w:val="00D024DE"/>
    <w:rsid w:val="00D048B7"/>
    <w:rsid w:val="00D10738"/>
    <w:rsid w:val="00D13848"/>
    <w:rsid w:val="00D2502A"/>
    <w:rsid w:val="00D27D0C"/>
    <w:rsid w:val="00D30549"/>
    <w:rsid w:val="00D3348C"/>
    <w:rsid w:val="00D3751F"/>
    <w:rsid w:val="00D424A5"/>
    <w:rsid w:val="00D47B64"/>
    <w:rsid w:val="00D51788"/>
    <w:rsid w:val="00D60AB3"/>
    <w:rsid w:val="00D62268"/>
    <w:rsid w:val="00D6363C"/>
    <w:rsid w:val="00D64CD1"/>
    <w:rsid w:val="00D65050"/>
    <w:rsid w:val="00D66666"/>
    <w:rsid w:val="00D66A22"/>
    <w:rsid w:val="00D674CE"/>
    <w:rsid w:val="00D71892"/>
    <w:rsid w:val="00D759E7"/>
    <w:rsid w:val="00D76BDB"/>
    <w:rsid w:val="00D81782"/>
    <w:rsid w:val="00D818AC"/>
    <w:rsid w:val="00D8287E"/>
    <w:rsid w:val="00D91868"/>
    <w:rsid w:val="00D94FB7"/>
    <w:rsid w:val="00DA3709"/>
    <w:rsid w:val="00DA46FD"/>
    <w:rsid w:val="00DB01CF"/>
    <w:rsid w:val="00DB087A"/>
    <w:rsid w:val="00DB6A43"/>
    <w:rsid w:val="00DC5622"/>
    <w:rsid w:val="00DC7B8D"/>
    <w:rsid w:val="00DD3162"/>
    <w:rsid w:val="00DD491F"/>
    <w:rsid w:val="00DD68AA"/>
    <w:rsid w:val="00DE4D9E"/>
    <w:rsid w:val="00DE4DF2"/>
    <w:rsid w:val="00DE6F46"/>
    <w:rsid w:val="00DF0ECB"/>
    <w:rsid w:val="00E022F8"/>
    <w:rsid w:val="00E04E99"/>
    <w:rsid w:val="00E06F43"/>
    <w:rsid w:val="00E07295"/>
    <w:rsid w:val="00E123D7"/>
    <w:rsid w:val="00E13C92"/>
    <w:rsid w:val="00E144BB"/>
    <w:rsid w:val="00E15593"/>
    <w:rsid w:val="00E2516F"/>
    <w:rsid w:val="00E26B8A"/>
    <w:rsid w:val="00E315DE"/>
    <w:rsid w:val="00E32CF9"/>
    <w:rsid w:val="00E33DF4"/>
    <w:rsid w:val="00E34BC5"/>
    <w:rsid w:val="00E422F6"/>
    <w:rsid w:val="00E47DCD"/>
    <w:rsid w:val="00E50B7D"/>
    <w:rsid w:val="00E53A92"/>
    <w:rsid w:val="00E545F1"/>
    <w:rsid w:val="00E56468"/>
    <w:rsid w:val="00E60178"/>
    <w:rsid w:val="00E62F56"/>
    <w:rsid w:val="00E63163"/>
    <w:rsid w:val="00E64705"/>
    <w:rsid w:val="00E64ABC"/>
    <w:rsid w:val="00E65860"/>
    <w:rsid w:val="00E6776D"/>
    <w:rsid w:val="00E7748F"/>
    <w:rsid w:val="00E77DDF"/>
    <w:rsid w:val="00E80A6A"/>
    <w:rsid w:val="00E82230"/>
    <w:rsid w:val="00E82A34"/>
    <w:rsid w:val="00E830B8"/>
    <w:rsid w:val="00E929B9"/>
    <w:rsid w:val="00E9335F"/>
    <w:rsid w:val="00E9386A"/>
    <w:rsid w:val="00E9386B"/>
    <w:rsid w:val="00E976C4"/>
    <w:rsid w:val="00EA1CE3"/>
    <w:rsid w:val="00EA395A"/>
    <w:rsid w:val="00EA481C"/>
    <w:rsid w:val="00EA7848"/>
    <w:rsid w:val="00EB090B"/>
    <w:rsid w:val="00EB0EA1"/>
    <w:rsid w:val="00EB7A48"/>
    <w:rsid w:val="00EC1CDC"/>
    <w:rsid w:val="00EC369D"/>
    <w:rsid w:val="00EC49A6"/>
    <w:rsid w:val="00EC78AF"/>
    <w:rsid w:val="00ED362E"/>
    <w:rsid w:val="00ED3DE9"/>
    <w:rsid w:val="00ED42F1"/>
    <w:rsid w:val="00ED4E96"/>
    <w:rsid w:val="00EE101E"/>
    <w:rsid w:val="00EE68BA"/>
    <w:rsid w:val="00EF3C69"/>
    <w:rsid w:val="00EF72F5"/>
    <w:rsid w:val="00F030DA"/>
    <w:rsid w:val="00F03182"/>
    <w:rsid w:val="00F0756D"/>
    <w:rsid w:val="00F130F1"/>
    <w:rsid w:val="00F16C3A"/>
    <w:rsid w:val="00F202AD"/>
    <w:rsid w:val="00F2239A"/>
    <w:rsid w:val="00F22592"/>
    <w:rsid w:val="00F25227"/>
    <w:rsid w:val="00F32678"/>
    <w:rsid w:val="00F32CFE"/>
    <w:rsid w:val="00F41703"/>
    <w:rsid w:val="00F424D2"/>
    <w:rsid w:val="00F427B6"/>
    <w:rsid w:val="00F45C39"/>
    <w:rsid w:val="00F51570"/>
    <w:rsid w:val="00F5188D"/>
    <w:rsid w:val="00F53059"/>
    <w:rsid w:val="00F5406F"/>
    <w:rsid w:val="00F57AC7"/>
    <w:rsid w:val="00F60345"/>
    <w:rsid w:val="00F62FE3"/>
    <w:rsid w:val="00F64537"/>
    <w:rsid w:val="00F65377"/>
    <w:rsid w:val="00F70E4A"/>
    <w:rsid w:val="00F74000"/>
    <w:rsid w:val="00F806FF"/>
    <w:rsid w:val="00F844BE"/>
    <w:rsid w:val="00F853DC"/>
    <w:rsid w:val="00F86374"/>
    <w:rsid w:val="00F871D2"/>
    <w:rsid w:val="00F87F6C"/>
    <w:rsid w:val="00F91750"/>
    <w:rsid w:val="00F92F43"/>
    <w:rsid w:val="00F943C5"/>
    <w:rsid w:val="00F95FD2"/>
    <w:rsid w:val="00F9668B"/>
    <w:rsid w:val="00F96802"/>
    <w:rsid w:val="00F97ED8"/>
    <w:rsid w:val="00FA11D9"/>
    <w:rsid w:val="00FA12B1"/>
    <w:rsid w:val="00FA22A7"/>
    <w:rsid w:val="00FA247F"/>
    <w:rsid w:val="00FA699B"/>
    <w:rsid w:val="00FA7889"/>
    <w:rsid w:val="00FA7C0F"/>
    <w:rsid w:val="00FB12DA"/>
    <w:rsid w:val="00FB1B30"/>
    <w:rsid w:val="00FB3A50"/>
    <w:rsid w:val="00FB72EA"/>
    <w:rsid w:val="00FC5699"/>
    <w:rsid w:val="00FC5AA9"/>
    <w:rsid w:val="00FC778F"/>
    <w:rsid w:val="00FD14B0"/>
    <w:rsid w:val="00FD1CB2"/>
    <w:rsid w:val="00FD6924"/>
    <w:rsid w:val="00FE31C2"/>
    <w:rsid w:val="00FE7667"/>
    <w:rsid w:val="00FF0F12"/>
    <w:rsid w:val="00FF110C"/>
    <w:rsid w:val="00FF1148"/>
    <w:rsid w:val="00FF13C8"/>
    <w:rsid w:val="00FF1910"/>
    <w:rsid w:val="5E3DE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57CB1"/>
  <w15:docId w15:val="{474F02A7-B5CD-4262-8D26-E052FCE8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3"/>
    <w:pPr>
      <w:spacing w:line="480" w:lineRule="auto"/>
    </w:pPr>
    <w:rPr>
      <w:rFonts w:ascii="Times New Roman" w:hAnsi="Times New Roman"/>
      <w:sz w:val="24"/>
      <w:szCs w:val="22"/>
    </w:rPr>
  </w:style>
  <w:style w:type="paragraph" w:styleId="Heading1">
    <w:name w:val="heading 1"/>
    <w:next w:val="Normal"/>
    <w:link w:val="Heading1Char"/>
    <w:uiPriority w:val="9"/>
    <w:qFormat/>
    <w:rsid w:val="00A00C6E"/>
    <w:pPr>
      <w:keepLines/>
      <w:numPr>
        <w:numId w:val="32"/>
      </w:numPr>
      <w:spacing w:after="240" w:line="259" w:lineRule="auto"/>
      <w:ind w:right="720"/>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C66903"/>
    <w:pPr>
      <w:keepNext/>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5306CB"/>
    <w:pPr>
      <w:numPr>
        <w:ilvl w:val="2"/>
      </w:numPr>
      <w:outlineLvl w:val="2"/>
    </w:pPr>
    <w:rPr>
      <w:szCs w:val="24"/>
    </w:rPr>
  </w:style>
  <w:style w:type="paragraph" w:styleId="Heading4">
    <w:name w:val="heading 4"/>
    <w:basedOn w:val="Heading3"/>
    <w:next w:val="Normal"/>
    <w:link w:val="Heading4Char"/>
    <w:uiPriority w:val="9"/>
    <w:unhideWhenUsed/>
    <w:qFormat/>
    <w:rsid w:val="00E50B7D"/>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numPr>
        <w:numId w:val="27"/>
      </w:numPr>
      <w:tabs>
        <w:tab w:val="num" w:pos="360"/>
      </w:tabs>
      <w:ind w:left="0" w:firstLine="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pPr>
      <w:keepLines/>
      <w:spacing w:after="120"/>
    </w:pPr>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4C74BF"/>
    <w:pPr>
      <w:spacing w:line="240" w:lineRule="auto"/>
      <w:ind w:firstLine="720"/>
    </w:pPr>
    <w:rPr>
      <w:szCs w:val="20"/>
    </w:rPr>
  </w:style>
  <w:style w:type="character" w:customStyle="1" w:styleId="FootnoteTextChar">
    <w:name w:val="Footnote Text Char"/>
    <w:basedOn w:val="DefaultParagraphFont"/>
    <w:link w:val="FootnoteText"/>
    <w:uiPriority w:val="99"/>
    <w:rsid w:val="004C74BF"/>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pPr>
      <w:spacing w:after="120"/>
    </w:pPr>
  </w:style>
  <w:style w:type="character" w:customStyle="1" w:styleId="Heading1Char">
    <w:name w:val="Heading 1 Char"/>
    <w:basedOn w:val="DefaultParagraphFont"/>
    <w:link w:val="Heading1"/>
    <w:uiPriority w:val="9"/>
    <w:rsid w:val="00C66903"/>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C6690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306CB"/>
    <w:rPr>
      <w:rFonts w:ascii="Times New Roman" w:eastAsiaTheme="majorEastAsia" w:hAnsi="Times New Roman" w:cstheme="majorBidi"/>
      <w:b/>
      <w:sz w:val="24"/>
      <w:szCs w:val="24"/>
    </w:rPr>
  </w:style>
  <w:style w:type="numbering" w:customStyle="1" w:styleId="Headings">
    <w:name w:val="Headings"/>
    <w:uiPriority w:val="99"/>
    <w:rsid w:val="00A00C6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98739D"/>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98739D"/>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E50B7D"/>
    <w:rPr>
      <w:rFonts w:ascii="Times New Roman" w:eastAsiaTheme="majorEastAsia" w:hAnsi="Times New Roman" w:cstheme="majorBidi"/>
      <w:b/>
      <w:iCs/>
      <w:sz w:val="24"/>
      <w:szCs w:val="24"/>
    </w:rPr>
  </w:style>
  <w:style w:type="character" w:customStyle="1" w:styleId="normaltextrun">
    <w:name w:val="normaltextrun"/>
    <w:basedOn w:val="DefaultParagraphFont"/>
    <w:rsid w:val="00A1173C"/>
  </w:style>
  <w:style w:type="character" w:customStyle="1" w:styleId="spellingerror">
    <w:name w:val="spellingerror"/>
    <w:basedOn w:val="DefaultParagraphFont"/>
    <w:rsid w:val="00A1173C"/>
  </w:style>
  <w:style w:type="paragraph" w:styleId="Revision">
    <w:name w:val="Revision"/>
    <w:hidden/>
    <w:uiPriority w:val="99"/>
    <w:semiHidden/>
    <w:rsid w:val="002C2FB1"/>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5A4A77C1A4A7FADAF0592D790FD5B"/>
        <w:category>
          <w:name w:val="General"/>
          <w:gallery w:val="placeholder"/>
        </w:category>
        <w:types>
          <w:type w:val="bbPlcHdr"/>
        </w:types>
        <w:behaviors>
          <w:behavior w:val="content"/>
        </w:behaviors>
        <w:guid w:val="{458A3182-C8D6-47FE-9B53-68F6FE4C82D7}"/>
      </w:docPartPr>
      <w:docPartBody>
        <w:p w:rsidR="00E64705" w:rsidRDefault="00E64705">
          <w:pPr>
            <w:pStyle w:val="6165A4A77C1A4A7FADAF0592D790FD5B"/>
          </w:pPr>
          <w:r w:rsidRPr="00A46F61">
            <w:rPr>
              <w:rStyle w:val="PlaceholderText"/>
              <w:color w:val="FF0000"/>
            </w:rPr>
            <w:t>Choose an item.</w:t>
          </w:r>
        </w:p>
      </w:docPartBody>
    </w:docPart>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AFE25C9392964D679F1440F8E79A8A9C"/>
        <w:category>
          <w:name w:val="General"/>
          <w:gallery w:val="placeholder"/>
        </w:category>
        <w:types>
          <w:type w:val="bbPlcHdr"/>
        </w:types>
        <w:behaviors>
          <w:behavior w:val="content"/>
        </w:behaviors>
        <w:guid w:val="{0C5DB313-5D7B-42BE-83C5-5AF975ED3FD2}"/>
      </w:docPartPr>
      <w:docPartBody>
        <w:p w:rsidR="00E64705" w:rsidRDefault="00E64705">
          <w:pPr>
            <w:pStyle w:val="AFE25C9392964D679F1440F8E79A8A9C"/>
          </w:pPr>
          <w:r w:rsidRPr="000469FB">
            <w:rPr>
              <w:rStyle w:val="PlaceholderText"/>
              <w:color w:val="FF0000"/>
            </w:rPr>
            <w:t>Click or tap here to enter text.</w:t>
          </w:r>
        </w:p>
      </w:docPartBody>
    </w:docPart>
    <w:docPart>
      <w:docPartPr>
        <w:name w:val="106CF76ED4074787BFB0A2F8B25454F4"/>
        <w:category>
          <w:name w:val="General"/>
          <w:gallery w:val="placeholder"/>
        </w:category>
        <w:types>
          <w:type w:val="bbPlcHdr"/>
        </w:types>
        <w:behaviors>
          <w:behavior w:val="content"/>
        </w:behaviors>
        <w:guid w:val="{BE13C905-44FE-4179-8680-D2E5ABA6942C}"/>
      </w:docPartPr>
      <w:docPartBody>
        <w:p w:rsidR="00E64705" w:rsidRDefault="00E64705">
          <w:pPr>
            <w:pStyle w:val="106CF76ED4074787BFB0A2F8B25454F4"/>
          </w:pPr>
          <w:r w:rsidRPr="000469FB">
            <w:rPr>
              <w:rStyle w:val="PlaceholderText"/>
              <w:color w:val="FF0000"/>
            </w:rPr>
            <w:t>Choose an item.</w:t>
          </w:r>
        </w:p>
      </w:docPartBody>
    </w:docPart>
    <w:docPart>
      <w:docPartPr>
        <w:name w:val="027E1A74560D4D6E9A902AC4DF71C6F0"/>
        <w:category>
          <w:name w:val="General"/>
          <w:gallery w:val="placeholder"/>
        </w:category>
        <w:types>
          <w:type w:val="bbPlcHdr"/>
        </w:types>
        <w:behaviors>
          <w:behavior w:val="content"/>
        </w:behaviors>
        <w:guid w:val="{2ECBE1AF-DB2E-44BB-BD5D-600DE43C87E0}"/>
      </w:docPartPr>
      <w:docPartBody>
        <w:p w:rsidR="00E64705" w:rsidRDefault="00E64705">
          <w:pPr>
            <w:pStyle w:val="027E1A74560D4D6E9A902AC4DF71C6F0"/>
          </w:pPr>
          <w:r w:rsidRPr="000469FB">
            <w:rPr>
              <w:rStyle w:val="PlaceholderText"/>
              <w:color w:val="FF0000"/>
            </w:rPr>
            <w:t>Choose an item.</w:t>
          </w:r>
        </w:p>
      </w:docPartBody>
    </w:docPart>
    <w:docPart>
      <w:docPartPr>
        <w:name w:val="BCC2605889FA4DFA93A7C79063C8C585"/>
        <w:category>
          <w:name w:val="General"/>
          <w:gallery w:val="placeholder"/>
        </w:category>
        <w:types>
          <w:type w:val="bbPlcHdr"/>
        </w:types>
        <w:behaviors>
          <w:behavior w:val="content"/>
        </w:behaviors>
        <w:guid w:val="{BF56E941-1D07-44DC-88F6-B2581813A1DE}"/>
      </w:docPartPr>
      <w:docPartBody>
        <w:p w:rsidR="00E64705" w:rsidRDefault="00E64705">
          <w:pPr>
            <w:pStyle w:val="BCC2605889FA4DFA93A7C79063C8C585"/>
          </w:pPr>
          <w:r w:rsidRPr="000469FB">
            <w:rPr>
              <w:rStyle w:val="PlaceholderText"/>
              <w:color w:val="FF0000"/>
            </w:rPr>
            <w:t>Choose an item.</w:t>
          </w:r>
        </w:p>
      </w:docPartBody>
    </w:docPart>
    <w:docPart>
      <w:docPartPr>
        <w:name w:val="8CFFF3BB0A05481E8B9BA59840A9B85F"/>
        <w:category>
          <w:name w:val="General"/>
          <w:gallery w:val="placeholder"/>
        </w:category>
        <w:types>
          <w:type w:val="bbPlcHdr"/>
        </w:types>
        <w:behaviors>
          <w:behavior w:val="content"/>
        </w:behaviors>
        <w:guid w:val="{B6C3E370-FFF8-4ED3-B56B-2DC7D28BD91B}"/>
      </w:docPartPr>
      <w:docPartBody>
        <w:p w:rsidR="00E64705" w:rsidRDefault="00E64705">
          <w:pPr>
            <w:pStyle w:val="8CFFF3BB0A05481E8B9BA59840A9B85F"/>
          </w:pPr>
          <w:r w:rsidRPr="000469FB">
            <w:rPr>
              <w:rStyle w:val="PlaceholderText"/>
              <w:color w:val="FF0000"/>
            </w:rPr>
            <w:t>Choose an item.</w:t>
          </w:r>
        </w:p>
      </w:docPartBody>
    </w:docPart>
    <w:docPart>
      <w:docPartPr>
        <w:name w:val="F830AE24A0DE483693F709BED372C83F"/>
        <w:category>
          <w:name w:val="General"/>
          <w:gallery w:val="placeholder"/>
        </w:category>
        <w:types>
          <w:type w:val="bbPlcHdr"/>
        </w:types>
        <w:behaviors>
          <w:behavior w:val="content"/>
        </w:behaviors>
        <w:guid w:val="{9CEEF45B-9F7F-48D4-9CDF-5ED77C1A351D}"/>
      </w:docPartPr>
      <w:docPartBody>
        <w:p w:rsidR="00046954" w:rsidRDefault="00046954" w:rsidP="00046954">
          <w:pPr>
            <w:pStyle w:val="F830AE24A0DE483693F709BED372C83F"/>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046954"/>
    <w:rsid w:val="001562B5"/>
    <w:rsid w:val="00352C01"/>
    <w:rsid w:val="00512589"/>
    <w:rsid w:val="00535ADC"/>
    <w:rsid w:val="005A71C3"/>
    <w:rsid w:val="009B62F4"/>
    <w:rsid w:val="00CE0B04"/>
    <w:rsid w:val="00D54712"/>
    <w:rsid w:val="00E6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954"/>
    <w:rPr>
      <w:color w:val="808080"/>
    </w:rPr>
  </w:style>
  <w:style w:type="paragraph" w:customStyle="1" w:styleId="6165A4A77C1A4A7FADAF0592D790FD5B">
    <w:name w:val="6165A4A77C1A4A7FADAF0592D790FD5B"/>
  </w:style>
  <w:style w:type="paragraph" w:customStyle="1" w:styleId="3C6B7C5B5D7642F1A88F4392E848C3B6">
    <w:name w:val="3C6B7C5B5D7642F1A88F4392E848C3B6"/>
  </w:style>
  <w:style w:type="paragraph" w:customStyle="1" w:styleId="AFE25C9392964D679F1440F8E79A8A9C">
    <w:name w:val="AFE25C9392964D679F1440F8E79A8A9C"/>
  </w:style>
  <w:style w:type="paragraph" w:customStyle="1" w:styleId="106CF76ED4074787BFB0A2F8B25454F4">
    <w:name w:val="106CF76ED4074787BFB0A2F8B25454F4"/>
  </w:style>
  <w:style w:type="paragraph" w:customStyle="1" w:styleId="027E1A74560D4D6E9A902AC4DF71C6F0">
    <w:name w:val="027E1A74560D4D6E9A902AC4DF71C6F0"/>
  </w:style>
  <w:style w:type="paragraph" w:customStyle="1" w:styleId="BCC2605889FA4DFA93A7C79063C8C585">
    <w:name w:val="BCC2605889FA4DFA93A7C79063C8C585"/>
  </w:style>
  <w:style w:type="paragraph" w:customStyle="1" w:styleId="8CFFF3BB0A05481E8B9BA59840A9B85F">
    <w:name w:val="8CFFF3BB0A05481E8B9BA59840A9B85F"/>
  </w:style>
  <w:style w:type="paragraph" w:customStyle="1" w:styleId="F830AE24A0DE483693F709BED372C83F">
    <w:name w:val="F830AE24A0DE483693F709BED372C83F"/>
    <w:rsid w:val="0004695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40d364318cfbb5e5535170000977f1bb">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6baee5177c6b29b771e7d74c779830ff"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3255F-E304-48D0-8743-73BAA00FEF35}"/>
</file>

<file path=customXml/itemProps2.xml><?xml version="1.0" encoding="utf-8"?>
<ds:datastoreItem xmlns:ds="http://schemas.openxmlformats.org/officeDocument/2006/customXml" ds:itemID="{04DD79EB-A6C1-4372-ACD1-AB12D7A959DB}">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customXml/itemProps3.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4.xml><?xml version="1.0" encoding="utf-8"?>
<ds:datastoreItem xmlns:ds="http://schemas.openxmlformats.org/officeDocument/2006/customXml" ds:itemID="{2167B850-9204-4EE8-BD9F-3F3C846F3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Tapley, Talya</dc:creator>
  <cp:lastModifiedBy>Gonzales, Julie</cp:lastModifiedBy>
  <cp:revision>5</cp:revision>
  <cp:lastPrinted>2024-04-15T19:54:00Z</cp:lastPrinted>
  <dcterms:created xsi:type="dcterms:W3CDTF">2024-04-15T23:09:00Z</dcterms:created>
  <dcterms:modified xsi:type="dcterms:W3CDTF">2024-04-16T16:53:00Z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