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C8270A" w:rsidRDefault="0081669C" w:rsidP="00C13F27">
      <w:bookmarkStart w:id="0" w:name="designation"/>
      <w:bookmarkStart w:id="1" w:name="_GoBack"/>
      <w:bookmarkEnd w:id="0"/>
      <w:bookmarkEnd w:id="1"/>
      <w:r w:rsidRPr="00C8270A">
        <w:t>PUBLIC MATTER – NOT DESIGNATED FOR PUBLICATION</w:t>
      </w:r>
    </w:p>
    <w:p w:rsidR="00065A44" w:rsidRPr="00C8270A" w:rsidRDefault="00065A44" w:rsidP="00C13F27"/>
    <w:p w:rsidR="00832223" w:rsidRPr="00C8270A" w:rsidRDefault="001C0C0E" w:rsidP="00C13F27">
      <w:r w:rsidRPr="00C8270A">
        <w:tab/>
      </w:r>
      <w:r w:rsidRPr="00C8270A">
        <w:tab/>
      </w:r>
      <w:r w:rsidRPr="00C8270A">
        <w:tab/>
      </w:r>
      <w:r w:rsidRPr="00C8270A">
        <w:tab/>
      </w:r>
      <w:r w:rsidRPr="00C8270A">
        <w:tab/>
      </w:r>
      <w:r w:rsidRPr="00C8270A">
        <w:tab/>
      </w:r>
      <w:r w:rsidRPr="00C8270A">
        <w:tab/>
      </w:r>
      <w:r w:rsidRPr="00C8270A">
        <w:tab/>
      </w:r>
      <w:r w:rsidRPr="00C8270A">
        <w:tab/>
        <w:t>FILED December 7, 2016</w:t>
      </w:r>
    </w:p>
    <w:p w:rsidR="007A77AB" w:rsidRPr="00C8270A" w:rsidRDefault="007A77AB" w:rsidP="00C13F27"/>
    <w:p w:rsidR="00832223" w:rsidRPr="00C8270A" w:rsidRDefault="00832223" w:rsidP="00C13F27"/>
    <w:p w:rsidR="00832223" w:rsidRPr="00C8270A" w:rsidRDefault="00832223" w:rsidP="00BB3149">
      <w:pPr>
        <w:pStyle w:val="Heading1"/>
        <w:rPr>
          <w:rFonts w:ascii="Times New Roman" w:hAnsi="Times New Roman" w:cs="Times New Roman"/>
        </w:rPr>
      </w:pPr>
      <w:r w:rsidRPr="00C8270A">
        <w:rPr>
          <w:rFonts w:ascii="Times New Roman" w:hAnsi="Times New Roman" w:cs="Times New Roman"/>
        </w:rPr>
        <w:t>STATE BAR COURT OF CALIFORNIA</w:t>
      </w:r>
    </w:p>
    <w:p w:rsidR="00832223" w:rsidRPr="00C8270A" w:rsidRDefault="00832223" w:rsidP="00BB3149">
      <w:pPr>
        <w:pStyle w:val="Heading1"/>
        <w:rPr>
          <w:rFonts w:ascii="Times New Roman" w:hAnsi="Times New Roman" w:cs="Times New Roman"/>
        </w:rPr>
      </w:pPr>
    </w:p>
    <w:p w:rsidR="00832223" w:rsidRPr="00C8270A" w:rsidRDefault="00832223" w:rsidP="00BB3149">
      <w:pPr>
        <w:pStyle w:val="Heading1"/>
        <w:rPr>
          <w:rFonts w:ascii="Times New Roman" w:hAnsi="Times New Roman" w:cs="Times New Roman"/>
        </w:rPr>
      </w:pPr>
      <w:r w:rsidRPr="00C8270A">
        <w:rPr>
          <w:rFonts w:ascii="Times New Roman" w:hAnsi="Times New Roman" w:cs="Times New Roman"/>
        </w:rPr>
        <w:t>REVIEW DEPARTMENT</w:t>
      </w:r>
    </w:p>
    <w:p w:rsidR="00832223" w:rsidRPr="00C8270A" w:rsidRDefault="00832223" w:rsidP="00832223">
      <w:pPr>
        <w:jc w:val="center"/>
        <w:rPr>
          <w:b/>
        </w:rPr>
      </w:pPr>
    </w:p>
    <w:p w:rsidR="00832223" w:rsidRPr="00C8270A"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8270A" w:rsidTr="00357051">
        <w:tc>
          <w:tcPr>
            <w:tcW w:w="4770" w:type="dxa"/>
            <w:tcBorders>
              <w:top w:val="nil"/>
              <w:left w:val="nil"/>
              <w:right w:val="nil"/>
            </w:tcBorders>
            <w:tcMar>
              <w:left w:w="0" w:type="dxa"/>
              <w:right w:w="0" w:type="dxa"/>
            </w:tcMar>
          </w:tcPr>
          <w:p w:rsidR="00832223" w:rsidRPr="00C8270A" w:rsidRDefault="00832223" w:rsidP="00357051">
            <w:r w:rsidRPr="00C8270A">
              <w:t>In the Matter of</w:t>
            </w:r>
          </w:p>
          <w:p w:rsidR="00832223" w:rsidRPr="00C8270A" w:rsidRDefault="00832223" w:rsidP="00357051"/>
          <w:p w:rsidR="00832223" w:rsidRPr="00C8270A" w:rsidRDefault="0081669C" w:rsidP="00357051">
            <w:bookmarkStart w:id="2" w:name="Respondent"/>
            <w:bookmarkEnd w:id="2"/>
            <w:r w:rsidRPr="00C8270A">
              <w:t>EARL</w:t>
            </w:r>
            <w:r w:rsidR="00467AD8" w:rsidRPr="00C8270A">
              <w:t>E</w:t>
            </w:r>
            <w:r w:rsidRPr="00C8270A">
              <w:t xml:space="preserve"> ARTHUR PARTINGTON</w:t>
            </w:r>
            <w:r w:rsidR="00832223" w:rsidRPr="00C8270A">
              <w:t>,</w:t>
            </w:r>
          </w:p>
          <w:p w:rsidR="00832223" w:rsidRPr="00C8270A" w:rsidRDefault="00832223" w:rsidP="00357051"/>
          <w:p w:rsidR="00832223" w:rsidRPr="00C8270A" w:rsidRDefault="0081669C" w:rsidP="00357051">
            <w:bookmarkStart w:id="3" w:name="type"/>
            <w:bookmarkEnd w:id="3"/>
            <w:r w:rsidRPr="00C8270A">
              <w:t>A Member of the State Bar, No.</w:t>
            </w:r>
            <w:r w:rsidR="00832223" w:rsidRPr="00C8270A">
              <w:t xml:space="preserve"> </w:t>
            </w:r>
            <w:bookmarkStart w:id="4" w:name="memno"/>
            <w:bookmarkStart w:id="5" w:name="MemberNo"/>
            <w:bookmarkEnd w:id="4"/>
            <w:bookmarkEnd w:id="5"/>
            <w:r w:rsidRPr="00C8270A">
              <w:t>45731.</w:t>
            </w:r>
          </w:p>
        </w:tc>
        <w:tc>
          <w:tcPr>
            <w:tcW w:w="497" w:type="dxa"/>
            <w:tcBorders>
              <w:top w:val="nil"/>
              <w:left w:val="nil"/>
              <w:bottom w:val="nil"/>
              <w:right w:val="nil"/>
            </w:tcBorders>
            <w:tcMar>
              <w:left w:w="0" w:type="dxa"/>
              <w:right w:w="0" w:type="dxa"/>
            </w:tcMar>
          </w:tcPr>
          <w:p w:rsidR="00832223" w:rsidRPr="00C8270A" w:rsidRDefault="00832223" w:rsidP="00357051">
            <w:pPr>
              <w:rPr>
                <w:b/>
              </w:rPr>
            </w:pPr>
            <w:r w:rsidRPr="00C8270A">
              <w:rPr>
                <w:b/>
              </w:rPr>
              <w:t>)</w:t>
            </w:r>
          </w:p>
          <w:p w:rsidR="00832223" w:rsidRPr="00C8270A" w:rsidRDefault="00832223" w:rsidP="00357051">
            <w:pPr>
              <w:rPr>
                <w:b/>
              </w:rPr>
            </w:pPr>
            <w:r w:rsidRPr="00C8270A">
              <w:rPr>
                <w:b/>
              </w:rPr>
              <w:t>)</w:t>
            </w:r>
            <w:r w:rsidRPr="00C8270A">
              <w:rPr>
                <w:b/>
              </w:rPr>
              <w:br/>
              <w:t>)</w:t>
            </w:r>
            <w:r w:rsidRPr="00C8270A">
              <w:rPr>
                <w:b/>
              </w:rPr>
              <w:br/>
              <w:t>)</w:t>
            </w:r>
            <w:r w:rsidRPr="00C8270A">
              <w:rPr>
                <w:b/>
              </w:rPr>
              <w:br/>
              <w:t>)</w:t>
            </w:r>
            <w:r w:rsidRPr="00C8270A">
              <w:rPr>
                <w:b/>
              </w:rPr>
              <w:br/>
              <w:t>)</w:t>
            </w:r>
          </w:p>
        </w:tc>
        <w:tc>
          <w:tcPr>
            <w:tcW w:w="4201" w:type="dxa"/>
            <w:tcBorders>
              <w:top w:val="nil"/>
              <w:left w:val="nil"/>
              <w:bottom w:val="nil"/>
              <w:right w:val="nil"/>
            </w:tcBorders>
          </w:tcPr>
          <w:p w:rsidR="00832223" w:rsidRPr="00C8270A" w:rsidRDefault="00832223" w:rsidP="00357051">
            <w:r w:rsidRPr="00C8270A">
              <w:t xml:space="preserve">Case No. </w:t>
            </w:r>
            <w:bookmarkStart w:id="6" w:name="caseno"/>
            <w:bookmarkEnd w:id="6"/>
            <w:r w:rsidR="0081669C" w:rsidRPr="00C8270A">
              <w:t>12-J-10617</w:t>
            </w:r>
          </w:p>
          <w:p w:rsidR="00832223" w:rsidRPr="00C8270A" w:rsidRDefault="00832223" w:rsidP="00357051"/>
          <w:p w:rsidR="00832223" w:rsidRPr="00C8270A" w:rsidRDefault="0081669C" w:rsidP="00357051">
            <w:bookmarkStart w:id="7" w:name="title"/>
            <w:bookmarkEnd w:id="7"/>
            <w:r w:rsidRPr="00C8270A">
              <w:t>OPINION</w:t>
            </w:r>
          </w:p>
        </w:tc>
      </w:tr>
    </w:tbl>
    <w:p w:rsidR="00832223" w:rsidRPr="00C8270A" w:rsidRDefault="00832223" w:rsidP="00832223"/>
    <w:p w:rsidR="0081669C" w:rsidRPr="00C8270A" w:rsidRDefault="003834F6" w:rsidP="002518C1">
      <w:pPr>
        <w:spacing w:line="480" w:lineRule="auto"/>
      </w:pPr>
      <w:bookmarkStart w:id="8" w:name="start"/>
      <w:bookmarkEnd w:id="8"/>
      <w:r w:rsidRPr="00C8270A">
        <w:tab/>
        <w:t>Earl</w:t>
      </w:r>
      <w:r w:rsidR="00467AD8" w:rsidRPr="00C8270A">
        <w:t>e</w:t>
      </w:r>
      <w:r w:rsidRPr="00C8270A">
        <w:t xml:space="preserve"> Arthur Partington was disciplined by the United States Navy’s Office </w:t>
      </w:r>
      <w:r w:rsidR="0056752B" w:rsidRPr="00C8270A">
        <w:t>of the Judge Advocate General (</w:t>
      </w:r>
      <w:r w:rsidRPr="00C8270A">
        <w:t xml:space="preserve">JAG) for filing an appellate brief that contained false and misleading statements.  </w:t>
      </w:r>
      <w:r w:rsidR="00E02740" w:rsidRPr="00C8270A">
        <w:t>In this r</w:t>
      </w:r>
      <w:r w:rsidR="00CA4ED5" w:rsidRPr="00C8270A">
        <w:t xml:space="preserve">eciprocal disciplinary matter, the </w:t>
      </w:r>
      <w:r w:rsidR="00E02740" w:rsidRPr="00C8270A">
        <w:t>hearing judge found Partington failed to show by clear and convincing evidence</w:t>
      </w:r>
      <w:r w:rsidR="00467AD8" w:rsidRPr="00C8270A">
        <w:rPr>
          <w:rStyle w:val="FootnoteReference"/>
        </w:rPr>
        <w:footnoteReference w:id="1"/>
      </w:r>
      <w:r w:rsidR="00E02740" w:rsidRPr="00C8270A">
        <w:t xml:space="preserve"> that the conduct for which he was disciplined in the JAG proceeding does not warrant the imposition of discipline in California or that the JAG proceedings lacked fundam</w:t>
      </w:r>
      <w:r w:rsidR="00467AD8" w:rsidRPr="00C8270A">
        <w:t>ental constitutional protection</w:t>
      </w:r>
      <w:r w:rsidR="00E02740" w:rsidRPr="00C8270A">
        <w:t xml:space="preserve">.  </w:t>
      </w:r>
      <w:r w:rsidR="007A6BFD" w:rsidRPr="00C8270A">
        <w:t>Emphasizing substantial mitigation afforded for Parting</w:t>
      </w:r>
      <w:r w:rsidR="00875CE2" w:rsidRPr="00C8270A">
        <w:t>t</w:t>
      </w:r>
      <w:r w:rsidR="007A6BFD" w:rsidRPr="00C8270A">
        <w:t>on’s 37 years of discipline</w:t>
      </w:r>
      <w:r w:rsidR="00875CE2" w:rsidRPr="00C8270A">
        <w:t>-</w:t>
      </w:r>
      <w:r w:rsidR="007A6BFD" w:rsidRPr="00C8270A">
        <w:t>free practice, t</w:t>
      </w:r>
      <w:r w:rsidR="00E02740" w:rsidRPr="00C8270A">
        <w:t xml:space="preserve">he judge </w:t>
      </w:r>
      <w:r w:rsidR="007A6BFD" w:rsidRPr="00C8270A">
        <w:t xml:space="preserve">deviated from the </w:t>
      </w:r>
      <w:r w:rsidR="00CA4ED5" w:rsidRPr="00C8270A">
        <w:t xml:space="preserve">presumed </w:t>
      </w:r>
      <w:r w:rsidR="00E207C3" w:rsidRPr="00C8270A">
        <w:t>discipline</w:t>
      </w:r>
      <w:r w:rsidR="009C6F6A" w:rsidRPr="00C8270A">
        <w:t xml:space="preserve"> of disbarment or actual suspension </w:t>
      </w:r>
      <w:r w:rsidR="00CA4ED5" w:rsidRPr="00C8270A">
        <w:t xml:space="preserve">under </w:t>
      </w:r>
      <w:r w:rsidR="007A6BFD" w:rsidRPr="00C8270A">
        <w:t>the applicable disciplinary standard</w:t>
      </w:r>
      <w:r w:rsidR="009C6F6A" w:rsidRPr="00C8270A">
        <w:t xml:space="preserve"> </w:t>
      </w:r>
      <w:r w:rsidR="007A6BFD" w:rsidRPr="00C8270A">
        <w:t xml:space="preserve">and recommended </w:t>
      </w:r>
      <w:r w:rsidR="00CA4ED5" w:rsidRPr="00C8270A">
        <w:t>a one-</w:t>
      </w:r>
      <w:r w:rsidR="00E02740" w:rsidRPr="00C8270A">
        <w:t>year period of stayed suspension.</w:t>
      </w:r>
    </w:p>
    <w:p w:rsidR="00A750E8" w:rsidRPr="00C8270A" w:rsidRDefault="00A750E8" w:rsidP="002518C1">
      <w:pPr>
        <w:spacing w:line="480" w:lineRule="auto"/>
      </w:pPr>
      <w:r w:rsidRPr="00C8270A">
        <w:tab/>
        <w:t>Partington appeals, seeking dismissal because he asserts that he did not engage in any professional misconduct</w:t>
      </w:r>
      <w:r w:rsidR="00CA4ED5" w:rsidRPr="00C8270A">
        <w:t xml:space="preserve"> and, alternatively, that the JAG disciplinary proceeding violated his right to due process</w:t>
      </w:r>
      <w:r w:rsidRPr="00C8270A">
        <w:t xml:space="preserve">.  The Office of the Chief Trial Counsel of the State Bar (OCTC) </w:t>
      </w:r>
      <w:r w:rsidR="00CA4ED5" w:rsidRPr="00C8270A">
        <w:t xml:space="preserve">appeals the disciplinary recommendation, and </w:t>
      </w:r>
      <w:r w:rsidRPr="00C8270A">
        <w:t xml:space="preserve">asks that we rebalance the factors in aggravation and mitigation and </w:t>
      </w:r>
      <w:r w:rsidR="00E70B53" w:rsidRPr="00C8270A">
        <w:t>recommend</w:t>
      </w:r>
      <w:r w:rsidRPr="00C8270A">
        <w:t xml:space="preserve"> a 30</w:t>
      </w:r>
      <w:r w:rsidR="00E207C3" w:rsidRPr="00C8270A">
        <w:t>-</w:t>
      </w:r>
      <w:r w:rsidRPr="00C8270A">
        <w:t xml:space="preserve">day actual suspension.  </w:t>
      </w:r>
    </w:p>
    <w:p w:rsidR="007A6BFD" w:rsidRPr="00C8270A" w:rsidRDefault="007A6BFD" w:rsidP="007A6BFD">
      <w:pPr>
        <w:spacing w:line="480" w:lineRule="auto"/>
      </w:pPr>
      <w:r w:rsidRPr="00C8270A">
        <w:lastRenderedPageBreak/>
        <w:tab/>
        <w:t xml:space="preserve">After independently reviewing the record under California Rules of Court, rule 9.12, we affirm the hearing judge’s finding that the misconduct found in the JAG proceeding warrants reciprocal discipline in California.  </w:t>
      </w:r>
      <w:r w:rsidR="005C1E4B" w:rsidRPr="00C8270A">
        <w:t>We also find that Partington failed to establish that the JAG proceedings violate</w:t>
      </w:r>
      <w:r w:rsidR="002B1EF0" w:rsidRPr="00C8270A">
        <w:t>d</w:t>
      </w:r>
      <w:r w:rsidR="005C1E4B" w:rsidRPr="00C8270A">
        <w:t xml:space="preserve"> due process.  </w:t>
      </w:r>
      <w:r w:rsidRPr="00C8270A">
        <w:t xml:space="preserve">We differ from the hearing judge, however, by finding that </w:t>
      </w:r>
      <w:r w:rsidR="006670FA" w:rsidRPr="00C8270A">
        <w:t>the mitigation for Partington</w:t>
      </w:r>
      <w:r w:rsidR="002B1EF0" w:rsidRPr="00C8270A">
        <w:t>’s lengthy period of discipline-</w:t>
      </w:r>
      <w:r w:rsidR="006670FA" w:rsidRPr="00C8270A">
        <w:t xml:space="preserve">free practice </w:t>
      </w:r>
      <w:r w:rsidR="002B1EF0" w:rsidRPr="00C8270A">
        <w:t xml:space="preserve">warrants </w:t>
      </w:r>
      <w:r w:rsidR="00E207C3" w:rsidRPr="00C8270A">
        <w:t xml:space="preserve">less weight because of </w:t>
      </w:r>
      <w:r w:rsidR="005E55F1" w:rsidRPr="00C8270A">
        <w:t xml:space="preserve">the significant aggravation for </w:t>
      </w:r>
      <w:r w:rsidR="006670FA" w:rsidRPr="00C8270A">
        <w:t>his lack of insight</w:t>
      </w:r>
      <w:r w:rsidRPr="00C8270A">
        <w:t>.  Relying on the applicable disciplin</w:t>
      </w:r>
      <w:r w:rsidR="00255B3E" w:rsidRPr="00C8270A">
        <w:t>ary</w:t>
      </w:r>
      <w:r w:rsidRPr="00C8270A">
        <w:t xml:space="preserve"> standard</w:t>
      </w:r>
      <w:r w:rsidR="006670FA" w:rsidRPr="00C8270A">
        <w:t>s</w:t>
      </w:r>
      <w:r w:rsidRPr="00C8270A">
        <w:t xml:space="preserve"> and comparable case law, we recommend a 30-day period of actual suspension as fair and appropriate discipline.  </w:t>
      </w:r>
    </w:p>
    <w:p w:rsidR="0081669C" w:rsidRPr="00C8270A" w:rsidRDefault="0081669C" w:rsidP="00351C90">
      <w:pPr>
        <w:pStyle w:val="Heading2"/>
        <w:rPr>
          <w:rFonts w:ascii="Times New Roman" w:hAnsi="Times New Roman" w:cs="Times New Roman"/>
        </w:rPr>
      </w:pPr>
      <w:r w:rsidRPr="00C8270A">
        <w:rPr>
          <w:rFonts w:ascii="Times New Roman" w:hAnsi="Times New Roman" w:cs="Times New Roman"/>
        </w:rPr>
        <w:t>I.  PROCEDURAL BACKGROUND</w:t>
      </w:r>
      <w:r w:rsidR="00282004" w:rsidRPr="00C8270A">
        <w:rPr>
          <w:rFonts w:ascii="Times New Roman" w:hAnsi="Times New Roman" w:cs="Times New Roman"/>
        </w:rPr>
        <w:t xml:space="preserve"> IN STATE BAR COURT</w:t>
      </w:r>
    </w:p>
    <w:p w:rsidR="00351C90" w:rsidRPr="00C8270A" w:rsidRDefault="00351C90" w:rsidP="00351C90"/>
    <w:p w:rsidR="00C37F2B" w:rsidRPr="00C8270A" w:rsidRDefault="002B1EF0" w:rsidP="00C37F2B">
      <w:pPr>
        <w:tabs>
          <w:tab w:val="left" w:pos="720"/>
        </w:tabs>
        <w:spacing w:line="480" w:lineRule="auto"/>
      </w:pPr>
      <w:r w:rsidRPr="00C8270A">
        <w:tab/>
        <w:t>On July </w:t>
      </w:r>
      <w:r w:rsidR="00D34AC6" w:rsidRPr="00C8270A">
        <w:t xml:space="preserve">14, 2015, </w:t>
      </w:r>
      <w:r w:rsidR="00072FDD" w:rsidRPr="00C8270A">
        <w:t>OCTC</w:t>
      </w:r>
      <w:r w:rsidR="00D34AC6" w:rsidRPr="00C8270A">
        <w:t xml:space="preserve"> filed a Notice of Disciplinary Charges (NDC) </w:t>
      </w:r>
      <w:r w:rsidR="00D6256C" w:rsidRPr="00C8270A">
        <w:t>charging Partington with professional misconduct in a foreign jurisdiction under section</w:t>
      </w:r>
      <w:r w:rsidRPr="00C8270A">
        <w:t> </w:t>
      </w:r>
      <w:r w:rsidR="00D6256C" w:rsidRPr="00C8270A">
        <w:t>6049.1 of the Business and Professions Code.</w:t>
      </w:r>
      <w:r w:rsidR="00D6256C" w:rsidRPr="00C8270A">
        <w:rPr>
          <w:vertAlign w:val="superscript"/>
        </w:rPr>
        <w:footnoteReference w:id="2"/>
      </w:r>
      <w:r w:rsidR="00D6256C" w:rsidRPr="00C8270A">
        <w:t xml:space="preserve">  </w:t>
      </w:r>
      <w:r w:rsidR="00344EE5" w:rsidRPr="00C8270A">
        <w:t>OCTC alleged that Partington’s misconduct constituted violations of section</w:t>
      </w:r>
      <w:r w:rsidRPr="00C8270A">
        <w:t> </w:t>
      </w:r>
      <w:r w:rsidR="00344EE5" w:rsidRPr="00C8270A">
        <w:t>6068, subdivision</w:t>
      </w:r>
      <w:r w:rsidRPr="00C8270A">
        <w:t> </w:t>
      </w:r>
      <w:r w:rsidR="00344EE5" w:rsidRPr="00C8270A">
        <w:t>(d)</w:t>
      </w:r>
      <w:r w:rsidR="000C0902" w:rsidRPr="00C8270A">
        <w:t>;</w:t>
      </w:r>
      <w:r w:rsidR="00784F68" w:rsidRPr="00C8270A">
        <w:rPr>
          <w:vertAlign w:val="superscript"/>
        </w:rPr>
        <w:footnoteReference w:id="3"/>
      </w:r>
      <w:r w:rsidR="00344EE5" w:rsidRPr="00C8270A">
        <w:t xml:space="preserve"> </w:t>
      </w:r>
      <w:r w:rsidR="00784F68" w:rsidRPr="00C8270A">
        <w:t>section</w:t>
      </w:r>
      <w:r w:rsidRPr="00C8270A">
        <w:t> </w:t>
      </w:r>
      <w:r w:rsidR="00784F68" w:rsidRPr="00C8270A">
        <w:t>6106</w:t>
      </w:r>
      <w:r w:rsidR="000C0902" w:rsidRPr="00C8270A">
        <w:t>;</w:t>
      </w:r>
      <w:r w:rsidR="003F4BE6" w:rsidRPr="00C8270A">
        <w:rPr>
          <w:rStyle w:val="FootnoteReference"/>
        </w:rPr>
        <w:footnoteReference w:id="4"/>
      </w:r>
      <w:r w:rsidR="00344EE5" w:rsidRPr="00C8270A">
        <w:t xml:space="preserve"> and </w:t>
      </w:r>
      <w:r w:rsidR="000C0902" w:rsidRPr="00C8270A">
        <w:t xml:space="preserve">rule 5-200 of the </w:t>
      </w:r>
      <w:r w:rsidR="00344EE5" w:rsidRPr="00C8270A">
        <w:t>California Rules of Professional Conduct</w:t>
      </w:r>
      <w:r w:rsidR="00784F68" w:rsidRPr="00C8270A">
        <w:t>.</w:t>
      </w:r>
      <w:r w:rsidR="003F39A2" w:rsidRPr="00C8270A">
        <w:rPr>
          <w:vertAlign w:val="superscript"/>
        </w:rPr>
        <w:footnoteReference w:id="5"/>
      </w:r>
      <w:r w:rsidR="00784F68" w:rsidRPr="00C8270A">
        <w:t xml:space="preserve">  </w:t>
      </w:r>
      <w:r w:rsidR="009369DA" w:rsidRPr="00C8270A">
        <w:t>After a two-day trial on November</w:t>
      </w:r>
      <w:r w:rsidRPr="00C8270A">
        <w:t> </w:t>
      </w:r>
      <w:r w:rsidR="009369DA" w:rsidRPr="00C8270A">
        <w:t xml:space="preserve">2 and 3, 2015, </w:t>
      </w:r>
      <w:r w:rsidR="00DB2E6D" w:rsidRPr="00C8270A">
        <w:t xml:space="preserve">the hearing judge </w:t>
      </w:r>
      <w:r w:rsidR="00385511" w:rsidRPr="00C8270A">
        <w:t xml:space="preserve">issued a decision </w:t>
      </w:r>
      <w:r w:rsidR="009369DA" w:rsidRPr="00C8270A">
        <w:t xml:space="preserve">on January 13, 2016, </w:t>
      </w:r>
      <w:r w:rsidR="00385511" w:rsidRPr="00C8270A">
        <w:t xml:space="preserve">finding </w:t>
      </w:r>
      <w:r w:rsidR="00DB2E6D" w:rsidRPr="00C8270A">
        <w:t>that</w:t>
      </w:r>
      <w:r w:rsidR="00DC5CEC" w:rsidRPr="00C8270A">
        <w:t>, pursuant to section</w:t>
      </w:r>
      <w:r w:rsidRPr="00C8270A">
        <w:t> </w:t>
      </w:r>
      <w:r w:rsidR="00DC5CEC" w:rsidRPr="00C8270A">
        <w:t xml:space="preserve">6049.1, the discipline issued against Partington </w:t>
      </w:r>
      <w:r w:rsidR="005E55F1" w:rsidRPr="00C8270A">
        <w:t xml:space="preserve">in the </w:t>
      </w:r>
      <w:r w:rsidR="00F26F8F" w:rsidRPr="00C8270A">
        <w:t xml:space="preserve">JAG </w:t>
      </w:r>
      <w:r w:rsidR="005E55F1" w:rsidRPr="00C8270A">
        <w:t xml:space="preserve">proceeding </w:t>
      </w:r>
      <w:r w:rsidR="00DC5CEC" w:rsidRPr="00C8270A">
        <w:t xml:space="preserve">warranted the imposition of discipline in California.  </w:t>
      </w:r>
      <w:r w:rsidR="00782760" w:rsidRPr="00C8270A">
        <w:t>Specifically, she found that Partington’s conduct constituted a violation of section</w:t>
      </w:r>
      <w:r w:rsidRPr="00C8270A">
        <w:t> </w:t>
      </w:r>
      <w:r w:rsidR="00782760" w:rsidRPr="00C8270A">
        <w:t>6068, subdivision</w:t>
      </w:r>
      <w:r w:rsidRPr="00C8270A">
        <w:t> </w:t>
      </w:r>
      <w:r w:rsidR="00782760" w:rsidRPr="00C8270A">
        <w:t xml:space="preserve">(d).  </w:t>
      </w:r>
      <w:r w:rsidR="00C37F2B" w:rsidRPr="00C8270A">
        <w:t xml:space="preserve">We focus our review on the central issues raised on appeal: </w:t>
      </w:r>
      <w:r w:rsidR="00C37F2B" w:rsidRPr="00C8270A">
        <w:lastRenderedPageBreak/>
        <w:t>whether the underlying disciplinary proceeding lacked fundamental constitutional protection and the appropriate level of discipline.</w:t>
      </w:r>
    </w:p>
    <w:p w:rsidR="00A17317" w:rsidRPr="00C8270A" w:rsidRDefault="00A17317" w:rsidP="00BE7D5A">
      <w:pPr>
        <w:pStyle w:val="Heading2"/>
        <w:rPr>
          <w:rFonts w:ascii="Times New Roman" w:hAnsi="Times New Roman" w:cs="Times New Roman"/>
        </w:rPr>
      </w:pPr>
      <w:r w:rsidRPr="00C8270A">
        <w:rPr>
          <w:rFonts w:ascii="Times New Roman" w:hAnsi="Times New Roman" w:cs="Times New Roman"/>
        </w:rPr>
        <w:t xml:space="preserve">II.  </w:t>
      </w:r>
      <w:r w:rsidR="00282004" w:rsidRPr="00C8270A">
        <w:rPr>
          <w:rFonts w:ascii="Times New Roman" w:hAnsi="Times New Roman" w:cs="Times New Roman"/>
        </w:rPr>
        <w:t>JAG PROCEEDINGS</w:t>
      </w:r>
    </w:p>
    <w:p w:rsidR="0056752B" w:rsidRPr="00C8270A" w:rsidRDefault="000E51D3" w:rsidP="0056752B">
      <w:pPr>
        <w:pStyle w:val="ListParagraph"/>
        <w:tabs>
          <w:tab w:val="left" w:pos="720"/>
        </w:tabs>
        <w:spacing w:line="480" w:lineRule="auto"/>
        <w:ind w:left="0"/>
      </w:pPr>
      <w:r w:rsidRPr="00C8270A">
        <w:rPr>
          <w:b/>
        </w:rPr>
        <w:tab/>
      </w:r>
      <w:r w:rsidRPr="00C8270A">
        <w:t>Partington was admitted to practice law in California on January</w:t>
      </w:r>
      <w:r w:rsidR="00984EBB" w:rsidRPr="00C8270A">
        <w:t> </w:t>
      </w:r>
      <w:r w:rsidRPr="00C8270A">
        <w:t xml:space="preserve">15, 1970, and has no prior record of discipline.  </w:t>
      </w:r>
    </w:p>
    <w:p w:rsidR="0079633D" w:rsidRPr="00C8270A" w:rsidRDefault="0056752B" w:rsidP="00BE7D5A">
      <w:pPr>
        <w:pStyle w:val="Heading3"/>
        <w:rPr>
          <w:rFonts w:ascii="Times New Roman" w:hAnsi="Times New Roman" w:cs="Times New Roman"/>
        </w:rPr>
      </w:pPr>
      <w:r w:rsidRPr="00C8270A">
        <w:rPr>
          <w:rFonts w:ascii="Times New Roman" w:hAnsi="Times New Roman" w:cs="Times New Roman"/>
        </w:rPr>
        <w:t>A.</w:t>
      </w:r>
      <w:r w:rsidRPr="00C8270A">
        <w:rPr>
          <w:rFonts w:ascii="Times New Roman" w:hAnsi="Times New Roman" w:cs="Times New Roman"/>
        </w:rPr>
        <w:tab/>
      </w:r>
      <w:r w:rsidR="0079633D" w:rsidRPr="00C8270A">
        <w:rPr>
          <w:rFonts w:ascii="Times New Roman" w:hAnsi="Times New Roman" w:cs="Times New Roman"/>
        </w:rPr>
        <w:t>Misconduct During Navy General Court-Martial Proceedings</w:t>
      </w:r>
    </w:p>
    <w:p w:rsidR="00A17317" w:rsidRPr="00C8270A" w:rsidRDefault="0079633D" w:rsidP="000E51D3">
      <w:pPr>
        <w:pStyle w:val="ListParagraph"/>
        <w:tabs>
          <w:tab w:val="left" w:pos="720"/>
        </w:tabs>
        <w:spacing w:line="480" w:lineRule="auto"/>
        <w:ind w:left="0"/>
      </w:pPr>
      <w:r w:rsidRPr="00C8270A">
        <w:tab/>
      </w:r>
      <w:r w:rsidR="00F07853" w:rsidRPr="00C8270A">
        <w:t>In April 2006, Partington appeared as civilian defense counsel in the general court</w:t>
      </w:r>
      <w:r w:rsidR="005E536D" w:rsidRPr="00C8270A">
        <w:t>-martial of Stewart Toles</w:t>
      </w:r>
      <w:r w:rsidR="00F07853" w:rsidRPr="00C8270A">
        <w:t xml:space="preserve"> II, a U</w:t>
      </w:r>
      <w:r w:rsidR="000C0902" w:rsidRPr="00C8270A">
        <w:t>nited States</w:t>
      </w:r>
      <w:r w:rsidR="00F07853" w:rsidRPr="00C8270A">
        <w:t xml:space="preserve"> Navy sailor stationed</w:t>
      </w:r>
      <w:r w:rsidR="009369DA" w:rsidRPr="00C8270A">
        <w:t xml:space="preserve"> in Hawaii.  On July</w:t>
      </w:r>
      <w:r w:rsidR="00E500B0" w:rsidRPr="00C8270A">
        <w:t> </w:t>
      </w:r>
      <w:r w:rsidR="009369DA" w:rsidRPr="00C8270A">
        <w:t xml:space="preserve">25, 2006, pursuant to a pretrial agreement, </w:t>
      </w:r>
      <w:r w:rsidR="00F07853" w:rsidRPr="00C8270A">
        <w:t>Toles pled guilty to several criminal charges</w:t>
      </w:r>
      <w:r w:rsidR="009369DA" w:rsidRPr="00C8270A">
        <w:t xml:space="preserve"> </w:t>
      </w:r>
      <w:r w:rsidR="00F07853" w:rsidRPr="00C8270A">
        <w:t xml:space="preserve">and was sentenced.  </w:t>
      </w:r>
      <w:r w:rsidRPr="00C8270A">
        <w:t>On March</w:t>
      </w:r>
      <w:r w:rsidR="00E500B0" w:rsidRPr="00C8270A">
        <w:t> </w:t>
      </w:r>
      <w:r w:rsidR="00CB0104" w:rsidRPr="00C8270A">
        <w:t>23, 2007, Partington signed and filed an appellate brief in the U</w:t>
      </w:r>
      <w:r w:rsidR="00EB656B" w:rsidRPr="00C8270A">
        <w:t>nited States</w:t>
      </w:r>
      <w:r w:rsidR="00CB0104" w:rsidRPr="00C8270A">
        <w:t xml:space="preserve"> Navy-Marine Corps Court of Criminal Appeals (NMCCA) challenging Toles’</w:t>
      </w:r>
      <w:r w:rsidR="00A832FE" w:rsidRPr="00C8270A">
        <w:t>s</w:t>
      </w:r>
      <w:r w:rsidR="00CB0104" w:rsidRPr="00C8270A">
        <w:t xml:space="preserve"> guilty pleas and sentence in the court martial proceeding.  </w:t>
      </w:r>
      <w:r w:rsidR="00B6179C" w:rsidRPr="00C8270A">
        <w:t>In this appellate brief, Partington made the following statements that the NMCCA</w:t>
      </w:r>
      <w:r w:rsidR="009449A5" w:rsidRPr="00C8270A">
        <w:t xml:space="preserve"> found to be misrepresent</w:t>
      </w:r>
      <w:r w:rsidR="00F6756C" w:rsidRPr="00C8270A">
        <w:t xml:space="preserve">ations of </w:t>
      </w:r>
      <w:r w:rsidR="009449A5" w:rsidRPr="00C8270A">
        <w:t>the trial record</w:t>
      </w:r>
      <w:r w:rsidR="00F6756C" w:rsidRPr="00C8270A">
        <w:t>:</w:t>
      </w:r>
      <w:r w:rsidR="00B6179C" w:rsidRPr="00C8270A">
        <w:t xml:space="preserve"> (1)</w:t>
      </w:r>
      <w:r w:rsidR="00E500B0" w:rsidRPr="00C8270A">
        <w:t> </w:t>
      </w:r>
      <w:r w:rsidR="00B6179C" w:rsidRPr="00C8270A">
        <w:t>the military judge “dismissed” specificati</w:t>
      </w:r>
      <w:r w:rsidR="00000495" w:rsidRPr="00C8270A">
        <w:t xml:space="preserve">ons under </w:t>
      </w:r>
      <w:r w:rsidR="00EB656B" w:rsidRPr="00C8270A">
        <w:t xml:space="preserve">title </w:t>
      </w:r>
      <w:r w:rsidR="00000495" w:rsidRPr="00C8270A">
        <w:t>18</w:t>
      </w:r>
      <w:r w:rsidR="00E500B0" w:rsidRPr="00C8270A">
        <w:t> </w:t>
      </w:r>
      <w:r w:rsidR="00000495" w:rsidRPr="00C8270A">
        <w:t>U</w:t>
      </w:r>
      <w:r w:rsidR="00EB656B" w:rsidRPr="00C8270A">
        <w:t>nited States Code</w:t>
      </w:r>
      <w:r w:rsidR="00000495" w:rsidRPr="00C8270A">
        <w:t xml:space="preserve"> section</w:t>
      </w:r>
      <w:r w:rsidR="00E500B0" w:rsidRPr="00C8270A">
        <w:t> </w:t>
      </w:r>
      <w:r w:rsidR="00000495" w:rsidRPr="00C8270A">
        <w:t>1801</w:t>
      </w:r>
      <w:r w:rsidR="00282004" w:rsidRPr="00C8270A">
        <w:t>;</w:t>
      </w:r>
      <w:r w:rsidR="00000495" w:rsidRPr="00C8270A">
        <w:rPr>
          <w:rStyle w:val="FootnoteReference"/>
        </w:rPr>
        <w:footnoteReference w:id="6"/>
      </w:r>
      <w:r w:rsidR="00B6179C" w:rsidRPr="00C8270A">
        <w:t xml:space="preserve"> (2)</w:t>
      </w:r>
      <w:r w:rsidR="00E500B0" w:rsidRPr="00C8270A">
        <w:t> </w:t>
      </w:r>
      <w:r w:rsidR="00B6179C" w:rsidRPr="00C8270A">
        <w:t>the military judge “</w:t>
      </w:r>
      <w:r w:rsidR="0099289C" w:rsidRPr="00C8270A">
        <w:t>‘</w:t>
      </w:r>
      <w:r w:rsidR="00B6179C" w:rsidRPr="00C8270A">
        <w:t>acquitted</w:t>
      </w:r>
      <w:r w:rsidR="0099289C" w:rsidRPr="00C8270A">
        <w:t>’</w:t>
      </w:r>
      <w:r w:rsidR="00B6179C" w:rsidRPr="00C8270A">
        <w:t>” Toles on those specifications prior to the findings; (3)</w:t>
      </w:r>
      <w:r w:rsidR="00E500B0" w:rsidRPr="00C8270A">
        <w:t> </w:t>
      </w:r>
      <w:r w:rsidR="00B6179C" w:rsidRPr="00C8270A">
        <w:t>the military judge “ruled” that the “video voyeurism specifications</w:t>
      </w:r>
      <w:r w:rsidR="00E500B0" w:rsidRPr="00C8270A">
        <w:t xml:space="preserve"> </w:t>
      </w:r>
      <w:r w:rsidR="00B6179C" w:rsidRPr="00C8270A">
        <w:t xml:space="preserve">. . . </w:t>
      </w:r>
      <w:r w:rsidR="00A72A4E" w:rsidRPr="00C8270A">
        <w:t>did not allege that offense</w:t>
      </w:r>
      <w:r w:rsidR="00EB656B" w:rsidRPr="00C8270A">
        <w:t>”</w:t>
      </w:r>
      <w:r w:rsidR="00E76F40" w:rsidRPr="00C8270A">
        <w:t>;</w:t>
      </w:r>
      <w:r w:rsidR="00A72A4E" w:rsidRPr="00C8270A">
        <w:t xml:space="preserve"> and (4)</w:t>
      </w:r>
      <w:r w:rsidR="0000161D" w:rsidRPr="00C8270A">
        <w:t> </w:t>
      </w:r>
      <w:r w:rsidR="00BB3170" w:rsidRPr="00C8270A">
        <w:t xml:space="preserve">Toles “had moved for neither an acquittal nor a dismissal of these specifications.”  </w:t>
      </w:r>
    </w:p>
    <w:p w:rsidR="0056752B" w:rsidRPr="00C8270A" w:rsidRDefault="00A531AD" w:rsidP="0056752B">
      <w:pPr>
        <w:pStyle w:val="ListParagraph"/>
        <w:tabs>
          <w:tab w:val="left" w:pos="720"/>
        </w:tabs>
        <w:spacing w:line="480" w:lineRule="auto"/>
        <w:ind w:left="0"/>
      </w:pPr>
      <w:r w:rsidRPr="00C8270A">
        <w:tab/>
        <w:t>On October</w:t>
      </w:r>
      <w:r w:rsidR="0000161D" w:rsidRPr="00C8270A">
        <w:t> </w:t>
      </w:r>
      <w:r w:rsidRPr="00C8270A">
        <w:t xml:space="preserve">30, 2007, the NMCCA issued its opinion affirming the military judge’s findings and sentence.  In the opinion, the court found that Partington’s </w:t>
      </w:r>
      <w:r w:rsidR="00EB656B" w:rsidRPr="00C8270A">
        <w:t>a</w:t>
      </w:r>
      <w:r w:rsidR="009C6F6A" w:rsidRPr="00C8270A">
        <w:t>ppellate brief</w:t>
      </w:r>
      <w:r w:rsidR="00EB656B" w:rsidRPr="00C8270A">
        <w:t xml:space="preserve"> contained</w:t>
      </w:r>
      <w:r w:rsidR="00F6756C" w:rsidRPr="00C8270A">
        <w:t xml:space="preserve"> </w:t>
      </w:r>
      <w:r w:rsidRPr="00C8270A">
        <w:t xml:space="preserve">“wholly unsupported allegations of error,” “disingenuous” arguments, and misrepresentations of the trial record.  </w:t>
      </w:r>
      <w:r w:rsidR="0053254E" w:rsidRPr="00C8270A">
        <w:t>Specifically, the NMCCA found that</w:t>
      </w:r>
      <w:r w:rsidR="0000161D" w:rsidRPr="00C8270A">
        <w:t>:</w:t>
      </w:r>
      <w:r w:rsidR="0053254E" w:rsidRPr="00C8270A">
        <w:t xml:space="preserve"> Toles had moved to dismiss the specifications under </w:t>
      </w:r>
      <w:r w:rsidR="00EB656B" w:rsidRPr="00C8270A">
        <w:t xml:space="preserve">title </w:t>
      </w:r>
      <w:r w:rsidR="0053254E" w:rsidRPr="00C8270A">
        <w:t>18</w:t>
      </w:r>
      <w:r w:rsidR="0000161D" w:rsidRPr="00C8270A">
        <w:t> </w:t>
      </w:r>
      <w:r w:rsidR="0053254E" w:rsidRPr="00C8270A">
        <w:t>U</w:t>
      </w:r>
      <w:r w:rsidR="00EB656B" w:rsidRPr="00C8270A">
        <w:t>nited States Code</w:t>
      </w:r>
      <w:r w:rsidR="0053254E" w:rsidRPr="00C8270A">
        <w:t xml:space="preserve"> section</w:t>
      </w:r>
      <w:r w:rsidR="0000161D" w:rsidRPr="00C8270A">
        <w:t> </w:t>
      </w:r>
      <w:r w:rsidR="0053254E" w:rsidRPr="00C8270A">
        <w:t>1801</w:t>
      </w:r>
      <w:r w:rsidR="0000161D" w:rsidRPr="00C8270A">
        <w:t>;</w:t>
      </w:r>
      <w:r w:rsidR="0053254E" w:rsidRPr="00C8270A">
        <w:t xml:space="preserve"> the military judge did not dismiss </w:t>
      </w:r>
      <w:r w:rsidR="0053254E" w:rsidRPr="00C8270A">
        <w:lastRenderedPageBreak/>
        <w:t>these specifications or otherwise rule that they failed to state an offense</w:t>
      </w:r>
      <w:r w:rsidR="0000161D" w:rsidRPr="00C8270A">
        <w:t>;</w:t>
      </w:r>
      <w:r w:rsidR="0053254E" w:rsidRPr="00C8270A">
        <w:t xml:space="preserve"> </w:t>
      </w:r>
      <w:r w:rsidR="00D30300" w:rsidRPr="00C8270A">
        <w:t xml:space="preserve">and </w:t>
      </w:r>
      <w:r w:rsidR="00EA282D" w:rsidRPr="00C8270A">
        <w:t xml:space="preserve">the military judge </w:t>
      </w:r>
      <w:r w:rsidR="0053254E" w:rsidRPr="00C8270A">
        <w:t xml:space="preserve">did not </w:t>
      </w:r>
      <w:r w:rsidR="003E0CFE" w:rsidRPr="00C8270A">
        <w:t>acquit</w:t>
      </w:r>
      <w:r w:rsidR="00D30300" w:rsidRPr="00C8270A">
        <w:t xml:space="preserve"> Toles of the</w:t>
      </w:r>
      <w:r w:rsidR="0053254E" w:rsidRPr="00C8270A">
        <w:t>se specifications</w:t>
      </w:r>
      <w:r w:rsidR="00D30300" w:rsidRPr="00C8270A">
        <w:t xml:space="preserve">.  </w:t>
      </w:r>
      <w:r w:rsidR="00A94E5B" w:rsidRPr="00C8270A">
        <w:t xml:space="preserve">Based on </w:t>
      </w:r>
      <w:r w:rsidR="006C4B4F" w:rsidRPr="00C8270A">
        <w:t>its concerns</w:t>
      </w:r>
      <w:r w:rsidR="00DE5FE1" w:rsidRPr="00C8270A">
        <w:t xml:space="preserve"> regarding Partington’s misrepresentations</w:t>
      </w:r>
      <w:r w:rsidR="007643FB" w:rsidRPr="00C8270A">
        <w:t xml:space="preserve"> and “unsavory tactics,”</w:t>
      </w:r>
      <w:r w:rsidR="00A94E5B" w:rsidRPr="00C8270A">
        <w:t xml:space="preserve"> the NMCCA forwarded </w:t>
      </w:r>
      <w:r w:rsidR="0000161D" w:rsidRPr="00C8270A">
        <w:t xml:space="preserve">its </w:t>
      </w:r>
      <w:r w:rsidR="00A94E5B" w:rsidRPr="00C8270A">
        <w:t>opinion to the Judge Advocate General</w:t>
      </w:r>
      <w:r w:rsidR="007643FB" w:rsidRPr="00C8270A">
        <w:t xml:space="preserve"> </w:t>
      </w:r>
      <w:r w:rsidR="00EB656B" w:rsidRPr="00C8270A">
        <w:t xml:space="preserve">and the Navy’s Rules Counsel </w:t>
      </w:r>
      <w:r w:rsidR="007643FB" w:rsidRPr="00C8270A">
        <w:t>for review and action</w:t>
      </w:r>
      <w:r w:rsidR="00261B88" w:rsidRPr="00C8270A">
        <w:t xml:space="preserve">.  </w:t>
      </w:r>
    </w:p>
    <w:p w:rsidR="00A94E5B" w:rsidRPr="00C8270A" w:rsidRDefault="0056752B" w:rsidP="00BE7D5A">
      <w:pPr>
        <w:pStyle w:val="Heading3"/>
        <w:rPr>
          <w:rFonts w:ascii="Times New Roman" w:hAnsi="Times New Roman" w:cs="Times New Roman"/>
        </w:rPr>
      </w:pPr>
      <w:r w:rsidRPr="00C8270A">
        <w:rPr>
          <w:rFonts w:ascii="Times New Roman" w:hAnsi="Times New Roman" w:cs="Times New Roman"/>
        </w:rPr>
        <w:t>B.</w:t>
      </w:r>
      <w:r w:rsidRPr="00C8270A">
        <w:rPr>
          <w:rFonts w:ascii="Times New Roman" w:hAnsi="Times New Roman" w:cs="Times New Roman"/>
        </w:rPr>
        <w:tab/>
      </w:r>
      <w:r w:rsidR="003A1A33" w:rsidRPr="00C8270A">
        <w:rPr>
          <w:rFonts w:ascii="Times New Roman" w:hAnsi="Times New Roman" w:cs="Times New Roman"/>
        </w:rPr>
        <w:t>JAG Imposed Indefinite Suspension</w:t>
      </w:r>
    </w:p>
    <w:p w:rsidR="00261B88" w:rsidRPr="00C8270A" w:rsidRDefault="00261B88" w:rsidP="00261B88">
      <w:pPr>
        <w:tabs>
          <w:tab w:val="left" w:pos="720"/>
        </w:tabs>
        <w:spacing w:line="480" w:lineRule="auto"/>
      </w:pPr>
      <w:r w:rsidRPr="00C8270A">
        <w:rPr>
          <w:b/>
        </w:rPr>
        <w:tab/>
      </w:r>
      <w:r w:rsidRPr="00C8270A">
        <w:t>On October</w:t>
      </w:r>
      <w:r w:rsidR="006C4B4F" w:rsidRPr="00C8270A">
        <w:t> </w:t>
      </w:r>
      <w:r w:rsidR="00EA6C28" w:rsidRPr="00C8270A">
        <w:t>10</w:t>
      </w:r>
      <w:r w:rsidRPr="00C8270A">
        <w:t>, 200</w:t>
      </w:r>
      <w:r w:rsidR="00EA6C28" w:rsidRPr="00C8270A">
        <w:t>8</w:t>
      </w:r>
      <w:r w:rsidRPr="00C8270A">
        <w:t xml:space="preserve">, Partington was advised by letter that </w:t>
      </w:r>
      <w:r w:rsidR="006C4B4F" w:rsidRPr="00C8270A">
        <w:t xml:space="preserve">the NMCCA had filed </w:t>
      </w:r>
      <w:r w:rsidRPr="00C8270A">
        <w:t xml:space="preserve">a complaint with the Navy Rules Counsel.  </w:t>
      </w:r>
      <w:r w:rsidR="00CE50B7" w:rsidRPr="00C8270A">
        <w:t>On June</w:t>
      </w:r>
      <w:r w:rsidR="006C4B4F" w:rsidRPr="00C8270A">
        <w:t> </w:t>
      </w:r>
      <w:r w:rsidR="00CE50B7" w:rsidRPr="00C8270A">
        <w:t>18, 2009, the Rules Counsel appointed Captain Robert Porzeinski, JAGC, USNR, to conduct a preliminary inquiry into th</w:t>
      </w:r>
      <w:r w:rsidR="00F06AE6" w:rsidRPr="00C8270A">
        <w:t>at</w:t>
      </w:r>
      <w:r w:rsidR="00CE50B7" w:rsidRPr="00C8270A">
        <w:t xml:space="preserve"> complaint.  Captain </w:t>
      </w:r>
      <w:r w:rsidR="009E1E68" w:rsidRPr="00C8270A">
        <w:t>Porzeinski completed his inquiry on July</w:t>
      </w:r>
      <w:r w:rsidR="00F06AE6" w:rsidRPr="00C8270A">
        <w:t> </w:t>
      </w:r>
      <w:r w:rsidR="009E1E68" w:rsidRPr="00C8270A">
        <w:t>16, 2009, concluding by a preponderance of the evidenc</w:t>
      </w:r>
      <w:r w:rsidR="0026652B" w:rsidRPr="00C8270A">
        <w:t>e that Partington had violated r</w:t>
      </w:r>
      <w:r w:rsidR="009E1E68" w:rsidRPr="00C8270A">
        <w:t>ules</w:t>
      </w:r>
      <w:r w:rsidR="00F06AE6" w:rsidRPr="00C8270A">
        <w:t> </w:t>
      </w:r>
      <w:r w:rsidR="009E1E68" w:rsidRPr="00C8270A">
        <w:t>3.1 (Meritorious Claims and Contentions)</w:t>
      </w:r>
      <w:r w:rsidR="009449A5" w:rsidRPr="00C8270A">
        <w:rPr>
          <w:rStyle w:val="FootnoteReference"/>
        </w:rPr>
        <w:footnoteReference w:id="7"/>
      </w:r>
      <w:r w:rsidR="009E1E68" w:rsidRPr="00C8270A">
        <w:t xml:space="preserve"> and 3.3 (Candor and Obligation</w:t>
      </w:r>
      <w:r w:rsidR="0026652B" w:rsidRPr="00C8270A">
        <w:t>s Toward the Tribunal</w:t>
      </w:r>
      <w:r w:rsidR="009E1E68" w:rsidRPr="00C8270A">
        <w:t>)</w:t>
      </w:r>
      <w:r w:rsidR="00C81E2C" w:rsidRPr="00C8270A">
        <w:rPr>
          <w:rStyle w:val="FootnoteReference"/>
        </w:rPr>
        <w:footnoteReference w:id="8"/>
      </w:r>
      <w:r w:rsidR="009E1E68" w:rsidRPr="00C8270A">
        <w:t xml:space="preserve"> of JAG Instruction</w:t>
      </w:r>
      <w:r w:rsidR="00F06AE6" w:rsidRPr="00C8270A">
        <w:t> </w:t>
      </w:r>
      <w:r w:rsidR="009E1E68" w:rsidRPr="00C8270A">
        <w:t>5803.1C</w:t>
      </w:r>
      <w:r w:rsidR="0026652B" w:rsidRPr="00C8270A">
        <w:t xml:space="preserve"> (Rule 3.1 and Rule 3.3, respectively)</w:t>
      </w:r>
      <w:r w:rsidR="009E1E68" w:rsidRPr="00C8270A">
        <w:t>.  Based on his findings, Captain Porzeinski recommended that a formal ethics investigation be convened.</w:t>
      </w:r>
    </w:p>
    <w:p w:rsidR="00D32121" w:rsidRPr="00C8270A" w:rsidRDefault="00D32121" w:rsidP="00261B88">
      <w:pPr>
        <w:tabs>
          <w:tab w:val="left" w:pos="720"/>
        </w:tabs>
        <w:spacing w:line="480" w:lineRule="auto"/>
      </w:pPr>
      <w:r w:rsidRPr="00C8270A">
        <w:tab/>
        <w:t>On October</w:t>
      </w:r>
      <w:r w:rsidR="00F06AE6" w:rsidRPr="00C8270A">
        <w:t> </w:t>
      </w:r>
      <w:r w:rsidRPr="00C8270A">
        <w:t xml:space="preserve">6, 2009, the Rules Counsel appointed Captain Robert Blazewick, JAGC, USN, to conduct a formal ethics investigation into the allegations of </w:t>
      </w:r>
      <w:r w:rsidR="00F06AE6" w:rsidRPr="00C8270A">
        <w:t xml:space="preserve">Partington’s </w:t>
      </w:r>
      <w:r w:rsidRPr="00C8270A">
        <w:t>misconduct</w:t>
      </w:r>
      <w:r w:rsidR="00F06AE6" w:rsidRPr="00C8270A">
        <w:t>.</w:t>
      </w:r>
      <w:r w:rsidRPr="00C8270A">
        <w:t xml:space="preserve">  Partington was notified by letter that same day of the formal investigation and </w:t>
      </w:r>
      <w:r w:rsidR="00EA282D" w:rsidRPr="00C8270A">
        <w:t xml:space="preserve">provided with </w:t>
      </w:r>
      <w:r w:rsidRPr="00C8270A">
        <w:t xml:space="preserve">a list of </w:t>
      </w:r>
      <w:r w:rsidR="00802E47" w:rsidRPr="00C8270A">
        <w:t xml:space="preserve">his alleged </w:t>
      </w:r>
      <w:r w:rsidRPr="00C8270A">
        <w:t xml:space="preserve">professional conduct violations.  </w:t>
      </w:r>
      <w:r w:rsidR="00F06AE6" w:rsidRPr="00C8270A">
        <w:t>He</w:t>
      </w:r>
      <w:r w:rsidRPr="00C8270A">
        <w:t xml:space="preserve"> was also advised of his rights, including to request a hearing, to inspect all evidence, to present oral or written materials, to call witnesses</w:t>
      </w:r>
      <w:r w:rsidR="00802E47" w:rsidRPr="00C8270A">
        <w:t>,</w:t>
      </w:r>
      <w:r w:rsidRPr="00C8270A">
        <w:t xml:space="preserve"> and </w:t>
      </w:r>
      <w:r w:rsidR="00802E47" w:rsidRPr="00C8270A">
        <w:t xml:space="preserve">to </w:t>
      </w:r>
      <w:r w:rsidRPr="00C8270A">
        <w:t xml:space="preserve">be assisted by counsel.  </w:t>
      </w:r>
      <w:r w:rsidR="009E6799" w:rsidRPr="00C8270A">
        <w:t>Between October</w:t>
      </w:r>
      <w:r w:rsidR="00802E47" w:rsidRPr="00C8270A">
        <w:t> </w:t>
      </w:r>
      <w:r w:rsidR="004766FF" w:rsidRPr="00C8270A">
        <w:t>2</w:t>
      </w:r>
      <w:r w:rsidR="0026652B" w:rsidRPr="00C8270A">
        <w:t>9</w:t>
      </w:r>
      <w:r w:rsidR="004766FF" w:rsidRPr="00C8270A">
        <w:t>, 2009 and January</w:t>
      </w:r>
      <w:r w:rsidR="00802E47" w:rsidRPr="00C8270A">
        <w:t> </w:t>
      </w:r>
      <w:r w:rsidR="004766FF" w:rsidRPr="00C8270A">
        <w:t xml:space="preserve">11, 2010, Partington and Captain Blazewick exchanged letters and emails regarding the formal investigation.  </w:t>
      </w:r>
      <w:r w:rsidR="00802E47" w:rsidRPr="00C8270A">
        <w:t xml:space="preserve">On several occasions, </w:t>
      </w:r>
      <w:r w:rsidR="004766FF" w:rsidRPr="00C8270A">
        <w:t>Partington was offered a hearing</w:t>
      </w:r>
      <w:r w:rsidR="00211158" w:rsidRPr="00C8270A">
        <w:t>, and one</w:t>
      </w:r>
      <w:r w:rsidR="001013D0" w:rsidRPr="00C8270A">
        <w:t xml:space="preserve"> was </w:t>
      </w:r>
      <w:r w:rsidR="00211158" w:rsidRPr="00C8270A">
        <w:t>scheduled</w:t>
      </w:r>
      <w:r w:rsidR="001013D0" w:rsidRPr="00C8270A">
        <w:t xml:space="preserve"> despite his statement </w:t>
      </w:r>
      <w:r w:rsidR="004766FF" w:rsidRPr="00C8270A">
        <w:t xml:space="preserve">that he </w:t>
      </w:r>
      <w:r w:rsidR="004766FF" w:rsidRPr="00C8270A">
        <w:lastRenderedPageBreak/>
        <w:t xml:space="preserve">had “no intention” of participating.  </w:t>
      </w:r>
      <w:r w:rsidR="00300D29" w:rsidRPr="00C8270A">
        <w:t xml:space="preserve">Ultimately, </w:t>
      </w:r>
      <w:r w:rsidR="001013D0" w:rsidRPr="00C8270A">
        <w:t xml:space="preserve">however, </w:t>
      </w:r>
      <w:r w:rsidR="00300D29" w:rsidRPr="00C8270A">
        <w:t xml:space="preserve">a hearing was not held because </w:t>
      </w:r>
      <w:r w:rsidR="00BF5C60" w:rsidRPr="00C8270A">
        <w:t>he</w:t>
      </w:r>
      <w:r w:rsidR="00300D29" w:rsidRPr="00C8270A">
        <w:t xml:space="preserve"> declined to </w:t>
      </w:r>
      <w:r w:rsidR="0004246D" w:rsidRPr="00C8270A">
        <w:t>participate</w:t>
      </w:r>
      <w:r w:rsidR="00300D29" w:rsidRPr="00C8270A">
        <w:t xml:space="preserve">.  </w:t>
      </w:r>
      <w:r w:rsidR="004766FF" w:rsidRPr="00C8270A">
        <w:t xml:space="preserve">Partington was also provided with all </w:t>
      </w:r>
      <w:r w:rsidR="00BF5C60" w:rsidRPr="00C8270A">
        <w:t xml:space="preserve">the </w:t>
      </w:r>
      <w:r w:rsidR="004766FF" w:rsidRPr="00C8270A">
        <w:t xml:space="preserve">evidence gathered by Captain Blazewick and given opportunities to provide responsive information.  </w:t>
      </w:r>
    </w:p>
    <w:p w:rsidR="003A1A33" w:rsidRPr="00C8270A" w:rsidRDefault="00734E6A" w:rsidP="00261B88">
      <w:pPr>
        <w:tabs>
          <w:tab w:val="left" w:pos="720"/>
        </w:tabs>
        <w:spacing w:line="480" w:lineRule="auto"/>
      </w:pPr>
      <w:r w:rsidRPr="00C8270A">
        <w:tab/>
        <w:t>On February</w:t>
      </w:r>
      <w:r w:rsidR="00BF5C60" w:rsidRPr="00C8270A">
        <w:t> </w:t>
      </w:r>
      <w:r w:rsidRPr="00C8270A">
        <w:t>19, 2010, Captain Blazewick presented the results of his investigation</w:t>
      </w:r>
      <w:r w:rsidR="0004246D" w:rsidRPr="00C8270A">
        <w:t xml:space="preserve"> to </w:t>
      </w:r>
      <w:r w:rsidR="00BF5C60" w:rsidRPr="00C8270A">
        <w:t xml:space="preserve">the </w:t>
      </w:r>
      <w:r w:rsidR="0004246D" w:rsidRPr="00C8270A">
        <w:t>Rules Counsel</w:t>
      </w:r>
      <w:r w:rsidR="00A46BAC" w:rsidRPr="00C8270A">
        <w:t>, conclud</w:t>
      </w:r>
      <w:r w:rsidR="00063ED9" w:rsidRPr="00C8270A">
        <w:t>ing</w:t>
      </w:r>
      <w:r w:rsidR="00A46BAC" w:rsidRPr="00C8270A">
        <w:t xml:space="preserve"> by clear and convincing evidence</w:t>
      </w:r>
      <w:r w:rsidR="0004246D" w:rsidRPr="00C8270A">
        <w:t xml:space="preserve"> </w:t>
      </w:r>
      <w:r w:rsidR="00A46BAC" w:rsidRPr="00C8270A">
        <w:t xml:space="preserve">that Partington violated </w:t>
      </w:r>
      <w:r w:rsidR="00B30E5B" w:rsidRPr="00C8270A">
        <w:t>Rules 3.1</w:t>
      </w:r>
      <w:r w:rsidR="00A46BAC" w:rsidRPr="00C8270A">
        <w:t xml:space="preserve"> and 3.3, </w:t>
      </w:r>
      <w:r w:rsidRPr="00C8270A">
        <w:t>with a recommendation that the formal investigation be forwarded to the JAG for</w:t>
      </w:r>
      <w:r w:rsidR="0026652B" w:rsidRPr="00C8270A">
        <w:t xml:space="preserve"> further</w:t>
      </w:r>
      <w:r w:rsidRPr="00C8270A">
        <w:t xml:space="preserve"> action</w:t>
      </w:r>
      <w:r w:rsidR="00A46BAC" w:rsidRPr="00C8270A">
        <w:t xml:space="preserve">.  </w:t>
      </w:r>
    </w:p>
    <w:p w:rsidR="0056752B" w:rsidRPr="00C8270A" w:rsidRDefault="003A1A33" w:rsidP="0056752B">
      <w:pPr>
        <w:tabs>
          <w:tab w:val="left" w:pos="720"/>
        </w:tabs>
        <w:spacing w:line="480" w:lineRule="auto"/>
      </w:pPr>
      <w:r w:rsidRPr="00C8270A">
        <w:tab/>
      </w:r>
      <w:r w:rsidR="00A46BAC" w:rsidRPr="00C8270A">
        <w:t>On May</w:t>
      </w:r>
      <w:r w:rsidR="00BF5C60" w:rsidRPr="00C8270A">
        <w:t> </w:t>
      </w:r>
      <w:r w:rsidR="00A46BAC" w:rsidRPr="00C8270A">
        <w:t>17, 2010</w:t>
      </w:r>
      <w:r w:rsidR="00BF5C60" w:rsidRPr="00C8270A">
        <w:t>,</w:t>
      </w:r>
      <w:r w:rsidR="00A46BAC" w:rsidRPr="00C8270A">
        <w:t xml:space="preserve"> Vice Admiral James Houck, JAGC, USN, issued a decision against Partington</w:t>
      </w:r>
      <w:r w:rsidR="003E695F" w:rsidRPr="00C8270A">
        <w:t>, which found</w:t>
      </w:r>
      <w:r w:rsidR="00A46BAC" w:rsidRPr="00C8270A">
        <w:t xml:space="preserve"> by clear and convincing evidence that </w:t>
      </w:r>
      <w:r w:rsidR="008924C4" w:rsidRPr="00C8270A">
        <w:t>he</w:t>
      </w:r>
      <w:r w:rsidR="00A46BAC" w:rsidRPr="00C8270A">
        <w:t xml:space="preserve"> violated Rules 3.1 and 3.3</w:t>
      </w:r>
      <w:r w:rsidR="008924C4" w:rsidRPr="00C8270A">
        <w:t>.  The decision</w:t>
      </w:r>
      <w:r w:rsidR="0005721C" w:rsidRPr="00C8270A">
        <w:t xml:space="preserve"> indefinitely suspended </w:t>
      </w:r>
      <w:r w:rsidR="008924C4" w:rsidRPr="00C8270A">
        <w:t>Partington</w:t>
      </w:r>
      <w:r w:rsidR="0005721C" w:rsidRPr="00C8270A">
        <w:t xml:space="preserve"> from practicing law in any proceedings conducted under the supervision and cognizance of the Department of the Navy.</w:t>
      </w:r>
      <w:r w:rsidR="00D62E75" w:rsidRPr="00C8270A">
        <w:t xml:space="preserve"> </w:t>
      </w:r>
      <w:r w:rsidR="003E695F" w:rsidRPr="00C8270A">
        <w:t xml:space="preserve"> </w:t>
      </w:r>
      <w:r w:rsidR="008924C4" w:rsidRPr="00C8270A">
        <w:t>It</w:t>
      </w:r>
      <w:r w:rsidR="00CB0233" w:rsidRPr="00C8270A">
        <w:t xml:space="preserve"> concluded </w:t>
      </w:r>
      <w:r w:rsidR="0005721C" w:rsidRPr="00C8270A">
        <w:t xml:space="preserve">that Partington “filed an appellate brief with NMCCA that contained statements that [he] knew </w:t>
      </w:r>
      <w:r w:rsidR="003E695F" w:rsidRPr="00C8270A">
        <w:t>to be both false and misleading</w:t>
      </w:r>
      <w:r w:rsidR="00CB0233" w:rsidRPr="00C8270A">
        <w:t>.</w:t>
      </w:r>
      <w:r w:rsidR="0005721C" w:rsidRPr="00C8270A">
        <w:t xml:space="preserve">”  </w:t>
      </w:r>
      <w:r w:rsidR="003E695F" w:rsidRPr="00C8270A">
        <w:t xml:space="preserve">Specifically, </w:t>
      </w:r>
      <w:r w:rsidR="00D62E75" w:rsidRPr="00C8270A">
        <w:t xml:space="preserve">Vice Admiral Houck found that Partington took misstatements </w:t>
      </w:r>
      <w:r w:rsidR="00262B91" w:rsidRPr="00C8270A">
        <w:t xml:space="preserve">made </w:t>
      </w:r>
      <w:r w:rsidR="00D62E75" w:rsidRPr="00C8270A">
        <w:t xml:space="preserve">by the military judge and grossly exaggerated them by claiming that the judge had dismissed and/or acquitted Toles of the offenses at issue.  Vice Admiral Houck </w:t>
      </w:r>
      <w:r w:rsidR="0004246D" w:rsidRPr="00C8270A">
        <w:t xml:space="preserve">noted </w:t>
      </w:r>
      <w:r w:rsidR="00D62E75" w:rsidRPr="00C8270A">
        <w:t xml:space="preserve">that the military judge explained on numerous occasions that he was </w:t>
      </w:r>
      <w:r w:rsidR="00803598" w:rsidRPr="00C8270A">
        <w:t>rejecting Toles’</w:t>
      </w:r>
      <w:r w:rsidR="009C6F6A" w:rsidRPr="00C8270A">
        <w:t>s</w:t>
      </w:r>
      <w:r w:rsidR="00803598" w:rsidRPr="00C8270A">
        <w:t xml:space="preserve"> attempt to plead guilty and </w:t>
      </w:r>
      <w:r w:rsidR="00AC05E5" w:rsidRPr="00C8270A">
        <w:t>was instead entering</w:t>
      </w:r>
      <w:r w:rsidR="00803598" w:rsidRPr="00C8270A">
        <w:t xml:space="preserve"> not guilty pleas for</w:t>
      </w:r>
      <w:r w:rsidR="00AC05E5" w:rsidRPr="00C8270A">
        <w:t xml:space="preserve"> him</w:t>
      </w:r>
      <w:r w:rsidR="008924C4" w:rsidRPr="00C8270A">
        <w:t>.  Vice Admiral Houck</w:t>
      </w:r>
      <w:r w:rsidR="00EB16F4" w:rsidRPr="00C8270A">
        <w:t xml:space="preserve"> </w:t>
      </w:r>
      <w:r w:rsidR="00803598" w:rsidRPr="00C8270A">
        <w:t>concluded that it was “abundantly clear” that the military judge never dismissed the specifications or otherwise acquitted Partington’s client</w:t>
      </w:r>
      <w:r w:rsidR="009C6F6A" w:rsidRPr="00C8270A">
        <w:t>, as Partington had claimed</w:t>
      </w:r>
      <w:r w:rsidR="00803598" w:rsidRPr="00C8270A">
        <w:t xml:space="preserve">.  </w:t>
      </w:r>
    </w:p>
    <w:p w:rsidR="000C2A15" w:rsidRPr="00C8270A" w:rsidRDefault="0056752B" w:rsidP="00BE7D5A">
      <w:pPr>
        <w:pStyle w:val="Heading3"/>
        <w:rPr>
          <w:rFonts w:ascii="Times New Roman" w:hAnsi="Times New Roman" w:cs="Times New Roman"/>
        </w:rPr>
      </w:pPr>
      <w:r w:rsidRPr="00C8270A">
        <w:rPr>
          <w:rFonts w:ascii="Times New Roman" w:hAnsi="Times New Roman" w:cs="Times New Roman"/>
        </w:rPr>
        <w:t>C.</w:t>
      </w:r>
      <w:r w:rsidRPr="00C8270A">
        <w:rPr>
          <w:rFonts w:ascii="Times New Roman" w:hAnsi="Times New Roman" w:cs="Times New Roman"/>
        </w:rPr>
        <w:tab/>
      </w:r>
      <w:r w:rsidR="0004246D" w:rsidRPr="00C8270A">
        <w:rPr>
          <w:rFonts w:ascii="Times New Roman" w:hAnsi="Times New Roman" w:cs="Times New Roman"/>
        </w:rPr>
        <w:t>Partington</w:t>
      </w:r>
      <w:r w:rsidR="00EB16F4" w:rsidRPr="00C8270A">
        <w:rPr>
          <w:rFonts w:ascii="Times New Roman" w:hAnsi="Times New Roman" w:cs="Times New Roman"/>
        </w:rPr>
        <w:t xml:space="preserve"> </w:t>
      </w:r>
      <w:r w:rsidR="0004246D" w:rsidRPr="00C8270A">
        <w:rPr>
          <w:rFonts w:ascii="Times New Roman" w:hAnsi="Times New Roman" w:cs="Times New Roman"/>
        </w:rPr>
        <w:t>Appeal</w:t>
      </w:r>
      <w:r w:rsidR="0026652B" w:rsidRPr="00C8270A">
        <w:rPr>
          <w:rFonts w:ascii="Times New Roman" w:hAnsi="Times New Roman" w:cs="Times New Roman"/>
        </w:rPr>
        <w:t>ed</w:t>
      </w:r>
      <w:r w:rsidR="0004246D" w:rsidRPr="00C8270A">
        <w:rPr>
          <w:rFonts w:ascii="Times New Roman" w:hAnsi="Times New Roman" w:cs="Times New Roman"/>
        </w:rPr>
        <w:t xml:space="preserve"> </w:t>
      </w:r>
      <w:r w:rsidR="0034194A" w:rsidRPr="00C8270A">
        <w:rPr>
          <w:rFonts w:ascii="Times New Roman" w:hAnsi="Times New Roman" w:cs="Times New Roman"/>
        </w:rPr>
        <w:t xml:space="preserve">JAG </w:t>
      </w:r>
      <w:r w:rsidR="000C2A15" w:rsidRPr="00C8270A">
        <w:rPr>
          <w:rFonts w:ascii="Times New Roman" w:hAnsi="Times New Roman" w:cs="Times New Roman"/>
        </w:rPr>
        <w:t xml:space="preserve">Discipline </w:t>
      </w:r>
    </w:p>
    <w:p w:rsidR="00A94E5B" w:rsidRPr="00C8270A" w:rsidRDefault="00A94E5B" w:rsidP="00A94E5B">
      <w:pPr>
        <w:tabs>
          <w:tab w:val="left" w:pos="720"/>
        </w:tabs>
        <w:spacing w:line="480" w:lineRule="auto"/>
      </w:pPr>
      <w:r w:rsidRPr="00C8270A">
        <w:rPr>
          <w:b/>
        </w:rPr>
        <w:tab/>
      </w:r>
      <w:r w:rsidR="000C2A15" w:rsidRPr="00C8270A">
        <w:t xml:space="preserve">Beginning in November 2010, Partington filed multiple </w:t>
      </w:r>
      <w:r w:rsidR="00DE5FE1" w:rsidRPr="00C8270A">
        <w:t xml:space="preserve">civil </w:t>
      </w:r>
      <w:r w:rsidR="000C2A15" w:rsidRPr="00C8270A">
        <w:t>challenges and appeals to obtain relief from the JAG’s disciplinary action against him.  On November</w:t>
      </w:r>
      <w:r w:rsidR="00D073BA" w:rsidRPr="00C8270A">
        <w:t> </w:t>
      </w:r>
      <w:r w:rsidR="000C2A15" w:rsidRPr="00C8270A">
        <w:t>16, 2010, he filed a complaint for damages, declaratory judgment, and injunctive relief in the United States District Court</w:t>
      </w:r>
      <w:r w:rsidR="0026652B" w:rsidRPr="00C8270A">
        <w:t xml:space="preserve"> for the</w:t>
      </w:r>
      <w:r w:rsidR="000C2A15" w:rsidRPr="00C8270A">
        <w:t xml:space="preserve"> District of Columbia.</w:t>
      </w:r>
      <w:r w:rsidR="003E08E3" w:rsidRPr="00C8270A">
        <w:t xml:space="preserve">  On January</w:t>
      </w:r>
      <w:r w:rsidR="00D073BA" w:rsidRPr="00C8270A">
        <w:t> </w:t>
      </w:r>
      <w:r w:rsidR="003E08E3" w:rsidRPr="00C8270A">
        <w:t xml:space="preserve">10, 2012, the </w:t>
      </w:r>
      <w:r w:rsidR="0026652B" w:rsidRPr="00C8270A">
        <w:t>d</w:t>
      </w:r>
      <w:r w:rsidR="003E08E3" w:rsidRPr="00C8270A">
        <w:t xml:space="preserve">istrict </w:t>
      </w:r>
      <w:r w:rsidR="0026652B" w:rsidRPr="00C8270A">
        <w:t>c</w:t>
      </w:r>
      <w:r w:rsidR="003E08E3" w:rsidRPr="00C8270A">
        <w:t xml:space="preserve">ourt entered judgment </w:t>
      </w:r>
      <w:r w:rsidR="003E08E3" w:rsidRPr="00C8270A">
        <w:lastRenderedPageBreak/>
        <w:t>against Partington.  On February</w:t>
      </w:r>
      <w:r w:rsidR="00D073BA" w:rsidRPr="00C8270A">
        <w:t> </w:t>
      </w:r>
      <w:r w:rsidR="003E08E3" w:rsidRPr="00C8270A">
        <w:t>6,</w:t>
      </w:r>
      <w:r w:rsidR="003C06CF" w:rsidRPr="00C8270A">
        <w:t xml:space="preserve"> 2012, Partington appealed the d</w:t>
      </w:r>
      <w:r w:rsidR="003E08E3" w:rsidRPr="00C8270A">
        <w:t xml:space="preserve">istrict </w:t>
      </w:r>
      <w:r w:rsidR="003C06CF" w:rsidRPr="00C8270A">
        <w:t>c</w:t>
      </w:r>
      <w:r w:rsidR="003E08E3" w:rsidRPr="00C8270A">
        <w:t>ourt’s judgment in the United States Court of Appeals for the District of Columbia Circuit.  On July</w:t>
      </w:r>
      <w:r w:rsidR="00D073BA" w:rsidRPr="00C8270A">
        <w:t> </w:t>
      </w:r>
      <w:r w:rsidR="003E08E3" w:rsidRPr="00C8270A">
        <w:t xml:space="preserve">23, 2013, the </w:t>
      </w:r>
      <w:r w:rsidR="003C06CF" w:rsidRPr="00C8270A">
        <w:t>c</w:t>
      </w:r>
      <w:r w:rsidR="003E08E3" w:rsidRPr="00C8270A">
        <w:t xml:space="preserve">ourt of </w:t>
      </w:r>
      <w:r w:rsidR="003C06CF" w:rsidRPr="00C8270A">
        <w:t>a</w:t>
      </w:r>
      <w:r w:rsidR="003E08E3" w:rsidRPr="00C8270A">
        <w:t xml:space="preserve">ppeals affirmed the </w:t>
      </w:r>
      <w:r w:rsidR="003C06CF" w:rsidRPr="00C8270A">
        <w:t>d</w:t>
      </w:r>
      <w:r w:rsidR="003E08E3" w:rsidRPr="00C8270A">
        <w:t xml:space="preserve">istrict </w:t>
      </w:r>
      <w:r w:rsidR="003C06CF" w:rsidRPr="00C8270A">
        <w:t>c</w:t>
      </w:r>
      <w:r w:rsidR="003E08E3" w:rsidRPr="00C8270A">
        <w:t xml:space="preserve">ourt’s opinion.  </w:t>
      </w:r>
      <w:r w:rsidR="00F03DCA" w:rsidRPr="00C8270A">
        <w:t>With respect to Partington’s claims that the JAG proceedings violated h</w:t>
      </w:r>
      <w:r w:rsidR="003C06CF" w:rsidRPr="00C8270A">
        <w:t>is Fifth Amendment rights, the c</w:t>
      </w:r>
      <w:r w:rsidR="00F03DCA" w:rsidRPr="00C8270A">
        <w:t xml:space="preserve">ourt of </w:t>
      </w:r>
      <w:r w:rsidR="003C06CF" w:rsidRPr="00C8270A">
        <w:t>a</w:t>
      </w:r>
      <w:r w:rsidR="00F03DCA" w:rsidRPr="00C8270A">
        <w:t xml:space="preserve">ppeals held that </w:t>
      </w:r>
      <w:r w:rsidR="00667068" w:rsidRPr="00C8270A">
        <w:t xml:space="preserve">“due process at its core requires notice and hearing,” and found that </w:t>
      </w:r>
      <w:r w:rsidR="00F03DCA" w:rsidRPr="00C8270A">
        <w:t>“</w:t>
      </w:r>
      <w:r w:rsidR="003C06CF" w:rsidRPr="00C8270A">
        <w:t>[i]n reviewing this</w:t>
      </w:r>
      <w:r w:rsidR="00F03DCA" w:rsidRPr="00C8270A">
        <w:t xml:space="preserve"> exhaustive record, it is clear to us that Partington receiv</w:t>
      </w:r>
      <w:r w:rsidR="00551764" w:rsidRPr="00C8270A">
        <w:t>ed ample due process.</w:t>
      </w:r>
      <w:r w:rsidR="00F03DCA" w:rsidRPr="00C8270A">
        <w:t xml:space="preserve">”  </w:t>
      </w:r>
      <w:r w:rsidR="00667068" w:rsidRPr="00C8270A">
        <w:t>T</w:t>
      </w:r>
      <w:r w:rsidR="00551764" w:rsidRPr="00C8270A">
        <w:t>he court noted that “[t]he record is replete with communications between the JAG and Partington in which the JAG gave Partington notice it was pursuing an ethics investigation against him and gave Partington opportunity to be heard</w:t>
      </w:r>
      <w:r w:rsidR="003C06CF" w:rsidRPr="00C8270A">
        <w:t xml:space="preserve"> </w:t>
      </w:r>
      <w:r w:rsidR="00551764" w:rsidRPr="00C8270A">
        <w:t xml:space="preserve">. . . .”  </w:t>
      </w:r>
      <w:r w:rsidR="00E22888" w:rsidRPr="00C8270A">
        <w:t>On September</w:t>
      </w:r>
      <w:r w:rsidR="00D073BA" w:rsidRPr="00C8270A">
        <w:t> </w:t>
      </w:r>
      <w:r w:rsidR="00E22888" w:rsidRPr="00C8270A">
        <w:t>30, 2013, Partington filed a petition for writ of mandamus in the United States Supreme Court</w:t>
      </w:r>
      <w:r w:rsidR="0006246D" w:rsidRPr="00C8270A">
        <w:t xml:space="preserve">, which </w:t>
      </w:r>
      <w:r w:rsidR="00D073BA" w:rsidRPr="00C8270A">
        <w:t>was</w:t>
      </w:r>
      <w:r w:rsidR="00E22888" w:rsidRPr="00C8270A">
        <w:t xml:space="preserve"> denied on December</w:t>
      </w:r>
      <w:r w:rsidR="00D073BA" w:rsidRPr="00C8270A">
        <w:t> </w:t>
      </w:r>
      <w:r w:rsidR="00E22888" w:rsidRPr="00C8270A">
        <w:t>2, 2013.</w:t>
      </w:r>
    </w:p>
    <w:p w:rsidR="008E4A49" w:rsidRPr="00C8270A" w:rsidRDefault="00E22888" w:rsidP="008E4A49">
      <w:pPr>
        <w:tabs>
          <w:tab w:val="left" w:pos="720"/>
        </w:tabs>
        <w:spacing w:line="480" w:lineRule="auto"/>
      </w:pPr>
      <w:r w:rsidRPr="00C8270A">
        <w:tab/>
        <w:t>On March</w:t>
      </w:r>
      <w:r w:rsidR="00D073BA" w:rsidRPr="00C8270A">
        <w:t> </w:t>
      </w:r>
      <w:r w:rsidRPr="00C8270A">
        <w:t>10, 2014, Partington filed a motion in the United States District Court</w:t>
      </w:r>
      <w:r w:rsidR="003C06CF" w:rsidRPr="00C8270A">
        <w:t xml:space="preserve"> for the</w:t>
      </w:r>
      <w:r w:rsidRPr="00C8270A">
        <w:t xml:space="preserve"> District of Columbia, </w:t>
      </w:r>
      <w:r w:rsidR="00F121C7" w:rsidRPr="00C8270A">
        <w:t xml:space="preserve">alleging that </w:t>
      </w:r>
      <w:r w:rsidR="003C06CF" w:rsidRPr="00C8270A">
        <w:t>the court of a</w:t>
      </w:r>
      <w:r w:rsidRPr="00C8270A">
        <w:t xml:space="preserve">ppeals judgment </w:t>
      </w:r>
      <w:r w:rsidR="00EA5D0D" w:rsidRPr="00C8270A">
        <w:t xml:space="preserve">from </w:t>
      </w:r>
      <w:r w:rsidR="0049689E" w:rsidRPr="00C8270A">
        <w:t xml:space="preserve">his previous appeal </w:t>
      </w:r>
      <w:r w:rsidR="00F121C7" w:rsidRPr="00C8270A">
        <w:t xml:space="preserve">was </w:t>
      </w:r>
      <w:r w:rsidRPr="00C8270A">
        <w:t>void for lack of subject matter jurisdiction.  On March</w:t>
      </w:r>
      <w:r w:rsidR="00D073BA" w:rsidRPr="00C8270A">
        <w:t> </w:t>
      </w:r>
      <w:r w:rsidRPr="00C8270A">
        <w:t xml:space="preserve">14, 2014, the </w:t>
      </w:r>
      <w:r w:rsidR="003C06CF" w:rsidRPr="00C8270A">
        <w:t>d</w:t>
      </w:r>
      <w:r w:rsidRPr="00C8270A">
        <w:t xml:space="preserve">istrict </w:t>
      </w:r>
      <w:r w:rsidR="003C06CF" w:rsidRPr="00C8270A">
        <w:t>c</w:t>
      </w:r>
      <w:r w:rsidRPr="00C8270A">
        <w:t>ourt denied this motion.  On March</w:t>
      </w:r>
      <w:r w:rsidR="00D073BA" w:rsidRPr="00C8270A">
        <w:t> </w:t>
      </w:r>
      <w:r w:rsidR="003C06CF" w:rsidRPr="00C8270A">
        <w:t>28</w:t>
      </w:r>
      <w:r w:rsidRPr="00C8270A">
        <w:t>,</w:t>
      </w:r>
      <w:r w:rsidR="003C06CF" w:rsidRPr="00C8270A">
        <w:t xml:space="preserve"> 2014, Partington appealed the d</w:t>
      </w:r>
      <w:r w:rsidRPr="00C8270A">
        <w:t xml:space="preserve">istrict </w:t>
      </w:r>
      <w:r w:rsidR="003C06CF" w:rsidRPr="00C8270A">
        <w:t>c</w:t>
      </w:r>
      <w:r w:rsidRPr="00C8270A">
        <w:t xml:space="preserve">ourt’s denial of his motion to the </w:t>
      </w:r>
      <w:r w:rsidR="00A93E19" w:rsidRPr="00C8270A">
        <w:t>United States Court of Appeals for the District of Columbia</w:t>
      </w:r>
      <w:r w:rsidR="003C06CF" w:rsidRPr="00C8270A">
        <w:t xml:space="preserve"> Circuit</w:t>
      </w:r>
      <w:r w:rsidR="00A93E19" w:rsidRPr="00C8270A">
        <w:t>.  On October</w:t>
      </w:r>
      <w:r w:rsidR="00D073BA" w:rsidRPr="00C8270A">
        <w:t> </w:t>
      </w:r>
      <w:r w:rsidR="00A93E19" w:rsidRPr="00C8270A">
        <w:t xml:space="preserve">3, 2014, the </w:t>
      </w:r>
      <w:r w:rsidR="003C06CF" w:rsidRPr="00C8270A">
        <w:t>c</w:t>
      </w:r>
      <w:r w:rsidR="00A93E19" w:rsidRPr="00C8270A">
        <w:t xml:space="preserve">ourt of </w:t>
      </w:r>
      <w:r w:rsidR="003C06CF" w:rsidRPr="00C8270A">
        <w:t>a</w:t>
      </w:r>
      <w:r w:rsidR="00A93E19" w:rsidRPr="00C8270A">
        <w:t xml:space="preserve">ppeals summarily affirmed the </w:t>
      </w:r>
      <w:r w:rsidR="003C06CF" w:rsidRPr="00C8270A">
        <w:t>d</w:t>
      </w:r>
      <w:r w:rsidR="00A93E19" w:rsidRPr="00C8270A">
        <w:t xml:space="preserve">istrict </w:t>
      </w:r>
      <w:r w:rsidR="003C06CF" w:rsidRPr="00C8270A">
        <w:t>c</w:t>
      </w:r>
      <w:r w:rsidR="00A93E19" w:rsidRPr="00C8270A">
        <w:t>ourt’s order.  On December</w:t>
      </w:r>
      <w:r w:rsidR="00D073BA" w:rsidRPr="00C8270A">
        <w:t> </w:t>
      </w:r>
      <w:r w:rsidR="00A93E19" w:rsidRPr="00C8270A">
        <w:t xml:space="preserve">8, 2014, the </w:t>
      </w:r>
      <w:r w:rsidR="003C06CF" w:rsidRPr="00C8270A">
        <w:t>c</w:t>
      </w:r>
      <w:r w:rsidR="00A93E19" w:rsidRPr="00C8270A">
        <w:t xml:space="preserve">ourt of </w:t>
      </w:r>
      <w:r w:rsidR="003C06CF" w:rsidRPr="00C8270A">
        <w:t>a</w:t>
      </w:r>
      <w:r w:rsidR="00A93E19" w:rsidRPr="00C8270A">
        <w:t>ppeals denied Partington’s request for rehearing.  On February</w:t>
      </w:r>
      <w:r w:rsidR="00D073BA" w:rsidRPr="00C8270A">
        <w:t> </w:t>
      </w:r>
      <w:r w:rsidR="003C06CF" w:rsidRPr="00C8270A">
        <w:t>1</w:t>
      </w:r>
      <w:r w:rsidR="00A93E19" w:rsidRPr="00C8270A">
        <w:t>8, 2015, Partington filed a petition for writ of certiorari with the United States Supreme Court</w:t>
      </w:r>
      <w:r w:rsidR="0006246D" w:rsidRPr="00C8270A">
        <w:t xml:space="preserve">, which </w:t>
      </w:r>
      <w:r w:rsidR="00D073BA" w:rsidRPr="00C8270A">
        <w:t>was</w:t>
      </w:r>
      <w:r w:rsidR="00A93E19" w:rsidRPr="00C8270A">
        <w:t xml:space="preserve"> denied</w:t>
      </w:r>
      <w:r w:rsidR="0006246D" w:rsidRPr="00C8270A">
        <w:t xml:space="preserve"> on April</w:t>
      </w:r>
      <w:r w:rsidR="00D073BA" w:rsidRPr="00C8270A">
        <w:t> </w:t>
      </w:r>
      <w:r w:rsidR="0006246D" w:rsidRPr="00C8270A">
        <w:t>20, 2015</w:t>
      </w:r>
      <w:r w:rsidR="00A93E19" w:rsidRPr="00C8270A">
        <w:t xml:space="preserve">.  </w:t>
      </w:r>
    </w:p>
    <w:p w:rsidR="0006246D" w:rsidRPr="00C8270A" w:rsidRDefault="008E4A49" w:rsidP="00BE7D5A">
      <w:pPr>
        <w:pStyle w:val="Heading3"/>
        <w:rPr>
          <w:rFonts w:ascii="Times New Roman" w:hAnsi="Times New Roman" w:cs="Times New Roman"/>
        </w:rPr>
      </w:pPr>
      <w:r w:rsidRPr="00C8270A">
        <w:rPr>
          <w:rFonts w:ascii="Times New Roman" w:hAnsi="Times New Roman" w:cs="Times New Roman"/>
        </w:rPr>
        <w:t>D.</w:t>
      </w:r>
      <w:r w:rsidRPr="00C8270A">
        <w:rPr>
          <w:rFonts w:ascii="Times New Roman" w:hAnsi="Times New Roman" w:cs="Times New Roman"/>
        </w:rPr>
        <w:tab/>
      </w:r>
      <w:r w:rsidR="0006246D" w:rsidRPr="00C8270A">
        <w:rPr>
          <w:rFonts w:ascii="Times New Roman" w:hAnsi="Times New Roman" w:cs="Times New Roman"/>
        </w:rPr>
        <w:t>Reciprocal Discipline</w:t>
      </w:r>
      <w:r w:rsidR="00E819A6" w:rsidRPr="00C8270A">
        <w:rPr>
          <w:rFonts w:ascii="Times New Roman" w:hAnsi="Times New Roman" w:cs="Times New Roman"/>
        </w:rPr>
        <w:t xml:space="preserve"> in</w:t>
      </w:r>
      <w:r w:rsidR="009E34F7" w:rsidRPr="00C8270A">
        <w:rPr>
          <w:rFonts w:ascii="Times New Roman" w:hAnsi="Times New Roman" w:cs="Times New Roman"/>
        </w:rPr>
        <w:t xml:space="preserve"> Court</w:t>
      </w:r>
      <w:r w:rsidR="003C06CF" w:rsidRPr="00C8270A">
        <w:rPr>
          <w:rFonts w:ascii="Times New Roman" w:hAnsi="Times New Roman" w:cs="Times New Roman"/>
        </w:rPr>
        <w:t>s</w:t>
      </w:r>
      <w:r w:rsidR="009E34F7" w:rsidRPr="00C8270A">
        <w:rPr>
          <w:rFonts w:ascii="Times New Roman" w:hAnsi="Times New Roman" w:cs="Times New Roman"/>
        </w:rPr>
        <w:t xml:space="preserve"> of Appeal</w:t>
      </w:r>
      <w:r w:rsidR="00A12E1D" w:rsidRPr="00C8270A">
        <w:rPr>
          <w:rFonts w:ascii="Times New Roman" w:hAnsi="Times New Roman" w:cs="Times New Roman"/>
        </w:rPr>
        <w:t>s</w:t>
      </w:r>
      <w:r w:rsidR="009E34F7" w:rsidRPr="00C8270A">
        <w:rPr>
          <w:rFonts w:ascii="Times New Roman" w:hAnsi="Times New Roman" w:cs="Times New Roman"/>
        </w:rPr>
        <w:t xml:space="preserve"> </w:t>
      </w:r>
      <w:r w:rsidR="0034194A" w:rsidRPr="00C8270A">
        <w:rPr>
          <w:rFonts w:ascii="Times New Roman" w:hAnsi="Times New Roman" w:cs="Times New Roman"/>
        </w:rPr>
        <w:t>Hawaii and Oregon</w:t>
      </w:r>
    </w:p>
    <w:p w:rsidR="005927F0" w:rsidRPr="00C8270A" w:rsidRDefault="0006246D" w:rsidP="00EB16F4">
      <w:pPr>
        <w:tabs>
          <w:tab w:val="left" w:pos="720"/>
        </w:tabs>
        <w:spacing w:line="480" w:lineRule="auto"/>
        <w:rPr>
          <w:b/>
        </w:rPr>
      </w:pPr>
      <w:r w:rsidRPr="00C8270A">
        <w:tab/>
        <w:t>On October</w:t>
      </w:r>
      <w:r w:rsidR="00D073BA" w:rsidRPr="00C8270A">
        <w:t> </w:t>
      </w:r>
      <w:r w:rsidRPr="00C8270A">
        <w:t>26, 2010, the United States Court of Appeals for the Armed Forces suspended Partington from appearing before that court for one year</w:t>
      </w:r>
      <w:r w:rsidR="00E819A6" w:rsidRPr="00C8270A">
        <w:t xml:space="preserve"> based on the JAG discipline order</w:t>
      </w:r>
      <w:r w:rsidR="00E901A0" w:rsidRPr="00C8270A">
        <w:t>.  On November</w:t>
      </w:r>
      <w:r w:rsidR="00D073BA" w:rsidRPr="00C8270A">
        <w:t> </w:t>
      </w:r>
      <w:r w:rsidR="00E901A0" w:rsidRPr="00C8270A">
        <w:t xml:space="preserve">9, 2011, the Supreme Court of Hawaii issued a reciprocal discipline order against Partington based on the </w:t>
      </w:r>
      <w:r w:rsidR="00D073BA" w:rsidRPr="00C8270A">
        <w:t xml:space="preserve">JAG proceeding </w:t>
      </w:r>
      <w:r w:rsidR="00EA5D0D" w:rsidRPr="00C8270A">
        <w:t>findings</w:t>
      </w:r>
      <w:r w:rsidR="00D146EA" w:rsidRPr="00C8270A">
        <w:t xml:space="preserve">, suspending him from practicing for 30 </w:t>
      </w:r>
      <w:r w:rsidR="00D146EA" w:rsidRPr="00C8270A">
        <w:lastRenderedPageBreak/>
        <w:t>days</w:t>
      </w:r>
      <w:r w:rsidR="00E901A0" w:rsidRPr="00C8270A">
        <w:t>.</w:t>
      </w:r>
      <w:r w:rsidR="00D146EA" w:rsidRPr="00C8270A">
        <w:t xml:space="preserve">  </w:t>
      </w:r>
      <w:r w:rsidR="00CF5389" w:rsidRPr="00C8270A">
        <w:t>On June</w:t>
      </w:r>
      <w:r w:rsidR="003611E0" w:rsidRPr="00C8270A">
        <w:t> </w:t>
      </w:r>
      <w:r w:rsidR="00CF5389" w:rsidRPr="00C8270A">
        <w:t>7, 2012, the District of Columbia</w:t>
      </w:r>
      <w:r w:rsidR="00A12E1D" w:rsidRPr="00C8270A">
        <w:t xml:space="preserve"> Court of Appeals</w:t>
      </w:r>
      <w:r w:rsidR="00CF5389" w:rsidRPr="00C8270A">
        <w:t xml:space="preserve"> suspended Partington for 30 days based on the Hawaii discipline.  On October</w:t>
      </w:r>
      <w:r w:rsidR="003611E0" w:rsidRPr="00C8270A">
        <w:t> </w:t>
      </w:r>
      <w:r w:rsidR="00CF5389" w:rsidRPr="00C8270A">
        <w:t xml:space="preserve">17, 2013, the Supreme Court of Oregon issued </w:t>
      </w:r>
      <w:r w:rsidR="00942ED5" w:rsidRPr="00C8270A">
        <w:t xml:space="preserve">a </w:t>
      </w:r>
      <w:r w:rsidR="00CF5389" w:rsidRPr="00C8270A">
        <w:t xml:space="preserve">reciprocal discipline order based on the Hawaii discipline, suspending Partington for 60 days.  </w:t>
      </w:r>
    </w:p>
    <w:p w:rsidR="00A17317" w:rsidRPr="00C8270A" w:rsidRDefault="00A17317" w:rsidP="00BE7D5A">
      <w:pPr>
        <w:pStyle w:val="Heading2"/>
        <w:rPr>
          <w:rFonts w:ascii="Times New Roman" w:hAnsi="Times New Roman" w:cs="Times New Roman"/>
        </w:rPr>
      </w:pPr>
      <w:r w:rsidRPr="00C8270A">
        <w:rPr>
          <w:rFonts w:ascii="Times New Roman" w:hAnsi="Times New Roman" w:cs="Times New Roman"/>
        </w:rPr>
        <w:t xml:space="preserve">III.  </w:t>
      </w:r>
      <w:r w:rsidR="001D37B8" w:rsidRPr="00C8270A">
        <w:rPr>
          <w:rFonts w:ascii="Times New Roman" w:hAnsi="Times New Roman" w:cs="Times New Roman"/>
        </w:rPr>
        <w:t>RECIPROCAL DISCIPLINE IS WARRANTED</w:t>
      </w:r>
    </w:p>
    <w:p w:rsidR="008E4A49" w:rsidRPr="00C8270A" w:rsidRDefault="004D6750" w:rsidP="008E4A49">
      <w:pPr>
        <w:spacing w:line="480" w:lineRule="auto"/>
      </w:pPr>
      <w:r w:rsidRPr="00C8270A">
        <w:rPr>
          <w:b/>
        </w:rPr>
        <w:tab/>
      </w:r>
      <w:r w:rsidR="00E91017" w:rsidRPr="00C8270A">
        <w:t>The JAG’s final disciplinary order is conclusive evidence that Partington is culpable of professional misconduct in California</w:t>
      </w:r>
      <w:r w:rsidR="009C6F6A" w:rsidRPr="00C8270A">
        <w:t>,</w:t>
      </w:r>
      <w:r w:rsidR="0034194A" w:rsidRPr="00C8270A">
        <w:t xml:space="preserve"> subject to two exceptions</w:t>
      </w:r>
      <w:r w:rsidR="00E91017" w:rsidRPr="00C8270A">
        <w:t>.  (§</w:t>
      </w:r>
      <w:r w:rsidR="003611E0" w:rsidRPr="00C8270A">
        <w:t> </w:t>
      </w:r>
      <w:r w:rsidR="00E91017" w:rsidRPr="00C8270A">
        <w:t>6049.1, subd.</w:t>
      </w:r>
      <w:r w:rsidR="003611E0" w:rsidRPr="00C8270A">
        <w:t> </w:t>
      </w:r>
      <w:r w:rsidR="00E91017" w:rsidRPr="00C8270A">
        <w:t>(a).)</w:t>
      </w:r>
      <w:r w:rsidR="00A12E1D" w:rsidRPr="00C8270A">
        <w:t xml:space="preserve"> </w:t>
      </w:r>
      <w:r w:rsidR="00E91017" w:rsidRPr="00C8270A">
        <w:t xml:space="preserve"> To show that discipline is unwarranted, Partington must establish that either: (1)</w:t>
      </w:r>
      <w:r w:rsidR="003611E0" w:rsidRPr="00C8270A">
        <w:t> </w:t>
      </w:r>
      <w:r w:rsidR="00E91017" w:rsidRPr="00C8270A">
        <w:t xml:space="preserve">as a matter of law, his professional misconduct in the military courts </w:t>
      </w:r>
      <w:r w:rsidR="00A12E1D" w:rsidRPr="00C8270A">
        <w:t>would</w:t>
      </w:r>
      <w:r w:rsidR="00E91017" w:rsidRPr="00C8270A">
        <w:t xml:space="preserve"> not warrant discipline in California; or (2)</w:t>
      </w:r>
      <w:r w:rsidR="003611E0" w:rsidRPr="00C8270A">
        <w:t> </w:t>
      </w:r>
      <w:r w:rsidR="00E91017" w:rsidRPr="00C8270A">
        <w:t>the JAG proceedings failed to provide him with fundamental constitutional</w:t>
      </w:r>
      <w:r w:rsidR="00926DA1" w:rsidRPr="00C8270A">
        <w:t xml:space="preserve"> protection.  (§</w:t>
      </w:r>
      <w:r w:rsidR="003611E0" w:rsidRPr="00C8270A">
        <w:t> </w:t>
      </w:r>
      <w:r w:rsidR="00926DA1" w:rsidRPr="00C8270A">
        <w:t>6049.1, subd. (</w:t>
      </w:r>
      <w:r w:rsidR="00E91017" w:rsidRPr="00C8270A">
        <w:t xml:space="preserve">b)(2), (3).)  He has failed to prove either.  </w:t>
      </w:r>
    </w:p>
    <w:p w:rsidR="001D2A1C" w:rsidRPr="00C8270A" w:rsidRDefault="008E4A49" w:rsidP="00BE7D5A">
      <w:pPr>
        <w:pStyle w:val="Heading3"/>
        <w:rPr>
          <w:rFonts w:ascii="Times New Roman" w:hAnsi="Times New Roman" w:cs="Times New Roman"/>
        </w:rPr>
      </w:pPr>
      <w:r w:rsidRPr="00C8270A">
        <w:rPr>
          <w:rFonts w:ascii="Times New Roman" w:hAnsi="Times New Roman" w:cs="Times New Roman"/>
        </w:rPr>
        <w:t>A.</w:t>
      </w:r>
      <w:r w:rsidRPr="00C8270A">
        <w:rPr>
          <w:rFonts w:ascii="Times New Roman" w:hAnsi="Times New Roman" w:cs="Times New Roman"/>
        </w:rPr>
        <w:tab/>
      </w:r>
      <w:r w:rsidR="001D2A1C" w:rsidRPr="00C8270A">
        <w:rPr>
          <w:rFonts w:ascii="Times New Roman" w:hAnsi="Times New Roman" w:cs="Times New Roman"/>
        </w:rPr>
        <w:t xml:space="preserve">Misrepresentation to Appellate Court Warrants Discipline in California </w:t>
      </w:r>
    </w:p>
    <w:p w:rsidR="0082204C" w:rsidRPr="00C8270A" w:rsidRDefault="002A0C1F" w:rsidP="00130F89">
      <w:pPr>
        <w:spacing w:line="480" w:lineRule="auto"/>
        <w:ind w:firstLine="720"/>
        <w:rPr>
          <w:szCs w:val="24"/>
        </w:rPr>
      </w:pPr>
      <w:r w:rsidRPr="00C8270A">
        <w:rPr>
          <w:szCs w:val="24"/>
        </w:rPr>
        <w:t>The JAG discipline order found that Partington violated rules</w:t>
      </w:r>
      <w:r w:rsidR="003611E0" w:rsidRPr="00C8270A">
        <w:rPr>
          <w:szCs w:val="24"/>
        </w:rPr>
        <w:t> </w:t>
      </w:r>
      <w:r w:rsidRPr="00C8270A">
        <w:rPr>
          <w:szCs w:val="24"/>
        </w:rPr>
        <w:t>3.1 and 3.3 of JAG Instruction 5803.1C</w:t>
      </w:r>
      <w:r w:rsidR="00C81E2C" w:rsidRPr="00C8270A">
        <w:rPr>
          <w:szCs w:val="24"/>
        </w:rPr>
        <w:t xml:space="preserve">.  </w:t>
      </w:r>
      <w:r w:rsidR="0082204C" w:rsidRPr="00C8270A">
        <w:rPr>
          <w:szCs w:val="24"/>
        </w:rPr>
        <w:t>In his briefs on</w:t>
      </w:r>
      <w:r w:rsidR="0049689E" w:rsidRPr="00C8270A">
        <w:rPr>
          <w:szCs w:val="24"/>
        </w:rPr>
        <w:t xml:space="preserve"> review</w:t>
      </w:r>
      <w:r w:rsidR="00B30E5B" w:rsidRPr="00C8270A">
        <w:rPr>
          <w:szCs w:val="24"/>
        </w:rPr>
        <w:t>, Partington</w:t>
      </w:r>
      <w:r w:rsidR="0082204C" w:rsidRPr="00C8270A">
        <w:rPr>
          <w:szCs w:val="24"/>
        </w:rPr>
        <w:t xml:space="preserve"> challenges the</w:t>
      </w:r>
      <w:r w:rsidR="00391AFB" w:rsidRPr="00C8270A">
        <w:rPr>
          <w:szCs w:val="24"/>
        </w:rPr>
        <w:t xml:space="preserve"> validity of th</w:t>
      </w:r>
      <w:r w:rsidR="003611E0" w:rsidRPr="00C8270A">
        <w:rPr>
          <w:szCs w:val="24"/>
        </w:rPr>
        <w:t>os</w:t>
      </w:r>
      <w:r w:rsidR="00391AFB" w:rsidRPr="00C8270A">
        <w:rPr>
          <w:szCs w:val="24"/>
        </w:rPr>
        <w:t>e findings</w:t>
      </w:r>
      <w:r w:rsidR="0082204C" w:rsidRPr="00C8270A">
        <w:rPr>
          <w:szCs w:val="24"/>
        </w:rPr>
        <w:t xml:space="preserve">.  We reject Partington’s </w:t>
      </w:r>
      <w:r w:rsidR="00AB5D76" w:rsidRPr="00C8270A">
        <w:rPr>
          <w:szCs w:val="24"/>
        </w:rPr>
        <w:t>challenge</w:t>
      </w:r>
      <w:r w:rsidR="0082204C" w:rsidRPr="00C8270A">
        <w:rPr>
          <w:szCs w:val="24"/>
        </w:rPr>
        <w:t xml:space="preserve"> as an attempt to relitigate the JAG’s conclusive findings.  (</w:t>
      </w:r>
      <w:r w:rsidR="0082204C" w:rsidRPr="00C8270A">
        <w:rPr>
          <w:i/>
          <w:szCs w:val="24"/>
        </w:rPr>
        <w:t>In the Matter of Freydl</w:t>
      </w:r>
      <w:r w:rsidR="00A12E1D" w:rsidRPr="00C8270A">
        <w:rPr>
          <w:i/>
          <w:szCs w:val="24"/>
        </w:rPr>
        <w:t xml:space="preserve"> </w:t>
      </w:r>
      <w:r w:rsidR="00A12E1D" w:rsidRPr="00C8270A">
        <w:rPr>
          <w:szCs w:val="24"/>
        </w:rPr>
        <w:t>(Review Dept. 2001)</w:t>
      </w:r>
      <w:r w:rsidR="0082204C" w:rsidRPr="00C8270A">
        <w:rPr>
          <w:szCs w:val="24"/>
        </w:rPr>
        <w:t xml:space="preserve"> 4</w:t>
      </w:r>
      <w:r w:rsidR="003611E0" w:rsidRPr="00C8270A">
        <w:rPr>
          <w:szCs w:val="24"/>
        </w:rPr>
        <w:t> </w:t>
      </w:r>
      <w:r w:rsidR="0082204C" w:rsidRPr="00C8270A">
        <w:rPr>
          <w:szCs w:val="24"/>
        </w:rPr>
        <w:t xml:space="preserve">Cal. State Bar Ct. Rptr. </w:t>
      </w:r>
      <w:r w:rsidR="00A12E1D" w:rsidRPr="00C8270A">
        <w:rPr>
          <w:szCs w:val="24"/>
        </w:rPr>
        <w:t xml:space="preserve">349, </w:t>
      </w:r>
      <w:r w:rsidR="0082204C" w:rsidRPr="00C8270A">
        <w:rPr>
          <w:szCs w:val="24"/>
        </w:rPr>
        <w:t>358 [under §</w:t>
      </w:r>
      <w:r w:rsidR="0049689E" w:rsidRPr="00C8270A">
        <w:rPr>
          <w:szCs w:val="24"/>
        </w:rPr>
        <w:t> </w:t>
      </w:r>
      <w:r w:rsidR="0082204C" w:rsidRPr="00C8270A">
        <w:rPr>
          <w:szCs w:val="24"/>
        </w:rPr>
        <w:t>6049.1, State Bar Court accepts court findings of misconduct as conclusive].)</w:t>
      </w:r>
    </w:p>
    <w:p w:rsidR="001747A5" w:rsidRPr="00C8270A" w:rsidRDefault="00765939" w:rsidP="001747A5">
      <w:pPr>
        <w:spacing w:line="480" w:lineRule="auto"/>
        <w:ind w:firstLine="720"/>
      </w:pPr>
      <w:r w:rsidRPr="00C8270A">
        <w:rPr>
          <w:szCs w:val="24"/>
        </w:rPr>
        <w:t>Instead</w:t>
      </w:r>
      <w:r w:rsidR="0082204C" w:rsidRPr="00C8270A">
        <w:rPr>
          <w:szCs w:val="24"/>
        </w:rPr>
        <w:t xml:space="preserve">, </w:t>
      </w:r>
      <w:r w:rsidR="0082204C" w:rsidRPr="00C8270A">
        <w:t>w</w:t>
      </w:r>
      <w:r w:rsidR="00C072EB" w:rsidRPr="00C8270A">
        <w:t xml:space="preserve">e </w:t>
      </w:r>
      <w:r w:rsidR="0082204C" w:rsidRPr="00C8270A">
        <w:t xml:space="preserve">affirm </w:t>
      </w:r>
      <w:r w:rsidR="00C072EB" w:rsidRPr="00C8270A">
        <w:t>the hearing judge</w:t>
      </w:r>
      <w:r w:rsidR="00AB5D76" w:rsidRPr="00C8270A">
        <w:t>’s finding</w:t>
      </w:r>
      <w:r w:rsidR="00C072EB" w:rsidRPr="00C8270A">
        <w:t xml:space="preserve"> that Partington failed to prove that his misrepresentations to the </w:t>
      </w:r>
      <w:r w:rsidR="00AB5D76" w:rsidRPr="00C8270A">
        <w:t>NMCCA</w:t>
      </w:r>
      <w:r w:rsidR="00AB5D76" w:rsidRPr="00C8270A" w:rsidDel="00AB5D76">
        <w:t xml:space="preserve"> </w:t>
      </w:r>
      <w:r w:rsidR="00C072EB" w:rsidRPr="00C8270A">
        <w:t xml:space="preserve">do not warrant discipline in California as a matter of law.  </w:t>
      </w:r>
      <w:r w:rsidR="009C6F6A" w:rsidRPr="00C8270A">
        <w:t>W</w:t>
      </w:r>
      <w:r w:rsidR="00AB5D76" w:rsidRPr="00C8270A">
        <w:t>e</w:t>
      </w:r>
      <w:r w:rsidR="00C072EB" w:rsidRPr="00C8270A">
        <w:t xml:space="preserve"> find that </w:t>
      </w:r>
      <w:r w:rsidR="009C6F6A" w:rsidRPr="00C8270A">
        <w:t>Partington</w:t>
      </w:r>
      <w:r w:rsidR="00C072EB" w:rsidRPr="00C8270A">
        <w:t xml:space="preserve"> willfully violated section</w:t>
      </w:r>
      <w:r w:rsidR="003611E0" w:rsidRPr="00C8270A">
        <w:t> </w:t>
      </w:r>
      <w:r w:rsidR="00C072EB" w:rsidRPr="00C8270A">
        <w:t>6068, subdivision</w:t>
      </w:r>
      <w:r w:rsidR="003611E0" w:rsidRPr="00C8270A">
        <w:t> </w:t>
      </w:r>
      <w:r w:rsidR="00C072EB" w:rsidRPr="00C8270A">
        <w:t xml:space="preserve">(d) by </w:t>
      </w:r>
      <w:r w:rsidRPr="00C8270A">
        <w:t>submitting “an appellate brief with NMCCA that contained statements [Partington] kn</w:t>
      </w:r>
      <w:r w:rsidR="00391AFB" w:rsidRPr="00C8270A">
        <w:t>ew</w:t>
      </w:r>
      <w:r w:rsidRPr="00C8270A">
        <w:t xml:space="preserve"> to be both false and misleading</w:t>
      </w:r>
      <w:r w:rsidR="00343365" w:rsidRPr="00C8270A">
        <w:t>.</w:t>
      </w:r>
      <w:r w:rsidRPr="00C8270A">
        <w:t>”</w:t>
      </w:r>
      <w:r w:rsidR="008F655F" w:rsidRPr="00C8270A">
        <w:t xml:space="preserve"> </w:t>
      </w:r>
      <w:r w:rsidR="00343365" w:rsidRPr="00C8270A">
        <w:t xml:space="preserve"> </w:t>
      </w:r>
      <w:r w:rsidR="00BA3E0C" w:rsidRPr="00C8270A">
        <w:t>These</w:t>
      </w:r>
      <w:r w:rsidR="004A2007" w:rsidRPr="00C8270A">
        <w:t xml:space="preserve"> misrepresentations also constitute moral turpitude</w:t>
      </w:r>
      <w:r w:rsidR="00CE53D8" w:rsidRPr="00C8270A">
        <w:t>.</w:t>
      </w:r>
      <w:r w:rsidR="003611E0" w:rsidRPr="00C8270A">
        <w:t xml:space="preserve"> </w:t>
      </w:r>
      <w:r w:rsidR="00CE53D8" w:rsidRPr="00C8270A">
        <w:t xml:space="preserve"> (</w:t>
      </w:r>
      <w:r w:rsidR="00CE53D8" w:rsidRPr="00C8270A">
        <w:rPr>
          <w:i/>
          <w:iCs/>
        </w:rPr>
        <w:t>Bach v. State Bar</w:t>
      </w:r>
      <w:r w:rsidR="00CE53D8" w:rsidRPr="00C8270A">
        <w:t xml:space="preserve"> (1987) 43</w:t>
      </w:r>
      <w:r w:rsidR="003611E0" w:rsidRPr="00C8270A">
        <w:t> </w:t>
      </w:r>
      <w:r w:rsidR="00CE53D8" w:rsidRPr="00C8270A">
        <w:t xml:space="preserve">Cal.3d 848, 855 [attorney has duty never to seek to mislead judge and as matter of law </w:t>
      </w:r>
      <w:r w:rsidR="00CE53D8" w:rsidRPr="00C8270A">
        <w:lastRenderedPageBreak/>
        <w:t>“</w:t>
      </w:r>
      <w:r w:rsidR="00A12E1D" w:rsidRPr="00C8270A">
        <w:t>[</w:t>
      </w:r>
      <w:r w:rsidR="00CE53D8" w:rsidRPr="00C8270A">
        <w:t>a</w:t>
      </w:r>
      <w:r w:rsidR="00A12E1D" w:rsidRPr="00C8270A">
        <w:t>]</w:t>
      </w:r>
      <w:r w:rsidR="00CE53D8" w:rsidRPr="00C8270A">
        <w:t xml:space="preserve">cting otherwise constitutes moral </w:t>
      </w:r>
      <w:r w:rsidR="00B30E5B" w:rsidRPr="00C8270A">
        <w:t>turpitude”</w:t>
      </w:r>
      <w:r w:rsidR="00CE53D8" w:rsidRPr="00C8270A">
        <w:t xml:space="preserve">]; </w:t>
      </w:r>
      <w:r w:rsidR="00CE53D8" w:rsidRPr="00C8270A">
        <w:rPr>
          <w:i/>
          <w:iCs/>
        </w:rPr>
        <w:t>In the Matter of Jeffers</w:t>
      </w:r>
      <w:r w:rsidR="00CE53D8" w:rsidRPr="00C8270A">
        <w:t xml:space="preserve"> (Review Dept. 1994) 3</w:t>
      </w:r>
      <w:r w:rsidR="003611E0" w:rsidRPr="00C8270A">
        <w:t> </w:t>
      </w:r>
      <w:r w:rsidR="00CE53D8" w:rsidRPr="00C8270A">
        <w:t xml:space="preserve">Cal. </w:t>
      </w:r>
      <w:r w:rsidR="004A2007" w:rsidRPr="00C8270A">
        <w:t>State Bar Ct. Rptr. 211, 221.)</w:t>
      </w:r>
      <w:r w:rsidR="005C1557" w:rsidRPr="00C8270A">
        <w:rPr>
          <w:rStyle w:val="FootnoteReference"/>
        </w:rPr>
        <w:footnoteReference w:id="9"/>
      </w:r>
    </w:p>
    <w:p w:rsidR="001747A5" w:rsidRPr="00C8270A" w:rsidRDefault="001747A5" w:rsidP="00BE7D5A">
      <w:pPr>
        <w:pStyle w:val="Heading3"/>
        <w:rPr>
          <w:rFonts w:ascii="Times New Roman" w:hAnsi="Times New Roman" w:cs="Times New Roman"/>
        </w:rPr>
      </w:pPr>
      <w:r w:rsidRPr="00C8270A">
        <w:rPr>
          <w:rFonts w:ascii="Times New Roman" w:hAnsi="Times New Roman" w:cs="Times New Roman"/>
        </w:rPr>
        <w:t>B.</w:t>
      </w:r>
      <w:r w:rsidRPr="00C8270A">
        <w:rPr>
          <w:rFonts w:ascii="Times New Roman" w:hAnsi="Times New Roman" w:cs="Times New Roman"/>
        </w:rPr>
        <w:tab/>
      </w:r>
      <w:r w:rsidR="002E37E9" w:rsidRPr="00C8270A">
        <w:rPr>
          <w:rFonts w:ascii="Times New Roman" w:hAnsi="Times New Roman" w:cs="Times New Roman"/>
        </w:rPr>
        <w:t xml:space="preserve">No Showing that JAG Proceedings </w:t>
      </w:r>
      <w:r w:rsidR="005927F0" w:rsidRPr="00C8270A">
        <w:rPr>
          <w:rFonts w:ascii="Times New Roman" w:hAnsi="Times New Roman" w:cs="Times New Roman"/>
        </w:rPr>
        <w:t>Lacked Constitutional Protection</w:t>
      </w:r>
    </w:p>
    <w:p w:rsidR="00506325" w:rsidRPr="00C8270A" w:rsidRDefault="001747A5" w:rsidP="00BE7D5A">
      <w:pPr>
        <w:pStyle w:val="Heading4"/>
        <w:rPr>
          <w:rFonts w:ascii="Times New Roman" w:hAnsi="Times New Roman" w:cs="Times New Roman"/>
        </w:rPr>
      </w:pPr>
      <w:r w:rsidRPr="00C8270A">
        <w:rPr>
          <w:rFonts w:ascii="Times New Roman" w:hAnsi="Times New Roman" w:cs="Times New Roman"/>
        </w:rPr>
        <w:tab/>
        <w:t xml:space="preserve">1.  </w:t>
      </w:r>
      <w:r w:rsidR="00506325" w:rsidRPr="00C8270A">
        <w:rPr>
          <w:rFonts w:ascii="Times New Roman" w:hAnsi="Times New Roman" w:cs="Times New Roman"/>
        </w:rPr>
        <w:t>Partington Received Ample Due Process</w:t>
      </w:r>
    </w:p>
    <w:p w:rsidR="00EA5D0D" w:rsidRPr="00C8270A" w:rsidRDefault="002E37E9" w:rsidP="002E37E9">
      <w:pPr>
        <w:spacing w:line="480" w:lineRule="auto"/>
        <w:ind w:firstLine="720"/>
      </w:pPr>
      <w:r w:rsidRPr="00C8270A">
        <w:t xml:space="preserve">Partington also </w:t>
      </w:r>
      <w:r w:rsidR="00860D7C" w:rsidRPr="00C8270A">
        <w:t xml:space="preserve">did not </w:t>
      </w:r>
      <w:r w:rsidRPr="00C8270A">
        <w:t xml:space="preserve">demonstrate that the JAG disciplinary proceedings were constitutionally inadequate.  </w:t>
      </w:r>
      <w:r w:rsidR="000F41AB" w:rsidRPr="00C8270A">
        <w:t>While he has repeatedly argued that his right to due process was violated</w:t>
      </w:r>
      <w:r w:rsidR="003834F6" w:rsidRPr="00C8270A">
        <w:t xml:space="preserve">, we find </w:t>
      </w:r>
      <w:r w:rsidR="00BA3E0C" w:rsidRPr="00C8270A">
        <w:t xml:space="preserve">that </w:t>
      </w:r>
      <w:r w:rsidR="003834F6" w:rsidRPr="00C8270A">
        <w:t xml:space="preserve">the facts demonstrate </w:t>
      </w:r>
      <w:r w:rsidR="000F41AB" w:rsidRPr="00C8270A">
        <w:t xml:space="preserve">he received </w:t>
      </w:r>
      <w:r w:rsidR="003834F6" w:rsidRPr="00C8270A">
        <w:t xml:space="preserve">substantial </w:t>
      </w:r>
      <w:r w:rsidR="000F41AB" w:rsidRPr="00C8270A">
        <w:t xml:space="preserve">due process.  </w:t>
      </w:r>
      <w:r w:rsidR="00DF6CA1" w:rsidRPr="00C8270A">
        <w:t xml:space="preserve">“The fundamental requirement of due process is the opportunity to be heard </w:t>
      </w:r>
      <w:r w:rsidR="00A96613" w:rsidRPr="00C8270A">
        <w:t>‘</w:t>
      </w:r>
      <w:r w:rsidR="00DF6CA1" w:rsidRPr="00C8270A">
        <w:t>at a meaningful time and in a meaningful manner.</w:t>
      </w:r>
      <w:r w:rsidR="00A96613" w:rsidRPr="00C8270A">
        <w:t>’  [Citations.]</w:t>
      </w:r>
      <w:r w:rsidR="00DF6CA1" w:rsidRPr="00C8270A">
        <w:t>”  (</w:t>
      </w:r>
      <w:r w:rsidR="00A96613" w:rsidRPr="00C8270A">
        <w:rPr>
          <w:i/>
        </w:rPr>
        <w:t>Mat</w:t>
      </w:r>
      <w:r w:rsidR="00DF6CA1" w:rsidRPr="00C8270A">
        <w:rPr>
          <w:i/>
        </w:rPr>
        <w:t xml:space="preserve">hews v. Eldridge </w:t>
      </w:r>
      <w:r w:rsidR="00DF6CA1" w:rsidRPr="00C8270A">
        <w:t>(1976) 424</w:t>
      </w:r>
      <w:r w:rsidR="00253E85" w:rsidRPr="00C8270A">
        <w:t> </w:t>
      </w:r>
      <w:r w:rsidR="00DF6CA1" w:rsidRPr="00C8270A">
        <w:t xml:space="preserve">U.S. 319, 333.)  </w:t>
      </w:r>
    </w:p>
    <w:p w:rsidR="0007295E" w:rsidRPr="00C8270A" w:rsidRDefault="000F41AB" w:rsidP="002E37E9">
      <w:pPr>
        <w:spacing w:line="480" w:lineRule="auto"/>
        <w:ind w:firstLine="720"/>
      </w:pPr>
      <w:r w:rsidRPr="00C8270A">
        <w:t xml:space="preserve">From the initiation of the </w:t>
      </w:r>
      <w:r w:rsidR="00A94445" w:rsidRPr="00C8270A">
        <w:t xml:space="preserve">JAG </w:t>
      </w:r>
      <w:r w:rsidRPr="00C8270A">
        <w:t>proceedings in October 2008 through the issuance of the formal disciplinary decision in May 2010, Partington received over a dozen communications about the status of his proceedings</w:t>
      </w:r>
      <w:r w:rsidR="00472234" w:rsidRPr="00C8270A">
        <w:t xml:space="preserve">.  These communications </w:t>
      </w:r>
      <w:r w:rsidR="00EA5D0D" w:rsidRPr="00C8270A">
        <w:t xml:space="preserve">included </w:t>
      </w:r>
      <w:r w:rsidRPr="00C8270A">
        <w:t xml:space="preserve">a list of the </w:t>
      </w:r>
      <w:r w:rsidR="00D827E4" w:rsidRPr="00C8270A">
        <w:t>charges of professional misconduct all</w:t>
      </w:r>
      <w:r w:rsidR="005069A2" w:rsidRPr="00C8270A">
        <w:t>eged against him</w:t>
      </w:r>
      <w:r w:rsidR="00472234" w:rsidRPr="00C8270A">
        <w:t xml:space="preserve">, </w:t>
      </w:r>
      <w:r w:rsidR="005069A2" w:rsidRPr="00C8270A">
        <w:t xml:space="preserve">and </w:t>
      </w:r>
      <w:r w:rsidR="00D827E4" w:rsidRPr="00C8270A">
        <w:t xml:space="preserve">informed </w:t>
      </w:r>
      <w:r w:rsidR="00472234" w:rsidRPr="00C8270A">
        <w:t xml:space="preserve">him </w:t>
      </w:r>
      <w:r w:rsidR="00D827E4" w:rsidRPr="00C8270A">
        <w:t xml:space="preserve">of his rights, including </w:t>
      </w:r>
      <w:r w:rsidR="003343BA" w:rsidRPr="00C8270A">
        <w:t xml:space="preserve">the rights </w:t>
      </w:r>
      <w:r w:rsidR="00D827E4" w:rsidRPr="00C8270A">
        <w:t>to a hearing, to produce evidence</w:t>
      </w:r>
      <w:r w:rsidR="003343BA" w:rsidRPr="00C8270A">
        <w:t>, to</w:t>
      </w:r>
      <w:r w:rsidR="00D827E4" w:rsidRPr="00C8270A">
        <w:t xml:space="preserve"> review the evidence against him, </w:t>
      </w:r>
      <w:r w:rsidR="005069A2" w:rsidRPr="00C8270A">
        <w:t>to call witnesses</w:t>
      </w:r>
      <w:r w:rsidR="003343BA" w:rsidRPr="00C8270A">
        <w:t>,</w:t>
      </w:r>
      <w:r w:rsidR="005069A2" w:rsidRPr="00C8270A">
        <w:t xml:space="preserve"> and </w:t>
      </w:r>
      <w:r w:rsidR="003343BA" w:rsidRPr="00C8270A">
        <w:t xml:space="preserve">to </w:t>
      </w:r>
      <w:r w:rsidR="005069A2" w:rsidRPr="00C8270A">
        <w:t xml:space="preserve">be assisted by counsel.  </w:t>
      </w:r>
      <w:r w:rsidR="006802D1" w:rsidRPr="00C8270A">
        <w:t xml:space="preserve"> </w:t>
      </w:r>
    </w:p>
    <w:p w:rsidR="00860D7C" w:rsidRPr="00C8270A" w:rsidRDefault="00472234" w:rsidP="00506325">
      <w:pPr>
        <w:spacing w:line="480" w:lineRule="auto"/>
        <w:ind w:firstLine="720"/>
      </w:pPr>
      <w:r w:rsidRPr="00C8270A">
        <w:t>Specifically</w:t>
      </w:r>
      <w:r w:rsidR="009F7B54" w:rsidRPr="00C8270A">
        <w:t>, i</w:t>
      </w:r>
      <w:r w:rsidR="00EB4FA5" w:rsidRPr="00C8270A">
        <w:t>n October 2008</w:t>
      </w:r>
      <w:r w:rsidR="00C072F6" w:rsidRPr="00C8270A">
        <w:t>, Partington was advised by letter that a complaint had been filed</w:t>
      </w:r>
      <w:r w:rsidR="00EB4FA5" w:rsidRPr="00C8270A">
        <w:t>, an inquiry would be conducted, and he could comment in writing</w:t>
      </w:r>
      <w:r w:rsidR="00C072F6" w:rsidRPr="00C8270A">
        <w:t xml:space="preserve">.  </w:t>
      </w:r>
      <w:r w:rsidR="00267E4E" w:rsidRPr="00C8270A">
        <w:t>In June 2009, Captain Porzeinski wr</w:t>
      </w:r>
      <w:r w:rsidR="00576CCC" w:rsidRPr="00C8270A">
        <w:t>ote to Partington</w:t>
      </w:r>
      <w:r w:rsidR="002A062F" w:rsidRPr="00C8270A">
        <w:t xml:space="preserve">, </w:t>
      </w:r>
      <w:r w:rsidR="006802D1" w:rsidRPr="00C8270A">
        <w:t>discussed</w:t>
      </w:r>
      <w:r w:rsidR="00267E4E" w:rsidRPr="00C8270A">
        <w:t xml:space="preserve"> the preliminary investigation, </w:t>
      </w:r>
      <w:r w:rsidR="002A062F" w:rsidRPr="00C8270A">
        <w:t xml:space="preserve">gave </w:t>
      </w:r>
      <w:r w:rsidR="00267E4E" w:rsidRPr="00C8270A">
        <w:t>him an opportunity to review all the evidence to be considered in the inquiry</w:t>
      </w:r>
      <w:r w:rsidR="003343BA" w:rsidRPr="00C8270A">
        <w:t>,</w:t>
      </w:r>
      <w:r w:rsidR="00267E4E" w:rsidRPr="00C8270A">
        <w:t xml:space="preserve"> and </w:t>
      </w:r>
      <w:r w:rsidR="002A062F" w:rsidRPr="00C8270A">
        <w:t xml:space="preserve">informed him </w:t>
      </w:r>
      <w:r w:rsidR="00267E4E" w:rsidRPr="00C8270A">
        <w:t xml:space="preserve">that he could submit </w:t>
      </w:r>
      <w:r w:rsidR="006802D1" w:rsidRPr="00C8270A">
        <w:t xml:space="preserve">in writing </w:t>
      </w:r>
      <w:r w:rsidR="00267E4E" w:rsidRPr="00C8270A">
        <w:t xml:space="preserve">anything he </w:t>
      </w:r>
      <w:r w:rsidR="00595BD5" w:rsidRPr="00C8270A">
        <w:t>felt should also be</w:t>
      </w:r>
      <w:r w:rsidR="00267E4E" w:rsidRPr="00C8270A">
        <w:t xml:space="preserve"> considered.  </w:t>
      </w:r>
      <w:r w:rsidR="002F3C84" w:rsidRPr="00C8270A">
        <w:t xml:space="preserve">In October 2009, </w:t>
      </w:r>
      <w:r w:rsidR="00F130E2" w:rsidRPr="00C8270A">
        <w:t xml:space="preserve">the Rules Counsel </w:t>
      </w:r>
      <w:r w:rsidR="002F3C84" w:rsidRPr="00C8270A">
        <w:t>notified Partington of the commencement of the formal investigation</w:t>
      </w:r>
      <w:r w:rsidR="00F130E2" w:rsidRPr="00C8270A">
        <w:t xml:space="preserve">, which Captain Blazewick had been appointed to conduct.  This letter </w:t>
      </w:r>
      <w:r w:rsidR="0008268A" w:rsidRPr="00C8270A">
        <w:t>included a c</w:t>
      </w:r>
      <w:r w:rsidRPr="00C8270A">
        <w:t xml:space="preserve">opy of </w:t>
      </w:r>
      <w:r w:rsidR="00F130E2" w:rsidRPr="00C8270A">
        <w:t>the preliminary inquiry</w:t>
      </w:r>
      <w:r w:rsidR="0008268A" w:rsidRPr="00C8270A">
        <w:t>,</w:t>
      </w:r>
      <w:r w:rsidR="00F130E2" w:rsidRPr="00C8270A">
        <w:t xml:space="preserve"> which </w:t>
      </w:r>
      <w:r w:rsidR="00F130E2" w:rsidRPr="00C8270A">
        <w:lastRenderedPageBreak/>
        <w:t>contained an exhaustive review of th</w:t>
      </w:r>
      <w:r w:rsidR="0008268A" w:rsidRPr="00C8270A">
        <w:t>e trial court record and comparison</w:t>
      </w:r>
      <w:r w:rsidR="00F130E2" w:rsidRPr="00C8270A">
        <w:t xml:space="preserve"> to Partington’s statements in his appellate brief</w:t>
      </w:r>
      <w:r w:rsidR="002F3C84" w:rsidRPr="00C8270A">
        <w:t xml:space="preserve">.  </w:t>
      </w:r>
      <w:r w:rsidR="00F130E2" w:rsidRPr="00C8270A">
        <w:t>Th</w:t>
      </w:r>
      <w:r w:rsidR="0008268A" w:rsidRPr="00C8270A">
        <w:t>e</w:t>
      </w:r>
      <w:r w:rsidR="00F130E2" w:rsidRPr="00C8270A">
        <w:t xml:space="preserve"> letter also explained the </w:t>
      </w:r>
      <w:r w:rsidR="00A10847" w:rsidRPr="00C8270A">
        <w:t xml:space="preserve">investigation procedure and informed Partington of his rights.  </w:t>
      </w:r>
      <w:r w:rsidR="005069A2" w:rsidRPr="00C8270A">
        <w:t>Partington refused to participate in the proceedings and waived his right to a hearing</w:t>
      </w:r>
      <w:r w:rsidR="00297D13" w:rsidRPr="00C8270A">
        <w:t>.  Despite his failure to participate</w:t>
      </w:r>
      <w:r w:rsidR="00B30E5B" w:rsidRPr="00C8270A">
        <w:t>, Vice</w:t>
      </w:r>
      <w:r w:rsidR="00297D13" w:rsidRPr="00C8270A">
        <w:t xml:space="preserve"> Admiral Van Houck made it clear in his </w:t>
      </w:r>
      <w:r w:rsidR="00A96613" w:rsidRPr="00C8270A">
        <w:t xml:space="preserve">final </w:t>
      </w:r>
      <w:r w:rsidR="00297D13" w:rsidRPr="00C8270A">
        <w:t xml:space="preserve">decision that all correspondence provided by Partington </w:t>
      </w:r>
      <w:r w:rsidR="003B6FB1" w:rsidRPr="00C8270A">
        <w:t xml:space="preserve">and all issues raised by him </w:t>
      </w:r>
      <w:r w:rsidR="00297D13" w:rsidRPr="00C8270A">
        <w:t>w</w:t>
      </w:r>
      <w:r w:rsidR="003B6FB1" w:rsidRPr="00C8270A">
        <w:t>ere</w:t>
      </w:r>
      <w:r w:rsidR="00297D13" w:rsidRPr="00C8270A">
        <w:t xml:space="preserve"> considered.  </w:t>
      </w:r>
    </w:p>
    <w:p w:rsidR="001747A5" w:rsidRPr="00C8270A" w:rsidRDefault="00297D13" w:rsidP="001747A5">
      <w:pPr>
        <w:spacing w:line="480" w:lineRule="auto"/>
        <w:ind w:firstLine="720"/>
      </w:pPr>
      <w:r w:rsidRPr="00C8270A">
        <w:t xml:space="preserve">Partington </w:t>
      </w:r>
      <w:r w:rsidR="00B77111" w:rsidRPr="00C8270A">
        <w:t xml:space="preserve">also </w:t>
      </w:r>
      <w:r w:rsidRPr="00C8270A">
        <w:t xml:space="preserve">raised his due process claims in the multiple civil proceedings and appeals that he brought </w:t>
      </w:r>
      <w:r w:rsidR="0008268A" w:rsidRPr="00C8270A">
        <w:t xml:space="preserve">to </w:t>
      </w:r>
      <w:r w:rsidRPr="00C8270A">
        <w:t>challeng</w:t>
      </w:r>
      <w:r w:rsidR="0008268A" w:rsidRPr="00C8270A">
        <w:t>e</w:t>
      </w:r>
      <w:r w:rsidRPr="00C8270A">
        <w:t xml:space="preserve"> the JAG proceeding</w:t>
      </w:r>
      <w:r w:rsidR="0008268A" w:rsidRPr="00C8270A">
        <w:t>s</w:t>
      </w:r>
      <w:r w:rsidRPr="00C8270A">
        <w:t xml:space="preserve">.  These actions were all dismissed and ultimately, the </w:t>
      </w:r>
      <w:r w:rsidR="00262D9A" w:rsidRPr="00C8270A">
        <w:t>United States Court of Appeals for the District of Columbia Circuit ruled that it was clear Partington received “ample due process</w:t>
      </w:r>
      <w:r w:rsidR="007448A4" w:rsidRPr="00C8270A">
        <w:t>”</w:t>
      </w:r>
      <w:r w:rsidR="00262D9A" w:rsidRPr="00C8270A">
        <w:t xml:space="preserve"> during the JAG proceedings.</w:t>
      </w:r>
      <w:r w:rsidR="00860D7C" w:rsidRPr="00C8270A">
        <w:t xml:space="preserve">  </w:t>
      </w:r>
      <w:r w:rsidR="00407845" w:rsidRPr="00C8270A">
        <w:t xml:space="preserve">The </w:t>
      </w:r>
      <w:r w:rsidR="00A96613" w:rsidRPr="00C8270A">
        <w:t>c</w:t>
      </w:r>
      <w:r w:rsidR="00407845" w:rsidRPr="00C8270A">
        <w:t xml:space="preserve">ourt of </w:t>
      </w:r>
      <w:r w:rsidR="00A96613" w:rsidRPr="00C8270A">
        <w:t>a</w:t>
      </w:r>
      <w:r w:rsidR="00407845" w:rsidRPr="00C8270A">
        <w:t xml:space="preserve">ppeals addressed the claimed lack of due process in a careful and detailed analysis </w:t>
      </w:r>
      <w:r w:rsidR="0008268A" w:rsidRPr="00C8270A">
        <w:t xml:space="preserve">that </w:t>
      </w:r>
      <w:r w:rsidR="00587D0B" w:rsidRPr="00C8270A">
        <w:t xml:space="preserve">reviewed the </w:t>
      </w:r>
      <w:r w:rsidR="0008268A" w:rsidRPr="00C8270A">
        <w:t>numerous</w:t>
      </w:r>
      <w:r w:rsidR="00587D0B" w:rsidRPr="00C8270A">
        <w:t xml:space="preserve"> communications between </w:t>
      </w:r>
      <w:r w:rsidR="00572CC5" w:rsidRPr="00C8270A">
        <w:t xml:space="preserve">Partington </w:t>
      </w:r>
      <w:r w:rsidR="00587D0B" w:rsidRPr="00C8270A">
        <w:t xml:space="preserve">and the JAG.  </w:t>
      </w:r>
      <w:r w:rsidR="0008268A" w:rsidRPr="00C8270A">
        <w:t>It</w:t>
      </w:r>
      <w:r w:rsidR="00587D0B" w:rsidRPr="00C8270A">
        <w:t xml:space="preserve"> found that Partington “was informed numerous times of the specific violations</w:t>
      </w:r>
      <w:r w:rsidR="000A4AA2" w:rsidRPr="00C8270A">
        <w:t xml:space="preserve"> </w:t>
      </w:r>
      <w:r w:rsidR="00587D0B" w:rsidRPr="00C8270A">
        <w:t xml:space="preserve">. . . alleged against him and was provided with several opportunities to respond, including an opportunity for a hearing that he effectively waived.”  </w:t>
      </w:r>
      <w:r w:rsidR="00572CC5" w:rsidRPr="00C8270A">
        <w:t>Finally, t</w:t>
      </w:r>
      <w:r w:rsidR="00407845" w:rsidRPr="00C8270A">
        <w:t xml:space="preserve">he </w:t>
      </w:r>
      <w:r w:rsidR="00A96613" w:rsidRPr="00C8270A">
        <w:t>c</w:t>
      </w:r>
      <w:r w:rsidR="00407845" w:rsidRPr="00C8270A">
        <w:t>ourt</w:t>
      </w:r>
      <w:r w:rsidR="00A96613" w:rsidRPr="00C8270A">
        <w:t xml:space="preserve"> of appeals</w:t>
      </w:r>
      <w:r w:rsidR="00407845" w:rsidRPr="00C8270A">
        <w:t xml:space="preserve"> dismissed Partington’s additional “scattershot, twelve-point attack” </w:t>
      </w:r>
      <w:r w:rsidR="000A4AA2" w:rsidRPr="00C8270A">
        <w:t>that</w:t>
      </w:r>
      <w:r w:rsidR="00407845" w:rsidRPr="00C8270A">
        <w:t xml:space="preserve"> attempted to buttress his claim of lack of due process, concluding that “[n]one of the points reflect a deprivation of due process</w:t>
      </w:r>
      <w:r w:rsidR="00860D7C" w:rsidRPr="00C8270A">
        <w:t>,</w:t>
      </w:r>
      <w:r w:rsidR="00407845" w:rsidRPr="00C8270A">
        <w:t>” “[s]ome are conclusory allegations</w:t>
      </w:r>
      <w:r w:rsidR="00A96613" w:rsidRPr="00C8270A">
        <w:t>,</w:t>
      </w:r>
      <w:r w:rsidR="00407845" w:rsidRPr="00C8270A">
        <w:t>” and “[s]ome are trivial and contrived.”  These appellate court findings are entitled to great weight and are supported by clear and convincing evidence.  (</w:t>
      </w:r>
      <w:r w:rsidR="00407845" w:rsidRPr="00C8270A">
        <w:rPr>
          <w:i/>
        </w:rPr>
        <w:t xml:space="preserve">In the Matter of Kinney </w:t>
      </w:r>
      <w:r w:rsidR="00407845" w:rsidRPr="00C8270A">
        <w:t>(Review Dept. 2014)</w:t>
      </w:r>
      <w:r w:rsidR="00407845" w:rsidRPr="00C8270A">
        <w:rPr>
          <w:i/>
        </w:rPr>
        <w:t xml:space="preserve"> </w:t>
      </w:r>
      <w:r w:rsidR="00407845" w:rsidRPr="00C8270A">
        <w:t>5</w:t>
      </w:r>
      <w:r w:rsidR="000A4AA2" w:rsidRPr="00C8270A">
        <w:t> </w:t>
      </w:r>
      <w:r w:rsidR="00407845" w:rsidRPr="00C8270A">
        <w:t xml:space="preserve">Cal. State Bar Ct. Rptr. 360, 365 [may rely on court of appeal opinion to which attorney was party as conclusive legal determination of civil matters bearing strong similarity to charged disciplinary conduct]; </w:t>
      </w:r>
      <w:r w:rsidR="00407845" w:rsidRPr="00C8270A">
        <w:rPr>
          <w:i/>
        </w:rPr>
        <w:t>In the Matter of Lais</w:t>
      </w:r>
      <w:r w:rsidR="00407845" w:rsidRPr="00C8270A">
        <w:t xml:space="preserve"> (Review Dept. 2000) 4</w:t>
      </w:r>
      <w:r w:rsidR="000A4AA2" w:rsidRPr="00C8270A">
        <w:t> </w:t>
      </w:r>
      <w:r w:rsidR="00407845" w:rsidRPr="00C8270A">
        <w:t xml:space="preserve">Cal. State Bar Ct. Rptr. 112, 117-118 [court adopted frivolous appeal findings by court of appeal where respondent failed to produce any competing evidence].)  </w:t>
      </w:r>
    </w:p>
    <w:p w:rsidR="00506325" w:rsidRPr="00C8270A" w:rsidRDefault="001747A5" w:rsidP="00BE7D5A">
      <w:pPr>
        <w:pStyle w:val="Heading4"/>
        <w:rPr>
          <w:rFonts w:ascii="Times New Roman" w:hAnsi="Times New Roman" w:cs="Times New Roman"/>
        </w:rPr>
      </w:pPr>
      <w:r w:rsidRPr="00C8270A">
        <w:rPr>
          <w:rFonts w:ascii="Times New Roman" w:hAnsi="Times New Roman" w:cs="Times New Roman"/>
        </w:rPr>
        <w:lastRenderedPageBreak/>
        <w:tab/>
        <w:t xml:space="preserve">2.  </w:t>
      </w:r>
      <w:r w:rsidR="00506325" w:rsidRPr="00C8270A">
        <w:rPr>
          <w:rFonts w:ascii="Times New Roman" w:hAnsi="Times New Roman" w:cs="Times New Roman"/>
        </w:rPr>
        <w:t xml:space="preserve">Partington </w:t>
      </w:r>
      <w:r w:rsidR="00F20198" w:rsidRPr="00C8270A">
        <w:rPr>
          <w:rFonts w:ascii="Times New Roman" w:hAnsi="Times New Roman" w:cs="Times New Roman"/>
        </w:rPr>
        <w:t>Has Not Shown H</w:t>
      </w:r>
      <w:r w:rsidR="00A211F3" w:rsidRPr="00C8270A">
        <w:rPr>
          <w:rFonts w:ascii="Times New Roman" w:hAnsi="Times New Roman" w:cs="Times New Roman"/>
        </w:rPr>
        <w:t xml:space="preserve">is </w:t>
      </w:r>
      <w:r w:rsidR="000E6392" w:rsidRPr="00C8270A">
        <w:rPr>
          <w:rFonts w:ascii="Times New Roman" w:hAnsi="Times New Roman" w:cs="Times New Roman"/>
        </w:rPr>
        <w:t xml:space="preserve">Claim </w:t>
      </w:r>
      <w:r w:rsidR="00F20198" w:rsidRPr="00C8270A">
        <w:rPr>
          <w:rFonts w:ascii="Times New Roman" w:hAnsi="Times New Roman" w:cs="Times New Roman"/>
        </w:rPr>
        <w:t>R</w:t>
      </w:r>
      <w:r w:rsidR="000E6392" w:rsidRPr="00C8270A">
        <w:rPr>
          <w:rFonts w:ascii="Times New Roman" w:hAnsi="Times New Roman" w:cs="Times New Roman"/>
        </w:rPr>
        <w:t>egarding Inability to Access</w:t>
      </w:r>
      <w:r w:rsidR="004A4C23" w:rsidRPr="00C8270A">
        <w:rPr>
          <w:rFonts w:ascii="Times New Roman" w:hAnsi="Times New Roman" w:cs="Times New Roman"/>
        </w:rPr>
        <w:t xml:space="preserve"> </w:t>
      </w:r>
      <w:r w:rsidR="00A211F3" w:rsidRPr="00C8270A">
        <w:rPr>
          <w:rFonts w:ascii="Times New Roman" w:hAnsi="Times New Roman" w:cs="Times New Roman"/>
        </w:rPr>
        <w:t xml:space="preserve">Administrative Procedure </w:t>
      </w:r>
      <w:r w:rsidR="000E6392" w:rsidRPr="00C8270A">
        <w:rPr>
          <w:rFonts w:ascii="Times New Roman" w:hAnsi="Times New Roman" w:cs="Times New Roman"/>
        </w:rPr>
        <w:t xml:space="preserve">Act </w:t>
      </w:r>
      <w:r w:rsidR="00A211F3" w:rsidRPr="00C8270A">
        <w:rPr>
          <w:rFonts w:ascii="Times New Roman" w:hAnsi="Times New Roman" w:cs="Times New Roman"/>
        </w:rPr>
        <w:t>Resulted in Constitutional Violation</w:t>
      </w:r>
    </w:p>
    <w:p w:rsidR="00A211F3" w:rsidRPr="00C8270A" w:rsidRDefault="00A211F3" w:rsidP="00A211F3">
      <w:pPr>
        <w:pStyle w:val="Default"/>
        <w:rPr>
          <w:b/>
        </w:rPr>
      </w:pPr>
    </w:p>
    <w:p w:rsidR="00297D2A" w:rsidRPr="00C8270A" w:rsidRDefault="00233324" w:rsidP="00297D2A">
      <w:pPr>
        <w:spacing w:line="480" w:lineRule="auto"/>
        <w:ind w:firstLine="720"/>
      </w:pPr>
      <w:r w:rsidRPr="00C8270A">
        <w:t xml:space="preserve">Partington asserts that he was </w:t>
      </w:r>
      <w:r w:rsidR="000A4AA2" w:rsidRPr="00C8270A">
        <w:t>deprived of</w:t>
      </w:r>
      <w:r w:rsidRPr="00C8270A">
        <w:t xml:space="preserve"> equal protection under </w:t>
      </w:r>
      <w:r w:rsidR="00407845" w:rsidRPr="00C8270A">
        <w:t xml:space="preserve">state and </w:t>
      </w:r>
      <w:r w:rsidRPr="00C8270A">
        <w:t xml:space="preserve">federal law because he was denied the right to access the </w:t>
      </w:r>
      <w:r w:rsidR="000635D5" w:rsidRPr="00C8270A">
        <w:t xml:space="preserve">judicial review available under </w:t>
      </w:r>
      <w:r w:rsidR="000A4AA2" w:rsidRPr="00C8270A">
        <w:t xml:space="preserve">the </w:t>
      </w:r>
      <w:r w:rsidRPr="00C8270A">
        <w:t>Administrative Procedure Act</w:t>
      </w:r>
      <w:r w:rsidR="00F20198" w:rsidRPr="00C8270A">
        <w:t xml:space="preserve"> (APA)</w:t>
      </w:r>
      <w:r w:rsidRPr="00C8270A">
        <w:t xml:space="preserve">.  </w:t>
      </w:r>
      <w:r w:rsidR="000635D5" w:rsidRPr="00C8270A">
        <w:t xml:space="preserve">We find that this claim has no merit.  </w:t>
      </w:r>
      <w:r w:rsidR="00E56E11" w:rsidRPr="00C8270A">
        <w:t xml:space="preserve">The </w:t>
      </w:r>
      <w:r w:rsidR="00F20198" w:rsidRPr="00C8270A">
        <w:t>c</w:t>
      </w:r>
      <w:r w:rsidR="00E56E11" w:rsidRPr="00C8270A">
        <w:t xml:space="preserve">ourt of </w:t>
      </w:r>
      <w:r w:rsidR="00F20198" w:rsidRPr="00C8270A">
        <w:t>a</w:t>
      </w:r>
      <w:r w:rsidR="00E56E11" w:rsidRPr="00C8270A">
        <w:t>ppeals</w:t>
      </w:r>
      <w:r w:rsidR="000635D5" w:rsidRPr="00C8270A">
        <w:t xml:space="preserve"> </w:t>
      </w:r>
      <w:r w:rsidR="00E56E11" w:rsidRPr="00C8270A">
        <w:t>considered and dismissed this claim as unsupported by the record</w:t>
      </w:r>
      <w:r w:rsidR="003715B3" w:rsidRPr="00C8270A">
        <w:t xml:space="preserve"> after conducting a review and determining that the JAG’s decision was not arbitrary or capricious</w:t>
      </w:r>
      <w:r w:rsidR="00102266" w:rsidRPr="00C8270A">
        <w:t>:</w:t>
      </w:r>
      <w:r w:rsidR="00E56E11" w:rsidRPr="00C8270A">
        <w:t xml:space="preserve"> </w:t>
      </w:r>
      <w:r w:rsidR="003715B3" w:rsidRPr="00C8270A">
        <w:t xml:space="preserve">“We conclude that the NJAG, in explaining that he found that Partington filed an appellate brief containing statements Partington knew were </w:t>
      </w:r>
      <w:r w:rsidR="00F20198" w:rsidRPr="00C8270A">
        <w:t>false and misleading, [c</w:t>
      </w:r>
      <w:r w:rsidR="00AE2BA9" w:rsidRPr="00C8270A">
        <w:t>itation</w:t>
      </w:r>
      <w:r w:rsidR="003715B3" w:rsidRPr="00C8270A">
        <w:t xml:space="preserve">], </w:t>
      </w:r>
      <w:r w:rsidR="00F0235A" w:rsidRPr="00C8270A">
        <w:t>articulated a ‘rational connection between the facts found and the choice made</w:t>
      </w:r>
      <w:r w:rsidR="00AE2BA9" w:rsidRPr="00C8270A">
        <w:t xml:space="preserve">.’ </w:t>
      </w:r>
      <w:r w:rsidR="00F20198" w:rsidRPr="00C8270A">
        <w:t xml:space="preserve"> </w:t>
      </w:r>
      <w:r w:rsidR="00AE2BA9" w:rsidRPr="00C8270A">
        <w:t>[Citation</w:t>
      </w:r>
      <w:r w:rsidR="00F20198" w:rsidRPr="00C8270A">
        <w:t>.</w:t>
      </w:r>
      <w:r w:rsidR="00AE2BA9" w:rsidRPr="00C8270A">
        <w:t>]  Because the record does not support Partington’s APA claim, we affirm the district court’s judgment dismissing that claim.”  We give great weight to the</w:t>
      </w:r>
      <w:r w:rsidR="00E56E11" w:rsidRPr="00C8270A">
        <w:t>se findings.  (</w:t>
      </w:r>
      <w:r w:rsidR="00E56E11" w:rsidRPr="00C8270A">
        <w:rPr>
          <w:i/>
        </w:rPr>
        <w:t>In the Matter of Kinney</w:t>
      </w:r>
      <w:r w:rsidR="00E56E11" w:rsidRPr="00C8270A">
        <w:t>,</w:t>
      </w:r>
      <w:r w:rsidR="00E56E11" w:rsidRPr="00C8270A">
        <w:rPr>
          <w:i/>
        </w:rPr>
        <w:t xml:space="preserve"> supra</w:t>
      </w:r>
      <w:r w:rsidR="000A4AA2" w:rsidRPr="00C8270A">
        <w:t>,</w:t>
      </w:r>
      <w:r w:rsidR="00E56E11" w:rsidRPr="00C8270A">
        <w:rPr>
          <w:i/>
        </w:rPr>
        <w:t xml:space="preserve"> </w:t>
      </w:r>
      <w:r w:rsidR="00E56E11" w:rsidRPr="00C8270A">
        <w:t>5</w:t>
      </w:r>
      <w:r w:rsidR="000A4AA2" w:rsidRPr="00C8270A">
        <w:t> </w:t>
      </w:r>
      <w:r w:rsidR="00E56E11" w:rsidRPr="00C8270A">
        <w:t>Cal. State Bar Ct. Rptr. at p.</w:t>
      </w:r>
      <w:r w:rsidR="000A4AA2" w:rsidRPr="00C8270A">
        <w:t> </w:t>
      </w:r>
      <w:r w:rsidR="00E56E11" w:rsidRPr="00C8270A">
        <w:t xml:space="preserve">365; </w:t>
      </w:r>
      <w:r w:rsidR="00E56E11" w:rsidRPr="00C8270A">
        <w:rPr>
          <w:i/>
        </w:rPr>
        <w:t>In the Matter of Lais</w:t>
      </w:r>
      <w:r w:rsidR="00E56E11" w:rsidRPr="00C8270A">
        <w:t>,</w:t>
      </w:r>
      <w:r w:rsidR="00E56E11" w:rsidRPr="00C8270A">
        <w:rPr>
          <w:i/>
        </w:rPr>
        <w:t xml:space="preserve"> supra</w:t>
      </w:r>
      <w:r w:rsidR="00E56E11" w:rsidRPr="00C8270A">
        <w:t>, 4</w:t>
      </w:r>
      <w:r w:rsidR="000A4AA2" w:rsidRPr="00C8270A">
        <w:t> </w:t>
      </w:r>
      <w:r w:rsidR="00E56E11" w:rsidRPr="00C8270A">
        <w:t xml:space="preserve">Cal. State Bar Ct. Rptr. </w:t>
      </w:r>
      <w:r w:rsidR="00EF4919" w:rsidRPr="00C8270A">
        <w:t>at pp.</w:t>
      </w:r>
      <w:r w:rsidR="000A4AA2" w:rsidRPr="00C8270A">
        <w:t> </w:t>
      </w:r>
      <w:r w:rsidR="00E56E11" w:rsidRPr="00C8270A">
        <w:t>117-118.)</w:t>
      </w:r>
    </w:p>
    <w:p w:rsidR="00D1205E" w:rsidRPr="00C8270A" w:rsidRDefault="00A17317" w:rsidP="00BE7D5A">
      <w:pPr>
        <w:pStyle w:val="Heading2"/>
        <w:rPr>
          <w:rFonts w:ascii="Times New Roman" w:hAnsi="Times New Roman" w:cs="Times New Roman"/>
        </w:rPr>
      </w:pPr>
      <w:r w:rsidRPr="00C8270A">
        <w:rPr>
          <w:rFonts w:ascii="Times New Roman" w:hAnsi="Times New Roman" w:cs="Times New Roman"/>
        </w:rPr>
        <w:t xml:space="preserve">IV.  AGGRAVATION </w:t>
      </w:r>
      <w:r w:rsidR="003F1263" w:rsidRPr="00C8270A">
        <w:rPr>
          <w:rFonts w:ascii="Times New Roman" w:hAnsi="Times New Roman" w:cs="Times New Roman"/>
        </w:rPr>
        <w:t xml:space="preserve">OUTWEIGHS </w:t>
      </w:r>
      <w:r w:rsidRPr="00C8270A">
        <w:rPr>
          <w:rFonts w:ascii="Times New Roman" w:hAnsi="Times New Roman" w:cs="Times New Roman"/>
        </w:rPr>
        <w:t>MITIGATION</w:t>
      </w:r>
    </w:p>
    <w:p w:rsidR="00240747" w:rsidRPr="00C8270A" w:rsidRDefault="00240747" w:rsidP="00D1205E">
      <w:pPr>
        <w:spacing w:line="480" w:lineRule="auto"/>
        <w:rPr>
          <w:b/>
        </w:rPr>
      </w:pPr>
      <w:r w:rsidRPr="00C8270A">
        <w:tab/>
        <w:t>Standard 1.5 of the Rules of Procedure of the State Bar, title IV, Standards for Attorney Sanctions for Professional Misconduct</w:t>
      </w:r>
      <w:r w:rsidRPr="00C8270A">
        <w:rPr>
          <w:rStyle w:val="FootnoteReference"/>
        </w:rPr>
        <w:footnoteReference w:id="10"/>
      </w:r>
      <w:r w:rsidRPr="00C8270A">
        <w:t xml:space="preserve"> requires OCTC to establish aggravating circumstances by clear and convincing evidence.  Standard 1.6 requires Partington to meet the same burden to prove mitigation.  </w:t>
      </w:r>
    </w:p>
    <w:p w:rsidR="00D525C5" w:rsidRPr="00C8270A" w:rsidRDefault="00D1205E" w:rsidP="00BE7D5A">
      <w:pPr>
        <w:pStyle w:val="Heading3"/>
        <w:rPr>
          <w:rFonts w:ascii="Times New Roman" w:hAnsi="Times New Roman" w:cs="Times New Roman"/>
        </w:rPr>
      </w:pPr>
      <w:r w:rsidRPr="00C8270A">
        <w:rPr>
          <w:rFonts w:ascii="Times New Roman" w:hAnsi="Times New Roman" w:cs="Times New Roman"/>
        </w:rPr>
        <w:t>A.</w:t>
      </w:r>
      <w:r w:rsidRPr="00C8270A">
        <w:rPr>
          <w:rFonts w:ascii="Times New Roman" w:hAnsi="Times New Roman" w:cs="Times New Roman"/>
        </w:rPr>
        <w:tab/>
      </w:r>
      <w:r w:rsidR="00D525C5" w:rsidRPr="00C8270A">
        <w:rPr>
          <w:rFonts w:ascii="Times New Roman" w:hAnsi="Times New Roman" w:cs="Times New Roman"/>
        </w:rPr>
        <w:t>Lack of Insight</w:t>
      </w:r>
    </w:p>
    <w:p w:rsidR="00AF0363" w:rsidRPr="00C8270A" w:rsidRDefault="00AF0363" w:rsidP="00AF0363">
      <w:pPr>
        <w:tabs>
          <w:tab w:val="left" w:pos="720"/>
        </w:tabs>
        <w:spacing w:line="480" w:lineRule="auto"/>
      </w:pPr>
      <w:r w:rsidRPr="00C8270A">
        <w:tab/>
        <w:t>We agree with the hearing judge’s aggravation finding that Partington lacks insight into his misconduct.  (Std.</w:t>
      </w:r>
      <w:r w:rsidR="000A4AA2" w:rsidRPr="00C8270A">
        <w:t> </w:t>
      </w:r>
      <w:r w:rsidRPr="00C8270A">
        <w:t xml:space="preserve">1.5(k) [aggravation for indifference toward rectification or atonement for consequences of misconduct].)  First, we agree with the finding that Partington’s assertion that the NMCCA referred him for discipline </w:t>
      </w:r>
      <w:r w:rsidR="00F6232C" w:rsidRPr="00C8270A">
        <w:t>to cover up the</w:t>
      </w:r>
      <w:r w:rsidRPr="00C8270A">
        <w:t xml:space="preserve"> Navy prosecutors</w:t>
      </w:r>
      <w:r w:rsidR="00F6232C" w:rsidRPr="00C8270A">
        <w:t xml:space="preserve">’ “blunders” in </w:t>
      </w:r>
      <w:r w:rsidRPr="00C8270A">
        <w:t>the criminal case below lacks credibility</w:t>
      </w:r>
      <w:r w:rsidR="002444FD" w:rsidRPr="00C8270A">
        <w:t>.  And we</w:t>
      </w:r>
      <w:r w:rsidRPr="00C8270A">
        <w:t xml:space="preserve"> agree that this</w:t>
      </w:r>
      <w:r w:rsidR="002444FD" w:rsidRPr="00C8270A">
        <w:t xml:space="preserve"> statement</w:t>
      </w:r>
      <w:r w:rsidRPr="00C8270A">
        <w:t xml:space="preserve"> demonstrates </w:t>
      </w:r>
      <w:r w:rsidR="002444FD" w:rsidRPr="00C8270A">
        <w:lastRenderedPageBreak/>
        <w:t xml:space="preserve">Partington’s </w:t>
      </w:r>
      <w:r w:rsidRPr="00C8270A">
        <w:t xml:space="preserve">lack of insight into his misconduct.  </w:t>
      </w:r>
      <w:r w:rsidR="00BF0409" w:rsidRPr="00C8270A">
        <w:t xml:space="preserve">(Rules Proc. of State Bar, rule 5.155(A) [great weight given to findings of fact]; </w:t>
      </w:r>
      <w:r w:rsidR="00BF0409" w:rsidRPr="00C8270A">
        <w:rPr>
          <w:i/>
        </w:rPr>
        <w:t>McKnight v. State Bar</w:t>
      </w:r>
      <w:r w:rsidR="00BF0409" w:rsidRPr="00C8270A">
        <w:t xml:space="preserve"> (1991)</w:t>
      </w:r>
      <w:r w:rsidR="00BF0409" w:rsidRPr="00C8270A">
        <w:rPr>
          <w:i/>
        </w:rPr>
        <w:t xml:space="preserve"> </w:t>
      </w:r>
      <w:r w:rsidR="00BF0409" w:rsidRPr="00C8270A">
        <w:t>53 Cal.3d 1025, 1032</w:t>
      </w:r>
      <w:r w:rsidR="00BF0409" w:rsidRPr="00C8270A">
        <w:rPr>
          <w:i/>
        </w:rPr>
        <w:t xml:space="preserve"> </w:t>
      </w:r>
      <w:r w:rsidR="00BF0409" w:rsidRPr="00C8270A">
        <w:t xml:space="preserve">[great weight given to hearing judge’s findings on credibility].)  </w:t>
      </w:r>
      <w:r w:rsidR="00F6232C" w:rsidRPr="00C8270A">
        <w:t xml:space="preserve">Partington made the same </w:t>
      </w:r>
      <w:r w:rsidR="00472234" w:rsidRPr="00C8270A">
        <w:t xml:space="preserve">specious </w:t>
      </w:r>
      <w:r w:rsidR="00F6232C" w:rsidRPr="00C8270A">
        <w:t>claim in his review brief</w:t>
      </w:r>
      <w:r w:rsidR="002444FD" w:rsidRPr="00C8270A">
        <w:t>,</w:t>
      </w:r>
      <w:r w:rsidR="00F6232C" w:rsidRPr="00C8270A">
        <w:t xml:space="preserve"> stating that </w:t>
      </w:r>
      <w:r w:rsidR="00240747" w:rsidRPr="00C8270A">
        <w:t xml:space="preserve">there was </w:t>
      </w:r>
      <w:r w:rsidR="00F6232C" w:rsidRPr="00C8270A">
        <w:t>“</w:t>
      </w:r>
      <w:r w:rsidR="004924B5" w:rsidRPr="00C8270A">
        <w:t>‘</w:t>
      </w:r>
      <w:r w:rsidR="00F6232C" w:rsidRPr="00C8270A">
        <w:t>scuttlebutt’ at Pearl Harbor after the [court martial] proceeding tha</w:t>
      </w:r>
      <w:r w:rsidR="00C478E5" w:rsidRPr="00C8270A">
        <w:t xml:space="preserve">t the Navy was out to get [him because he] had a record of winning cases at Pearl Harbor.”  </w:t>
      </w:r>
    </w:p>
    <w:p w:rsidR="00952B69" w:rsidRPr="00C8270A" w:rsidRDefault="00AF0363" w:rsidP="00AF0363">
      <w:pPr>
        <w:tabs>
          <w:tab w:val="left" w:pos="720"/>
        </w:tabs>
        <w:spacing w:line="480" w:lineRule="auto"/>
      </w:pPr>
      <w:r w:rsidRPr="00C8270A">
        <w:tab/>
        <w:t xml:space="preserve">In addition, we find lack of insight </w:t>
      </w:r>
      <w:r w:rsidR="0077241B" w:rsidRPr="00C8270A">
        <w:t>in</w:t>
      </w:r>
      <w:r w:rsidRPr="00C8270A">
        <w:t xml:space="preserve"> Partington’s repeated assertion </w:t>
      </w:r>
      <w:r w:rsidR="00BF0409" w:rsidRPr="00C8270A">
        <w:t xml:space="preserve">in this proceeding </w:t>
      </w:r>
      <w:r w:rsidRPr="00C8270A">
        <w:t xml:space="preserve">of </w:t>
      </w:r>
      <w:r w:rsidR="00952B69" w:rsidRPr="00C8270A">
        <w:t xml:space="preserve">previously </w:t>
      </w:r>
      <w:r w:rsidRPr="00C8270A">
        <w:t xml:space="preserve">rejected challenges to the JAG proceedings.  </w:t>
      </w:r>
      <w:r w:rsidR="00952B69" w:rsidRPr="00C8270A">
        <w:t xml:space="preserve">In fact, as discussed below, these prior challenges have been fully litigated all the way to the United States Supreme Court.  </w:t>
      </w:r>
      <w:r w:rsidRPr="00C8270A">
        <w:t>(</w:t>
      </w:r>
      <w:r w:rsidRPr="00C8270A">
        <w:rPr>
          <w:i/>
        </w:rPr>
        <w:t xml:space="preserve">In re Morse </w:t>
      </w:r>
      <w:r w:rsidRPr="00C8270A">
        <w:t>(1995) 11</w:t>
      </w:r>
      <w:r w:rsidR="0077241B" w:rsidRPr="00C8270A">
        <w:t> </w:t>
      </w:r>
      <w:r w:rsidRPr="00C8270A">
        <w:t>Cal.4th 184, 197</w:t>
      </w:r>
      <w:r w:rsidR="0077241B" w:rsidRPr="00C8270A">
        <w:t>-</w:t>
      </w:r>
      <w:r w:rsidR="00240747" w:rsidRPr="00C8270A">
        <w:t>1</w:t>
      </w:r>
      <w:r w:rsidRPr="00C8270A">
        <w:t xml:space="preserve">98 [repeated assertion of rejected arguments crossed line between zealous advocacy and recalcitrance]; </w:t>
      </w:r>
      <w:r w:rsidRPr="00C8270A">
        <w:rPr>
          <w:i/>
        </w:rPr>
        <w:t>In the Matter of Katz</w:t>
      </w:r>
      <w:r w:rsidRPr="00C8270A">
        <w:t xml:space="preserve"> (Review Dept. 1991) 1</w:t>
      </w:r>
      <w:r w:rsidR="0077241B" w:rsidRPr="00C8270A">
        <w:t> </w:t>
      </w:r>
      <w:r w:rsidRPr="00C8270A">
        <w:t>Cal. State Bar Ct. Rptr. 502, 511 [law does not require false penitence, but</w:t>
      </w:r>
      <w:r w:rsidR="00240747" w:rsidRPr="00C8270A">
        <w:t xml:space="preserve"> does require</w:t>
      </w:r>
      <w:r w:rsidRPr="00C8270A">
        <w:t xml:space="preserve"> respondent </w:t>
      </w:r>
      <w:r w:rsidR="00240747" w:rsidRPr="00C8270A">
        <w:t>to</w:t>
      </w:r>
      <w:r w:rsidR="002400ED" w:rsidRPr="00C8270A">
        <w:t xml:space="preserve"> </w:t>
      </w:r>
      <w:r w:rsidRPr="00C8270A">
        <w:t xml:space="preserve">accept responsibility for acts and come to grips with culpability].)  </w:t>
      </w:r>
    </w:p>
    <w:p w:rsidR="000431E0" w:rsidRPr="00C8270A" w:rsidRDefault="00952B69" w:rsidP="00AF0363">
      <w:pPr>
        <w:tabs>
          <w:tab w:val="left" w:pos="720"/>
        </w:tabs>
        <w:spacing w:line="480" w:lineRule="auto"/>
      </w:pPr>
      <w:r w:rsidRPr="00C8270A">
        <w:tab/>
        <w:t>Partington</w:t>
      </w:r>
      <w:r w:rsidR="002400ED" w:rsidRPr="00C8270A">
        <w:t>’s appeals</w:t>
      </w:r>
      <w:r w:rsidRPr="00C8270A">
        <w:t xml:space="preserve"> </w:t>
      </w:r>
      <w:r w:rsidR="00AF0363" w:rsidRPr="00C8270A">
        <w:t xml:space="preserve">claimed </w:t>
      </w:r>
      <w:r w:rsidRPr="00C8270A">
        <w:t xml:space="preserve">a </w:t>
      </w:r>
      <w:r w:rsidR="00AF0363" w:rsidRPr="00C8270A">
        <w:t>violation of his due process rights, that the J</w:t>
      </w:r>
      <w:r w:rsidR="002400ED" w:rsidRPr="00C8270A">
        <w:t>AG</w:t>
      </w:r>
      <w:r w:rsidR="00AF0363" w:rsidRPr="00C8270A">
        <w:t xml:space="preserve"> had no statutory authority to discipline him, and that he did not understand the c</w:t>
      </w:r>
      <w:r w:rsidR="002400ED" w:rsidRPr="00C8270A">
        <w:t>harges against him.  After the district court and the court of a</w:t>
      </w:r>
      <w:r w:rsidR="00AF0363" w:rsidRPr="00C8270A">
        <w:t xml:space="preserve">ppeals rejected all of his arguments, he filed a writ of mandamus with the United States Supreme Court, which was also denied.  When none of those appeals succeeded, Partington proceeded to file a motion in the </w:t>
      </w:r>
      <w:r w:rsidR="002400ED" w:rsidRPr="00C8270A">
        <w:t>d</w:t>
      </w:r>
      <w:r w:rsidR="00AF0363" w:rsidRPr="00C8270A">
        <w:t xml:space="preserve">istrict </w:t>
      </w:r>
      <w:r w:rsidR="002400ED" w:rsidRPr="00C8270A">
        <w:t>c</w:t>
      </w:r>
      <w:r w:rsidR="00AF0363" w:rsidRPr="00C8270A">
        <w:t xml:space="preserve">ourt, arguing that the </w:t>
      </w:r>
      <w:r w:rsidR="002400ED" w:rsidRPr="00C8270A">
        <w:t>court of a</w:t>
      </w:r>
      <w:r w:rsidR="00AF0363" w:rsidRPr="00C8270A">
        <w:t xml:space="preserve">ppeals lacked jurisdiction to issue judgment in the appeal </w:t>
      </w:r>
      <w:r w:rsidR="00AF0363" w:rsidRPr="00C8270A">
        <w:rPr>
          <w:i/>
        </w:rPr>
        <w:t>that he himself had filed</w:t>
      </w:r>
      <w:r w:rsidR="00AF0363" w:rsidRPr="00C8270A">
        <w:t xml:space="preserve">.  The </w:t>
      </w:r>
      <w:r w:rsidR="002400ED" w:rsidRPr="00C8270A">
        <w:t>d</w:t>
      </w:r>
      <w:r w:rsidR="00AF0363" w:rsidRPr="00C8270A">
        <w:t xml:space="preserve">istrict </w:t>
      </w:r>
      <w:r w:rsidR="002400ED" w:rsidRPr="00C8270A">
        <w:t>c</w:t>
      </w:r>
      <w:r w:rsidR="00AF0363" w:rsidRPr="00C8270A">
        <w:t>o</w:t>
      </w:r>
      <w:r w:rsidR="007C3DCF" w:rsidRPr="00C8270A">
        <w:t>urt denied this motion and the c</w:t>
      </w:r>
      <w:r w:rsidR="00AF0363" w:rsidRPr="00C8270A">
        <w:t xml:space="preserve">ourt of </w:t>
      </w:r>
      <w:r w:rsidR="007C3DCF" w:rsidRPr="00C8270A">
        <w:t>a</w:t>
      </w:r>
      <w:r w:rsidR="00AF0363" w:rsidRPr="00C8270A">
        <w:t>ppeals summarily affirmed this ruling, finding that “the merits</w:t>
      </w:r>
      <w:r w:rsidR="00377615" w:rsidRPr="00C8270A">
        <w:t xml:space="preserve"> </w:t>
      </w:r>
      <w:r w:rsidR="00AF0363" w:rsidRPr="00C8270A">
        <w:t xml:space="preserve">. . . are so clear as to </w:t>
      </w:r>
      <w:r w:rsidR="007C3DCF" w:rsidRPr="00C8270A">
        <w:t>warrant</w:t>
      </w:r>
      <w:r w:rsidR="00AF0363" w:rsidRPr="00C8270A">
        <w:t xml:space="preserve"> summary action.”  Partington also appealed this ruling to the United States Supreme Court and was again rejected.  </w:t>
      </w:r>
    </w:p>
    <w:p w:rsidR="00D1205E" w:rsidRPr="00C8270A" w:rsidRDefault="000431E0" w:rsidP="00D1205E">
      <w:pPr>
        <w:tabs>
          <w:tab w:val="left" w:pos="720"/>
        </w:tabs>
        <w:spacing w:line="480" w:lineRule="auto"/>
      </w:pPr>
      <w:r w:rsidRPr="00C8270A">
        <w:tab/>
      </w:r>
      <w:r w:rsidR="007E0E81" w:rsidRPr="00C8270A">
        <w:t>T</w:t>
      </w:r>
      <w:r w:rsidR="00AF0363" w:rsidRPr="00C8270A">
        <w:t>hese argumen</w:t>
      </w:r>
      <w:r w:rsidR="00377615" w:rsidRPr="00C8270A">
        <w:t>ts were rejected multiple times</w:t>
      </w:r>
      <w:r w:rsidR="007E0E81" w:rsidRPr="00C8270A">
        <w:t xml:space="preserve"> </w:t>
      </w:r>
      <w:r w:rsidR="00576CCC" w:rsidRPr="00C8270A">
        <w:t>and ultimately at the highest level</w:t>
      </w:r>
      <w:r w:rsidR="007E0E81" w:rsidRPr="00C8270A">
        <w:t xml:space="preserve">.  </w:t>
      </w:r>
      <w:r w:rsidR="00377615" w:rsidRPr="00C8270A">
        <w:t>Even so, Partington</w:t>
      </w:r>
      <w:r w:rsidR="00AF0363" w:rsidRPr="00C8270A">
        <w:t xml:space="preserve"> continued to reiterate them before the Hearing Department and this court</w:t>
      </w:r>
      <w:r w:rsidR="00902EF4" w:rsidRPr="00C8270A">
        <w:t xml:space="preserve"> on </w:t>
      </w:r>
      <w:r w:rsidR="00902EF4" w:rsidRPr="00C8270A">
        <w:lastRenderedPageBreak/>
        <w:t>review</w:t>
      </w:r>
      <w:r w:rsidR="00AF0363" w:rsidRPr="00C8270A">
        <w:t xml:space="preserve">.  His ongoing failure to acknowledge his </w:t>
      </w:r>
      <w:r w:rsidR="00377615" w:rsidRPr="00C8270A">
        <w:t>wrongdoing</w:t>
      </w:r>
      <w:r w:rsidR="00E05B8A" w:rsidRPr="00C8270A">
        <w:t xml:space="preserve"> despite these rulings</w:t>
      </w:r>
      <w:r w:rsidR="00AF0363" w:rsidRPr="00C8270A">
        <w:t xml:space="preserve"> </w:t>
      </w:r>
      <w:r w:rsidR="00377615" w:rsidRPr="00C8270A">
        <w:t>instills concern</w:t>
      </w:r>
      <w:r w:rsidR="00AF0363" w:rsidRPr="00C8270A">
        <w:t xml:space="preserve"> that he may commit further misconduct.  (</w:t>
      </w:r>
      <w:r w:rsidR="00AF0363" w:rsidRPr="00C8270A">
        <w:rPr>
          <w:i/>
        </w:rPr>
        <w:t xml:space="preserve">In the Matter of Layton </w:t>
      </w:r>
      <w:r w:rsidR="00AF0363" w:rsidRPr="00C8270A">
        <w:t>(Review Dept. 1993) 2</w:t>
      </w:r>
      <w:r w:rsidR="00377615" w:rsidRPr="00C8270A">
        <w:t> </w:t>
      </w:r>
      <w:r w:rsidR="00AF0363" w:rsidRPr="00C8270A">
        <w:t xml:space="preserve">Cal. State Bar Ct. Rptr. 366, 380.)  We thus assign more </w:t>
      </w:r>
      <w:r w:rsidR="00E05B8A" w:rsidRPr="00C8270A">
        <w:t xml:space="preserve">aggravating </w:t>
      </w:r>
      <w:r w:rsidR="00AF0363" w:rsidRPr="00C8270A">
        <w:t>weight than the hearing judge</w:t>
      </w:r>
      <w:r w:rsidR="00377615" w:rsidRPr="00C8270A">
        <w:t xml:space="preserve"> did</w:t>
      </w:r>
      <w:r w:rsidR="00AF0363" w:rsidRPr="00C8270A">
        <w:t>, giving s</w:t>
      </w:r>
      <w:r w:rsidR="00E05B8A" w:rsidRPr="00C8270A">
        <w:t>ubstantial weight to Partington’s lack of insight</w:t>
      </w:r>
      <w:r w:rsidR="00AF0363" w:rsidRPr="00C8270A">
        <w:t>.</w:t>
      </w:r>
    </w:p>
    <w:p w:rsidR="00D525C5" w:rsidRPr="00C8270A" w:rsidRDefault="00D1205E" w:rsidP="00BE7D5A">
      <w:pPr>
        <w:pStyle w:val="Heading3"/>
        <w:rPr>
          <w:rFonts w:ascii="Times New Roman" w:hAnsi="Times New Roman" w:cs="Times New Roman"/>
        </w:rPr>
      </w:pPr>
      <w:r w:rsidRPr="00C8270A">
        <w:rPr>
          <w:rFonts w:ascii="Times New Roman" w:hAnsi="Times New Roman" w:cs="Times New Roman"/>
        </w:rPr>
        <w:t>B.</w:t>
      </w:r>
      <w:r w:rsidRPr="00C8270A">
        <w:rPr>
          <w:rFonts w:ascii="Times New Roman" w:hAnsi="Times New Roman" w:cs="Times New Roman"/>
        </w:rPr>
        <w:tab/>
      </w:r>
      <w:r w:rsidR="00D525C5" w:rsidRPr="00C8270A">
        <w:rPr>
          <w:rFonts w:ascii="Times New Roman" w:hAnsi="Times New Roman" w:cs="Times New Roman"/>
        </w:rPr>
        <w:t>Moderate Mitiga</w:t>
      </w:r>
      <w:r w:rsidRPr="00C8270A">
        <w:rPr>
          <w:rFonts w:ascii="Times New Roman" w:hAnsi="Times New Roman" w:cs="Times New Roman"/>
        </w:rPr>
        <w:t>tion for 37 Years of Discipline-</w:t>
      </w:r>
      <w:r w:rsidR="006B20C7" w:rsidRPr="00C8270A">
        <w:rPr>
          <w:rFonts w:ascii="Times New Roman" w:hAnsi="Times New Roman" w:cs="Times New Roman"/>
        </w:rPr>
        <w:t>f</w:t>
      </w:r>
      <w:r w:rsidR="00D525C5" w:rsidRPr="00C8270A">
        <w:rPr>
          <w:rFonts w:ascii="Times New Roman" w:hAnsi="Times New Roman" w:cs="Times New Roman"/>
        </w:rPr>
        <w:t>ree Practice</w:t>
      </w:r>
    </w:p>
    <w:p w:rsidR="00AE6DA1" w:rsidRPr="00C8270A" w:rsidRDefault="000E4C09" w:rsidP="000E6253">
      <w:pPr>
        <w:spacing w:line="480" w:lineRule="auto"/>
      </w:pPr>
      <w:r w:rsidRPr="00C8270A">
        <w:tab/>
      </w:r>
      <w:r w:rsidR="00291024" w:rsidRPr="00C8270A">
        <w:t xml:space="preserve">In mitigation, </w:t>
      </w:r>
      <w:r w:rsidR="00291024" w:rsidRPr="00C8270A">
        <w:rPr>
          <w:szCs w:val="24"/>
        </w:rPr>
        <w:t xml:space="preserve">the hearing judge assigned significant </w:t>
      </w:r>
      <w:r w:rsidR="00157A73" w:rsidRPr="00C8270A">
        <w:rPr>
          <w:szCs w:val="24"/>
        </w:rPr>
        <w:t xml:space="preserve">weight </w:t>
      </w:r>
      <w:r w:rsidR="00291024" w:rsidRPr="00C8270A">
        <w:rPr>
          <w:szCs w:val="24"/>
        </w:rPr>
        <w:t>for Partington’s 37 years of practice without discipline.  (Std.</w:t>
      </w:r>
      <w:r w:rsidR="00377615" w:rsidRPr="00C8270A">
        <w:rPr>
          <w:szCs w:val="24"/>
        </w:rPr>
        <w:t> </w:t>
      </w:r>
      <w:r w:rsidR="00291024" w:rsidRPr="00C8270A">
        <w:rPr>
          <w:szCs w:val="24"/>
        </w:rPr>
        <w:t xml:space="preserve">1.6(a) [mitigation for absence of prior record of discipline over many years of practice coupled with present misconduct which is not likely to recur].)  </w:t>
      </w:r>
      <w:r w:rsidR="00EF1CA0" w:rsidRPr="00C8270A">
        <w:rPr>
          <w:szCs w:val="24"/>
        </w:rPr>
        <w:t>W</w:t>
      </w:r>
      <w:r w:rsidR="00291024" w:rsidRPr="00C8270A">
        <w:rPr>
          <w:szCs w:val="24"/>
        </w:rPr>
        <w:t xml:space="preserve">e assign only </w:t>
      </w:r>
      <w:r w:rsidR="00EF1CA0" w:rsidRPr="00C8270A">
        <w:rPr>
          <w:szCs w:val="24"/>
        </w:rPr>
        <w:t xml:space="preserve">moderate </w:t>
      </w:r>
      <w:r w:rsidR="00291024" w:rsidRPr="00C8270A">
        <w:rPr>
          <w:szCs w:val="24"/>
        </w:rPr>
        <w:t xml:space="preserve">mitigation credit, however, because </w:t>
      </w:r>
      <w:r w:rsidR="00377615" w:rsidRPr="00C8270A">
        <w:rPr>
          <w:szCs w:val="24"/>
        </w:rPr>
        <w:t>Partington</w:t>
      </w:r>
      <w:r w:rsidR="009534D6" w:rsidRPr="00C8270A">
        <w:rPr>
          <w:szCs w:val="24"/>
        </w:rPr>
        <w:t xml:space="preserve"> </w:t>
      </w:r>
      <w:r w:rsidR="00291024" w:rsidRPr="00C8270A">
        <w:rPr>
          <w:szCs w:val="24"/>
        </w:rPr>
        <w:t xml:space="preserve">did not establish </w:t>
      </w:r>
      <w:r w:rsidR="009534D6" w:rsidRPr="00C8270A">
        <w:rPr>
          <w:szCs w:val="24"/>
        </w:rPr>
        <w:t xml:space="preserve">that </w:t>
      </w:r>
      <w:r w:rsidR="00291024" w:rsidRPr="00C8270A">
        <w:rPr>
          <w:szCs w:val="24"/>
        </w:rPr>
        <w:t>his misconduct is unlikely to recur, as required by the standard.  (</w:t>
      </w:r>
      <w:r w:rsidR="00291024" w:rsidRPr="00C8270A">
        <w:rPr>
          <w:i/>
        </w:rPr>
        <w:t>Cooper v. State Bar</w:t>
      </w:r>
      <w:r w:rsidR="00291024" w:rsidRPr="00C8270A">
        <w:t xml:space="preserve"> (1987) 43</w:t>
      </w:r>
      <w:r w:rsidR="00377615" w:rsidRPr="00C8270A">
        <w:t> </w:t>
      </w:r>
      <w:r w:rsidR="00291024" w:rsidRPr="00C8270A">
        <w:t xml:space="preserve">Cal.3d 1016, 1029 [where misconduct is serious, long discipline-free practice is most relevant where misconduct is aberrational and unlikely to recur]; </w:t>
      </w:r>
      <w:r w:rsidR="00291024" w:rsidRPr="00C8270A">
        <w:rPr>
          <w:i/>
        </w:rPr>
        <w:t>In the Matter of Reiss</w:t>
      </w:r>
      <w:r w:rsidR="00291024" w:rsidRPr="00C8270A">
        <w:t xml:space="preserve"> (Review Dept. 2012) 5</w:t>
      </w:r>
      <w:r w:rsidR="00364169" w:rsidRPr="00C8270A">
        <w:t> </w:t>
      </w:r>
      <w:r w:rsidR="00291024" w:rsidRPr="00C8270A">
        <w:t xml:space="preserve">Cal. State Bar Ct. Rptr. 206, 218.)  </w:t>
      </w:r>
      <w:r w:rsidR="00EF1CA0" w:rsidRPr="00C8270A">
        <w:t xml:space="preserve">Due to Partington’s complete lack of insight into his misconduct, and </w:t>
      </w:r>
      <w:r w:rsidR="00364169" w:rsidRPr="00C8270A">
        <w:t xml:space="preserve">his </w:t>
      </w:r>
      <w:r w:rsidR="00EF1CA0" w:rsidRPr="00C8270A">
        <w:t xml:space="preserve">continued insistence that the JAG discipline proceedings were a sham, </w:t>
      </w:r>
      <w:r w:rsidR="00291024" w:rsidRPr="00C8270A">
        <w:t xml:space="preserve">we cannot view his misconduct as unlikely to recur.  </w:t>
      </w:r>
      <w:r w:rsidR="00363131" w:rsidRPr="00C8270A">
        <w:t>(</w:t>
      </w:r>
      <w:r w:rsidR="00363131" w:rsidRPr="00C8270A">
        <w:rPr>
          <w:i/>
          <w:szCs w:val="24"/>
        </w:rPr>
        <w:t>In the Matter of Song</w:t>
      </w:r>
      <w:r w:rsidR="00363131" w:rsidRPr="00C8270A">
        <w:rPr>
          <w:szCs w:val="24"/>
        </w:rPr>
        <w:t xml:space="preserve"> (Review Dept. 2013) 5</w:t>
      </w:r>
      <w:r w:rsidR="00364169" w:rsidRPr="00C8270A">
        <w:rPr>
          <w:szCs w:val="24"/>
        </w:rPr>
        <w:t> </w:t>
      </w:r>
      <w:r w:rsidR="00363131" w:rsidRPr="00C8270A">
        <w:rPr>
          <w:szCs w:val="24"/>
        </w:rPr>
        <w:t>Cal. State Bar Ct. Rptr. 273, 279 [</w:t>
      </w:r>
      <w:r w:rsidR="006B20C7" w:rsidRPr="00C8270A">
        <w:rPr>
          <w:szCs w:val="24"/>
        </w:rPr>
        <w:t xml:space="preserve">limited mitigating weight assigned for 12-year record of discipline-free practice where respondent showed </w:t>
      </w:r>
      <w:r w:rsidR="00363131" w:rsidRPr="00C8270A">
        <w:rPr>
          <w:szCs w:val="24"/>
        </w:rPr>
        <w:t>lack of insight</w:t>
      </w:r>
      <w:r w:rsidR="006B20C7" w:rsidRPr="00C8270A">
        <w:rPr>
          <w:szCs w:val="24"/>
        </w:rPr>
        <w:t xml:space="preserve"> by offering</w:t>
      </w:r>
      <w:r w:rsidR="00363131" w:rsidRPr="00C8270A">
        <w:rPr>
          <w:szCs w:val="24"/>
        </w:rPr>
        <w:t xml:space="preserve"> ill-founded explanations for misconduct</w:t>
      </w:r>
      <w:r w:rsidR="008428D5" w:rsidRPr="00C8270A">
        <w:rPr>
          <w:szCs w:val="24"/>
        </w:rPr>
        <w:t>]</w:t>
      </w:r>
      <w:r w:rsidR="00363131" w:rsidRPr="00C8270A">
        <w:rPr>
          <w:szCs w:val="24"/>
        </w:rPr>
        <w:t>.)</w:t>
      </w:r>
    </w:p>
    <w:p w:rsidR="00A17317" w:rsidRPr="00C8270A" w:rsidRDefault="00D85A32" w:rsidP="00BE7D5A">
      <w:pPr>
        <w:pStyle w:val="Heading2"/>
        <w:rPr>
          <w:rFonts w:ascii="Times New Roman" w:hAnsi="Times New Roman" w:cs="Times New Roman"/>
        </w:rPr>
      </w:pPr>
      <w:r w:rsidRPr="00C8270A">
        <w:rPr>
          <w:rFonts w:ascii="Times New Roman" w:hAnsi="Times New Roman" w:cs="Times New Roman"/>
        </w:rPr>
        <w:t xml:space="preserve">V.  </w:t>
      </w:r>
      <w:r w:rsidR="006B20C7" w:rsidRPr="00C8270A">
        <w:rPr>
          <w:rFonts w:ascii="Times New Roman" w:hAnsi="Times New Roman" w:cs="Times New Roman"/>
        </w:rPr>
        <w:t>A 30-DAY</w:t>
      </w:r>
      <w:r w:rsidRPr="00C8270A">
        <w:rPr>
          <w:rFonts w:ascii="Times New Roman" w:hAnsi="Times New Roman" w:cs="Times New Roman"/>
        </w:rPr>
        <w:t xml:space="preserve"> ACTUAL SUSPENSION IS APPROPRIATE DISCIPLINE</w:t>
      </w:r>
    </w:p>
    <w:p w:rsidR="000E6253" w:rsidRPr="00C8270A" w:rsidRDefault="003B665D" w:rsidP="003B665D">
      <w:pPr>
        <w:pStyle w:val="ListParagraph"/>
        <w:tabs>
          <w:tab w:val="left" w:pos="720"/>
        </w:tabs>
        <w:spacing w:line="480" w:lineRule="auto"/>
        <w:ind w:left="0"/>
      </w:pPr>
      <w:r w:rsidRPr="00C8270A">
        <w:rPr>
          <w:b/>
        </w:rPr>
        <w:tab/>
      </w:r>
      <w:r w:rsidRPr="00C8270A">
        <w:rPr>
          <w:rFonts w:eastAsia="Times New Roman"/>
          <w:szCs w:val="24"/>
        </w:rPr>
        <w:t>Our disciplinary analysis begins with the standards.  (</w:t>
      </w:r>
      <w:r w:rsidRPr="00C8270A">
        <w:rPr>
          <w:rFonts w:eastAsia="Times New Roman"/>
          <w:i/>
          <w:szCs w:val="24"/>
        </w:rPr>
        <w:t>In re Silverton</w:t>
      </w:r>
      <w:r w:rsidRPr="00C8270A">
        <w:rPr>
          <w:rFonts w:eastAsia="Times New Roman"/>
          <w:szCs w:val="24"/>
        </w:rPr>
        <w:t xml:space="preserve"> (2005) 36</w:t>
      </w:r>
      <w:r w:rsidR="00364169" w:rsidRPr="00C8270A">
        <w:rPr>
          <w:rFonts w:eastAsia="Times New Roman"/>
          <w:szCs w:val="24"/>
        </w:rPr>
        <w:t> </w:t>
      </w:r>
      <w:r w:rsidRPr="00C8270A">
        <w:rPr>
          <w:rFonts w:eastAsia="Times New Roman"/>
          <w:szCs w:val="24"/>
        </w:rPr>
        <w:t>Cal.4th 81, 91</w:t>
      </w:r>
      <w:r w:rsidR="00254AC2" w:rsidRPr="00C8270A">
        <w:rPr>
          <w:rFonts w:eastAsia="Times New Roman"/>
          <w:szCs w:val="24"/>
        </w:rPr>
        <w:t xml:space="preserve"> </w:t>
      </w:r>
      <w:r w:rsidR="00254AC2" w:rsidRPr="00C8270A">
        <w:rPr>
          <w:szCs w:val="24"/>
        </w:rPr>
        <w:t xml:space="preserve">[Supreme Court will not reject recommendation arising from standards unless grave doubts as to propriety of recommended discipline].)  </w:t>
      </w:r>
      <w:r w:rsidR="00254AC2" w:rsidRPr="00C8270A">
        <w:rPr>
          <w:rFonts w:eastAsia="Times New Roman"/>
          <w:szCs w:val="24"/>
        </w:rPr>
        <w:t>The Supreme Court has instructed us to follow them whenever possible (</w:t>
      </w:r>
      <w:r w:rsidR="00254AC2" w:rsidRPr="00C8270A">
        <w:rPr>
          <w:rFonts w:eastAsia="Times New Roman"/>
          <w:i/>
          <w:szCs w:val="24"/>
        </w:rPr>
        <w:t>In re Young</w:t>
      </w:r>
      <w:r w:rsidR="00254AC2" w:rsidRPr="00C8270A">
        <w:rPr>
          <w:rFonts w:eastAsia="Times New Roman"/>
          <w:szCs w:val="24"/>
        </w:rPr>
        <w:t xml:space="preserve"> (1989) 49 Cal.3d 257, 267, fn. 11), and to look to comparable case law for guidance.  (See </w:t>
      </w:r>
      <w:r w:rsidR="00254AC2" w:rsidRPr="00C8270A">
        <w:rPr>
          <w:rFonts w:eastAsia="Times New Roman"/>
          <w:i/>
          <w:szCs w:val="24"/>
        </w:rPr>
        <w:t>Snyder v. State Bar</w:t>
      </w:r>
      <w:r w:rsidR="00254AC2" w:rsidRPr="00C8270A">
        <w:rPr>
          <w:rFonts w:eastAsia="Times New Roman"/>
          <w:szCs w:val="24"/>
        </w:rPr>
        <w:t xml:space="preserve"> (1990) 49 Cal.3d 1302, 1310-1311.)</w:t>
      </w:r>
      <w:r w:rsidRPr="00C8270A">
        <w:rPr>
          <w:rFonts w:eastAsia="Times New Roman"/>
          <w:szCs w:val="24"/>
        </w:rPr>
        <w:t xml:space="preserve"> While not strictly bound by the standards, we recommend sanctions falling within the range they </w:t>
      </w:r>
      <w:r w:rsidRPr="00C8270A">
        <w:rPr>
          <w:rFonts w:eastAsia="Times New Roman"/>
          <w:szCs w:val="24"/>
        </w:rPr>
        <w:lastRenderedPageBreak/>
        <w:t>provide unless the net effect of the aggravating and mitigating circumstances demonstrates that a greater or lesser sanction is needed to fulfill the primary purposes of discipline.  (Std.</w:t>
      </w:r>
      <w:r w:rsidR="00364169" w:rsidRPr="00C8270A">
        <w:rPr>
          <w:rFonts w:eastAsia="Times New Roman"/>
          <w:szCs w:val="24"/>
        </w:rPr>
        <w:t> </w:t>
      </w:r>
      <w:r w:rsidRPr="00C8270A">
        <w:rPr>
          <w:rFonts w:eastAsia="Times New Roman"/>
          <w:szCs w:val="24"/>
        </w:rPr>
        <w:t>1.7.)</w:t>
      </w:r>
      <w:r w:rsidR="006B20C7" w:rsidRPr="00C8270A">
        <w:rPr>
          <w:rStyle w:val="FootnoteReference"/>
          <w:rFonts w:eastAsia="Times New Roman"/>
          <w:szCs w:val="24"/>
        </w:rPr>
        <w:footnoteReference w:id="11"/>
      </w:r>
      <w:r w:rsidRPr="00C8270A">
        <w:rPr>
          <w:rFonts w:eastAsia="Times New Roman"/>
          <w:szCs w:val="24"/>
        </w:rPr>
        <w:t xml:space="preserve">  </w:t>
      </w:r>
      <w:r w:rsidR="002E4018" w:rsidRPr="00C8270A">
        <w:rPr>
          <w:rFonts w:eastAsia="Times New Roman"/>
          <w:szCs w:val="24"/>
        </w:rPr>
        <w:t>Any disciplinary recommendation that deviates from the standards must include clear re</w:t>
      </w:r>
      <w:r w:rsidR="00364169" w:rsidRPr="00C8270A">
        <w:rPr>
          <w:rFonts w:eastAsia="Times New Roman"/>
          <w:szCs w:val="24"/>
        </w:rPr>
        <w:t>asons for the departure.  (Std. </w:t>
      </w:r>
      <w:r w:rsidR="002E4018" w:rsidRPr="00C8270A">
        <w:rPr>
          <w:rFonts w:eastAsia="Times New Roman"/>
          <w:szCs w:val="24"/>
        </w:rPr>
        <w:t xml:space="preserve">1.1; </w:t>
      </w:r>
      <w:r w:rsidR="002E4018" w:rsidRPr="00C8270A">
        <w:rPr>
          <w:i/>
          <w:iCs/>
        </w:rPr>
        <w:t>Blair v. State Bar</w:t>
      </w:r>
      <w:r w:rsidR="002E4018" w:rsidRPr="00C8270A">
        <w:t xml:space="preserve"> (1989) 49</w:t>
      </w:r>
      <w:r w:rsidR="00364169" w:rsidRPr="00C8270A">
        <w:t> </w:t>
      </w:r>
      <w:r w:rsidR="002E4018" w:rsidRPr="00C8270A">
        <w:t>Cal.3d 762, 776, fn. 5 [requiring clear reasons for departure from standards</w:t>
      </w:r>
      <w:r w:rsidR="005747CB" w:rsidRPr="00C8270A">
        <w:t xml:space="preserve">].)  </w:t>
      </w:r>
    </w:p>
    <w:p w:rsidR="000E6253" w:rsidRPr="00C8270A" w:rsidRDefault="000E6253" w:rsidP="003B665D">
      <w:pPr>
        <w:pStyle w:val="ListParagraph"/>
        <w:tabs>
          <w:tab w:val="left" w:pos="720"/>
        </w:tabs>
        <w:spacing w:line="480" w:lineRule="auto"/>
        <w:ind w:left="0"/>
        <w:rPr>
          <w:rFonts w:eastAsia="Times New Roman"/>
          <w:szCs w:val="24"/>
        </w:rPr>
      </w:pPr>
      <w:r w:rsidRPr="00C8270A">
        <w:tab/>
      </w:r>
      <w:r w:rsidR="009534D6" w:rsidRPr="00C8270A">
        <w:t>Here, s</w:t>
      </w:r>
      <w:r w:rsidR="003B665D" w:rsidRPr="00C8270A">
        <w:rPr>
          <w:rFonts w:eastAsia="Times New Roman"/>
          <w:szCs w:val="24"/>
        </w:rPr>
        <w:t>tandard</w:t>
      </w:r>
      <w:r w:rsidR="00364169" w:rsidRPr="00C8270A">
        <w:rPr>
          <w:rFonts w:eastAsia="Times New Roman"/>
          <w:szCs w:val="24"/>
        </w:rPr>
        <w:t> </w:t>
      </w:r>
      <w:r w:rsidR="003B665D" w:rsidRPr="00C8270A">
        <w:rPr>
          <w:rFonts w:eastAsia="Times New Roman"/>
          <w:szCs w:val="24"/>
        </w:rPr>
        <w:t>2.12(a) is most apt because it deals specifically with violation of s</w:t>
      </w:r>
      <w:r w:rsidR="00254AC2" w:rsidRPr="00C8270A">
        <w:rPr>
          <w:rFonts w:eastAsia="Times New Roman"/>
          <w:szCs w:val="24"/>
        </w:rPr>
        <w:t>ection</w:t>
      </w:r>
      <w:r w:rsidR="00364169" w:rsidRPr="00C8270A">
        <w:rPr>
          <w:rFonts w:eastAsia="Times New Roman"/>
          <w:szCs w:val="24"/>
        </w:rPr>
        <w:t> </w:t>
      </w:r>
      <w:r w:rsidR="00254AC2" w:rsidRPr="00C8270A">
        <w:rPr>
          <w:rFonts w:eastAsia="Times New Roman"/>
          <w:szCs w:val="24"/>
        </w:rPr>
        <w:t>6068, subdivision</w:t>
      </w:r>
      <w:r w:rsidR="00364169" w:rsidRPr="00C8270A">
        <w:rPr>
          <w:rFonts w:eastAsia="Times New Roman"/>
          <w:szCs w:val="24"/>
        </w:rPr>
        <w:t> </w:t>
      </w:r>
      <w:r w:rsidR="00254AC2" w:rsidRPr="00C8270A">
        <w:rPr>
          <w:rFonts w:eastAsia="Times New Roman"/>
          <w:szCs w:val="24"/>
        </w:rPr>
        <w:t>(d)</w:t>
      </w:r>
      <w:r w:rsidR="00364169" w:rsidRPr="00C8270A">
        <w:rPr>
          <w:rFonts w:eastAsia="Times New Roman"/>
          <w:szCs w:val="24"/>
        </w:rPr>
        <w:t>,</w:t>
      </w:r>
      <w:r w:rsidR="00254AC2" w:rsidRPr="00C8270A">
        <w:rPr>
          <w:rFonts w:eastAsia="Times New Roman"/>
          <w:szCs w:val="24"/>
        </w:rPr>
        <w:t xml:space="preserve"> an</w:t>
      </w:r>
      <w:r w:rsidR="003B665D" w:rsidRPr="00C8270A">
        <w:rPr>
          <w:rFonts w:eastAsia="Times New Roman"/>
          <w:szCs w:val="24"/>
        </w:rPr>
        <w:t>d</w:t>
      </w:r>
      <w:r w:rsidR="00254AC2" w:rsidRPr="00C8270A">
        <w:rPr>
          <w:rFonts w:eastAsia="Times New Roman"/>
          <w:szCs w:val="24"/>
        </w:rPr>
        <w:t xml:space="preserve"> </w:t>
      </w:r>
      <w:r w:rsidR="003B665D" w:rsidRPr="00C8270A">
        <w:rPr>
          <w:rFonts w:eastAsia="Times New Roman"/>
          <w:szCs w:val="24"/>
        </w:rPr>
        <w:t xml:space="preserve">provides that disbarment or actual suspension is </w:t>
      </w:r>
      <w:r w:rsidR="00254AC2" w:rsidRPr="00C8270A">
        <w:rPr>
          <w:rFonts w:eastAsia="Times New Roman"/>
          <w:szCs w:val="24"/>
        </w:rPr>
        <w:t xml:space="preserve">the presumed sanction.  The hearing judge recommended a one-year </w:t>
      </w:r>
      <w:r w:rsidR="00FF6FED" w:rsidRPr="00C8270A">
        <w:rPr>
          <w:rFonts w:eastAsia="Times New Roman"/>
          <w:szCs w:val="24"/>
        </w:rPr>
        <w:t xml:space="preserve">stayed </w:t>
      </w:r>
      <w:r w:rsidR="00254AC2" w:rsidRPr="00C8270A">
        <w:rPr>
          <w:rFonts w:eastAsia="Times New Roman"/>
          <w:szCs w:val="24"/>
        </w:rPr>
        <w:t xml:space="preserve">suspension, </w:t>
      </w:r>
      <w:r w:rsidR="0093435F" w:rsidRPr="00C8270A">
        <w:rPr>
          <w:rFonts w:eastAsia="Times New Roman"/>
          <w:szCs w:val="24"/>
        </w:rPr>
        <w:t>below</w:t>
      </w:r>
      <w:r w:rsidR="00A55C95" w:rsidRPr="00C8270A">
        <w:rPr>
          <w:rFonts w:eastAsia="Times New Roman"/>
          <w:szCs w:val="24"/>
        </w:rPr>
        <w:t xml:space="preserve"> </w:t>
      </w:r>
      <w:r w:rsidR="00254AC2" w:rsidRPr="00C8270A">
        <w:rPr>
          <w:rFonts w:eastAsia="Times New Roman"/>
          <w:szCs w:val="24"/>
        </w:rPr>
        <w:t xml:space="preserve">the </w:t>
      </w:r>
      <w:r w:rsidR="00CC7DA8" w:rsidRPr="00C8270A">
        <w:rPr>
          <w:rFonts w:eastAsia="Times New Roman"/>
          <w:szCs w:val="24"/>
        </w:rPr>
        <w:t>range of</w:t>
      </w:r>
      <w:r w:rsidR="00254AC2" w:rsidRPr="00C8270A">
        <w:rPr>
          <w:rFonts w:eastAsia="Times New Roman"/>
          <w:szCs w:val="24"/>
        </w:rPr>
        <w:t xml:space="preserve"> </w:t>
      </w:r>
      <w:r w:rsidR="00CC7DA8" w:rsidRPr="00C8270A">
        <w:rPr>
          <w:rFonts w:eastAsia="Times New Roman"/>
          <w:szCs w:val="24"/>
        </w:rPr>
        <w:t>sanctions</w:t>
      </w:r>
      <w:r w:rsidR="00254AC2" w:rsidRPr="00C8270A">
        <w:rPr>
          <w:rFonts w:eastAsia="Times New Roman"/>
          <w:szCs w:val="24"/>
        </w:rPr>
        <w:t xml:space="preserve"> provided by the </w:t>
      </w:r>
      <w:r w:rsidR="00CC7DA8" w:rsidRPr="00C8270A">
        <w:rPr>
          <w:rFonts w:eastAsia="Times New Roman"/>
          <w:szCs w:val="24"/>
        </w:rPr>
        <w:t xml:space="preserve">standard.  OCTC argues that actual suspension </w:t>
      </w:r>
      <w:r w:rsidR="00FF6FED" w:rsidRPr="00C8270A">
        <w:rPr>
          <w:rFonts w:eastAsia="Times New Roman"/>
          <w:szCs w:val="24"/>
        </w:rPr>
        <w:t xml:space="preserve">of at least 30 days </w:t>
      </w:r>
      <w:r w:rsidR="00CC7DA8" w:rsidRPr="00C8270A">
        <w:rPr>
          <w:rFonts w:eastAsia="Times New Roman"/>
          <w:szCs w:val="24"/>
        </w:rPr>
        <w:t xml:space="preserve">is the appropriate discipline for Partington’s misconduct, given the significant aggravation for </w:t>
      </w:r>
      <w:r w:rsidR="005747CB" w:rsidRPr="00C8270A">
        <w:rPr>
          <w:rFonts w:eastAsia="Times New Roman"/>
          <w:szCs w:val="24"/>
        </w:rPr>
        <w:t xml:space="preserve">his </w:t>
      </w:r>
      <w:r w:rsidR="00CC7DA8" w:rsidRPr="00C8270A">
        <w:rPr>
          <w:rFonts w:eastAsia="Times New Roman"/>
          <w:szCs w:val="24"/>
        </w:rPr>
        <w:t xml:space="preserve">lack of insight.  </w:t>
      </w:r>
    </w:p>
    <w:p w:rsidR="00254AC2" w:rsidRPr="00C8270A" w:rsidRDefault="000E6253" w:rsidP="003B665D">
      <w:pPr>
        <w:pStyle w:val="ListParagraph"/>
        <w:tabs>
          <w:tab w:val="left" w:pos="720"/>
        </w:tabs>
        <w:spacing w:line="480" w:lineRule="auto"/>
        <w:ind w:left="0"/>
        <w:rPr>
          <w:rFonts w:eastAsia="Times New Roman"/>
          <w:szCs w:val="24"/>
        </w:rPr>
      </w:pPr>
      <w:r w:rsidRPr="00C8270A">
        <w:rPr>
          <w:rFonts w:eastAsia="Times New Roman"/>
          <w:szCs w:val="24"/>
        </w:rPr>
        <w:tab/>
      </w:r>
      <w:r w:rsidR="00CC7DA8" w:rsidRPr="00C8270A">
        <w:rPr>
          <w:rFonts w:eastAsia="Times New Roman"/>
          <w:szCs w:val="24"/>
        </w:rPr>
        <w:t xml:space="preserve">We </w:t>
      </w:r>
      <w:r w:rsidR="00A95AFC" w:rsidRPr="00C8270A">
        <w:rPr>
          <w:rFonts w:eastAsia="Times New Roman"/>
          <w:szCs w:val="24"/>
        </w:rPr>
        <w:t>see no reason to deviate from the range of discipline in standard</w:t>
      </w:r>
      <w:r w:rsidR="00364169" w:rsidRPr="00C8270A">
        <w:rPr>
          <w:rFonts w:eastAsia="Times New Roman"/>
          <w:szCs w:val="24"/>
        </w:rPr>
        <w:t> </w:t>
      </w:r>
      <w:r w:rsidR="00A95AFC" w:rsidRPr="00C8270A">
        <w:rPr>
          <w:rFonts w:eastAsia="Times New Roman"/>
          <w:szCs w:val="24"/>
        </w:rPr>
        <w:t xml:space="preserve">2.12(a) and </w:t>
      </w:r>
      <w:r w:rsidR="00CC7DA8" w:rsidRPr="00C8270A">
        <w:rPr>
          <w:rFonts w:eastAsia="Times New Roman"/>
          <w:szCs w:val="24"/>
        </w:rPr>
        <w:t>agree</w:t>
      </w:r>
      <w:r w:rsidR="00857B09" w:rsidRPr="00C8270A">
        <w:rPr>
          <w:rFonts w:eastAsia="Times New Roman"/>
          <w:szCs w:val="24"/>
        </w:rPr>
        <w:t xml:space="preserve"> with OCTC</w:t>
      </w:r>
      <w:r w:rsidR="00CC7DA8" w:rsidRPr="00C8270A">
        <w:rPr>
          <w:rFonts w:eastAsia="Times New Roman"/>
          <w:szCs w:val="24"/>
        </w:rPr>
        <w:t xml:space="preserve"> that </w:t>
      </w:r>
      <w:r w:rsidR="00857B09" w:rsidRPr="00C8270A">
        <w:rPr>
          <w:rFonts w:eastAsia="Times New Roman"/>
          <w:szCs w:val="24"/>
        </w:rPr>
        <w:t>a</w:t>
      </w:r>
      <w:r w:rsidR="00CC7DA8" w:rsidRPr="00C8270A">
        <w:rPr>
          <w:rFonts w:eastAsia="Times New Roman"/>
          <w:szCs w:val="24"/>
        </w:rPr>
        <w:t xml:space="preserve"> 30-day </w:t>
      </w:r>
      <w:r w:rsidR="00857B09" w:rsidRPr="00C8270A">
        <w:rPr>
          <w:rFonts w:eastAsia="Times New Roman"/>
          <w:szCs w:val="24"/>
        </w:rPr>
        <w:t xml:space="preserve">actual </w:t>
      </w:r>
      <w:r w:rsidR="00CC7DA8" w:rsidRPr="00C8270A">
        <w:rPr>
          <w:rFonts w:eastAsia="Times New Roman"/>
          <w:szCs w:val="24"/>
        </w:rPr>
        <w:t>suspension</w:t>
      </w:r>
      <w:r w:rsidR="00857B09" w:rsidRPr="00C8270A">
        <w:rPr>
          <w:rFonts w:eastAsia="Times New Roman"/>
          <w:szCs w:val="24"/>
        </w:rPr>
        <w:t xml:space="preserve"> is appropriate discipline</w:t>
      </w:r>
      <w:r w:rsidR="00CC7DA8" w:rsidRPr="00C8270A">
        <w:rPr>
          <w:rFonts w:eastAsia="Times New Roman"/>
          <w:szCs w:val="24"/>
        </w:rPr>
        <w:t xml:space="preserve">.  </w:t>
      </w:r>
      <w:r w:rsidR="00CE1A74" w:rsidRPr="00C8270A">
        <w:rPr>
          <w:rFonts w:eastAsia="Times New Roman"/>
          <w:szCs w:val="24"/>
        </w:rPr>
        <w:t>T</w:t>
      </w:r>
      <w:r w:rsidR="00CD11BB" w:rsidRPr="00C8270A">
        <w:rPr>
          <w:rFonts w:eastAsia="Times New Roman"/>
          <w:szCs w:val="24"/>
        </w:rPr>
        <w:t>he hearing judge</w:t>
      </w:r>
      <w:r w:rsidR="00E05B8A" w:rsidRPr="00C8270A">
        <w:rPr>
          <w:rFonts w:eastAsia="Times New Roman"/>
          <w:szCs w:val="24"/>
        </w:rPr>
        <w:t>, who recommended a stayed suspension,</w:t>
      </w:r>
      <w:r w:rsidR="00CD11BB" w:rsidRPr="00C8270A">
        <w:rPr>
          <w:rFonts w:eastAsia="Times New Roman"/>
          <w:szCs w:val="24"/>
        </w:rPr>
        <w:t xml:space="preserve"> </w:t>
      </w:r>
      <w:r w:rsidR="0093435F" w:rsidRPr="00C8270A">
        <w:rPr>
          <w:rFonts w:eastAsia="Times New Roman"/>
          <w:szCs w:val="24"/>
        </w:rPr>
        <w:t xml:space="preserve">considered </w:t>
      </w:r>
      <w:r w:rsidR="009534D6" w:rsidRPr="00C8270A">
        <w:rPr>
          <w:rFonts w:eastAsia="Times New Roman"/>
          <w:i/>
          <w:szCs w:val="24"/>
        </w:rPr>
        <w:t>Bach v. State Bar</w:t>
      </w:r>
      <w:r w:rsidR="009534D6" w:rsidRPr="00C8270A">
        <w:rPr>
          <w:rFonts w:eastAsia="Times New Roman"/>
          <w:szCs w:val="24"/>
        </w:rPr>
        <w:t>,</w:t>
      </w:r>
      <w:r w:rsidR="009534D6" w:rsidRPr="00C8270A">
        <w:rPr>
          <w:rFonts w:eastAsia="Times New Roman"/>
          <w:i/>
          <w:szCs w:val="24"/>
        </w:rPr>
        <w:t xml:space="preserve"> supra</w:t>
      </w:r>
      <w:r w:rsidR="009534D6" w:rsidRPr="00C8270A">
        <w:rPr>
          <w:rFonts w:eastAsia="Times New Roman"/>
          <w:szCs w:val="24"/>
        </w:rPr>
        <w:t>,</w:t>
      </w:r>
      <w:r w:rsidR="00CD11BB" w:rsidRPr="00C8270A">
        <w:rPr>
          <w:rFonts w:eastAsia="Times New Roman"/>
          <w:szCs w:val="24"/>
        </w:rPr>
        <w:t xml:space="preserve"> 43</w:t>
      </w:r>
      <w:r w:rsidR="00364169" w:rsidRPr="00C8270A">
        <w:rPr>
          <w:rFonts w:eastAsia="Times New Roman"/>
          <w:szCs w:val="24"/>
        </w:rPr>
        <w:t> </w:t>
      </w:r>
      <w:r w:rsidR="00CD11BB" w:rsidRPr="00C8270A">
        <w:rPr>
          <w:rFonts w:eastAsia="Times New Roman"/>
          <w:szCs w:val="24"/>
        </w:rPr>
        <w:t>Cal.3d 848</w:t>
      </w:r>
      <w:r w:rsidR="00A55C95" w:rsidRPr="00C8270A">
        <w:rPr>
          <w:rFonts w:eastAsia="Times New Roman"/>
          <w:szCs w:val="24"/>
        </w:rPr>
        <w:t xml:space="preserve">, wherein </w:t>
      </w:r>
      <w:r w:rsidR="00CD11BB" w:rsidRPr="00C8270A">
        <w:rPr>
          <w:rFonts w:eastAsia="Times New Roman"/>
          <w:szCs w:val="24"/>
        </w:rPr>
        <w:t>Bach received a 60-day actual suspension for misrepresentation</w:t>
      </w:r>
      <w:r w:rsidR="006B20C7" w:rsidRPr="00C8270A">
        <w:rPr>
          <w:rFonts w:eastAsia="Times New Roman"/>
          <w:szCs w:val="24"/>
        </w:rPr>
        <w:t>s</w:t>
      </w:r>
      <w:r w:rsidR="00CD11BB" w:rsidRPr="00C8270A">
        <w:rPr>
          <w:rFonts w:eastAsia="Times New Roman"/>
          <w:szCs w:val="24"/>
        </w:rPr>
        <w:t xml:space="preserve"> to a court</w:t>
      </w:r>
      <w:r w:rsidR="00CE1A74" w:rsidRPr="00C8270A">
        <w:rPr>
          <w:rFonts w:eastAsia="Times New Roman"/>
          <w:szCs w:val="24"/>
        </w:rPr>
        <w:t xml:space="preserve">, but </w:t>
      </w:r>
      <w:r w:rsidR="00CD11BB" w:rsidRPr="00C8270A">
        <w:rPr>
          <w:rFonts w:eastAsia="Times New Roman"/>
          <w:szCs w:val="24"/>
        </w:rPr>
        <w:t>distinguished the case by noting that Bach had a prior public reproval</w:t>
      </w:r>
      <w:r w:rsidR="00760EEE" w:rsidRPr="00C8270A">
        <w:rPr>
          <w:rFonts w:eastAsia="Times New Roman"/>
          <w:szCs w:val="24"/>
        </w:rPr>
        <w:t xml:space="preserve">.  </w:t>
      </w:r>
      <w:r w:rsidR="00364169" w:rsidRPr="00C8270A">
        <w:rPr>
          <w:rFonts w:eastAsia="Times New Roman"/>
          <w:szCs w:val="24"/>
        </w:rPr>
        <w:t>W</w:t>
      </w:r>
      <w:r w:rsidR="00EF67A0" w:rsidRPr="00C8270A">
        <w:rPr>
          <w:rFonts w:eastAsia="Times New Roman"/>
          <w:szCs w:val="24"/>
        </w:rPr>
        <w:t xml:space="preserve">e find that </w:t>
      </w:r>
      <w:r w:rsidR="00EF67A0" w:rsidRPr="00C8270A">
        <w:rPr>
          <w:rFonts w:eastAsia="Times New Roman"/>
          <w:i/>
          <w:szCs w:val="24"/>
        </w:rPr>
        <w:t>Bach</w:t>
      </w:r>
      <w:r w:rsidR="00EF67A0" w:rsidRPr="00C8270A">
        <w:rPr>
          <w:rFonts w:eastAsia="Times New Roman"/>
          <w:szCs w:val="24"/>
        </w:rPr>
        <w:t xml:space="preserve"> supports imposition of </w:t>
      </w:r>
      <w:r w:rsidR="0093435F" w:rsidRPr="00C8270A">
        <w:rPr>
          <w:rFonts w:eastAsia="Times New Roman"/>
          <w:szCs w:val="24"/>
        </w:rPr>
        <w:t xml:space="preserve">a </w:t>
      </w:r>
      <w:r w:rsidR="00EF67A0" w:rsidRPr="00C8270A">
        <w:rPr>
          <w:rFonts w:eastAsia="Times New Roman"/>
          <w:szCs w:val="24"/>
        </w:rPr>
        <w:t>30</w:t>
      </w:r>
      <w:r w:rsidR="00760EEE" w:rsidRPr="00C8270A">
        <w:rPr>
          <w:rFonts w:eastAsia="Times New Roman"/>
          <w:szCs w:val="24"/>
        </w:rPr>
        <w:t>-</w:t>
      </w:r>
      <w:r w:rsidR="00EF67A0" w:rsidRPr="00C8270A">
        <w:rPr>
          <w:rFonts w:eastAsia="Times New Roman"/>
          <w:szCs w:val="24"/>
        </w:rPr>
        <w:t>day</w:t>
      </w:r>
      <w:r w:rsidR="00760EEE" w:rsidRPr="00C8270A">
        <w:rPr>
          <w:rFonts w:eastAsia="Times New Roman"/>
          <w:szCs w:val="24"/>
        </w:rPr>
        <w:t xml:space="preserve"> </w:t>
      </w:r>
      <w:r w:rsidR="00EF67A0" w:rsidRPr="00C8270A">
        <w:rPr>
          <w:rFonts w:eastAsia="Times New Roman"/>
          <w:szCs w:val="24"/>
        </w:rPr>
        <w:t>actual suspension</w:t>
      </w:r>
      <w:r w:rsidR="00CE1A74" w:rsidRPr="00C8270A">
        <w:rPr>
          <w:rFonts w:eastAsia="Times New Roman"/>
          <w:szCs w:val="24"/>
        </w:rPr>
        <w:t xml:space="preserve"> given the balance of aggravation and mitigation in this case</w:t>
      </w:r>
      <w:r w:rsidR="00CD11BB" w:rsidRPr="00C8270A">
        <w:rPr>
          <w:rFonts w:eastAsia="Times New Roman"/>
          <w:szCs w:val="24"/>
        </w:rPr>
        <w:t xml:space="preserve">.  </w:t>
      </w:r>
      <w:r w:rsidR="006F1876" w:rsidRPr="00C8270A">
        <w:rPr>
          <w:rFonts w:eastAsia="Times New Roman"/>
          <w:szCs w:val="24"/>
        </w:rPr>
        <w:t>Moreover</w:t>
      </w:r>
      <w:r w:rsidR="00ED3DE5" w:rsidRPr="00C8270A">
        <w:rPr>
          <w:rFonts w:eastAsia="Times New Roman"/>
          <w:szCs w:val="24"/>
        </w:rPr>
        <w:t xml:space="preserve">, in </w:t>
      </w:r>
      <w:r w:rsidR="00ED3DE5" w:rsidRPr="00C8270A">
        <w:rPr>
          <w:rFonts w:eastAsia="Times New Roman"/>
          <w:i/>
          <w:szCs w:val="24"/>
        </w:rPr>
        <w:t>Drociak v. State Bar</w:t>
      </w:r>
      <w:r w:rsidR="00ED3DE5" w:rsidRPr="00C8270A">
        <w:rPr>
          <w:rFonts w:eastAsia="Times New Roman"/>
          <w:szCs w:val="24"/>
        </w:rPr>
        <w:t xml:space="preserve"> (1991) 52</w:t>
      </w:r>
      <w:r w:rsidR="00364169" w:rsidRPr="00C8270A">
        <w:rPr>
          <w:rFonts w:eastAsia="Times New Roman"/>
          <w:szCs w:val="24"/>
        </w:rPr>
        <w:t> </w:t>
      </w:r>
      <w:r w:rsidR="00ED3DE5" w:rsidRPr="00C8270A">
        <w:rPr>
          <w:rFonts w:eastAsia="Times New Roman"/>
          <w:szCs w:val="24"/>
        </w:rPr>
        <w:t>Cal.3d 1085</w:t>
      </w:r>
      <w:r w:rsidR="006F1876" w:rsidRPr="00C8270A">
        <w:rPr>
          <w:rFonts w:eastAsia="Times New Roman"/>
          <w:szCs w:val="24"/>
        </w:rPr>
        <w:t>,</w:t>
      </w:r>
      <w:r w:rsidR="00ED3DE5" w:rsidRPr="00C8270A">
        <w:rPr>
          <w:rFonts w:eastAsia="Times New Roman"/>
          <w:szCs w:val="24"/>
        </w:rPr>
        <w:t xml:space="preserve"> the Supreme Court imposed </w:t>
      </w:r>
      <w:r w:rsidR="006F1876" w:rsidRPr="00C8270A">
        <w:rPr>
          <w:rFonts w:eastAsia="Times New Roman"/>
          <w:szCs w:val="24"/>
        </w:rPr>
        <w:t xml:space="preserve">a </w:t>
      </w:r>
      <w:r w:rsidR="00ED3DE5" w:rsidRPr="00C8270A">
        <w:rPr>
          <w:rFonts w:eastAsia="Times New Roman"/>
          <w:szCs w:val="24"/>
        </w:rPr>
        <w:t>30</w:t>
      </w:r>
      <w:r w:rsidR="00760EEE" w:rsidRPr="00C8270A">
        <w:rPr>
          <w:rFonts w:eastAsia="Times New Roman"/>
          <w:szCs w:val="24"/>
        </w:rPr>
        <w:t>-</w:t>
      </w:r>
      <w:r w:rsidR="00ED3DE5" w:rsidRPr="00C8270A">
        <w:rPr>
          <w:rFonts w:eastAsia="Times New Roman"/>
          <w:szCs w:val="24"/>
        </w:rPr>
        <w:t xml:space="preserve">day actual suspension </w:t>
      </w:r>
      <w:r w:rsidR="00C1145E" w:rsidRPr="00C8270A">
        <w:rPr>
          <w:rFonts w:eastAsia="Times New Roman"/>
          <w:szCs w:val="24"/>
        </w:rPr>
        <w:t>for an attorney’s use of presigned, undated</w:t>
      </w:r>
      <w:r w:rsidR="00364169" w:rsidRPr="00C8270A">
        <w:rPr>
          <w:rFonts w:eastAsia="Times New Roman"/>
          <w:szCs w:val="24"/>
        </w:rPr>
        <w:t>,</w:t>
      </w:r>
      <w:r w:rsidR="00C1145E" w:rsidRPr="00C8270A">
        <w:rPr>
          <w:rFonts w:eastAsia="Times New Roman"/>
          <w:szCs w:val="24"/>
        </w:rPr>
        <w:t xml:space="preserve"> and blank verification forms for interrogatory responses.  The court </w:t>
      </w:r>
      <w:r w:rsidR="009F49DF" w:rsidRPr="00C8270A">
        <w:rPr>
          <w:rFonts w:eastAsia="Times New Roman"/>
          <w:szCs w:val="24"/>
        </w:rPr>
        <w:t xml:space="preserve">rejected </w:t>
      </w:r>
      <w:r w:rsidR="00C1145E" w:rsidRPr="00C8270A">
        <w:rPr>
          <w:rFonts w:eastAsia="Times New Roman"/>
          <w:szCs w:val="24"/>
        </w:rPr>
        <w:t xml:space="preserve">the attorney’s claim that </w:t>
      </w:r>
      <w:r w:rsidR="009F49DF" w:rsidRPr="00C8270A">
        <w:rPr>
          <w:rFonts w:eastAsia="Times New Roman"/>
          <w:szCs w:val="24"/>
        </w:rPr>
        <w:t xml:space="preserve">he should receive less </w:t>
      </w:r>
      <w:r w:rsidR="009F49DF" w:rsidRPr="00C8270A">
        <w:rPr>
          <w:rFonts w:eastAsia="Times New Roman"/>
          <w:szCs w:val="24"/>
        </w:rPr>
        <w:lastRenderedPageBreak/>
        <w:t xml:space="preserve">discipline because </w:t>
      </w:r>
      <w:r w:rsidR="00C1145E" w:rsidRPr="00C8270A">
        <w:rPr>
          <w:rFonts w:eastAsia="Times New Roman"/>
          <w:szCs w:val="24"/>
        </w:rPr>
        <w:t>his intent was to</w:t>
      </w:r>
      <w:r w:rsidR="009F49DF" w:rsidRPr="00C8270A">
        <w:rPr>
          <w:rFonts w:eastAsia="Times New Roman"/>
          <w:szCs w:val="24"/>
        </w:rPr>
        <w:t xml:space="preserve"> protect</w:t>
      </w:r>
      <w:r w:rsidR="00C1145E" w:rsidRPr="00C8270A">
        <w:rPr>
          <w:rFonts w:eastAsia="Times New Roman"/>
          <w:szCs w:val="24"/>
        </w:rPr>
        <w:t xml:space="preserve"> his client</w:t>
      </w:r>
      <w:r w:rsidR="00556AB9" w:rsidRPr="00C8270A">
        <w:rPr>
          <w:rFonts w:eastAsia="Times New Roman"/>
          <w:szCs w:val="24"/>
        </w:rPr>
        <w:t>.  The court held</w:t>
      </w:r>
      <w:r w:rsidR="009759A2" w:rsidRPr="00C8270A">
        <w:rPr>
          <w:rFonts w:eastAsia="Times New Roman"/>
          <w:szCs w:val="24"/>
        </w:rPr>
        <w:t xml:space="preserve"> that he was no less culpable of misconduct and that neither his intent nor his previously discipline</w:t>
      </w:r>
      <w:r w:rsidR="00556AB9" w:rsidRPr="00C8270A">
        <w:rPr>
          <w:rFonts w:eastAsia="Times New Roman"/>
          <w:szCs w:val="24"/>
        </w:rPr>
        <w:t>-</w:t>
      </w:r>
      <w:r w:rsidR="009759A2" w:rsidRPr="00C8270A">
        <w:rPr>
          <w:rFonts w:eastAsia="Times New Roman"/>
          <w:szCs w:val="24"/>
        </w:rPr>
        <w:t>free record made the recommended discipline inappropriate</w:t>
      </w:r>
      <w:r w:rsidR="009F49DF" w:rsidRPr="00C8270A">
        <w:rPr>
          <w:rFonts w:eastAsia="Times New Roman"/>
          <w:szCs w:val="24"/>
        </w:rPr>
        <w:t>.  (</w:t>
      </w:r>
      <w:r w:rsidR="009F49DF" w:rsidRPr="00C8270A">
        <w:rPr>
          <w:rFonts w:eastAsia="Times New Roman"/>
          <w:i/>
          <w:szCs w:val="24"/>
        </w:rPr>
        <w:t xml:space="preserve">Id. </w:t>
      </w:r>
      <w:r w:rsidR="009F49DF" w:rsidRPr="00C8270A">
        <w:rPr>
          <w:rFonts w:eastAsia="Times New Roman"/>
          <w:szCs w:val="24"/>
        </w:rPr>
        <w:t xml:space="preserve">at </w:t>
      </w:r>
      <w:r w:rsidR="00556AB9" w:rsidRPr="00C8270A">
        <w:rPr>
          <w:rFonts w:eastAsia="Times New Roman"/>
          <w:szCs w:val="24"/>
        </w:rPr>
        <w:t>pp. </w:t>
      </w:r>
      <w:r w:rsidR="006B20C7" w:rsidRPr="00C8270A">
        <w:rPr>
          <w:rFonts w:eastAsia="Times New Roman"/>
          <w:szCs w:val="24"/>
        </w:rPr>
        <w:t xml:space="preserve">1087, </w:t>
      </w:r>
      <w:r w:rsidR="00760EEE" w:rsidRPr="00C8270A">
        <w:rPr>
          <w:rFonts w:eastAsia="Times New Roman"/>
          <w:szCs w:val="24"/>
        </w:rPr>
        <w:t>1090-1091; s</w:t>
      </w:r>
      <w:r w:rsidR="005D068F" w:rsidRPr="00C8270A">
        <w:rPr>
          <w:rFonts w:eastAsia="Times New Roman"/>
          <w:szCs w:val="24"/>
        </w:rPr>
        <w:t>ee</w:t>
      </w:r>
      <w:r w:rsidR="004956E6" w:rsidRPr="00C8270A">
        <w:rPr>
          <w:rFonts w:eastAsia="Times New Roman"/>
          <w:szCs w:val="24"/>
        </w:rPr>
        <w:t xml:space="preserve"> also</w:t>
      </w:r>
      <w:r w:rsidR="005D068F" w:rsidRPr="00C8270A">
        <w:rPr>
          <w:rFonts w:eastAsia="Times New Roman"/>
          <w:szCs w:val="24"/>
        </w:rPr>
        <w:t xml:space="preserve"> </w:t>
      </w:r>
      <w:r w:rsidR="00685BA5" w:rsidRPr="00C8270A">
        <w:rPr>
          <w:rFonts w:eastAsia="Times New Roman"/>
          <w:i/>
          <w:szCs w:val="24"/>
        </w:rPr>
        <w:t>In the Matter of Farrell</w:t>
      </w:r>
      <w:r w:rsidR="000B1C21" w:rsidRPr="00C8270A">
        <w:rPr>
          <w:rFonts w:eastAsia="Times New Roman"/>
          <w:szCs w:val="24"/>
        </w:rPr>
        <w:t xml:space="preserve"> (Review Dept. 1991) 1 </w:t>
      </w:r>
      <w:r w:rsidR="00685BA5" w:rsidRPr="00C8270A">
        <w:rPr>
          <w:rFonts w:eastAsia="Times New Roman"/>
          <w:szCs w:val="24"/>
        </w:rPr>
        <w:t>Cal. State Bar Ct. Rptr. 490 [</w:t>
      </w:r>
      <w:r w:rsidR="000B1C21" w:rsidRPr="00C8270A">
        <w:rPr>
          <w:rFonts w:eastAsia="Times New Roman"/>
          <w:szCs w:val="24"/>
        </w:rPr>
        <w:t>six</w:t>
      </w:r>
      <w:r w:rsidR="00685BA5" w:rsidRPr="00C8270A">
        <w:rPr>
          <w:rFonts w:eastAsia="Times New Roman"/>
          <w:szCs w:val="24"/>
        </w:rPr>
        <w:t xml:space="preserve"> months</w:t>
      </w:r>
      <w:r w:rsidR="000B1C21" w:rsidRPr="00C8270A">
        <w:rPr>
          <w:rFonts w:eastAsia="Times New Roman"/>
          <w:szCs w:val="24"/>
        </w:rPr>
        <w:t>’</w:t>
      </w:r>
      <w:r w:rsidR="00685BA5" w:rsidRPr="00C8270A">
        <w:rPr>
          <w:rFonts w:eastAsia="Times New Roman"/>
          <w:szCs w:val="24"/>
        </w:rPr>
        <w:t xml:space="preserve"> actual </w:t>
      </w:r>
      <w:r w:rsidR="00FF6FED" w:rsidRPr="00C8270A">
        <w:rPr>
          <w:rFonts w:eastAsia="Times New Roman"/>
          <w:szCs w:val="24"/>
        </w:rPr>
        <w:t xml:space="preserve">suspension </w:t>
      </w:r>
      <w:r w:rsidR="00685BA5" w:rsidRPr="00C8270A">
        <w:rPr>
          <w:rFonts w:eastAsia="Times New Roman"/>
          <w:szCs w:val="24"/>
        </w:rPr>
        <w:t xml:space="preserve">for falsely representing to judge that witness was under subpoena, with prior discipline in aggravation]; </w:t>
      </w:r>
      <w:r w:rsidR="00685BA5" w:rsidRPr="00C8270A">
        <w:rPr>
          <w:rFonts w:eastAsia="Times New Roman"/>
          <w:i/>
          <w:szCs w:val="24"/>
        </w:rPr>
        <w:t>In the Matter of Mason</w:t>
      </w:r>
      <w:r w:rsidR="00685BA5" w:rsidRPr="00C8270A">
        <w:rPr>
          <w:rFonts w:eastAsia="Times New Roman"/>
          <w:szCs w:val="24"/>
        </w:rPr>
        <w:t xml:space="preserve"> (Review Dept. 1997) 3</w:t>
      </w:r>
      <w:r w:rsidR="000B1C21" w:rsidRPr="00C8270A">
        <w:rPr>
          <w:rFonts w:eastAsia="Times New Roman"/>
          <w:szCs w:val="24"/>
        </w:rPr>
        <w:t> </w:t>
      </w:r>
      <w:r w:rsidR="00685BA5" w:rsidRPr="00C8270A">
        <w:rPr>
          <w:rFonts w:eastAsia="Times New Roman"/>
          <w:szCs w:val="24"/>
        </w:rPr>
        <w:t>Cal. State Bar Ct. Rptr. 639 [90 days</w:t>
      </w:r>
      <w:r w:rsidR="000B1C21" w:rsidRPr="00C8270A">
        <w:rPr>
          <w:rFonts w:eastAsia="Times New Roman"/>
          <w:szCs w:val="24"/>
        </w:rPr>
        <w:t>’</w:t>
      </w:r>
      <w:r w:rsidR="00685BA5" w:rsidRPr="00C8270A">
        <w:rPr>
          <w:rFonts w:eastAsia="Times New Roman"/>
          <w:szCs w:val="24"/>
        </w:rPr>
        <w:t xml:space="preserve"> actual</w:t>
      </w:r>
      <w:r w:rsidR="00FF6FED" w:rsidRPr="00C8270A">
        <w:rPr>
          <w:rFonts w:eastAsia="Times New Roman"/>
          <w:szCs w:val="24"/>
        </w:rPr>
        <w:t xml:space="preserve"> suspension</w:t>
      </w:r>
      <w:r w:rsidR="00685BA5" w:rsidRPr="00C8270A">
        <w:rPr>
          <w:rFonts w:eastAsia="Times New Roman"/>
          <w:szCs w:val="24"/>
        </w:rPr>
        <w:t xml:space="preserve"> for </w:t>
      </w:r>
      <w:r w:rsidR="00C45848" w:rsidRPr="00C8270A">
        <w:rPr>
          <w:rFonts w:eastAsia="Times New Roman"/>
          <w:szCs w:val="24"/>
        </w:rPr>
        <w:t>failing to disclose</w:t>
      </w:r>
      <w:r w:rsidR="00685BA5" w:rsidRPr="00C8270A">
        <w:rPr>
          <w:rFonts w:eastAsia="Times New Roman"/>
          <w:szCs w:val="24"/>
        </w:rPr>
        <w:t xml:space="preserve"> to court and opposing counsel that he was</w:t>
      </w:r>
      <w:r w:rsidR="00C45848" w:rsidRPr="00C8270A">
        <w:rPr>
          <w:rFonts w:eastAsia="Times New Roman"/>
          <w:szCs w:val="24"/>
        </w:rPr>
        <w:t xml:space="preserve"> suspended</w:t>
      </w:r>
      <w:r w:rsidR="00685BA5" w:rsidRPr="00C8270A">
        <w:rPr>
          <w:rFonts w:eastAsia="Times New Roman"/>
          <w:szCs w:val="24"/>
        </w:rPr>
        <w:t>, with prior discipline in aggravation].)</w:t>
      </w:r>
    </w:p>
    <w:p w:rsidR="006F1876" w:rsidRPr="00C8270A" w:rsidRDefault="006F1876" w:rsidP="003B665D">
      <w:pPr>
        <w:pStyle w:val="ListParagraph"/>
        <w:tabs>
          <w:tab w:val="left" w:pos="720"/>
        </w:tabs>
        <w:spacing w:line="480" w:lineRule="auto"/>
        <w:ind w:left="0"/>
        <w:rPr>
          <w:rFonts w:eastAsia="Times New Roman"/>
          <w:szCs w:val="24"/>
        </w:rPr>
      </w:pPr>
      <w:r w:rsidRPr="00C8270A">
        <w:rPr>
          <w:rFonts w:eastAsia="Times New Roman"/>
          <w:szCs w:val="24"/>
        </w:rPr>
        <w:tab/>
        <w:t>Given the lack of significant mitigation</w:t>
      </w:r>
      <w:r w:rsidR="007E0E81" w:rsidRPr="00C8270A">
        <w:rPr>
          <w:rFonts w:eastAsia="Times New Roman"/>
          <w:szCs w:val="24"/>
        </w:rPr>
        <w:t xml:space="preserve"> and</w:t>
      </w:r>
      <w:r w:rsidRPr="00C8270A">
        <w:rPr>
          <w:rFonts w:eastAsia="Times New Roman"/>
          <w:szCs w:val="24"/>
        </w:rPr>
        <w:t xml:space="preserve"> the decisional law, we find no basis to deviate from </w:t>
      </w:r>
      <w:r w:rsidR="000E2A85" w:rsidRPr="00C8270A">
        <w:rPr>
          <w:rFonts w:eastAsia="Times New Roman"/>
          <w:szCs w:val="24"/>
        </w:rPr>
        <w:t>standard</w:t>
      </w:r>
      <w:r w:rsidR="000B1C21" w:rsidRPr="00C8270A">
        <w:rPr>
          <w:rFonts w:eastAsia="Times New Roman"/>
          <w:szCs w:val="24"/>
        </w:rPr>
        <w:t> </w:t>
      </w:r>
      <w:r w:rsidR="00DA7356" w:rsidRPr="00C8270A">
        <w:rPr>
          <w:rFonts w:eastAsia="Times New Roman"/>
          <w:szCs w:val="24"/>
        </w:rPr>
        <w:t>2.12(a)</w:t>
      </w:r>
      <w:r w:rsidR="000B1C21" w:rsidRPr="00C8270A">
        <w:rPr>
          <w:rFonts w:eastAsia="Times New Roman"/>
          <w:szCs w:val="24"/>
        </w:rPr>
        <w:t xml:space="preserve">. </w:t>
      </w:r>
      <w:r w:rsidR="00DA7356" w:rsidRPr="00C8270A">
        <w:rPr>
          <w:rFonts w:eastAsia="Times New Roman"/>
          <w:szCs w:val="24"/>
        </w:rPr>
        <w:t xml:space="preserve"> </w:t>
      </w:r>
      <w:r w:rsidR="000B1C21" w:rsidRPr="00C8270A">
        <w:rPr>
          <w:rFonts w:eastAsia="Times New Roman"/>
          <w:szCs w:val="24"/>
        </w:rPr>
        <w:t>We</w:t>
      </w:r>
      <w:r w:rsidR="001B6907" w:rsidRPr="00C8270A">
        <w:rPr>
          <w:rFonts w:eastAsia="Times New Roman"/>
          <w:szCs w:val="24"/>
        </w:rPr>
        <w:t xml:space="preserve"> </w:t>
      </w:r>
      <w:r w:rsidR="00DA7356" w:rsidRPr="00C8270A">
        <w:rPr>
          <w:rFonts w:eastAsia="Times New Roman"/>
          <w:szCs w:val="24"/>
        </w:rPr>
        <w:t xml:space="preserve">recommend a 30-day period of actual suspension as the most appropriate discipline. </w:t>
      </w:r>
    </w:p>
    <w:p w:rsidR="003F1263" w:rsidRPr="00C8270A" w:rsidRDefault="003F1263" w:rsidP="00BE7D5A">
      <w:pPr>
        <w:pStyle w:val="Heading2"/>
        <w:rPr>
          <w:rFonts w:ascii="Times New Roman" w:hAnsi="Times New Roman" w:cs="Times New Roman"/>
        </w:rPr>
      </w:pPr>
      <w:r w:rsidRPr="00C8270A">
        <w:rPr>
          <w:rFonts w:ascii="Times New Roman" w:hAnsi="Times New Roman" w:cs="Times New Roman"/>
        </w:rPr>
        <w:t>VI.  RECOMMENDATION</w:t>
      </w:r>
    </w:p>
    <w:p w:rsidR="003F1263" w:rsidRPr="00C8270A" w:rsidRDefault="003F1263" w:rsidP="003F1263">
      <w:pPr>
        <w:pStyle w:val="ListParagraph"/>
        <w:spacing w:line="480" w:lineRule="auto"/>
        <w:ind w:left="0"/>
        <w:rPr>
          <w:i/>
          <w:u w:val="single"/>
        </w:rPr>
      </w:pPr>
      <w:r w:rsidRPr="00C8270A">
        <w:tab/>
        <w:t>For the foregoing reasons, we recommend that Earle Arthur Partington be suspended from the practice of law for one year, that execution of that suspension be stayed, and that he be placed on probation for two years on the following conditions:</w:t>
      </w:r>
    </w:p>
    <w:p w:rsidR="003F1263" w:rsidRPr="00C8270A" w:rsidRDefault="003F1263" w:rsidP="003F1263">
      <w:pPr>
        <w:pStyle w:val="ListParagraph"/>
        <w:numPr>
          <w:ilvl w:val="0"/>
          <w:numId w:val="20"/>
        </w:numPr>
        <w:ind w:left="360"/>
      </w:pPr>
      <w:r w:rsidRPr="00C8270A">
        <w:t>He must be suspended from the practice of law for a minimum of the first 30 days of probation.</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t>He must comply with the provisions of the State Bar Act, the Rules of Professional Conduct, and all of the conditions of his probation.</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t>Within 30 days after the effective date of discipline, he must contact the Office of Probation and schedule a meeting with his assigned probation deputy to discuss the terms and conditions of probation.  Upon the direction of the Office of Probation, he must meet with the probation deputy either in person or by telephone.  During the period of probation, he must promptly meet with the probation deputy as directed and upon request.</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t>Within 10 days of any change in the information required to be maintained on the membership records of the State Bar pursuant to Business and Professions Code section 6002.1, subdivision (a), including his current office address and telephone number, or if no office is maintained, the address to be used for State Bar purposes, he must report such change in writing to the Membership Records Office and the State Bar Office of Probation.</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lastRenderedPageBreak/>
        <w:t>He must submit written quarterly reports to the Office of Probation on each January</w:t>
      </w:r>
      <w:r w:rsidR="00C45848" w:rsidRPr="00C8270A">
        <w:t> </w:t>
      </w:r>
      <w:r w:rsidRPr="00C8270A">
        <w:t>10</w:t>
      </w:r>
      <w:r w:rsidR="00B42A46" w:rsidRPr="00C8270A">
        <w:t>, April</w:t>
      </w:r>
      <w:r w:rsidR="00C45848" w:rsidRPr="00C8270A">
        <w:t> </w:t>
      </w:r>
      <w:r w:rsidRPr="00C8270A">
        <w:t>10, July</w:t>
      </w:r>
      <w:r w:rsidR="00C45848" w:rsidRPr="00C8270A">
        <w:t> </w:t>
      </w:r>
      <w:r w:rsidRPr="00C8270A">
        <w:t>10, and October</w:t>
      </w:r>
      <w:r w:rsidR="00C45848" w:rsidRPr="00C8270A">
        <w:t> </w:t>
      </w:r>
      <w:r w:rsidRPr="00C8270A">
        <w:t>10 of the period of probation.  Under penalty of perjury, he must state whether he has complied with the State Bar Act, the Rules of Professional Conduct, and all of the conditions of his 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t>Subject to the assertion of applicable privileges, he must answer fully, promptly, and truthfully, any inquiries of the Office of Probation that are directed to him personally or in writing, relating to whether he is complying or has complied with the conditions contained herein.</w:t>
      </w:r>
    </w:p>
    <w:p w:rsidR="003F1263" w:rsidRPr="00C8270A" w:rsidRDefault="003F1263" w:rsidP="003F1263">
      <w:pPr>
        <w:pStyle w:val="ListParagraph"/>
        <w:ind w:left="360"/>
      </w:pPr>
    </w:p>
    <w:p w:rsidR="003F1263" w:rsidRPr="00C8270A" w:rsidRDefault="003F1263" w:rsidP="003F1263">
      <w:pPr>
        <w:pStyle w:val="ListParagraph"/>
        <w:numPr>
          <w:ilvl w:val="0"/>
          <w:numId w:val="20"/>
        </w:numPr>
        <w:ind w:left="360"/>
      </w:pPr>
      <w:r w:rsidRPr="00C8270A">
        <w:t>Within one year after the effective date of the discipline herein, he must submit to the Office of Probation satisfactory evidence of completion of the State Bar’s Ethics School and passage of the test given at the end of that session.  This requirement is separate from any Minimum Continuing Legal Education (MCLE) requirement, and he shall not receive MCLE credit for attending Ethics School.</w:t>
      </w:r>
      <w:r w:rsidR="00C45848" w:rsidRPr="00C8270A">
        <w:t xml:space="preserve"> </w:t>
      </w:r>
      <w:r w:rsidRPr="00C8270A">
        <w:t xml:space="preserve"> (Rules Proc. of State Bar, rule 3201.)</w:t>
      </w:r>
    </w:p>
    <w:p w:rsidR="003F1263" w:rsidRPr="00C8270A" w:rsidRDefault="003F1263" w:rsidP="003F1263">
      <w:pPr>
        <w:pStyle w:val="ListParagraph"/>
        <w:ind w:left="360"/>
      </w:pPr>
    </w:p>
    <w:p w:rsidR="003F1263" w:rsidRPr="00C8270A" w:rsidRDefault="003F1263" w:rsidP="003F1263">
      <w:pPr>
        <w:spacing w:line="480" w:lineRule="auto"/>
      </w:pPr>
      <w:r w:rsidRPr="00C8270A">
        <w:tab/>
        <w:t xml:space="preserve">The period of probation will commence on the effective date of the Supreme Court order imposing discipline in this matter.  At the expiration of the period of probation, if </w:t>
      </w:r>
      <w:r w:rsidR="00487940" w:rsidRPr="00C8270A">
        <w:t xml:space="preserve">Partington </w:t>
      </w:r>
      <w:r w:rsidRPr="00C8270A">
        <w:t>has complied with all conditions of probation, the stayed suspension will be satisfied and that suspension will be terminated.</w:t>
      </w:r>
    </w:p>
    <w:p w:rsidR="003F1263" w:rsidRPr="00C8270A" w:rsidRDefault="003F1263" w:rsidP="00BE7D5A">
      <w:pPr>
        <w:pStyle w:val="Heading2"/>
        <w:rPr>
          <w:rFonts w:ascii="Times New Roman" w:hAnsi="Times New Roman" w:cs="Times New Roman"/>
        </w:rPr>
      </w:pPr>
      <w:r w:rsidRPr="00C8270A">
        <w:rPr>
          <w:rFonts w:ascii="Times New Roman" w:hAnsi="Times New Roman" w:cs="Times New Roman"/>
        </w:rPr>
        <w:t>VI</w:t>
      </w:r>
      <w:r w:rsidR="00D1205E" w:rsidRPr="00C8270A">
        <w:rPr>
          <w:rFonts w:ascii="Times New Roman" w:hAnsi="Times New Roman" w:cs="Times New Roman"/>
        </w:rPr>
        <w:t>I</w:t>
      </w:r>
      <w:r w:rsidRPr="00C8270A">
        <w:rPr>
          <w:rFonts w:ascii="Times New Roman" w:hAnsi="Times New Roman" w:cs="Times New Roman"/>
        </w:rPr>
        <w:t>.  PROFESSIONAL RESPONSIBILITY EXAMINATION</w:t>
      </w:r>
    </w:p>
    <w:p w:rsidR="004A1B35" w:rsidRPr="00C8270A" w:rsidRDefault="003F1263" w:rsidP="003F1263">
      <w:pPr>
        <w:spacing w:line="480" w:lineRule="auto"/>
      </w:pPr>
      <w:r w:rsidRPr="00C8270A">
        <w:tab/>
        <w:t xml:space="preserve">We further recommend that </w:t>
      </w:r>
      <w:r w:rsidR="00487940" w:rsidRPr="00C8270A">
        <w:t xml:space="preserve">Partington </w:t>
      </w:r>
      <w:r w:rsidRPr="00C8270A">
        <w:t>be ordered to take and pass the Multistate Professional Responsibility Examination administered by the National Conference of Bar Examiners within one year after the effective date of the Supreme Court order imposing discipline in this matter and to provide satisfactory proof of such passage to the Office of Probation within the same period.  Failure to do so may result in an automatic suspension.  (Cal. Rules of Court, rule 9.10(b).)</w:t>
      </w:r>
    </w:p>
    <w:p w:rsidR="004A1B35" w:rsidRPr="00C8270A" w:rsidRDefault="004A1B35">
      <w:r w:rsidRPr="00C8270A">
        <w:br w:type="page"/>
      </w:r>
    </w:p>
    <w:p w:rsidR="003F1263" w:rsidRPr="00C8270A" w:rsidRDefault="003F1263" w:rsidP="00BE7D5A">
      <w:pPr>
        <w:pStyle w:val="Heading2"/>
        <w:rPr>
          <w:rFonts w:ascii="Times New Roman" w:hAnsi="Times New Roman" w:cs="Times New Roman"/>
        </w:rPr>
      </w:pPr>
      <w:r w:rsidRPr="00C8270A">
        <w:rPr>
          <w:rFonts w:ascii="Times New Roman" w:hAnsi="Times New Roman" w:cs="Times New Roman"/>
        </w:rPr>
        <w:lastRenderedPageBreak/>
        <w:t>V</w:t>
      </w:r>
      <w:r w:rsidR="00D1205E" w:rsidRPr="00C8270A">
        <w:rPr>
          <w:rFonts w:ascii="Times New Roman" w:hAnsi="Times New Roman" w:cs="Times New Roman"/>
        </w:rPr>
        <w:t>I</w:t>
      </w:r>
      <w:r w:rsidRPr="00C8270A">
        <w:rPr>
          <w:rFonts w:ascii="Times New Roman" w:hAnsi="Times New Roman" w:cs="Times New Roman"/>
        </w:rPr>
        <w:t>II.  COSTS</w:t>
      </w:r>
    </w:p>
    <w:p w:rsidR="003F1263" w:rsidRPr="00C8270A" w:rsidRDefault="003F1263" w:rsidP="003F1263">
      <w:pPr>
        <w:jc w:val="center"/>
      </w:pPr>
    </w:p>
    <w:p w:rsidR="003F1263" w:rsidRPr="00C8270A" w:rsidRDefault="003F1263" w:rsidP="003F1263">
      <w:pPr>
        <w:spacing w:line="480" w:lineRule="auto"/>
      </w:pPr>
      <w:r w:rsidRPr="00C8270A">
        <w:tab/>
        <w:t>We further recommend that costs be awarded to the State Bar in accordance with    section 6086.10, such costs being enforceable both as provided in section 6140.7 and as a money judgment.</w:t>
      </w:r>
    </w:p>
    <w:p w:rsidR="00832223" w:rsidRPr="00C8270A" w:rsidRDefault="00832223" w:rsidP="00832223">
      <w:r w:rsidRPr="00C8270A">
        <w:tab/>
      </w:r>
      <w:r w:rsidRPr="00C8270A">
        <w:tab/>
      </w:r>
      <w:r w:rsidRPr="00C8270A">
        <w:tab/>
      </w:r>
      <w:r w:rsidRPr="00C8270A">
        <w:tab/>
      </w:r>
      <w:r w:rsidRPr="00C8270A">
        <w:tab/>
      </w:r>
      <w:r w:rsidRPr="00C8270A">
        <w:tab/>
      </w:r>
      <w:r w:rsidRPr="00C8270A">
        <w:tab/>
      </w:r>
      <w:bookmarkStart w:id="9" w:name="judge"/>
      <w:bookmarkEnd w:id="9"/>
      <w:r w:rsidR="0081669C" w:rsidRPr="00C8270A">
        <w:t>HONN, J.</w:t>
      </w:r>
    </w:p>
    <w:p w:rsidR="00832223" w:rsidRPr="00C8270A" w:rsidRDefault="00832223" w:rsidP="00832223"/>
    <w:p w:rsidR="00832223" w:rsidRPr="00C8270A" w:rsidRDefault="00832223" w:rsidP="003F06DF">
      <w:pPr>
        <w:spacing w:line="480" w:lineRule="auto"/>
      </w:pPr>
      <w:r w:rsidRPr="00C8270A">
        <w:t>WE CONCUR:</w:t>
      </w:r>
    </w:p>
    <w:p w:rsidR="0081669C" w:rsidRPr="00C8270A" w:rsidRDefault="0081669C" w:rsidP="000E0A7C">
      <w:bookmarkStart w:id="10" w:name="multinames"/>
      <w:bookmarkEnd w:id="10"/>
      <w:r w:rsidRPr="00C8270A">
        <w:t>PURCELL, P. J.</w:t>
      </w:r>
    </w:p>
    <w:p w:rsidR="00D1205E" w:rsidRPr="00C8270A" w:rsidRDefault="00D1205E" w:rsidP="000E0A7C"/>
    <w:p w:rsidR="0081669C" w:rsidRPr="00C8270A" w:rsidRDefault="0081669C" w:rsidP="000E0A7C">
      <w:r w:rsidRPr="00C8270A">
        <w:t>McGILL, J.</w:t>
      </w:r>
      <w:r w:rsidR="00A341BF" w:rsidRPr="00C8270A">
        <w:t>*</w:t>
      </w:r>
    </w:p>
    <w:p w:rsidR="00A341BF" w:rsidRPr="00C8270A" w:rsidRDefault="00A341BF" w:rsidP="00A341BF">
      <w:pPr>
        <w:spacing w:line="480" w:lineRule="auto"/>
      </w:pPr>
    </w:p>
    <w:p w:rsidR="00A341BF" w:rsidRPr="00C8270A" w:rsidRDefault="00A341BF" w:rsidP="00EB7680"/>
    <w:p w:rsidR="00A341BF" w:rsidRPr="00C8270A" w:rsidRDefault="00A341BF" w:rsidP="00EB7680"/>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0B1C21" w:rsidRPr="00C8270A" w:rsidRDefault="000B1C21"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A341BF">
      <w:pPr>
        <w:spacing w:line="480" w:lineRule="auto"/>
      </w:pPr>
    </w:p>
    <w:p w:rsidR="00A341BF" w:rsidRPr="00C8270A" w:rsidRDefault="00A341BF" w:rsidP="000E0A7C"/>
    <w:p w:rsidR="00A341BF" w:rsidRPr="00C8270A" w:rsidRDefault="00A341BF" w:rsidP="000E0A7C">
      <w:r w:rsidRPr="00C8270A">
        <w:t>________________________</w:t>
      </w:r>
    </w:p>
    <w:p w:rsidR="00792AC2" w:rsidRPr="00C8270A" w:rsidRDefault="00A341BF">
      <w:pPr>
        <w:tabs>
          <w:tab w:val="left" w:pos="720"/>
        </w:tabs>
      </w:pPr>
      <w:r w:rsidRPr="00C8270A">
        <w:tab/>
        <w:t>*</w:t>
      </w:r>
      <w:r w:rsidR="00EB7680" w:rsidRPr="00C8270A">
        <w:t xml:space="preserve"> </w:t>
      </w:r>
      <w:r w:rsidR="003B1FA5" w:rsidRPr="00C8270A">
        <w:t>Hearing Judge of the State Bar Court, assigned by the Presiding Judge pursuant to rule 5.155(F) of the Rules of Procedure</w:t>
      </w:r>
      <w:r w:rsidR="000168CF" w:rsidRPr="00C8270A">
        <w:t xml:space="preserve"> of the State Bar</w:t>
      </w:r>
      <w:r w:rsidR="003B1FA5" w:rsidRPr="00C8270A">
        <w:t xml:space="preserve">; as of </w:t>
      </w:r>
      <w:r w:rsidR="004A1B35" w:rsidRPr="00C8270A">
        <w:t>November 1, 2016, serving as R</w:t>
      </w:r>
      <w:r w:rsidR="003B1FA5" w:rsidRPr="00C8270A">
        <w:t>eview Judge by appointment of the California Supreme Court.</w:t>
      </w:r>
    </w:p>
    <w:sectPr w:rsidR="00792AC2" w:rsidRPr="00C8270A" w:rsidSect="003B1FA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B7" w:rsidRDefault="008451B7" w:rsidP="00055C8A">
      <w:r>
        <w:separator/>
      </w:r>
    </w:p>
  </w:endnote>
  <w:endnote w:type="continuationSeparator" w:id="0">
    <w:p w:rsidR="008451B7" w:rsidRDefault="008451B7"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6" w:rsidRDefault="006F0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fldChar w:fldCharType="begin"/>
        </w:r>
        <w:r>
          <w:instrText xml:space="preserve"> PAGE   \* MERGEFORMAT </w:instrText>
        </w:r>
        <w:r>
          <w:fldChar w:fldCharType="separate"/>
        </w:r>
        <w:r w:rsidR="006F0156">
          <w:rPr>
            <w:noProof/>
          </w:rPr>
          <w:t>15</w:t>
        </w:r>
        <w:r>
          <w:rPr>
            <w:noProof/>
          </w:rPr>
          <w:fldChar w:fldCharType="end"/>
        </w:r>
        <w: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6" w:rsidRDefault="006F0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B7" w:rsidRDefault="008451B7" w:rsidP="00055C8A">
      <w:r>
        <w:separator/>
      </w:r>
    </w:p>
  </w:footnote>
  <w:footnote w:type="continuationSeparator" w:id="0">
    <w:p w:rsidR="008451B7" w:rsidRDefault="008451B7" w:rsidP="00055C8A">
      <w:r>
        <w:continuationSeparator/>
      </w:r>
    </w:p>
  </w:footnote>
  <w:footnote w:id="1">
    <w:p w:rsidR="00467AD8" w:rsidRDefault="00467AD8">
      <w:pPr>
        <w:pStyle w:val="FootnoteText"/>
      </w:pPr>
      <w:r>
        <w:rPr>
          <w:rStyle w:val="FootnoteReference"/>
        </w:rPr>
        <w:footnoteRef/>
      </w:r>
      <w:r>
        <w:t xml:space="preserve"> </w:t>
      </w:r>
      <w:r w:rsidRPr="000D4F0C">
        <w:t>Clear and convincing evidence leaves no substantial doubt and is sufficiently strong to command the unhesitating assent of every reasonable mind.  (</w:t>
      </w:r>
      <w:r w:rsidRPr="000D4F0C">
        <w:rPr>
          <w:i/>
        </w:rPr>
        <w:t>Conservatorship of Wendland</w:t>
      </w:r>
      <w:r w:rsidRPr="000D4F0C">
        <w:t xml:space="preserve"> (2001) 26</w:t>
      </w:r>
      <w:r>
        <w:t> </w:t>
      </w:r>
      <w:r w:rsidRPr="000D4F0C">
        <w:t>Cal.4th 519, 552.)</w:t>
      </w:r>
      <w:r>
        <w:t xml:space="preserve"> </w:t>
      </w:r>
    </w:p>
  </w:footnote>
  <w:footnote w:id="2">
    <w:p w:rsidR="00282004" w:rsidRDefault="00D6256C" w:rsidP="007A77AB">
      <w:pPr>
        <w:pStyle w:val="TemplateFootnote"/>
      </w:pPr>
      <w:r>
        <w:rPr>
          <w:rStyle w:val="FootnoteReference"/>
        </w:rPr>
        <w:footnoteRef/>
      </w:r>
      <w:r>
        <w:t xml:space="preserve"> Subsequent references to sections are to the Business and Professions Code</w:t>
      </w:r>
      <w:r w:rsidR="000C0902">
        <w:t xml:space="preserve"> unless otherwise noted</w:t>
      </w:r>
      <w:r>
        <w:t>.</w:t>
      </w:r>
    </w:p>
  </w:footnote>
  <w:footnote w:id="3">
    <w:p w:rsidR="00784F68" w:rsidRDefault="00784F68" w:rsidP="003E08E3">
      <w:pPr>
        <w:pStyle w:val="FootnoteText"/>
        <w:spacing w:after="120"/>
      </w:pPr>
      <w:r>
        <w:rPr>
          <w:rStyle w:val="FootnoteReference"/>
        </w:rPr>
        <w:footnoteRef/>
      </w:r>
      <w:r>
        <w:t xml:space="preserve"> Section</w:t>
      </w:r>
      <w:r w:rsidR="002B1EF0">
        <w:t> 6068, subdivision </w:t>
      </w:r>
      <w:r>
        <w:t xml:space="preserve">(d), requires </w:t>
      </w:r>
      <w:r w:rsidR="000C0902">
        <w:t xml:space="preserve">an </w:t>
      </w:r>
      <w:r>
        <w:t xml:space="preserve">attorney </w:t>
      </w:r>
      <w:r w:rsidRPr="00EB78CD">
        <w:t>“</w:t>
      </w:r>
      <w:r>
        <w:t>[t]</w:t>
      </w:r>
      <w:r w:rsidRPr="00EB78CD">
        <w:t>o</w:t>
      </w:r>
      <w:r>
        <w:t xml:space="preserve"> employ, for the purpose of maintaining the causes confided to him or her those means only as are consistent with truth, and never to seek to mislead the judge or any judicial officer by an artifice or false statement of fact or law.”  </w:t>
      </w:r>
    </w:p>
  </w:footnote>
  <w:footnote w:id="4">
    <w:p w:rsidR="00282004" w:rsidRDefault="003F4BE6" w:rsidP="007A77AB">
      <w:pPr>
        <w:pStyle w:val="TemplateFootnote"/>
      </w:pPr>
      <w:r>
        <w:rPr>
          <w:rStyle w:val="FootnoteReference"/>
        </w:rPr>
        <w:footnoteRef/>
      </w:r>
      <w:r>
        <w:t xml:space="preserve"> Section</w:t>
      </w:r>
      <w:r w:rsidR="002B1EF0">
        <w:t> </w:t>
      </w:r>
      <w:r>
        <w:t xml:space="preserve">6106 provides </w:t>
      </w:r>
      <w:r w:rsidR="003F39A2">
        <w:t>that “[t]he commission of any act involving moral turp</w:t>
      </w:r>
      <w:r w:rsidR="000C0902">
        <w:t>itude, dishonesty or corruption</w:t>
      </w:r>
      <w:r w:rsidR="002B1EF0">
        <w:t xml:space="preserve"> </w:t>
      </w:r>
      <w:r w:rsidR="003F39A2">
        <w:t>. . . constitutes a cause for disbarment or suspension.”</w:t>
      </w:r>
    </w:p>
  </w:footnote>
  <w:footnote w:id="5">
    <w:p w:rsidR="003F39A2" w:rsidRDefault="003F39A2" w:rsidP="003E08E3">
      <w:pPr>
        <w:ind w:firstLine="720"/>
      </w:pPr>
      <w:r>
        <w:rPr>
          <w:rStyle w:val="FootnoteReference"/>
        </w:rPr>
        <w:footnoteRef/>
      </w:r>
      <w:r>
        <w:t xml:space="preserve"> Rule</w:t>
      </w:r>
      <w:r w:rsidR="002B1EF0">
        <w:t> </w:t>
      </w:r>
      <w:r>
        <w:t xml:space="preserve">5-200 provides, in part, that a member “[s]hall not seek to mislead the judge, judicial officer, or jury by an artifice or false statement of fact or law.”  Subsequent references to rules are to the Rules of Professional Conduct unless otherwise indicated.  </w:t>
      </w:r>
    </w:p>
  </w:footnote>
  <w:footnote w:id="6">
    <w:p w:rsidR="00000495" w:rsidRDefault="00000495">
      <w:pPr>
        <w:pStyle w:val="FootnoteText"/>
      </w:pPr>
      <w:r>
        <w:rPr>
          <w:rStyle w:val="FootnoteReference"/>
        </w:rPr>
        <w:footnoteRef/>
      </w:r>
      <w:r>
        <w:t xml:space="preserve"> </w:t>
      </w:r>
      <w:r w:rsidR="00EB656B">
        <w:t xml:space="preserve">Title </w:t>
      </w:r>
      <w:r>
        <w:t>18 U</w:t>
      </w:r>
      <w:r w:rsidR="00EB656B">
        <w:t>nited States Code</w:t>
      </w:r>
      <w:r>
        <w:t xml:space="preserve"> section</w:t>
      </w:r>
      <w:r w:rsidR="0000161D">
        <w:t> </w:t>
      </w:r>
      <w:r>
        <w:t xml:space="preserve">1801 prohibits acts of video voyeurism </w:t>
      </w:r>
      <w:r w:rsidR="006954FD">
        <w:t xml:space="preserve">that intentionally capture images of individuals’ private areas when such individuals have a reasonable expectation of privacy, and without their consent, </w:t>
      </w:r>
      <w:r>
        <w:t>and applies to persons in the special maritime and territorial jurisdiction of the United States</w:t>
      </w:r>
      <w:r w:rsidR="006954FD">
        <w:t>.  (18 U.S.C. §</w:t>
      </w:r>
      <w:r w:rsidR="0000161D">
        <w:t> </w:t>
      </w:r>
      <w:r w:rsidR="006954FD">
        <w:t>1801(a).)</w:t>
      </w:r>
    </w:p>
  </w:footnote>
  <w:footnote w:id="7">
    <w:p w:rsidR="009449A5" w:rsidRDefault="009449A5" w:rsidP="0056752B">
      <w:pPr>
        <w:pStyle w:val="TemplateFootnote"/>
      </w:pPr>
      <w:r>
        <w:rPr>
          <w:rStyle w:val="FootnoteReference"/>
        </w:rPr>
        <w:footnoteRef/>
      </w:r>
      <w:r>
        <w:t xml:space="preserve"> Rule 3.1 states, in part, that an attorney “shall not bring or defend a proceeding, or assert or controvert an issue therein, unless there is a basis for doing so that is not frivolous, which includes a good faith argument for an extension, modification, or reversal of existing law.”  (32 C.F.R. § 776.40.)</w:t>
      </w:r>
    </w:p>
  </w:footnote>
  <w:footnote w:id="8">
    <w:p w:rsidR="00C81E2C" w:rsidRDefault="00C81E2C">
      <w:pPr>
        <w:pStyle w:val="FootnoteText"/>
      </w:pPr>
      <w:r>
        <w:rPr>
          <w:rStyle w:val="FootnoteReference"/>
        </w:rPr>
        <w:footnoteRef/>
      </w:r>
      <w:r>
        <w:t xml:space="preserve"> </w:t>
      </w:r>
      <w:r>
        <w:rPr>
          <w:szCs w:val="24"/>
        </w:rPr>
        <w:t>Rule 3.3 states, in part, that an attorney shall not “[m]</w:t>
      </w:r>
      <w:r w:rsidRPr="00484FF8">
        <w:rPr>
          <w:szCs w:val="24"/>
        </w:rPr>
        <w:t>ake a false statement of material fact or law to a tribunal</w:t>
      </w:r>
      <w:r>
        <w:rPr>
          <w:szCs w:val="24"/>
        </w:rPr>
        <w:t xml:space="preserve">.” </w:t>
      </w:r>
      <w:r w:rsidRPr="00484FF8">
        <w:rPr>
          <w:szCs w:val="24"/>
        </w:rPr>
        <w:t xml:space="preserve"> </w:t>
      </w:r>
      <w:r>
        <w:rPr>
          <w:szCs w:val="24"/>
        </w:rPr>
        <w:t xml:space="preserve">(32 C.F.R. § 776.42.)  </w:t>
      </w:r>
    </w:p>
  </w:footnote>
  <w:footnote w:id="9">
    <w:p w:rsidR="005C1557" w:rsidRDefault="005C1557" w:rsidP="005C1557">
      <w:pPr>
        <w:pStyle w:val="FootnoteText"/>
      </w:pPr>
      <w:r>
        <w:rPr>
          <w:rStyle w:val="FootnoteReference"/>
        </w:rPr>
        <w:footnoteRef/>
      </w:r>
      <w:r>
        <w:t xml:space="preserve"> </w:t>
      </w:r>
      <w:r w:rsidR="00A96613">
        <w:rPr>
          <w:szCs w:val="24"/>
        </w:rPr>
        <w:t>The R</w:t>
      </w:r>
      <w:r>
        <w:rPr>
          <w:szCs w:val="24"/>
        </w:rPr>
        <w:t>ule</w:t>
      </w:r>
      <w:r w:rsidR="00253E85">
        <w:rPr>
          <w:szCs w:val="24"/>
        </w:rPr>
        <w:t> </w:t>
      </w:r>
      <w:r>
        <w:rPr>
          <w:szCs w:val="24"/>
        </w:rPr>
        <w:t xml:space="preserve">3.3 violation also establishes a violation of </w:t>
      </w:r>
      <w:r w:rsidR="00E431F0">
        <w:rPr>
          <w:szCs w:val="24"/>
        </w:rPr>
        <w:t>rule</w:t>
      </w:r>
      <w:r w:rsidR="00253E85">
        <w:rPr>
          <w:szCs w:val="24"/>
        </w:rPr>
        <w:t> </w:t>
      </w:r>
      <w:r w:rsidR="00E431F0">
        <w:rPr>
          <w:szCs w:val="24"/>
        </w:rPr>
        <w:t xml:space="preserve">5-200.  However, OCTC charged </w:t>
      </w:r>
      <w:r w:rsidR="00253E85">
        <w:rPr>
          <w:szCs w:val="24"/>
        </w:rPr>
        <w:t xml:space="preserve">in the NDC </w:t>
      </w:r>
      <w:r w:rsidR="00A96613">
        <w:rPr>
          <w:szCs w:val="24"/>
        </w:rPr>
        <w:t>that the R</w:t>
      </w:r>
      <w:r w:rsidR="00E431F0">
        <w:rPr>
          <w:szCs w:val="24"/>
        </w:rPr>
        <w:t>ule</w:t>
      </w:r>
      <w:r w:rsidR="00253E85">
        <w:rPr>
          <w:szCs w:val="24"/>
        </w:rPr>
        <w:t> </w:t>
      </w:r>
      <w:r w:rsidR="00E431F0">
        <w:rPr>
          <w:szCs w:val="24"/>
        </w:rPr>
        <w:t>3.1 violation established a violation of rule</w:t>
      </w:r>
      <w:r w:rsidR="00253E85">
        <w:rPr>
          <w:szCs w:val="24"/>
        </w:rPr>
        <w:t> </w:t>
      </w:r>
      <w:r w:rsidR="00E431F0">
        <w:rPr>
          <w:szCs w:val="24"/>
        </w:rPr>
        <w:t xml:space="preserve">5-200.  We affirm the </w:t>
      </w:r>
      <w:r w:rsidRPr="00765939">
        <w:t xml:space="preserve">hearing </w:t>
      </w:r>
      <w:r w:rsidR="00B42A46" w:rsidRPr="00765939">
        <w:t>judge</w:t>
      </w:r>
      <w:r w:rsidR="00B42A46">
        <w:t xml:space="preserve">’s </w:t>
      </w:r>
      <w:r w:rsidR="00B42A46" w:rsidRPr="00765939">
        <w:t>finding</w:t>
      </w:r>
      <w:r w:rsidRPr="00765939">
        <w:t xml:space="preserve"> that the discipline impos</w:t>
      </w:r>
      <w:r w:rsidR="00A96613">
        <w:t>ed in the JAG proceeding under R</w:t>
      </w:r>
      <w:r w:rsidRPr="00765939">
        <w:t>ule</w:t>
      </w:r>
      <w:r w:rsidR="00253E85">
        <w:t> </w:t>
      </w:r>
      <w:r w:rsidRPr="00765939">
        <w:t>3.1 did not constitute a violation of rule</w:t>
      </w:r>
      <w:r w:rsidR="00253E85">
        <w:t> </w:t>
      </w:r>
      <w:r w:rsidRPr="00765939">
        <w:t>5-200</w:t>
      </w:r>
      <w:r w:rsidR="00E431F0">
        <w:t>, noting that OCTC does not challenge this finding</w:t>
      </w:r>
      <w:r w:rsidRPr="00765939">
        <w:t>.</w:t>
      </w:r>
      <w:r>
        <w:t xml:space="preserve">  </w:t>
      </w:r>
      <w:r w:rsidRPr="00765939">
        <w:t xml:space="preserve">  </w:t>
      </w:r>
    </w:p>
  </w:footnote>
  <w:footnote w:id="10">
    <w:p w:rsidR="00240747" w:rsidRDefault="00240747" w:rsidP="00240747">
      <w:pPr>
        <w:pStyle w:val="TemplateFootnote"/>
        <w:spacing w:after="0"/>
      </w:pPr>
      <w:r>
        <w:rPr>
          <w:rStyle w:val="FootnoteReference"/>
        </w:rPr>
        <w:footnoteRef/>
      </w:r>
      <w:r>
        <w:t xml:space="preserve"> A</w:t>
      </w:r>
      <w:r w:rsidRPr="0082035C">
        <w:t>ll further references to standards are to this source.</w:t>
      </w:r>
    </w:p>
  </w:footnote>
  <w:footnote w:id="11">
    <w:p w:rsidR="006B20C7" w:rsidRPr="00AA7237" w:rsidRDefault="006B20C7" w:rsidP="006B20C7">
      <w:pPr>
        <w:pStyle w:val="TemplateFootnote"/>
      </w:pPr>
      <w:r>
        <w:rPr>
          <w:rStyle w:val="FootnoteReference"/>
        </w:rPr>
        <w:footnoteRef/>
      </w:r>
      <w:r>
        <w:t xml:space="preserve"> Standard 1.7(b) provides: “On</w:t>
      </w:r>
      <w:r w:rsidRPr="00B25D3E">
        <w:t xml:space="preserve"> balance, a greater sanction is appropriate in cases where there is serious harm to the client, the public, the legal system, or the profession and where the record demonstrates that the member is unwilling or unable to confirm to ethical </w:t>
      </w:r>
      <w:r>
        <w:t>r</w:t>
      </w:r>
      <w:r w:rsidRPr="00B25D3E">
        <w:t>esponsibilities</w:t>
      </w:r>
      <w:r>
        <w:t>.</w:t>
      </w:r>
      <w:r w:rsidRPr="00B25D3E">
        <w:t>”</w:t>
      </w:r>
      <w:r>
        <w:t xml:space="preserve">  Standard 1.7(c)</w:t>
      </w:r>
      <w:r w:rsidRPr="00B25D3E">
        <w:t xml:space="preserve"> </w:t>
      </w:r>
      <w:r>
        <w:t>provides</w:t>
      </w:r>
      <w:r w:rsidR="00C45848">
        <w:t>:</w:t>
      </w:r>
      <w:r>
        <w:t xml:space="preserve"> </w:t>
      </w:r>
      <w:r w:rsidRPr="00B25D3E">
        <w:t>“</w:t>
      </w:r>
      <w:r w:rsidR="00C45848">
        <w:t xml:space="preserve">On balance, </w:t>
      </w:r>
      <w:r w:rsidRPr="00B25D3E">
        <w:t>a lesser sanction is appropriate in cases of minor misconduct, where there is little or no injury to a client, the public, the legal system, or the profession and where the record demonstrates that the member is willing and has the ability to conform to ethical responsibilities in the future</w:t>
      </w:r>
      <w:r>
        <w:t>.</w:t>
      </w:r>
      <w:r w:rsidRPr="00B25D3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6" w:rsidRDefault="006F0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6" w:rsidRDefault="006F0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6" w:rsidRDefault="006F0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80FD6"/>
    <w:multiLevelType w:val="hybridMultilevel"/>
    <w:tmpl w:val="986AA6EE"/>
    <w:lvl w:ilvl="0" w:tplc="27F692E6">
      <w:start w:val="1"/>
      <w:numFmt w:val="upperLetter"/>
      <w:lvlText w:val="%1."/>
      <w:lvlJc w:val="left"/>
      <w:pPr>
        <w:ind w:left="1080" w:hanging="360"/>
      </w:pPr>
      <w:rPr>
        <w:rFonts w:hint="default"/>
        <w:b/>
      </w:rPr>
    </w:lvl>
    <w:lvl w:ilvl="1" w:tplc="A78AE51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6E6ED6"/>
    <w:multiLevelType w:val="hybridMultilevel"/>
    <w:tmpl w:val="C4DA89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57AD6"/>
    <w:multiLevelType w:val="hybridMultilevel"/>
    <w:tmpl w:val="B4C8150A"/>
    <w:lvl w:ilvl="0" w:tplc="D0CA8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94DF7"/>
    <w:multiLevelType w:val="hybridMultilevel"/>
    <w:tmpl w:val="D720A710"/>
    <w:lvl w:ilvl="0" w:tplc="940C1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3"/>
  </w:num>
  <w:num w:numId="2">
    <w:abstractNumId w:val="12"/>
  </w:num>
  <w:num w:numId="3">
    <w:abstractNumId w:val="6"/>
  </w:num>
  <w:num w:numId="4">
    <w:abstractNumId w:val="20"/>
  </w:num>
  <w:num w:numId="5">
    <w:abstractNumId w:val="5"/>
  </w:num>
  <w:num w:numId="6">
    <w:abstractNumId w:val="15"/>
  </w:num>
  <w:num w:numId="7">
    <w:abstractNumId w:val="9"/>
  </w:num>
  <w:num w:numId="8">
    <w:abstractNumId w:val="8"/>
  </w:num>
  <w:num w:numId="9">
    <w:abstractNumId w:val="18"/>
  </w:num>
  <w:num w:numId="10">
    <w:abstractNumId w:val="17"/>
  </w:num>
  <w:num w:numId="11">
    <w:abstractNumId w:val="11"/>
  </w:num>
  <w:num w:numId="12">
    <w:abstractNumId w:val="7"/>
  </w:num>
  <w:num w:numId="13">
    <w:abstractNumId w:val="24"/>
  </w:num>
  <w:num w:numId="14">
    <w:abstractNumId w:val="19"/>
  </w:num>
  <w:num w:numId="15">
    <w:abstractNumId w:val="10"/>
  </w:num>
  <w:num w:numId="16">
    <w:abstractNumId w:val="4"/>
  </w:num>
  <w:num w:numId="17">
    <w:abstractNumId w:val="0"/>
  </w:num>
  <w:num w:numId="18">
    <w:abstractNumId w:val="23"/>
  </w:num>
  <w:num w:numId="19">
    <w:abstractNumId w:val="1"/>
  </w:num>
  <w:num w:numId="20">
    <w:abstractNumId w:val="3"/>
  </w:num>
  <w:num w:numId="21">
    <w:abstractNumId w:val="21"/>
  </w:num>
  <w:num w:numId="22">
    <w:abstractNumId w:val="16"/>
  </w:num>
  <w:num w:numId="23">
    <w:abstractNumId w:val="2"/>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NotTrackMoves/>
  <w:doNotTrackFormatting/>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9C"/>
    <w:rsid w:val="00000495"/>
    <w:rsid w:val="00000E72"/>
    <w:rsid w:val="0000161D"/>
    <w:rsid w:val="000021E0"/>
    <w:rsid w:val="000042DB"/>
    <w:rsid w:val="000161FD"/>
    <w:rsid w:val="000168CF"/>
    <w:rsid w:val="00027125"/>
    <w:rsid w:val="0003339E"/>
    <w:rsid w:val="0004246D"/>
    <w:rsid w:val="000431E0"/>
    <w:rsid w:val="000432A2"/>
    <w:rsid w:val="00055C8A"/>
    <w:rsid w:val="0005721C"/>
    <w:rsid w:val="0006246D"/>
    <w:rsid w:val="000635D5"/>
    <w:rsid w:val="00063ED9"/>
    <w:rsid w:val="00065A44"/>
    <w:rsid w:val="0007295E"/>
    <w:rsid w:val="00072FDD"/>
    <w:rsid w:val="00073E72"/>
    <w:rsid w:val="00076FB9"/>
    <w:rsid w:val="0008268A"/>
    <w:rsid w:val="00092189"/>
    <w:rsid w:val="000A4AA2"/>
    <w:rsid w:val="000A5822"/>
    <w:rsid w:val="000B1C21"/>
    <w:rsid w:val="000C0902"/>
    <w:rsid w:val="000C2A15"/>
    <w:rsid w:val="000C3602"/>
    <w:rsid w:val="000C4D16"/>
    <w:rsid w:val="000E0A7C"/>
    <w:rsid w:val="000E23F8"/>
    <w:rsid w:val="000E2A85"/>
    <w:rsid w:val="000E2EB7"/>
    <w:rsid w:val="000E3254"/>
    <w:rsid w:val="000E4C09"/>
    <w:rsid w:val="000E51D3"/>
    <w:rsid w:val="000E6253"/>
    <w:rsid w:val="000E6392"/>
    <w:rsid w:val="000F41AB"/>
    <w:rsid w:val="001013D0"/>
    <w:rsid w:val="00102266"/>
    <w:rsid w:val="001025E3"/>
    <w:rsid w:val="00130F89"/>
    <w:rsid w:val="0015497C"/>
    <w:rsid w:val="00157A73"/>
    <w:rsid w:val="00160894"/>
    <w:rsid w:val="001633B2"/>
    <w:rsid w:val="001747A5"/>
    <w:rsid w:val="00196702"/>
    <w:rsid w:val="001A3082"/>
    <w:rsid w:val="001A6CD9"/>
    <w:rsid w:val="001B0733"/>
    <w:rsid w:val="001B12A4"/>
    <w:rsid w:val="001B208B"/>
    <w:rsid w:val="001B21E7"/>
    <w:rsid w:val="001B2F99"/>
    <w:rsid w:val="001B3B9E"/>
    <w:rsid w:val="001B6907"/>
    <w:rsid w:val="001C0964"/>
    <w:rsid w:val="001C0C0E"/>
    <w:rsid w:val="001D2A1C"/>
    <w:rsid w:val="001D37B8"/>
    <w:rsid w:val="001D3A28"/>
    <w:rsid w:val="001D69C0"/>
    <w:rsid w:val="001D7AF8"/>
    <w:rsid w:val="001E5A9B"/>
    <w:rsid w:val="001E64A0"/>
    <w:rsid w:val="00203644"/>
    <w:rsid w:val="00211158"/>
    <w:rsid w:val="00220521"/>
    <w:rsid w:val="00223504"/>
    <w:rsid w:val="00223BF0"/>
    <w:rsid w:val="00226640"/>
    <w:rsid w:val="00233324"/>
    <w:rsid w:val="00234D03"/>
    <w:rsid w:val="0023766E"/>
    <w:rsid w:val="002400ED"/>
    <w:rsid w:val="00240747"/>
    <w:rsid w:val="00241AD3"/>
    <w:rsid w:val="0024299E"/>
    <w:rsid w:val="00243A9D"/>
    <w:rsid w:val="002444FD"/>
    <w:rsid w:val="00244A80"/>
    <w:rsid w:val="002464C0"/>
    <w:rsid w:val="002508B4"/>
    <w:rsid w:val="002510FC"/>
    <w:rsid w:val="002518C1"/>
    <w:rsid w:val="00252C67"/>
    <w:rsid w:val="00253E85"/>
    <w:rsid w:val="00254AC2"/>
    <w:rsid w:val="00255B3E"/>
    <w:rsid w:val="00261B88"/>
    <w:rsid w:val="00262B91"/>
    <w:rsid w:val="00262D9A"/>
    <w:rsid w:val="0026652B"/>
    <w:rsid w:val="00267E4E"/>
    <w:rsid w:val="00282004"/>
    <w:rsid w:val="00283D08"/>
    <w:rsid w:val="0028625D"/>
    <w:rsid w:val="00291024"/>
    <w:rsid w:val="00293579"/>
    <w:rsid w:val="0029511E"/>
    <w:rsid w:val="00297D13"/>
    <w:rsid w:val="00297D2A"/>
    <w:rsid w:val="002A010C"/>
    <w:rsid w:val="002A062F"/>
    <w:rsid w:val="002A0C1F"/>
    <w:rsid w:val="002A535A"/>
    <w:rsid w:val="002B1EF0"/>
    <w:rsid w:val="002C1DF8"/>
    <w:rsid w:val="002C267F"/>
    <w:rsid w:val="002C34D4"/>
    <w:rsid w:val="002D4863"/>
    <w:rsid w:val="002E37E9"/>
    <w:rsid w:val="002E4018"/>
    <w:rsid w:val="002F3BFA"/>
    <w:rsid w:val="002F3C84"/>
    <w:rsid w:val="002F45AA"/>
    <w:rsid w:val="00300D29"/>
    <w:rsid w:val="00311270"/>
    <w:rsid w:val="003209BE"/>
    <w:rsid w:val="00322D49"/>
    <w:rsid w:val="003313E4"/>
    <w:rsid w:val="003343BA"/>
    <w:rsid w:val="0034194A"/>
    <w:rsid w:val="003427DA"/>
    <w:rsid w:val="00343365"/>
    <w:rsid w:val="00344EE5"/>
    <w:rsid w:val="00345541"/>
    <w:rsid w:val="00351C90"/>
    <w:rsid w:val="0035432F"/>
    <w:rsid w:val="00357051"/>
    <w:rsid w:val="003611E0"/>
    <w:rsid w:val="00363131"/>
    <w:rsid w:val="00364169"/>
    <w:rsid w:val="00367461"/>
    <w:rsid w:val="003715B3"/>
    <w:rsid w:val="003719FA"/>
    <w:rsid w:val="00374340"/>
    <w:rsid w:val="00377615"/>
    <w:rsid w:val="00382790"/>
    <w:rsid w:val="003834F6"/>
    <w:rsid w:val="00385511"/>
    <w:rsid w:val="00387308"/>
    <w:rsid w:val="00391AFB"/>
    <w:rsid w:val="003A023F"/>
    <w:rsid w:val="003A1A33"/>
    <w:rsid w:val="003A5F40"/>
    <w:rsid w:val="003A7EB8"/>
    <w:rsid w:val="003B1FA5"/>
    <w:rsid w:val="003B665D"/>
    <w:rsid w:val="003B6FB1"/>
    <w:rsid w:val="003C06CF"/>
    <w:rsid w:val="003D050A"/>
    <w:rsid w:val="003D09FD"/>
    <w:rsid w:val="003D41D0"/>
    <w:rsid w:val="003D7D88"/>
    <w:rsid w:val="003E08E3"/>
    <w:rsid w:val="003E0CFE"/>
    <w:rsid w:val="003E2BE1"/>
    <w:rsid w:val="003E695F"/>
    <w:rsid w:val="003F06DF"/>
    <w:rsid w:val="003F1263"/>
    <w:rsid w:val="003F39A2"/>
    <w:rsid w:val="003F4BE6"/>
    <w:rsid w:val="003F5A0E"/>
    <w:rsid w:val="003F76A5"/>
    <w:rsid w:val="00404B3B"/>
    <w:rsid w:val="00407845"/>
    <w:rsid w:val="00426015"/>
    <w:rsid w:val="004330DE"/>
    <w:rsid w:val="00434FA7"/>
    <w:rsid w:val="004565B8"/>
    <w:rsid w:val="00467AD8"/>
    <w:rsid w:val="00470991"/>
    <w:rsid w:val="00472234"/>
    <w:rsid w:val="004738F0"/>
    <w:rsid w:val="00474987"/>
    <w:rsid w:val="004766FF"/>
    <w:rsid w:val="00484FF8"/>
    <w:rsid w:val="00486056"/>
    <w:rsid w:val="00487940"/>
    <w:rsid w:val="004924B5"/>
    <w:rsid w:val="004956E6"/>
    <w:rsid w:val="0049689E"/>
    <w:rsid w:val="004A1B35"/>
    <w:rsid w:val="004A2007"/>
    <w:rsid w:val="004A4C23"/>
    <w:rsid w:val="004C6A45"/>
    <w:rsid w:val="004D6750"/>
    <w:rsid w:val="004E0D84"/>
    <w:rsid w:val="004F4322"/>
    <w:rsid w:val="004F622B"/>
    <w:rsid w:val="00506325"/>
    <w:rsid w:val="005069A2"/>
    <w:rsid w:val="00514D79"/>
    <w:rsid w:val="0053254E"/>
    <w:rsid w:val="00546CD9"/>
    <w:rsid w:val="00551764"/>
    <w:rsid w:val="005539CE"/>
    <w:rsid w:val="0055647D"/>
    <w:rsid w:val="00556AB9"/>
    <w:rsid w:val="00560ED4"/>
    <w:rsid w:val="0056752B"/>
    <w:rsid w:val="00567D95"/>
    <w:rsid w:val="00570BA3"/>
    <w:rsid w:val="00570C3E"/>
    <w:rsid w:val="005722F8"/>
    <w:rsid w:val="005725C7"/>
    <w:rsid w:val="00572CC5"/>
    <w:rsid w:val="00573AD3"/>
    <w:rsid w:val="005747CB"/>
    <w:rsid w:val="00576CCC"/>
    <w:rsid w:val="00581B64"/>
    <w:rsid w:val="00587D0B"/>
    <w:rsid w:val="005927F0"/>
    <w:rsid w:val="005940F7"/>
    <w:rsid w:val="00595BD5"/>
    <w:rsid w:val="005C1557"/>
    <w:rsid w:val="005C17BF"/>
    <w:rsid w:val="005C1E4B"/>
    <w:rsid w:val="005D068F"/>
    <w:rsid w:val="005D0D17"/>
    <w:rsid w:val="005E0349"/>
    <w:rsid w:val="005E536D"/>
    <w:rsid w:val="005E55F1"/>
    <w:rsid w:val="00605473"/>
    <w:rsid w:val="006102C0"/>
    <w:rsid w:val="0061274E"/>
    <w:rsid w:val="006138F4"/>
    <w:rsid w:val="00625BF1"/>
    <w:rsid w:val="00642191"/>
    <w:rsid w:val="00643332"/>
    <w:rsid w:val="006476AD"/>
    <w:rsid w:val="0065009F"/>
    <w:rsid w:val="00650E13"/>
    <w:rsid w:val="00651EB4"/>
    <w:rsid w:val="0065478F"/>
    <w:rsid w:val="00661C97"/>
    <w:rsid w:val="00667068"/>
    <w:rsid w:val="006670FA"/>
    <w:rsid w:val="00672C77"/>
    <w:rsid w:val="00673F29"/>
    <w:rsid w:val="006802D1"/>
    <w:rsid w:val="00685BA5"/>
    <w:rsid w:val="006954FD"/>
    <w:rsid w:val="006A6394"/>
    <w:rsid w:val="006B0123"/>
    <w:rsid w:val="006B0A93"/>
    <w:rsid w:val="006B1E21"/>
    <w:rsid w:val="006B20C7"/>
    <w:rsid w:val="006B3460"/>
    <w:rsid w:val="006B554E"/>
    <w:rsid w:val="006C4B4F"/>
    <w:rsid w:val="006E0A41"/>
    <w:rsid w:val="006F0156"/>
    <w:rsid w:val="006F1876"/>
    <w:rsid w:val="006F4667"/>
    <w:rsid w:val="006F6349"/>
    <w:rsid w:val="006F74AE"/>
    <w:rsid w:val="00702FE3"/>
    <w:rsid w:val="00712F07"/>
    <w:rsid w:val="007152B1"/>
    <w:rsid w:val="00717F75"/>
    <w:rsid w:val="00730B4C"/>
    <w:rsid w:val="007314DC"/>
    <w:rsid w:val="007335A9"/>
    <w:rsid w:val="00734E6A"/>
    <w:rsid w:val="00735FF8"/>
    <w:rsid w:val="00741B93"/>
    <w:rsid w:val="0074426B"/>
    <w:rsid w:val="007448A4"/>
    <w:rsid w:val="00760EEE"/>
    <w:rsid w:val="00763312"/>
    <w:rsid w:val="007643FB"/>
    <w:rsid w:val="00765939"/>
    <w:rsid w:val="00767C07"/>
    <w:rsid w:val="0077047C"/>
    <w:rsid w:val="0077241B"/>
    <w:rsid w:val="00776B44"/>
    <w:rsid w:val="00782760"/>
    <w:rsid w:val="0078319E"/>
    <w:rsid w:val="00784F68"/>
    <w:rsid w:val="00792AC2"/>
    <w:rsid w:val="0079450C"/>
    <w:rsid w:val="00794D8A"/>
    <w:rsid w:val="00795963"/>
    <w:rsid w:val="0079633D"/>
    <w:rsid w:val="007A6BFD"/>
    <w:rsid w:val="007A77AB"/>
    <w:rsid w:val="007B3801"/>
    <w:rsid w:val="007B3BC3"/>
    <w:rsid w:val="007C26E8"/>
    <w:rsid w:val="007C3DCF"/>
    <w:rsid w:val="007D07A2"/>
    <w:rsid w:val="007E0E81"/>
    <w:rsid w:val="007E1C4E"/>
    <w:rsid w:val="007E5547"/>
    <w:rsid w:val="007E761D"/>
    <w:rsid w:val="00800373"/>
    <w:rsid w:val="00802E47"/>
    <w:rsid w:val="00803598"/>
    <w:rsid w:val="00812E41"/>
    <w:rsid w:val="00813125"/>
    <w:rsid w:val="00815347"/>
    <w:rsid w:val="0081669C"/>
    <w:rsid w:val="0082204C"/>
    <w:rsid w:val="00824E47"/>
    <w:rsid w:val="00832223"/>
    <w:rsid w:val="008428D5"/>
    <w:rsid w:val="0084324A"/>
    <w:rsid w:val="008451B7"/>
    <w:rsid w:val="0085367C"/>
    <w:rsid w:val="00853CF6"/>
    <w:rsid w:val="00857B09"/>
    <w:rsid w:val="00860D7C"/>
    <w:rsid w:val="008723F3"/>
    <w:rsid w:val="008726CB"/>
    <w:rsid w:val="00875CE2"/>
    <w:rsid w:val="00885EA7"/>
    <w:rsid w:val="008924C4"/>
    <w:rsid w:val="008B02F1"/>
    <w:rsid w:val="008B522C"/>
    <w:rsid w:val="008C2C2D"/>
    <w:rsid w:val="008C592F"/>
    <w:rsid w:val="008D4D12"/>
    <w:rsid w:val="008D6952"/>
    <w:rsid w:val="008D79FD"/>
    <w:rsid w:val="008E4A49"/>
    <w:rsid w:val="008F54E7"/>
    <w:rsid w:val="008F655F"/>
    <w:rsid w:val="00902EF4"/>
    <w:rsid w:val="009033E7"/>
    <w:rsid w:val="00910128"/>
    <w:rsid w:val="00913027"/>
    <w:rsid w:val="00926DA1"/>
    <w:rsid w:val="00931C6C"/>
    <w:rsid w:val="0093435F"/>
    <w:rsid w:val="009369DA"/>
    <w:rsid w:val="009422FE"/>
    <w:rsid w:val="00942ED5"/>
    <w:rsid w:val="009449A5"/>
    <w:rsid w:val="0094519A"/>
    <w:rsid w:val="00952B69"/>
    <w:rsid w:val="009534D6"/>
    <w:rsid w:val="009742D2"/>
    <w:rsid w:val="009759A2"/>
    <w:rsid w:val="00984C7A"/>
    <w:rsid w:val="00984EBB"/>
    <w:rsid w:val="0099101B"/>
    <w:rsid w:val="0099289C"/>
    <w:rsid w:val="009A5CB7"/>
    <w:rsid w:val="009B4736"/>
    <w:rsid w:val="009C3229"/>
    <w:rsid w:val="009C4EAA"/>
    <w:rsid w:val="009C6992"/>
    <w:rsid w:val="009C6F6A"/>
    <w:rsid w:val="009D1BB3"/>
    <w:rsid w:val="009E1E68"/>
    <w:rsid w:val="009E34F7"/>
    <w:rsid w:val="009E6799"/>
    <w:rsid w:val="009E7736"/>
    <w:rsid w:val="009F49DF"/>
    <w:rsid w:val="009F7B54"/>
    <w:rsid w:val="00A10847"/>
    <w:rsid w:val="00A11DE0"/>
    <w:rsid w:val="00A125BD"/>
    <w:rsid w:val="00A12E1D"/>
    <w:rsid w:val="00A137C1"/>
    <w:rsid w:val="00A15EFA"/>
    <w:rsid w:val="00A17317"/>
    <w:rsid w:val="00A211F3"/>
    <w:rsid w:val="00A3163E"/>
    <w:rsid w:val="00A341BF"/>
    <w:rsid w:val="00A45826"/>
    <w:rsid w:val="00A46BAC"/>
    <w:rsid w:val="00A531AD"/>
    <w:rsid w:val="00A55C95"/>
    <w:rsid w:val="00A605CE"/>
    <w:rsid w:val="00A641DD"/>
    <w:rsid w:val="00A649AA"/>
    <w:rsid w:val="00A71CEA"/>
    <w:rsid w:val="00A72A4E"/>
    <w:rsid w:val="00A750E8"/>
    <w:rsid w:val="00A76BFA"/>
    <w:rsid w:val="00A832FE"/>
    <w:rsid w:val="00A905BB"/>
    <w:rsid w:val="00A93E19"/>
    <w:rsid w:val="00A94445"/>
    <w:rsid w:val="00A94B9A"/>
    <w:rsid w:val="00A94E5B"/>
    <w:rsid w:val="00A95AFC"/>
    <w:rsid w:val="00A96613"/>
    <w:rsid w:val="00AA68E9"/>
    <w:rsid w:val="00AB5D76"/>
    <w:rsid w:val="00AB78B1"/>
    <w:rsid w:val="00AC05E5"/>
    <w:rsid w:val="00AE2BA9"/>
    <w:rsid w:val="00AE6DA1"/>
    <w:rsid w:val="00AF0363"/>
    <w:rsid w:val="00AF0D46"/>
    <w:rsid w:val="00AF7121"/>
    <w:rsid w:val="00B05826"/>
    <w:rsid w:val="00B126D1"/>
    <w:rsid w:val="00B22D24"/>
    <w:rsid w:val="00B231E1"/>
    <w:rsid w:val="00B2507A"/>
    <w:rsid w:val="00B30E5B"/>
    <w:rsid w:val="00B42A46"/>
    <w:rsid w:val="00B616EE"/>
    <w:rsid w:val="00B6179C"/>
    <w:rsid w:val="00B705D6"/>
    <w:rsid w:val="00B71116"/>
    <w:rsid w:val="00B77111"/>
    <w:rsid w:val="00B86BA6"/>
    <w:rsid w:val="00B87B3C"/>
    <w:rsid w:val="00B9307A"/>
    <w:rsid w:val="00BA3E0C"/>
    <w:rsid w:val="00BA7C50"/>
    <w:rsid w:val="00BB3149"/>
    <w:rsid w:val="00BB3170"/>
    <w:rsid w:val="00BB62C6"/>
    <w:rsid w:val="00BB7180"/>
    <w:rsid w:val="00BC53C2"/>
    <w:rsid w:val="00BD0653"/>
    <w:rsid w:val="00BD2FBD"/>
    <w:rsid w:val="00BE7D5A"/>
    <w:rsid w:val="00BF0409"/>
    <w:rsid w:val="00BF098A"/>
    <w:rsid w:val="00BF2BDD"/>
    <w:rsid w:val="00BF3217"/>
    <w:rsid w:val="00BF38AA"/>
    <w:rsid w:val="00BF562D"/>
    <w:rsid w:val="00BF5C60"/>
    <w:rsid w:val="00C04475"/>
    <w:rsid w:val="00C072EB"/>
    <w:rsid w:val="00C072F6"/>
    <w:rsid w:val="00C1145E"/>
    <w:rsid w:val="00C13F27"/>
    <w:rsid w:val="00C23E33"/>
    <w:rsid w:val="00C2496B"/>
    <w:rsid w:val="00C37F2B"/>
    <w:rsid w:val="00C44D74"/>
    <w:rsid w:val="00C45848"/>
    <w:rsid w:val="00C478E5"/>
    <w:rsid w:val="00C740F9"/>
    <w:rsid w:val="00C77164"/>
    <w:rsid w:val="00C81E2C"/>
    <w:rsid w:val="00C8270A"/>
    <w:rsid w:val="00C85F80"/>
    <w:rsid w:val="00C86A3F"/>
    <w:rsid w:val="00C9774C"/>
    <w:rsid w:val="00CA0073"/>
    <w:rsid w:val="00CA1595"/>
    <w:rsid w:val="00CA4ED5"/>
    <w:rsid w:val="00CA78B2"/>
    <w:rsid w:val="00CB0104"/>
    <w:rsid w:val="00CB0233"/>
    <w:rsid w:val="00CB160E"/>
    <w:rsid w:val="00CB4820"/>
    <w:rsid w:val="00CB7057"/>
    <w:rsid w:val="00CB7D2E"/>
    <w:rsid w:val="00CC7DA8"/>
    <w:rsid w:val="00CD11BB"/>
    <w:rsid w:val="00CD4AA9"/>
    <w:rsid w:val="00CE0675"/>
    <w:rsid w:val="00CE1A74"/>
    <w:rsid w:val="00CE4699"/>
    <w:rsid w:val="00CE50B7"/>
    <w:rsid w:val="00CE53D8"/>
    <w:rsid w:val="00CE5CA0"/>
    <w:rsid w:val="00CF3379"/>
    <w:rsid w:val="00CF3CFA"/>
    <w:rsid w:val="00CF5389"/>
    <w:rsid w:val="00D024DE"/>
    <w:rsid w:val="00D048B7"/>
    <w:rsid w:val="00D053B0"/>
    <w:rsid w:val="00D073BA"/>
    <w:rsid w:val="00D1205E"/>
    <w:rsid w:val="00D146EA"/>
    <w:rsid w:val="00D27D0C"/>
    <w:rsid w:val="00D30300"/>
    <w:rsid w:val="00D32121"/>
    <w:rsid w:val="00D34AC6"/>
    <w:rsid w:val="00D424A5"/>
    <w:rsid w:val="00D47B64"/>
    <w:rsid w:val="00D51788"/>
    <w:rsid w:val="00D525C5"/>
    <w:rsid w:val="00D6256C"/>
    <w:rsid w:val="00D62E75"/>
    <w:rsid w:val="00D6363C"/>
    <w:rsid w:val="00D66666"/>
    <w:rsid w:val="00D759E7"/>
    <w:rsid w:val="00D81782"/>
    <w:rsid w:val="00D827E4"/>
    <w:rsid w:val="00D85A32"/>
    <w:rsid w:val="00D91868"/>
    <w:rsid w:val="00DA3709"/>
    <w:rsid w:val="00DA7356"/>
    <w:rsid w:val="00DB2E6D"/>
    <w:rsid w:val="00DC5622"/>
    <w:rsid w:val="00DC5CEC"/>
    <w:rsid w:val="00DD68AA"/>
    <w:rsid w:val="00DE5FE1"/>
    <w:rsid w:val="00DF6CA1"/>
    <w:rsid w:val="00E02740"/>
    <w:rsid w:val="00E05B8A"/>
    <w:rsid w:val="00E07295"/>
    <w:rsid w:val="00E108D1"/>
    <w:rsid w:val="00E207C3"/>
    <w:rsid w:val="00E22888"/>
    <w:rsid w:val="00E2516F"/>
    <w:rsid w:val="00E26B8A"/>
    <w:rsid w:val="00E431F0"/>
    <w:rsid w:val="00E500B0"/>
    <w:rsid w:val="00E545F1"/>
    <w:rsid w:val="00E56E11"/>
    <w:rsid w:val="00E6342C"/>
    <w:rsid w:val="00E70B53"/>
    <w:rsid w:val="00E76F40"/>
    <w:rsid w:val="00E7748F"/>
    <w:rsid w:val="00E77DDF"/>
    <w:rsid w:val="00E819A6"/>
    <w:rsid w:val="00E82230"/>
    <w:rsid w:val="00E901A0"/>
    <w:rsid w:val="00E91017"/>
    <w:rsid w:val="00E9386A"/>
    <w:rsid w:val="00E976C4"/>
    <w:rsid w:val="00EA282D"/>
    <w:rsid w:val="00EA5D0D"/>
    <w:rsid w:val="00EA6C28"/>
    <w:rsid w:val="00EB16F4"/>
    <w:rsid w:val="00EB4FA5"/>
    <w:rsid w:val="00EB656B"/>
    <w:rsid w:val="00EB7680"/>
    <w:rsid w:val="00ED2638"/>
    <w:rsid w:val="00ED3DE5"/>
    <w:rsid w:val="00ED4E96"/>
    <w:rsid w:val="00EE68BA"/>
    <w:rsid w:val="00EF1CA0"/>
    <w:rsid w:val="00EF4919"/>
    <w:rsid w:val="00EF67A0"/>
    <w:rsid w:val="00F0235A"/>
    <w:rsid w:val="00F03DCA"/>
    <w:rsid w:val="00F06AE6"/>
    <w:rsid w:val="00F07853"/>
    <w:rsid w:val="00F121C7"/>
    <w:rsid w:val="00F130E2"/>
    <w:rsid w:val="00F130F1"/>
    <w:rsid w:val="00F1719B"/>
    <w:rsid w:val="00F20198"/>
    <w:rsid w:val="00F22592"/>
    <w:rsid w:val="00F26F8F"/>
    <w:rsid w:val="00F41703"/>
    <w:rsid w:val="00F427B6"/>
    <w:rsid w:val="00F45C39"/>
    <w:rsid w:val="00F53059"/>
    <w:rsid w:val="00F6232C"/>
    <w:rsid w:val="00F62FE3"/>
    <w:rsid w:val="00F6756C"/>
    <w:rsid w:val="00F70E4A"/>
    <w:rsid w:val="00F844BE"/>
    <w:rsid w:val="00F91750"/>
    <w:rsid w:val="00F97ED8"/>
    <w:rsid w:val="00FA699B"/>
    <w:rsid w:val="00FA7889"/>
    <w:rsid w:val="00FB12DA"/>
    <w:rsid w:val="00FB3A50"/>
    <w:rsid w:val="00FB543E"/>
    <w:rsid w:val="00FC778F"/>
    <w:rsid w:val="00FE48E4"/>
    <w:rsid w:val="00FF35C5"/>
    <w:rsid w:val="00FF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B3149"/>
    <w:pPr>
      <w:jc w:val="center"/>
      <w:outlineLvl w:val="0"/>
    </w:pPr>
    <w:rPr>
      <w:rFonts w:ascii="Arial" w:hAnsi="Arial" w:cs="Arial"/>
      <w:b/>
    </w:rPr>
  </w:style>
  <w:style w:type="paragraph" w:styleId="Heading2">
    <w:name w:val="heading 2"/>
    <w:basedOn w:val="Normal"/>
    <w:next w:val="Normal"/>
    <w:link w:val="Heading2Char"/>
    <w:uiPriority w:val="9"/>
    <w:unhideWhenUsed/>
    <w:qFormat/>
    <w:rsid w:val="00BE7D5A"/>
    <w:pPr>
      <w:jc w:val="center"/>
      <w:outlineLvl w:val="1"/>
    </w:pPr>
    <w:rPr>
      <w:rFonts w:ascii="Arial" w:hAnsi="Arial" w:cs="Arial"/>
      <w:b/>
    </w:rPr>
  </w:style>
  <w:style w:type="paragraph" w:styleId="Heading3">
    <w:name w:val="heading 3"/>
    <w:basedOn w:val="ListParagraph"/>
    <w:next w:val="Normal"/>
    <w:link w:val="Heading3Char"/>
    <w:uiPriority w:val="9"/>
    <w:unhideWhenUsed/>
    <w:qFormat/>
    <w:rsid w:val="00BE7D5A"/>
    <w:pPr>
      <w:tabs>
        <w:tab w:val="left" w:pos="720"/>
      </w:tabs>
      <w:spacing w:line="480" w:lineRule="auto"/>
      <w:ind w:left="0"/>
      <w:outlineLvl w:val="2"/>
    </w:pPr>
    <w:rPr>
      <w:rFonts w:ascii="Arial" w:hAnsi="Arial" w:cs="Arial"/>
      <w:b/>
    </w:rPr>
  </w:style>
  <w:style w:type="paragraph" w:styleId="Heading4">
    <w:name w:val="heading 4"/>
    <w:basedOn w:val="Normal"/>
    <w:next w:val="Normal"/>
    <w:link w:val="Heading4Char"/>
    <w:uiPriority w:val="9"/>
    <w:unhideWhenUsed/>
    <w:qFormat/>
    <w:rsid w:val="00BE7D5A"/>
    <w:pPr>
      <w:ind w:left="720" w:hanging="720"/>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customStyle="1" w:styleId="Default">
    <w:name w:val="Default"/>
    <w:rsid w:val="002E37E9"/>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3A1A33"/>
    <w:rPr>
      <w:sz w:val="16"/>
      <w:szCs w:val="16"/>
    </w:rPr>
  </w:style>
  <w:style w:type="paragraph" w:styleId="CommentText">
    <w:name w:val="annotation text"/>
    <w:basedOn w:val="Normal"/>
    <w:link w:val="CommentTextChar"/>
    <w:uiPriority w:val="99"/>
    <w:semiHidden/>
    <w:unhideWhenUsed/>
    <w:rsid w:val="003A1A33"/>
    <w:rPr>
      <w:sz w:val="20"/>
      <w:szCs w:val="20"/>
    </w:rPr>
  </w:style>
  <w:style w:type="character" w:customStyle="1" w:styleId="CommentTextChar">
    <w:name w:val="Comment Text Char"/>
    <w:basedOn w:val="DefaultParagraphFont"/>
    <w:link w:val="CommentText"/>
    <w:uiPriority w:val="99"/>
    <w:semiHidden/>
    <w:rsid w:val="003A1A3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A1A33"/>
    <w:rPr>
      <w:b/>
      <w:bCs/>
    </w:rPr>
  </w:style>
  <w:style w:type="character" w:customStyle="1" w:styleId="CommentSubjectChar">
    <w:name w:val="Comment Subject Char"/>
    <w:basedOn w:val="CommentTextChar"/>
    <w:link w:val="CommentSubject"/>
    <w:uiPriority w:val="99"/>
    <w:semiHidden/>
    <w:rsid w:val="003A1A33"/>
    <w:rPr>
      <w:rFonts w:ascii="Times New Roman" w:hAnsi="Times New Roman"/>
      <w:b/>
      <w:bCs/>
    </w:rPr>
  </w:style>
  <w:style w:type="paragraph" w:styleId="Revision">
    <w:name w:val="Revision"/>
    <w:hidden/>
    <w:uiPriority w:val="99"/>
    <w:semiHidden/>
    <w:rsid w:val="006C4B4F"/>
    <w:rPr>
      <w:rFonts w:ascii="Times New Roman" w:hAnsi="Times New Roman"/>
      <w:sz w:val="24"/>
      <w:szCs w:val="22"/>
    </w:rPr>
  </w:style>
  <w:style w:type="character" w:customStyle="1" w:styleId="Heading1Char">
    <w:name w:val="Heading 1 Char"/>
    <w:basedOn w:val="DefaultParagraphFont"/>
    <w:link w:val="Heading1"/>
    <w:uiPriority w:val="9"/>
    <w:rsid w:val="00BB3149"/>
    <w:rPr>
      <w:rFonts w:ascii="Arial" w:hAnsi="Arial" w:cs="Arial"/>
      <w:b/>
      <w:sz w:val="24"/>
      <w:szCs w:val="22"/>
    </w:rPr>
  </w:style>
  <w:style w:type="character" w:customStyle="1" w:styleId="Heading2Char">
    <w:name w:val="Heading 2 Char"/>
    <w:basedOn w:val="DefaultParagraphFont"/>
    <w:link w:val="Heading2"/>
    <w:uiPriority w:val="9"/>
    <w:rsid w:val="00BE7D5A"/>
    <w:rPr>
      <w:rFonts w:ascii="Arial" w:hAnsi="Arial" w:cs="Arial"/>
      <w:b/>
      <w:sz w:val="24"/>
      <w:szCs w:val="22"/>
    </w:rPr>
  </w:style>
  <w:style w:type="character" w:customStyle="1" w:styleId="Heading3Char">
    <w:name w:val="Heading 3 Char"/>
    <w:basedOn w:val="DefaultParagraphFont"/>
    <w:link w:val="Heading3"/>
    <w:uiPriority w:val="9"/>
    <w:rsid w:val="00BE7D5A"/>
    <w:rPr>
      <w:rFonts w:ascii="Arial" w:hAnsi="Arial" w:cs="Arial"/>
      <w:b/>
      <w:sz w:val="24"/>
      <w:szCs w:val="22"/>
    </w:rPr>
  </w:style>
  <w:style w:type="character" w:customStyle="1" w:styleId="Heading4Char">
    <w:name w:val="Heading 4 Char"/>
    <w:basedOn w:val="DefaultParagraphFont"/>
    <w:link w:val="Heading4"/>
    <w:uiPriority w:val="9"/>
    <w:rsid w:val="00BE7D5A"/>
    <w:rPr>
      <w:rFonts w:ascii="Arial"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B3149"/>
    <w:pPr>
      <w:jc w:val="center"/>
      <w:outlineLvl w:val="0"/>
    </w:pPr>
    <w:rPr>
      <w:rFonts w:ascii="Arial" w:hAnsi="Arial" w:cs="Arial"/>
      <w:b/>
    </w:rPr>
  </w:style>
  <w:style w:type="paragraph" w:styleId="Heading2">
    <w:name w:val="heading 2"/>
    <w:basedOn w:val="Normal"/>
    <w:next w:val="Normal"/>
    <w:link w:val="Heading2Char"/>
    <w:uiPriority w:val="9"/>
    <w:unhideWhenUsed/>
    <w:qFormat/>
    <w:rsid w:val="00BE7D5A"/>
    <w:pPr>
      <w:jc w:val="center"/>
      <w:outlineLvl w:val="1"/>
    </w:pPr>
    <w:rPr>
      <w:rFonts w:ascii="Arial" w:hAnsi="Arial" w:cs="Arial"/>
      <w:b/>
    </w:rPr>
  </w:style>
  <w:style w:type="paragraph" w:styleId="Heading3">
    <w:name w:val="heading 3"/>
    <w:basedOn w:val="ListParagraph"/>
    <w:next w:val="Normal"/>
    <w:link w:val="Heading3Char"/>
    <w:uiPriority w:val="9"/>
    <w:unhideWhenUsed/>
    <w:qFormat/>
    <w:rsid w:val="00BE7D5A"/>
    <w:pPr>
      <w:tabs>
        <w:tab w:val="left" w:pos="720"/>
      </w:tabs>
      <w:spacing w:line="480" w:lineRule="auto"/>
      <w:ind w:left="0"/>
      <w:outlineLvl w:val="2"/>
    </w:pPr>
    <w:rPr>
      <w:rFonts w:ascii="Arial" w:hAnsi="Arial" w:cs="Arial"/>
      <w:b/>
    </w:rPr>
  </w:style>
  <w:style w:type="paragraph" w:styleId="Heading4">
    <w:name w:val="heading 4"/>
    <w:basedOn w:val="Normal"/>
    <w:next w:val="Normal"/>
    <w:link w:val="Heading4Char"/>
    <w:uiPriority w:val="9"/>
    <w:unhideWhenUsed/>
    <w:qFormat/>
    <w:rsid w:val="00BE7D5A"/>
    <w:pPr>
      <w:ind w:left="720" w:hanging="720"/>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customStyle="1" w:styleId="Default">
    <w:name w:val="Default"/>
    <w:rsid w:val="002E37E9"/>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3A1A33"/>
    <w:rPr>
      <w:sz w:val="16"/>
      <w:szCs w:val="16"/>
    </w:rPr>
  </w:style>
  <w:style w:type="paragraph" w:styleId="CommentText">
    <w:name w:val="annotation text"/>
    <w:basedOn w:val="Normal"/>
    <w:link w:val="CommentTextChar"/>
    <w:uiPriority w:val="99"/>
    <w:semiHidden/>
    <w:unhideWhenUsed/>
    <w:rsid w:val="003A1A33"/>
    <w:rPr>
      <w:sz w:val="20"/>
      <w:szCs w:val="20"/>
    </w:rPr>
  </w:style>
  <w:style w:type="character" w:customStyle="1" w:styleId="CommentTextChar">
    <w:name w:val="Comment Text Char"/>
    <w:basedOn w:val="DefaultParagraphFont"/>
    <w:link w:val="CommentText"/>
    <w:uiPriority w:val="99"/>
    <w:semiHidden/>
    <w:rsid w:val="003A1A3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A1A33"/>
    <w:rPr>
      <w:b/>
      <w:bCs/>
    </w:rPr>
  </w:style>
  <w:style w:type="character" w:customStyle="1" w:styleId="CommentSubjectChar">
    <w:name w:val="Comment Subject Char"/>
    <w:basedOn w:val="CommentTextChar"/>
    <w:link w:val="CommentSubject"/>
    <w:uiPriority w:val="99"/>
    <w:semiHidden/>
    <w:rsid w:val="003A1A33"/>
    <w:rPr>
      <w:rFonts w:ascii="Times New Roman" w:hAnsi="Times New Roman"/>
      <w:b/>
      <w:bCs/>
    </w:rPr>
  </w:style>
  <w:style w:type="paragraph" w:styleId="Revision">
    <w:name w:val="Revision"/>
    <w:hidden/>
    <w:uiPriority w:val="99"/>
    <w:semiHidden/>
    <w:rsid w:val="006C4B4F"/>
    <w:rPr>
      <w:rFonts w:ascii="Times New Roman" w:hAnsi="Times New Roman"/>
      <w:sz w:val="24"/>
      <w:szCs w:val="22"/>
    </w:rPr>
  </w:style>
  <w:style w:type="character" w:customStyle="1" w:styleId="Heading1Char">
    <w:name w:val="Heading 1 Char"/>
    <w:basedOn w:val="DefaultParagraphFont"/>
    <w:link w:val="Heading1"/>
    <w:uiPriority w:val="9"/>
    <w:rsid w:val="00BB3149"/>
    <w:rPr>
      <w:rFonts w:ascii="Arial" w:hAnsi="Arial" w:cs="Arial"/>
      <w:b/>
      <w:sz w:val="24"/>
      <w:szCs w:val="22"/>
    </w:rPr>
  </w:style>
  <w:style w:type="character" w:customStyle="1" w:styleId="Heading2Char">
    <w:name w:val="Heading 2 Char"/>
    <w:basedOn w:val="DefaultParagraphFont"/>
    <w:link w:val="Heading2"/>
    <w:uiPriority w:val="9"/>
    <w:rsid w:val="00BE7D5A"/>
    <w:rPr>
      <w:rFonts w:ascii="Arial" w:hAnsi="Arial" w:cs="Arial"/>
      <w:b/>
      <w:sz w:val="24"/>
      <w:szCs w:val="22"/>
    </w:rPr>
  </w:style>
  <w:style w:type="character" w:customStyle="1" w:styleId="Heading3Char">
    <w:name w:val="Heading 3 Char"/>
    <w:basedOn w:val="DefaultParagraphFont"/>
    <w:link w:val="Heading3"/>
    <w:uiPriority w:val="9"/>
    <w:rsid w:val="00BE7D5A"/>
    <w:rPr>
      <w:rFonts w:ascii="Arial" w:hAnsi="Arial" w:cs="Arial"/>
      <w:b/>
      <w:sz w:val="24"/>
      <w:szCs w:val="22"/>
    </w:rPr>
  </w:style>
  <w:style w:type="character" w:customStyle="1" w:styleId="Heading4Char">
    <w:name w:val="Heading 4 Char"/>
    <w:basedOn w:val="DefaultParagraphFont"/>
    <w:link w:val="Heading4"/>
    <w:uiPriority w:val="9"/>
    <w:rsid w:val="00BE7D5A"/>
    <w:rPr>
      <w:rFonts w:ascii="Arial"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2508">
      <w:bodyDiv w:val="1"/>
      <w:marLeft w:val="0"/>
      <w:marRight w:val="0"/>
      <w:marTop w:val="0"/>
      <w:marBottom w:val="0"/>
      <w:divBdr>
        <w:top w:val="none" w:sz="0" w:space="0" w:color="auto"/>
        <w:left w:val="none" w:sz="0" w:space="0" w:color="auto"/>
        <w:bottom w:val="none" w:sz="0" w:space="0" w:color="auto"/>
        <w:right w:val="none" w:sz="0" w:space="0" w:color="auto"/>
      </w:divBdr>
    </w:div>
    <w:div w:id="1263731677">
      <w:bodyDiv w:val="1"/>
      <w:marLeft w:val="0"/>
      <w:marRight w:val="0"/>
      <w:marTop w:val="0"/>
      <w:marBottom w:val="0"/>
      <w:divBdr>
        <w:top w:val="none" w:sz="0" w:space="0" w:color="auto"/>
        <w:left w:val="none" w:sz="0" w:space="0" w:color="auto"/>
        <w:bottom w:val="none" w:sz="0" w:space="0" w:color="auto"/>
        <w:right w:val="none" w:sz="0" w:space="0" w:color="auto"/>
      </w:divBdr>
    </w:div>
    <w:div w:id="16118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97AD-2A8C-4970-BA9D-F2A2DDF4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12</TotalTime>
  <Pages>16</Pages>
  <Words>4598</Words>
  <Characters>24962</Characters>
  <Application>Microsoft Office Word</Application>
  <DocSecurity>0</DocSecurity>
  <Lines>406</Lines>
  <Paragraphs>78</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 Opinion</dc:title>
  <dc:creator>Dina Goldman</dc:creator>
  <cp:lastModifiedBy>James Evans</cp:lastModifiedBy>
  <cp:revision>6</cp:revision>
  <cp:lastPrinted>2016-12-07T23:43:00Z</cp:lastPrinted>
  <dcterms:created xsi:type="dcterms:W3CDTF">2017-03-24T23:17:00Z</dcterms:created>
  <dcterms:modified xsi:type="dcterms:W3CDTF">2017-03-27T17:46:00Z</dcterms:modified>
</cp:coreProperties>
</file>