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8FF" w:rsidRDefault="003D38FF" w:rsidP="00891DC1">
      <w:pPr>
        <w:pStyle w:val="Heading1"/>
      </w:pPr>
      <w:r>
        <w:t>PUBLIC MATTER – NOT DESIGNATED FOR PUBLICATION</w:t>
      </w:r>
    </w:p>
    <w:p w:rsidR="003D38FF" w:rsidRDefault="003D38FF">
      <w:pPr>
        <w:spacing w:line="235" w:lineRule="exact"/>
        <w:rPr>
          <w:b/>
          <w:bCs/>
        </w:rPr>
      </w:pPr>
    </w:p>
    <w:p w:rsidR="003D38FF" w:rsidRDefault="003D38FF">
      <w:pPr>
        <w:spacing w:line="235" w:lineRule="exact"/>
        <w:rPr>
          <w:b/>
          <w:bCs/>
        </w:rPr>
      </w:pPr>
    </w:p>
    <w:p w:rsidR="003D38FF" w:rsidRDefault="003D38FF">
      <w:pPr>
        <w:spacing w:line="235" w:lineRule="exact"/>
        <w:rPr>
          <w:b/>
          <w:bCs/>
        </w:rPr>
      </w:pPr>
    </w:p>
    <w:p w:rsidR="003D38FF" w:rsidRDefault="003D38FF">
      <w:pPr>
        <w:spacing w:line="235" w:lineRule="exact"/>
        <w:rPr>
          <w:b/>
          <w:bCs/>
        </w:rPr>
      </w:pPr>
      <w:r>
        <w:rPr>
          <w:b/>
          <w:bCs/>
        </w:rPr>
        <w:tab/>
      </w:r>
      <w:r>
        <w:rPr>
          <w:b/>
          <w:bCs/>
        </w:rPr>
        <w:tab/>
      </w:r>
      <w:r>
        <w:rPr>
          <w:b/>
          <w:bCs/>
        </w:rPr>
        <w:tab/>
      </w:r>
      <w:r>
        <w:rPr>
          <w:b/>
          <w:bCs/>
        </w:rPr>
        <w:tab/>
      </w:r>
      <w:r>
        <w:rPr>
          <w:b/>
          <w:bCs/>
        </w:rPr>
        <w:tab/>
      </w:r>
      <w:r>
        <w:rPr>
          <w:b/>
          <w:bCs/>
        </w:rPr>
        <w:tab/>
      </w:r>
      <w:r w:rsidR="00561663">
        <w:rPr>
          <w:b/>
          <w:bCs/>
        </w:rPr>
        <w:t xml:space="preserve">        Filed February 7, 2011</w:t>
      </w:r>
    </w:p>
    <w:p w:rsidR="003D38FF" w:rsidRDefault="003D38FF">
      <w:pPr>
        <w:spacing w:line="235" w:lineRule="exact"/>
        <w:rPr>
          <w:b/>
          <w:bCs/>
        </w:rPr>
      </w:pPr>
    </w:p>
    <w:p w:rsidR="003D38FF" w:rsidRDefault="003D38FF">
      <w:pPr>
        <w:spacing w:line="235" w:lineRule="exact"/>
        <w:rPr>
          <w:b/>
          <w:bCs/>
        </w:rPr>
      </w:pPr>
    </w:p>
    <w:p w:rsidR="003D38FF" w:rsidRDefault="003D38FF">
      <w:pPr>
        <w:spacing w:line="235" w:lineRule="exact"/>
        <w:rPr>
          <w:b/>
          <w:bCs/>
        </w:rPr>
      </w:pPr>
    </w:p>
    <w:p w:rsidR="003D38FF" w:rsidRDefault="003D38FF">
      <w:pPr>
        <w:spacing w:line="235" w:lineRule="exact"/>
        <w:jc w:val="center"/>
        <w:rPr>
          <w:b/>
          <w:bCs/>
          <w:sz w:val="26"/>
          <w:szCs w:val="26"/>
        </w:rPr>
      </w:pPr>
      <w:r>
        <w:rPr>
          <w:b/>
          <w:bCs/>
          <w:sz w:val="26"/>
          <w:szCs w:val="26"/>
        </w:rPr>
        <w:t>REVIEW DEPARTMENT OF THE STATE BAR COURT</w:t>
      </w:r>
    </w:p>
    <w:p w:rsidR="003D38FF" w:rsidRDefault="003D38FF">
      <w:pPr>
        <w:spacing w:line="235" w:lineRule="exact"/>
        <w:jc w:val="center"/>
        <w:rPr>
          <w:b/>
          <w:bCs/>
          <w:sz w:val="26"/>
          <w:szCs w:val="26"/>
        </w:rPr>
      </w:pPr>
    </w:p>
    <w:p w:rsidR="003D38FF" w:rsidRDefault="003D38FF">
      <w:pPr>
        <w:spacing w:line="62" w:lineRule="exact"/>
        <w:rPr>
          <w:sz w:val="26"/>
          <w:szCs w:val="26"/>
        </w:rPr>
      </w:pPr>
    </w:p>
    <w:p w:rsidR="003D38FF" w:rsidRDefault="003D38FF">
      <w:pPr>
        <w:spacing w:line="235" w:lineRule="exact"/>
        <w:rPr>
          <w:sz w:val="26"/>
          <w:szCs w:val="26"/>
        </w:rPr>
      </w:pPr>
    </w:p>
    <w:tbl>
      <w:tblPr>
        <w:tblW w:w="9628" w:type="dxa"/>
        <w:tblInd w:w="2" w:type="dxa"/>
        <w:tblLayout w:type="fixed"/>
        <w:tblCellMar>
          <w:left w:w="0" w:type="dxa"/>
          <w:right w:w="0" w:type="dxa"/>
        </w:tblCellMar>
        <w:tblLook w:val="0000"/>
      </w:tblPr>
      <w:tblGrid>
        <w:gridCol w:w="4320"/>
        <w:gridCol w:w="988"/>
        <w:gridCol w:w="4320"/>
      </w:tblGrid>
      <w:tr w:rsidR="003D38FF" w:rsidTr="002E62E8">
        <w:trPr>
          <w:cantSplit/>
          <w:trHeight w:val="535"/>
        </w:trPr>
        <w:tc>
          <w:tcPr>
            <w:tcW w:w="4320" w:type="dxa"/>
            <w:vMerge w:val="restart"/>
            <w:tcBorders>
              <w:top w:val="nil"/>
              <w:left w:val="nil"/>
              <w:bottom w:val="single" w:sz="6" w:space="0" w:color="000000"/>
              <w:right w:val="nil"/>
            </w:tcBorders>
          </w:tcPr>
          <w:p w:rsidR="003D38FF" w:rsidRDefault="003D38FF">
            <w:pPr>
              <w:spacing w:before="30" w:line="235" w:lineRule="exact"/>
              <w:rPr>
                <w:sz w:val="26"/>
                <w:szCs w:val="26"/>
              </w:rPr>
            </w:pPr>
            <w:r>
              <w:rPr>
                <w:sz w:val="26"/>
                <w:szCs w:val="26"/>
              </w:rPr>
              <w:t>In the Matter of</w:t>
            </w:r>
          </w:p>
          <w:p w:rsidR="003D38FF" w:rsidRDefault="003D38FF">
            <w:pPr>
              <w:spacing w:line="235" w:lineRule="exact"/>
              <w:rPr>
                <w:sz w:val="26"/>
                <w:szCs w:val="26"/>
              </w:rPr>
            </w:pPr>
          </w:p>
          <w:p w:rsidR="003D38FF" w:rsidRDefault="00727477">
            <w:pPr>
              <w:spacing w:line="235" w:lineRule="exact"/>
              <w:rPr>
                <w:b/>
                <w:bCs/>
                <w:sz w:val="26"/>
                <w:szCs w:val="26"/>
              </w:rPr>
            </w:pPr>
            <w:bookmarkStart w:id="0" w:name="respondent"/>
            <w:bookmarkEnd w:id="0"/>
            <w:r>
              <w:rPr>
                <w:b/>
                <w:bCs/>
                <w:sz w:val="26"/>
                <w:szCs w:val="26"/>
              </w:rPr>
              <w:t>CYRUS JOHN NOWNEJAD</w:t>
            </w:r>
          </w:p>
          <w:p w:rsidR="003D38FF" w:rsidRDefault="003D38FF">
            <w:pPr>
              <w:spacing w:line="235" w:lineRule="exact"/>
              <w:rPr>
                <w:sz w:val="26"/>
                <w:szCs w:val="26"/>
              </w:rPr>
            </w:pPr>
          </w:p>
          <w:p w:rsidR="006C1CC4" w:rsidRDefault="006C1CC4" w:rsidP="006C1CC4">
            <w:r>
              <w:t>Member No. 207769</w:t>
            </w:r>
          </w:p>
          <w:p w:rsidR="006C1CC4" w:rsidRDefault="006C1CC4">
            <w:pPr>
              <w:spacing w:line="235" w:lineRule="exact"/>
              <w:rPr>
                <w:sz w:val="26"/>
                <w:szCs w:val="26"/>
              </w:rPr>
            </w:pPr>
          </w:p>
          <w:p w:rsidR="003D38FF" w:rsidRDefault="0012694F">
            <w:pPr>
              <w:spacing w:line="235" w:lineRule="exact"/>
              <w:rPr>
                <w:sz w:val="26"/>
                <w:szCs w:val="26"/>
              </w:rPr>
            </w:pPr>
            <w:r>
              <w:rPr>
                <w:sz w:val="26"/>
                <w:szCs w:val="26"/>
              </w:rPr>
              <w:t>A Member of the State Bar</w:t>
            </w:r>
            <w:r w:rsidR="003D38FF">
              <w:rPr>
                <w:sz w:val="26"/>
                <w:szCs w:val="26"/>
              </w:rPr>
              <w:t>.</w:t>
            </w:r>
          </w:p>
          <w:p w:rsidR="003D38FF" w:rsidRDefault="003D38FF">
            <w:pPr>
              <w:spacing w:line="235" w:lineRule="exact"/>
              <w:rPr>
                <w:sz w:val="26"/>
                <w:szCs w:val="26"/>
              </w:rPr>
            </w:pPr>
          </w:p>
        </w:tc>
        <w:tc>
          <w:tcPr>
            <w:tcW w:w="988" w:type="dxa"/>
            <w:vMerge w:val="restart"/>
            <w:tcBorders>
              <w:top w:val="nil"/>
              <w:left w:val="nil"/>
              <w:bottom w:val="nil"/>
              <w:right w:val="nil"/>
            </w:tcBorders>
          </w:tcPr>
          <w:p w:rsidR="003D38FF" w:rsidRDefault="003D38FF">
            <w:pPr>
              <w:spacing w:before="30" w:line="235" w:lineRule="exact"/>
              <w:rPr>
                <w:sz w:val="26"/>
                <w:szCs w:val="26"/>
              </w:rPr>
            </w:pPr>
            <w:r>
              <w:rPr>
                <w:sz w:val="26"/>
                <w:szCs w:val="26"/>
              </w:rPr>
              <w:t>)</w:t>
            </w:r>
          </w:p>
          <w:p w:rsidR="003D38FF" w:rsidRDefault="003D38FF">
            <w:pPr>
              <w:spacing w:line="235" w:lineRule="exact"/>
              <w:rPr>
                <w:sz w:val="26"/>
                <w:szCs w:val="26"/>
              </w:rPr>
            </w:pPr>
            <w:r>
              <w:rPr>
                <w:sz w:val="26"/>
                <w:szCs w:val="26"/>
              </w:rPr>
              <w:t>)</w:t>
            </w:r>
          </w:p>
          <w:p w:rsidR="003D38FF" w:rsidRDefault="003D38FF">
            <w:pPr>
              <w:spacing w:line="235" w:lineRule="exact"/>
              <w:rPr>
                <w:sz w:val="26"/>
                <w:szCs w:val="26"/>
              </w:rPr>
            </w:pPr>
            <w:r>
              <w:rPr>
                <w:sz w:val="26"/>
                <w:szCs w:val="26"/>
              </w:rPr>
              <w:t>)</w:t>
            </w:r>
          </w:p>
          <w:p w:rsidR="003D38FF" w:rsidRDefault="003D38FF">
            <w:pPr>
              <w:spacing w:line="235" w:lineRule="exact"/>
              <w:rPr>
                <w:sz w:val="26"/>
                <w:szCs w:val="26"/>
              </w:rPr>
            </w:pPr>
            <w:r>
              <w:rPr>
                <w:sz w:val="26"/>
                <w:szCs w:val="26"/>
              </w:rPr>
              <w:t>)</w:t>
            </w:r>
          </w:p>
          <w:p w:rsidR="003D38FF" w:rsidRDefault="003D38FF">
            <w:pPr>
              <w:spacing w:line="235" w:lineRule="exact"/>
              <w:rPr>
                <w:sz w:val="26"/>
                <w:szCs w:val="26"/>
              </w:rPr>
            </w:pPr>
            <w:r>
              <w:rPr>
                <w:sz w:val="26"/>
                <w:szCs w:val="26"/>
              </w:rPr>
              <w:t>)</w:t>
            </w:r>
          </w:p>
          <w:p w:rsidR="003D38FF" w:rsidRDefault="003D38FF">
            <w:pPr>
              <w:spacing w:line="235" w:lineRule="exact"/>
              <w:rPr>
                <w:sz w:val="26"/>
                <w:szCs w:val="26"/>
              </w:rPr>
            </w:pPr>
            <w:r>
              <w:rPr>
                <w:sz w:val="26"/>
                <w:szCs w:val="26"/>
              </w:rPr>
              <w:t>)</w:t>
            </w:r>
          </w:p>
          <w:p w:rsidR="0012694F" w:rsidRDefault="0012694F">
            <w:pPr>
              <w:spacing w:line="235" w:lineRule="exact"/>
              <w:rPr>
                <w:sz w:val="26"/>
                <w:szCs w:val="26"/>
              </w:rPr>
            </w:pPr>
            <w:r>
              <w:rPr>
                <w:sz w:val="26"/>
                <w:szCs w:val="26"/>
              </w:rPr>
              <w:t>)</w:t>
            </w:r>
          </w:p>
          <w:p w:rsidR="0012694F" w:rsidRDefault="0012694F">
            <w:pPr>
              <w:spacing w:line="235" w:lineRule="exact"/>
              <w:rPr>
                <w:sz w:val="26"/>
                <w:szCs w:val="26"/>
              </w:rPr>
            </w:pPr>
            <w:r>
              <w:rPr>
                <w:sz w:val="26"/>
                <w:szCs w:val="26"/>
              </w:rPr>
              <w:t>)</w:t>
            </w:r>
          </w:p>
        </w:tc>
        <w:tc>
          <w:tcPr>
            <w:tcW w:w="4320" w:type="dxa"/>
            <w:tcBorders>
              <w:top w:val="nil"/>
              <w:left w:val="nil"/>
              <w:bottom w:val="nil"/>
              <w:right w:val="nil"/>
            </w:tcBorders>
          </w:tcPr>
          <w:p w:rsidR="002E62E8" w:rsidRDefault="003D38FF" w:rsidP="00965A45">
            <w:pPr>
              <w:spacing w:before="30" w:line="235" w:lineRule="exact"/>
              <w:rPr>
                <w:b/>
                <w:bCs/>
                <w:sz w:val="26"/>
                <w:szCs w:val="26"/>
              </w:rPr>
            </w:pPr>
            <w:bookmarkStart w:id="1" w:name="caseno"/>
            <w:bookmarkEnd w:id="1"/>
            <w:r>
              <w:rPr>
                <w:b/>
                <w:bCs/>
                <w:sz w:val="26"/>
                <w:szCs w:val="26"/>
              </w:rPr>
              <w:t>0</w:t>
            </w:r>
            <w:r w:rsidR="00965A45">
              <w:rPr>
                <w:b/>
                <w:bCs/>
                <w:sz w:val="26"/>
                <w:szCs w:val="26"/>
              </w:rPr>
              <w:t>5</w:t>
            </w:r>
            <w:r>
              <w:rPr>
                <w:b/>
                <w:bCs/>
                <w:sz w:val="26"/>
                <w:szCs w:val="26"/>
              </w:rPr>
              <w:t>-</w:t>
            </w:r>
            <w:r w:rsidR="00BC0D84">
              <w:rPr>
                <w:b/>
                <w:bCs/>
                <w:sz w:val="26"/>
                <w:szCs w:val="26"/>
              </w:rPr>
              <w:t>O</w:t>
            </w:r>
            <w:r>
              <w:rPr>
                <w:b/>
                <w:bCs/>
                <w:sz w:val="26"/>
                <w:szCs w:val="26"/>
              </w:rPr>
              <w:t>-</w:t>
            </w:r>
            <w:r w:rsidR="00965A45">
              <w:rPr>
                <w:b/>
                <w:bCs/>
                <w:sz w:val="26"/>
                <w:szCs w:val="26"/>
              </w:rPr>
              <w:t>04376,</w:t>
            </w:r>
            <w:r w:rsidR="00BC0D84">
              <w:rPr>
                <w:b/>
                <w:bCs/>
                <w:sz w:val="26"/>
                <w:szCs w:val="26"/>
              </w:rPr>
              <w:t xml:space="preserve"> 0</w:t>
            </w:r>
            <w:r w:rsidR="00965A45">
              <w:rPr>
                <w:b/>
                <w:bCs/>
                <w:sz w:val="26"/>
                <w:szCs w:val="26"/>
              </w:rPr>
              <w:t xml:space="preserve">5-O-04519, </w:t>
            </w:r>
          </w:p>
          <w:p w:rsidR="003D38FF" w:rsidRDefault="00965A45" w:rsidP="00965A45">
            <w:pPr>
              <w:spacing w:before="30" w:line="235" w:lineRule="exact"/>
              <w:rPr>
                <w:b/>
                <w:bCs/>
                <w:sz w:val="26"/>
                <w:szCs w:val="26"/>
              </w:rPr>
            </w:pPr>
            <w:r>
              <w:rPr>
                <w:b/>
                <w:bCs/>
                <w:sz w:val="26"/>
                <w:szCs w:val="26"/>
              </w:rPr>
              <w:t>06-O-14309</w:t>
            </w:r>
          </w:p>
          <w:p w:rsidR="002E62E8" w:rsidRDefault="002E62E8" w:rsidP="00965A45">
            <w:pPr>
              <w:spacing w:before="30" w:line="235" w:lineRule="exact"/>
              <w:rPr>
                <w:b/>
                <w:bCs/>
                <w:sz w:val="26"/>
                <w:szCs w:val="26"/>
              </w:rPr>
            </w:pPr>
          </w:p>
        </w:tc>
      </w:tr>
      <w:tr w:rsidR="003D38FF" w:rsidTr="002E62E8">
        <w:trPr>
          <w:cantSplit/>
          <w:trHeight w:val="543"/>
        </w:trPr>
        <w:tc>
          <w:tcPr>
            <w:tcW w:w="4320" w:type="dxa"/>
            <w:vMerge/>
            <w:tcBorders>
              <w:top w:val="nil"/>
              <w:left w:val="nil"/>
              <w:bottom w:val="single" w:sz="6" w:space="0" w:color="000000"/>
              <w:right w:val="nil"/>
            </w:tcBorders>
          </w:tcPr>
          <w:p w:rsidR="003D38FF" w:rsidRDefault="003D38FF">
            <w:pPr>
              <w:spacing w:before="30" w:line="235" w:lineRule="exact"/>
              <w:rPr>
                <w:sz w:val="26"/>
                <w:szCs w:val="26"/>
              </w:rPr>
            </w:pPr>
          </w:p>
        </w:tc>
        <w:tc>
          <w:tcPr>
            <w:tcW w:w="988" w:type="dxa"/>
            <w:vMerge/>
            <w:tcBorders>
              <w:top w:val="nil"/>
              <w:left w:val="nil"/>
              <w:bottom w:val="nil"/>
              <w:right w:val="nil"/>
            </w:tcBorders>
          </w:tcPr>
          <w:p w:rsidR="003D38FF" w:rsidRDefault="003D38FF">
            <w:pPr>
              <w:spacing w:before="30" w:line="235" w:lineRule="exact"/>
              <w:rPr>
                <w:sz w:val="26"/>
                <w:szCs w:val="26"/>
              </w:rPr>
            </w:pPr>
          </w:p>
        </w:tc>
        <w:tc>
          <w:tcPr>
            <w:tcW w:w="4320" w:type="dxa"/>
            <w:tcBorders>
              <w:top w:val="nil"/>
              <w:left w:val="nil"/>
              <w:bottom w:val="nil"/>
              <w:right w:val="nil"/>
            </w:tcBorders>
          </w:tcPr>
          <w:p w:rsidR="005F493B" w:rsidRDefault="005F493B">
            <w:pPr>
              <w:pStyle w:val="Heading1"/>
              <w:rPr>
                <w:sz w:val="26"/>
                <w:szCs w:val="26"/>
              </w:rPr>
            </w:pPr>
            <w:r>
              <w:rPr>
                <w:sz w:val="26"/>
                <w:szCs w:val="26"/>
              </w:rPr>
              <w:t xml:space="preserve">OPINION </w:t>
            </w:r>
          </w:p>
          <w:p w:rsidR="003D38FF" w:rsidRDefault="003D38FF" w:rsidP="0012694F">
            <w:pPr>
              <w:pStyle w:val="Heading1"/>
              <w:rPr>
                <w:sz w:val="26"/>
                <w:szCs w:val="26"/>
              </w:rPr>
            </w:pPr>
          </w:p>
        </w:tc>
      </w:tr>
    </w:tbl>
    <w:p w:rsidR="003D38FF" w:rsidRDefault="003D38FF">
      <w:bookmarkStart w:id="2" w:name="start"/>
      <w:bookmarkEnd w:id="2"/>
    </w:p>
    <w:p w:rsidR="0063762B" w:rsidRDefault="0063762B" w:rsidP="0063762B">
      <w:pPr>
        <w:pStyle w:val="ListParagraph"/>
        <w:ind w:left="1080"/>
      </w:pPr>
    </w:p>
    <w:p w:rsidR="003D38FF" w:rsidRDefault="0063762B" w:rsidP="0063762B">
      <w:pPr>
        <w:pStyle w:val="ListParagraph"/>
        <w:ind w:left="0"/>
        <w:jc w:val="center"/>
        <w:rPr>
          <w:b/>
          <w:bCs/>
        </w:rPr>
      </w:pPr>
      <w:r>
        <w:rPr>
          <w:b/>
        </w:rPr>
        <w:t xml:space="preserve">I.  </w:t>
      </w:r>
      <w:r w:rsidR="003D38FF">
        <w:rPr>
          <w:b/>
          <w:bCs/>
        </w:rPr>
        <w:t>STATEMENT OF THE CASE</w:t>
      </w:r>
    </w:p>
    <w:p w:rsidR="003D38FF" w:rsidRDefault="003D38FF">
      <w:pPr>
        <w:pStyle w:val="ListParagraph"/>
        <w:ind w:left="360"/>
        <w:rPr>
          <w:b/>
          <w:bCs/>
        </w:rPr>
      </w:pPr>
    </w:p>
    <w:p w:rsidR="00544D0B" w:rsidRDefault="00B66249" w:rsidP="00BA2B85">
      <w:pPr>
        <w:spacing w:line="480" w:lineRule="auto"/>
        <w:ind w:firstLine="720"/>
      </w:pPr>
      <w:r>
        <w:t>The hearing judge found</w:t>
      </w:r>
      <w:r w:rsidR="00C23183">
        <w:t xml:space="preserve"> </w:t>
      </w:r>
      <w:r w:rsidR="00916B2F">
        <w:t>Cyrus John Nownejad</w:t>
      </w:r>
      <w:r w:rsidR="003E3AC0">
        <w:t xml:space="preserve"> </w:t>
      </w:r>
      <w:r>
        <w:t xml:space="preserve">culpable of </w:t>
      </w:r>
      <w:r w:rsidR="00604B4C">
        <w:t>committing seven</w:t>
      </w:r>
      <w:r w:rsidR="00C23183">
        <w:t xml:space="preserve"> ethical violations </w:t>
      </w:r>
      <w:r w:rsidR="003C7D8F">
        <w:t xml:space="preserve">in three client </w:t>
      </w:r>
      <w:r w:rsidR="00C23183">
        <w:t>matters</w:t>
      </w:r>
      <w:r w:rsidR="008E65C5">
        <w:t xml:space="preserve"> </w:t>
      </w:r>
      <w:r w:rsidR="0030326B">
        <w:t xml:space="preserve">from 2003 to 2006.  </w:t>
      </w:r>
      <w:r>
        <w:t xml:space="preserve">This misconduct, which began three years </w:t>
      </w:r>
      <w:proofErr w:type="gramStart"/>
      <w:r>
        <w:t>after</w:t>
      </w:r>
      <w:proofErr w:type="gramEnd"/>
      <w:r>
        <w:t xml:space="preserve"> Nownejad was admitted to practice law in 2000, include</w:t>
      </w:r>
      <w:r w:rsidR="005822A1">
        <w:t>s</w:t>
      </w:r>
      <w:r w:rsidR="00C23183">
        <w:t xml:space="preserve"> disobeying two court orders, charging an unconscionable fee, </w:t>
      </w:r>
      <w:r w:rsidR="00875474">
        <w:t xml:space="preserve">committing </w:t>
      </w:r>
      <w:r w:rsidR="00604B4C">
        <w:t xml:space="preserve">an act of moral turpitude, </w:t>
      </w:r>
      <w:r w:rsidR="00C23183">
        <w:t>performing incompetently and failing to communicate with clients.</w:t>
      </w:r>
      <w:r w:rsidR="00916B2F">
        <w:t xml:space="preserve">  </w:t>
      </w:r>
      <w:r>
        <w:t xml:space="preserve">According to the </w:t>
      </w:r>
      <w:r w:rsidR="00E275B5">
        <w:t>hearing judge</w:t>
      </w:r>
      <w:r>
        <w:t xml:space="preserve">, </w:t>
      </w:r>
      <w:r w:rsidR="0080104C">
        <w:t>these</w:t>
      </w:r>
      <w:r>
        <w:t xml:space="preserve"> actions were </w:t>
      </w:r>
      <w:r w:rsidR="00C561DD">
        <w:t xml:space="preserve">mostly </w:t>
      </w:r>
      <w:r w:rsidR="005D06A2">
        <w:t xml:space="preserve">intentional and </w:t>
      </w:r>
      <w:r w:rsidR="00A630B4">
        <w:t>showed a “profound</w:t>
      </w:r>
      <w:r w:rsidR="00604B4C">
        <w:t xml:space="preserve"> lack of respec</w:t>
      </w:r>
      <w:r w:rsidR="00291104">
        <w:t xml:space="preserve">t for the courts.”  </w:t>
      </w:r>
      <w:r w:rsidR="0030326B">
        <w:t xml:space="preserve">At trial, </w:t>
      </w:r>
      <w:r>
        <w:t>Nownejad</w:t>
      </w:r>
      <w:r w:rsidR="005D06A2">
        <w:t xml:space="preserve"> blamed others for his wrongdoing</w:t>
      </w:r>
      <w:r w:rsidR="00604B4C">
        <w:t>, did not express</w:t>
      </w:r>
      <w:r w:rsidR="005D06A2">
        <w:t xml:space="preserve"> remorse, and </w:t>
      </w:r>
      <w:r w:rsidR="00457774">
        <w:t>testified falsely</w:t>
      </w:r>
      <w:r w:rsidR="005D06A2">
        <w:t xml:space="preserve">.  </w:t>
      </w:r>
      <w:r w:rsidR="00291104">
        <w:t xml:space="preserve">The </w:t>
      </w:r>
      <w:r w:rsidR="005D06A2">
        <w:t xml:space="preserve">hearing judge </w:t>
      </w:r>
      <w:r w:rsidR="00E275B5">
        <w:t xml:space="preserve">recommended </w:t>
      </w:r>
      <w:r w:rsidR="00604B4C">
        <w:t>three years</w:t>
      </w:r>
      <w:r>
        <w:t>’ probation and two years actual suspension</w:t>
      </w:r>
      <w:r w:rsidR="00916B2F">
        <w:t xml:space="preserve"> and until </w:t>
      </w:r>
      <w:r>
        <w:t>Nownejad</w:t>
      </w:r>
      <w:r w:rsidR="00916B2F">
        <w:t xml:space="preserve"> </w:t>
      </w:r>
      <w:r w:rsidR="003C7D8F">
        <w:t>establishes his rehabilitation, fitness to practice and learning in the law according to</w:t>
      </w:r>
      <w:r>
        <w:t xml:space="preserve"> </w:t>
      </w:r>
      <w:r w:rsidR="003C7D8F">
        <w:t>standard</w:t>
      </w:r>
      <w:r w:rsidR="00916B2F">
        <w:t xml:space="preserve"> 1.4(c)(ii)</w:t>
      </w:r>
      <w:r w:rsidR="003C7D8F">
        <w:t>.</w:t>
      </w:r>
      <w:r w:rsidR="003C7D8F">
        <w:rPr>
          <w:rStyle w:val="FootnoteReference"/>
        </w:rPr>
        <w:footnoteReference w:id="1"/>
      </w:r>
      <w:r w:rsidR="00763B30">
        <w:t xml:space="preserve">  </w:t>
      </w:r>
    </w:p>
    <w:p w:rsidR="00BA2B85" w:rsidRDefault="00D377A7" w:rsidP="00BA2B85">
      <w:pPr>
        <w:spacing w:line="480" w:lineRule="auto"/>
        <w:ind w:firstLine="720"/>
      </w:pPr>
      <w:r>
        <w:t xml:space="preserve">Nownejad </w:t>
      </w:r>
      <w:r w:rsidR="003C7D8F">
        <w:t>seeks</w:t>
      </w:r>
      <w:r w:rsidR="002777EA">
        <w:t xml:space="preserve"> review</w:t>
      </w:r>
      <w:r w:rsidR="004F6014">
        <w:t>,</w:t>
      </w:r>
      <w:r w:rsidR="004970DF">
        <w:t xml:space="preserve"> urging us to reverse the hearing judge’s decision</w:t>
      </w:r>
      <w:r w:rsidR="004F6014">
        <w:t xml:space="preserve">.  He </w:t>
      </w:r>
      <w:r w:rsidR="004970DF">
        <w:t>claim</w:t>
      </w:r>
      <w:r w:rsidR="004F6014">
        <w:t>s</w:t>
      </w:r>
      <w:r w:rsidR="004970DF">
        <w:t xml:space="preserve"> the State Bar failed to prove the charges against him.  If we find culpability, he requests no more </w:t>
      </w:r>
      <w:r w:rsidR="004970DF">
        <w:lastRenderedPageBreak/>
        <w:t xml:space="preserve">than a six-month actual suspension.  In response, the Office of the Chief Trial Counsel </w:t>
      </w:r>
      <w:r w:rsidR="004F6014">
        <w:t>for</w:t>
      </w:r>
      <w:r w:rsidR="004970DF">
        <w:t xml:space="preserve"> the State Bar (State Bar) supports the hearing judge’s decision.  </w:t>
      </w:r>
      <w:r w:rsidR="002777EA">
        <w:t xml:space="preserve"> </w:t>
      </w:r>
    </w:p>
    <w:p w:rsidR="001F43A0" w:rsidRDefault="0063762B" w:rsidP="002E62E8">
      <w:pPr>
        <w:spacing w:line="480" w:lineRule="auto"/>
        <w:jc w:val="center"/>
        <w:rPr>
          <w:b/>
        </w:rPr>
      </w:pPr>
      <w:r>
        <w:rPr>
          <w:b/>
        </w:rPr>
        <w:t>II</w:t>
      </w:r>
      <w:proofErr w:type="gramStart"/>
      <w:r w:rsidR="00C32F05">
        <w:rPr>
          <w:b/>
        </w:rPr>
        <w:t>.</w:t>
      </w:r>
      <w:r w:rsidR="002E62E8">
        <w:rPr>
          <w:b/>
        </w:rPr>
        <w:t xml:space="preserve"> </w:t>
      </w:r>
      <w:r w:rsidR="00C32F05">
        <w:rPr>
          <w:b/>
        </w:rPr>
        <w:t xml:space="preserve"> </w:t>
      </w:r>
      <w:r w:rsidR="003D38FF" w:rsidRPr="0063762B">
        <w:rPr>
          <w:b/>
        </w:rPr>
        <w:t>ISSUES</w:t>
      </w:r>
      <w:proofErr w:type="gramEnd"/>
      <w:r w:rsidR="004F6014">
        <w:rPr>
          <w:b/>
        </w:rPr>
        <w:t xml:space="preserve"> ON REVIEW</w:t>
      </w:r>
    </w:p>
    <w:p w:rsidR="003D38FF" w:rsidRDefault="004F6014">
      <w:pPr>
        <w:spacing w:line="480" w:lineRule="auto"/>
        <w:ind w:firstLine="720"/>
      </w:pPr>
      <w:r>
        <w:t xml:space="preserve">After </w:t>
      </w:r>
      <w:r w:rsidR="00C561DD">
        <w:t xml:space="preserve">independently reviewing </w:t>
      </w:r>
      <w:r>
        <w:t>the record</w:t>
      </w:r>
      <w:r w:rsidR="00C561DD">
        <w:t xml:space="preserve"> (Cal. Rules of Court, rule 9.12)</w:t>
      </w:r>
      <w:r>
        <w:t xml:space="preserve"> and the parties’ briefs on review, the primary</w:t>
      </w:r>
      <w:r w:rsidR="003D38FF">
        <w:t xml:space="preserve"> issues before us are: </w:t>
      </w:r>
    </w:p>
    <w:p w:rsidR="003D38FF" w:rsidRDefault="00763B30" w:rsidP="0045318D">
      <w:pPr>
        <w:numPr>
          <w:ilvl w:val="0"/>
          <w:numId w:val="17"/>
        </w:numPr>
        <w:spacing w:line="480" w:lineRule="auto"/>
        <w:ind w:left="1080" w:hanging="360"/>
      </w:pPr>
      <w:r>
        <w:t>Did</w:t>
      </w:r>
      <w:r w:rsidR="003A63B9">
        <w:t xml:space="preserve"> </w:t>
      </w:r>
      <w:r w:rsidR="00B11D45">
        <w:t xml:space="preserve">the State Bar clearly and convincingly prove </w:t>
      </w:r>
      <w:r w:rsidR="0080104C">
        <w:t xml:space="preserve">the </w:t>
      </w:r>
      <w:r w:rsidR="00AE07C8">
        <w:t xml:space="preserve">seven </w:t>
      </w:r>
      <w:r w:rsidR="00B11D45">
        <w:t>charged ethical violations</w:t>
      </w:r>
      <w:r>
        <w:t>?</w:t>
      </w:r>
    </w:p>
    <w:p w:rsidR="00E96F23" w:rsidRDefault="0030326B" w:rsidP="00E96F23">
      <w:pPr>
        <w:numPr>
          <w:ilvl w:val="0"/>
          <w:numId w:val="17"/>
        </w:numPr>
        <w:spacing w:line="480" w:lineRule="auto"/>
        <w:ind w:left="1080" w:hanging="360"/>
      </w:pPr>
      <w:r>
        <w:t xml:space="preserve">If </w:t>
      </w:r>
      <w:r w:rsidR="00810F6C">
        <w:t xml:space="preserve">Nownejad is </w:t>
      </w:r>
      <w:r>
        <w:t xml:space="preserve">culpable, </w:t>
      </w:r>
      <w:r w:rsidR="00B66249">
        <w:t xml:space="preserve">is </w:t>
      </w:r>
      <w:r w:rsidR="00810F6C">
        <w:t xml:space="preserve">a </w:t>
      </w:r>
      <w:r w:rsidR="003C7D8F">
        <w:t xml:space="preserve">two-year </w:t>
      </w:r>
      <w:r w:rsidR="00B11D45">
        <w:t>actual suspension</w:t>
      </w:r>
      <w:r w:rsidR="004970DF">
        <w:t>,</w:t>
      </w:r>
      <w:r w:rsidR="00B11D45">
        <w:t xml:space="preserve"> subject to </w:t>
      </w:r>
      <w:r w:rsidR="004970DF">
        <w:t xml:space="preserve">a               </w:t>
      </w:r>
      <w:r w:rsidR="00B11D45">
        <w:t>standard 1.4(c</w:t>
      </w:r>
      <w:proofErr w:type="gramStart"/>
      <w:r w:rsidR="00B11D45">
        <w:t>)(</w:t>
      </w:r>
      <w:proofErr w:type="gramEnd"/>
      <w:r w:rsidR="00B11D45">
        <w:t>ii)</w:t>
      </w:r>
      <w:r w:rsidR="00875474">
        <w:t xml:space="preserve"> hearing</w:t>
      </w:r>
      <w:r w:rsidR="004970DF">
        <w:t>,</w:t>
      </w:r>
      <w:r>
        <w:t xml:space="preserve"> </w:t>
      </w:r>
      <w:r w:rsidR="00B66249">
        <w:t>the appropriate discip</w:t>
      </w:r>
      <w:r w:rsidR="004970DF">
        <w:t>l</w:t>
      </w:r>
      <w:r w:rsidR="00B66249">
        <w:t>ine</w:t>
      </w:r>
      <w:r w:rsidR="00763B30">
        <w:t>?</w:t>
      </w:r>
      <w:r w:rsidR="00E96F23">
        <w:t xml:space="preserve"> </w:t>
      </w:r>
    </w:p>
    <w:p w:rsidR="003D38FF" w:rsidRPr="00E96F23" w:rsidRDefault="00E96F23" w:rsidP="002E62E8">
      <w:pPr>
        <w:spacing w:line="480" w:lineRule="auto"/>
        <w:jc w:val="center"/>
      </w:pPr>
      <w:r>
        <w:rPr>
          <w:b/>
        </w:rPr>
        <w:t>III</w:t>
      </w:r>
      <w:proofErr w:type="gramStart"/>
      <w:r>
        <w:rPr>
          <w:b/>
        </w:rPr>
        <w:t>.  S</w:t>
      </w:r>
      <w:r w:rsidR="003D38FF" w:rsidRPr="00E96F23">
        <w:rPr>
          <w:b/>
        </w:rPr>
        <w:t>UMMARY</w:t>
      </w:r>
      <w:proofErr w:type="gramEnd"/>
      <w:r w:rsidR="003D38FF" w:rsidRPr="00E96F23">
        <w:rPr>
          <w:b/>
        </w:rPr>
        <w:t xml:space="preserve"> OF DECISION</w:t>
      </w:r>
      <w:r w:rsidR="00AE07C8">
        <w:rPr>
          <w:rStyle w:val="FootnoteReference"/>
        </w:rPr>
        <w:footnoteReference w:id="2"/>
      </w:r>
    </w:p>
    <w:p w:rsidR="003C7D8F" w:rsidRDefault="001B13D8" w:rsidP="003C7D8F">
      <w:pPr>
        <w:spacing w:line="480" w:lineRule="auto"/>
        <w:ind w:firstLine="720"/>
      </w:pPr>
      <w:r>
        <w:t>Nownejad</w:t>
      </w:r>
      <w:r w:rsidR="004150C5">
        <w:t xml:space="preserve"> is culpable </w:t>
      </w:r>
      <w:r w:rsidR="004970DF">
        <w:t>o</w:t>
      </w:r>
      <w:r w:rsidR="004150C5">
        <w:t xml:space="preserve">f </w:t>
      </w:r>
      <w:r w:rsidR="00810F6C">
        <w:t xml:space="preserve">six of the seven </w:t>
      </w:r>
      <w:r w:rsidR="00B66249">
        <w:t>charged violations</w:t>
      </w:r>
      <w:r w:rsidR="00A96B4C">
        <w:t xml:space="preserve">.  </w:t>
      </w:r>
      <w:r w:rsidR="0030326B">
        <w:t xml:space="preserve">Given </w:t>
      </w:r>
      <w:r w:rsidR="006B25E6">
        <w:t>his</w:t>
      </w:r>
      <w:r w:rsidR="00C23183">
        <w:t xml:space="preserve"> </w:t>
      </w:r>
      <w:r w:rsidR="0030326B">
        <w:t xml:space="preserve">serious </w:t>
      </w:r>
      <w:r w:rsidR="00C23183">
        <w:t>misconduct</w:t>
      </w:r>
      <w:r w:rsidR="00890DA8">
        <w:t xml:space="preserve"> </w:t>
      </w:r>
      <w:r w:rsidR="00810F6C">
        <w:t xml:space="preserve">over three years </w:t>
      </w:r>
      <w:r w:rsidR="00890DA8">
        <w:t xml:space="preserve">and </w:t>
      </w:r>
      <w:r w:rsidR="00AE07C8">
        <w:t xml:space="preserve">his </w:t>
      </w:r>
      <w:r w:rsidR="0030326B">
        <w:t xml:space="preserve">dishonest testimony, </w:t>
      </w:r>
      <w:r w:rsidR="00B66249">
        <w:t xml:space="preserve">we agree with </w:t>
      </w:r>
      <w:r w:rsidR="0030326B">
        <w:t xml:space="preserve">the </w:t>
      </w:r>
      <w:r w:rsidR="00875474">
        <w:t xml:space="preserve">hearing judge’s </w:t>
      </w:r>
      <w:r w:rsidR="0030326B">
        <w:t>recommendation</w:t>
      </w:r>
      <w:r w:rsidR="004970DF">
        <w:t xml:space="preserve">, but </w:t>
      </w:r>
      <w:r w:rsidR="00F725FB">
        <w:t xml:space="preserve">further </w:t>
      </w:r>
      <w:r w:rsidR="00C16FB8">
        <w:t xml:space="preserve">recommend that Nownejad </w:t>
      </w:r>
      <w:r w:rsidR="00C561DD">
        <w:t>pay</w:t>
      </w:r>
      <w:r w:rsidR="00C16FB8">
        <w:t xml:space="preserve"> restitution</w:t>
      </w:r>
      <w:r w:rsidR="00AE07C8">
        <w:t>.</w:t>
      </w:r>
    </w:p>
    <w:p w:rsidR="00B66249" w:rsidRDefault="00D23B93" w:rsidP="00B66249">
      <w:pPr>
        <w:spacing w:line="480" w:lineRule="auto"/>
        <w:jc w:val="center"/>
        <w:rPr>
          <w:b/>
        </w:rPr>
      </w:pPr>
      <w:r>
        <w:rPr>
          <w:b/>
        </w:rPr>
        <w:t>I</w:t>
      </w:r>
      <w:r w:rsidR="009D230D" w:rsidRPr="009D230D">
        <w:rPr>
          <w:b/>
        </w:rPr>
        <w:t>V</w:t>
      </w:r>
      <w:proofErr w:type="gramStart"/>
      <w:r w:rsidR="009D230D" w:rsidRPr="009D230D">
        <w:rPr>
          <w:b/>
        </w:rPr>
        <w:t xml:space="preserve">.  </w:t>
      </w:r>
      <w:r w:rsidR="00A14086" w:rsidRPr="009D230D">
        <w:rPr>
          <w:b/>
        </w:rPr>
        <w:t>CASE</w:t>
      </w:r>
      <w:proofErr w:type="gramEnd"/>
      <w:r w:rsidR="00A14086" w:rsidRPr="009D230D">
        <w:rPr>
          <w:b/>
        </w:rPr>
        <w:t xml:space="preserve"> NUMBER 0</w:t>
      </w:r>
      <w:r w:rsidR="00A14086">
        <w:rPr>
          <w:b/>
        </w:rPr>
        <w:t>5-O-04376</w:t>
      </w:r>
      <w:r w:rsidR="00A14086" w:rsidRPr="009D230D">
        <w:rPr>
          <w:b/>
        </w:rPr>
        <w:t xml:space="preserve"> (</w:t>
      </w:r>
      <w:r w:rsidR="00A14086">
        <w:rPr>
          <w:b/>
        </w:rPr>
        <w:t>BOEVING MATTER</w:t>
      </w:r>
      <w:r w:rsidR="00A14086" w:rsidRPr="009D230D">
        <w:rPr>
          <w:b/>
        </w:rPr>
        <w:t>)</w:t>
      </w:r>
    </w:p>
    <w:p w:rsidR="00B66249" w:rsidRDefault="00B66249" w:rsidP="00B66249">
      <w:pPr>
        <w:pStyle w:val="ListParagraph"/>
        <w:numPr>
          <w:ilvl w:val="0"/>
          <w:numId w:val="28"/>
        </w:numPr>
        <w:spacing w:line="480" w:lineRule="auto"/>
      </w:pPr>
      <w:r>
        <w:rPr>
          <w:b/>
        </w:rPr>
        <w:t xml:space="preserve"> </w:t>
      </w:r>
      <w:r w:rsidR="002E62E8" w:rsidRPr="00B66249">
        <w:rPr>
          <w:b/>
        </w:rPr>
        <w:t>FINDINGS OF FACT</w:t>
      </w:r>
      <w:r>
        <w:t xml:space="preserve"> </w:t>
      </w:r>
    </w:p>
    <w:p w:rsidR="00465FAC" w:rsidRPr="00B66249" w:rsidRDefault="00B66249" w:rsidP="00B66249">
      <w:pPr>
        <w:spacing w:line="480" w:lineRule="auto"/>
      </w:pPr>
      <w:r>
        <w:tab/>
      </w:r>
      <w:r w:rsidR="0091251C">
        <w:t>Beginning in October 2004, Nownejad represented Christian B</w:t>
      </w:r>
      <w:r w:rsidR="005C54C6">
        <w:t>oeving</w:t>
      </w:r>
      <w:r w:rsidR="004150C5">
        <w:t>, the plaintiff</w:t>
      </w:r>
      <w:r>
        <w:t xml:space="preserve"> in a </w:t>
      </w:r>
      <w:r w:rsidR="003C7D8F">
        <w:t xml:space="preserve">civil </w:t>
      </w:r>
      <w:r w:rsidR="005C54C6">
        <w:t>matter</w:t>
      </w:r>
      <w:r w:rsidR="0091251C">
        <w:t xml:space="preserve">.  </w:t>
      </w:r>
      <w:r w:rsidR="0030326B">
        <w:t xml:space="preserve">The </w:t>
      </w:r>
      <w:r w:rsidR="00AE07C8">
        <w:t>superior court</w:t>
      </w:r>
      <w:r w:rsidR="004150C5">
        <w:t xml:space="preserve"> </w:t>
      </w:r>
      <w:r w:rsidR="0091251C">
        <w:t xml:space="preserve">scheduled </w:t>
      </w:r>
      <w:r w:rsidR="004150C5">
        <w:t>an</w:t>
      </w:r>
      <w:r w:rsidR="0091251C">
        <w:t xml:space="preserve"> initial status conference for January 11</w:t>
      </w:r>
      <w:r w:rsidR="00FC2E9A">
        <w:t>, 2005</w:t>
      </w:r>
      <w:r w:rsidR="0091251C">
        <w:t>.</w:t>
      </w:r>
      <w:r w:rsidR="00665C50">
        <w:t xml:space="preserve">  Nownejad </w:t>
      </w:r>
      <w:r w:rsidR="0091251C">
        <w:t>filed a status conference statement</w:t>
      </w:r>
      <w:r w:rsidR="004B3DC6">
        <w:t>,</w:t>
      </w:r>
      <w:r w:rsidR="0091251C">
        <w:t xml:space="preserve"> </w:t>
      </w:r>
      <w:r w:rsidR="00665C50">
        <w:t>but did not serve the defendant and failed to attend</w:t>
      </w:r>
      <w:r w:rsidR="0091251C">
        <w:t xml:space="preserve"> the </w:t>
      </w:r>
      <w:r w:rsidR="004150C5">
        <w:t>hearing</w:t>
      </w:r>
      <w:r w:rsidR="00B7406E">
        <w:t xml:space="preserve">.  </w:t>
      </w:r>
      <w:r w:rsidR="00875474">
        <w:t>The judge</w:t>
      </w:r>
      <w:r w:rsidR="00B7406E">
        <w:t xml:space="preserve"> </w:t>
      </w:r>
      <w:r w:rsidR="0091251C">
        <w:t>schedule</w:t>
      </w:r>
      <w:r w:rsidR="00B7406E">
        <w:t>d</w:t>
      </w:r>
      <w:r w:rsidR="0091251C">
        <w:t xml:space="preserve"> </w:t>
      </w:r>
      <w:r w:rsidR="004150C5">
        <w:t>another</w:t>
      </w:r>
      <w:r w:rsidR="00B7406E">
        <w:t xml:space="preserve"> status conference for A</w:t>
      </w:r>
      <w:r w:rsidR="0091251C">
        <w:t>pril 13, 2005</w:t>
      </w:r>
      <w:r w:rsidR="00B7406E">
        <w:t>,</w:t>
      </w:r>
      <w:r w:rsidR="004150C5">
        <w:t xml:space="preserve"> along with an Order to Show Cause </w:t>
      </w:r>
      <w:r w:rsidR="00457774">
        <w:t xml:space="preserve">(OSC) </w:t>
      </w:r>
      <w:r w:rsidR="004150C5">
        <w:t xml:space="preserve">as to why </w:t>
      </w:r>
      <w:r w:rsidR="00B7406E">
        <w:t>Nownejad</w:t>
      </w:r>
      <w:r w:rsidR="0091251C">
        <w:t xml:space="preserve"> should not be sanctioned</w:t>
      </w:r>
      <w:r w:rsidR="004150C5">
        <w:t xml:space="preserve"> for </w:t>
      </w:r>
      <w:r w:rsidR="006B25E6">
        <w:t xml:space="preserve">his </w:t>
      </w:r>
      <w:r w:rsidR="004150C5">
        <w:t>fail</w:t>
      </w:r>
      <w:r w:rsidR="006B25E6">
        <w:t>ure</w:t>
      </w:r>
      <w:r w:rsidR="004150C5">
        <w:t xml:space="preserve"> to appear </w:t>
      </w:r>
      <w:r w:rsidR="006B25E6">
        <w:t xml:space="preserve">on </w:t>
      </w:r>
      <w:r w:rsidR="004150C5">
        <w:t>January 11</w:t>
      </w:r>
      <w:r w:rsidR="00FC2E9A" w:rsidRPr="00B66249">
        <w:rPr>
          <w:vertAlign w:val="superscript"/>
        </w:rPr>
        <w:t>th</w:t>
      </w:r>
      <w:r w:rsidR="004150C5">
        <w:t>.</w:t>
      </w:r>
      <w:r w:rsidR="00B7406E">
        <w:t xml:space="preserve">  Nownejad</w:t>
      </w:r>
      <w:r w:rsidR="004150C5">
        <w:t xml:space="preserve"> </w:t>
      </w:r>
      <w:r>
        <w:t>attended</w:t>
      </w:r>
      <w:r w:rsidR="004150C5">
        <w:t xml:space="preserve"> the April 13</w:t>
      </w:r>
      <w:r w:rsidR="00875474" w:rsidRPr="00B66249">
        <w:rPr>
          <w:vertAlign w:val="superscript"/>
        </w:rPr>
        <w:t>th</w:t>
      </w:r>
      <w:r w:rsidR="00875474">
        <w:t xml:space="preserve"> </w:t>
      </w:r>
      <w:r w:rsidR="00B7406E">
        <w:t>hearing</w:t>
      </w:r>
      <w:r w:rsidR="006B25E6">
        <w:t xml:space="preserve">, and was </w:t>
      </w:r>
      <w:r w:rsidR="00B7406E">
        <w:t xml:space="preserve">ordered to pay $450 </w:t>
      </w:r>
      <w:r w:rsidR="00B7406E">
        <w:lastRenderedPageBreak/>
        <w:t>in sanctions no later than May 19, 2005</w:t>
      </w:r>
      <w:r w:rsidR="00457774">
        <w:t>, and to f</w:t>
      </w:r>
      <w:r w:rsidR="00D87BB1">
        <w:t>ile a declaration that he</w:t>
      </w:r>
      <w:r w:rsidR="00875474">
        <w:t xml:space="preserve"> had</w:t>
      </w:r>
      <w:r w:rsidR="00D87BB1">
        <w:t xml:space="preserve"> complied with the sanctions order</w:t>
      </w:r>
      <w:r w:rsidR="00B7406E">
        <w:t xml:space="preserve">.  </w:t>
      </w:r>
      <w:r w:rsidR="00AF16DD">
        <w:t xml:space="preserve">Nownejad </w:t>
      </w:r>
      <w:r w:rsidR="006B25E6">
        <w:t xml:space="preserve">did </w:t>
      </w:r>
      <w:r w:rsidR="00875474">
        <w:t>neither</w:t>
      </w:r>
      <w:r w:rsidR="000F2D15">
        <w:t xml:space="preserve">.  </w:t>
      </w:r>
    </w:p>
    <w:p w:rsidR="003D38FF" w:rsidRDefault="000F2D15" w:rsidP="00465FAC">
      <w:pPr>
        <w:pStyle w:val="Heading4"/>
      </w:pPr>
      <w:r>
        <w:rPr>
          <w:b w:val="0"/>
        </w:rPr>
        <w:t xml:space="preserve">As a result, on August 16, 2005, the </w:t>
      </w:r>
      <w:r w:rsidR="00875474">
        <w:rPr>
          <w:b w:val="0"/>
        </w:rPr>
        <w:t>judge</w:t>
      </w:r>
      <w:r>
        <w:rPr>
          <w:b w:val="0"/>
        </w:rPr>
        <w:t xml:space="preserve"> issued a second OSC </w:t>
      </w:r>
      <w:r w:rsidR="00457774">
        <w:rPr>
          <w:b w:val="0"/>
        </w:rPr>
        <w:t>a</w:t>
      </w:r>
      <w:r>
        <w:rPr>
          <w:b w:val="0"/>
        </w:rPr>
        <w:t xml:space="preserve">s to why additional sanctions should not be imposed.  The </w:t>
      </w:r>
      <w:r w:rsidR="00875474">
        <w:rPr>
          <w:b w:val="0"/>
        </w:rPr>
        <w:t>judge</w:t>
      </w:r>
      <w:r>
        <w:rPr>
          <w:b w:val="0"/>
        </w:rPr>
        <w:t xml:space="preserve"> set the </w:t>
      </w:r>
      <w:r w:rsidR="00B95878">
        <w:rPr>
          <w:b w:val="0"/>
        </w:rPr>
        <w:t>hearing</w:t>
      </w:r>
      <w:r>
        <w:rPr>
          <w:b w:val="0"/>
        </w:rPr>
        <w:t xml:space="preserve"> for </w:t>
      </w:r>
      <w:r w:rsidR="0070637E">
        <w:rPr>
          <w:b w:val="0"/>
        </w:rPr>
        <w:t>September</w:t>
      </w:r>
      <w:r>
        <w:rPr>
          <w:b w:val="0"/>
        </w:rPr>
        <w:t xml:space="preserve"> 9, 2005 at 8:30 a.m., but </w:t>
      </w:r>
      <w:r w:rsidR="0030326B">
        <w:rPr>
          <w:b w:val="0"/>
        </w:rPr>
        <w:t>ordered it vacated</w:t>
      </w:r>
      <w:r>
        <w:rPr>
          <w:b w:val="0"/>
        </w:rPr>
        <w:t xml:space="preserve"> if Nownejad paid the </w:t>
      </w:r>
      <w:r w:rsidR="004B3DC6">
        <w:rPr>
          <w:b w:val="0"/>
        </w:rPr>
        <w:t xml:space="preserve">$450 </w:t>
      </w:r>
      <w:r>
        <w:rPr>
          <w:b w:val="0"/>
        </w:rPr>
        <w:t xml:space="preserve">sanctions </w:t>
      </w:r>
      <w:r w:rsidR="00B95878">
        <w:rPr>
          <w:b w:val="0"/>
        </w:rPr>
        <w:t>before then</w:t>
      </w:r>
      <w:r>
        <w:rPr>
          <w:b w:val="0"/>
        </w:rPr>
        <w:t xml:space="preserve">.  Nownejad did not appear for </w:t>
      </w:r>
      <w:r w:rsidR="00465FAC">
        <w:rPr>
          <w:b w:val="0"/>
        </w:rPr>
        <w:t xml:space="preserve">the </w:t>
      </w:r>
      <w:r w:rsidR="00B66249">
        <w:rPr>
          <w:b w:val="0"/>
        </w:rPr>
        <w:t xml:space="preserve">morning </w:t>
      </w:r>
      <w:r>
        <w:rPr>
          <w:b w:val="0"/>
        </w:rPr>
        <w:t>hearing</w:t>
      </w:r>
      <w:r w:rsidR="00B66249">
        <w:rPr>
          <w:b w:val="0"/>
        </w:rPr>
        <w:t xml:space="preserve">, but in the afternoon </w:t>
      </w:r>
      <w:r w:rsidR="00810F6C">
        <w:rPr>
          <w:b w:val="0"/>
        </w:rPr>
        <w:t xml:space="preserve">delivered his </w:t>
      </w:r>
      <w:r w:rsidR="0070637E">
        <w:rPr>
          <w:b w:val="0"/>
        </w:rPr>
        <w:t xml:space="preserve">$450 </w:t>
      </w:r>
      <w:r>
        <w:rPr>
          <w:b w:val="0"/>
        </w:rPr>
        <w:t>check to the court</w:t>
      </w:r>
      <w:r w:rsidR="00810F6C">
        <w:rPr>
          <w:b w:val="0"/>
        </w:rPr>
        <w:t xml:space="preserve"> by messenger service</w:t>
      </w:r>
      <w:r>
        <w:rPr>
          <w:b w:val="0"/>
        </w:rPr>
        <w:t xml:space="preserve">.  </w:t>
      </w:r>
      <w:r w:rsidR="00B66249">
        <w:rPr>
          <w:b w:val="0"/>
        </w:rPr>
        <w:t>T</w:t>
      </w:r>
      <w:r>
        <w:rPr>
          <w:b w:val="0"/>
        </w:rPr>
        <w:t xml:space="preserve">he </w:t>
      </w:r>
      <w:r w:rsidR="00465FAC">
        <w:rPr>
          <w:b w:val="0"/>
        </w:rPr>
        <w:t xml:space="preserve">clerk’s office </w:t>
      </w:r>
      <w:r w:rsidR="0030326B">
        <w:rPr>
          <w:b w:val="0"/>
        </w:rPr>
        <w:t>did not process the check until</w:t>
      </w:r>
      <w:r w:rsidR="00AE07C8">
        <w:rPr>
          <w:b w:val="0"/>
        </w:rPr>
        <w:t xml:space="preserve"> Monday, </w:t>
      </w:r>
      <w:r>
        <w:rPr>
          <w:b w:val="0"/>
        </w:rPr>
        <w:t xml:space="preserve">September 12, 2005.  </w:t>
      </w:r>
      <w:r w:rsidR="0030326B">
        <w:rPr>
          <w:b w:val="0"/>
        </w:rPr>
        <w:t>T</w:t>
      </w:r>
      <w:r w:rsidR="00465FAC">
        <w:rPr>
          <w:b w:val="0"/>
        </w:rPr>
        <w:t>he</w:t>
      </w:r>
      <w:r>
        <w:rPr>
          <w:b w:val="0"/>
        </w:rPr>
        <w:t xml:space="preserve"> </w:t>
      </w:r>
      <w:r w:rsidR="0030326B">
        <w:rPr>
          <w:b w:val="0"/>
        </w:rPr>
        <w:t xml:space="preserve">superior court </w:t>
      </w:r>
      <w:r>
        <w:rPr>
          <w:b w:val="0"/>
        </w:rPr>
        <w:t xml:space="preserve">judge </w:t>
      </w:r>
      <w:r w:rsidR="00875474">
        <w:rPr>
          <w:b w:val="0"/>
        </w:rPr>
        <w:t xml:space="preserve">reported </w:t>
      </w:r>
      <w:r w:rsidR="0030326B">
        <w:rPr>
          <w:b w:val="0"/>
        </w:rPr>
        <w:t>Nownejad</w:t>
      </w:r>
      <w:r w:rsidR="00AE07C8">
        <w:rPr>
          <w:b w:val="0"/>
        </w:rPr>
        <w:t xml:space="preserve">’s conduct </w:t>
      </w:r>
      <w:r>
        <w:rPr>
          <w:b w:val="0"/>
        </w:rPr>
        <w:t>to the State Ba</w:t>
      </w:r>
      <w:r w:rsidR="00875474">
        <w:rPr>
          <w:b w:val="0"/>
        </w:rPr>
        <w:t>r.</w:t>
      </w:r>
    </w:p>
    <w:p w:rsidR="009D230D" w:rsidRDefault="009D230D" w:rsidP="00383216">
      <w:pPr>
        <w:spacing w:line="480" w:lineRule="auto"/>
        <w:rPr>
          <w:b/>
        </w:rPr>
      </w:pPr>
      <w:r w:rsidRPr="006D6D7A">
        <w:rPr>
          <w:b/>
        </w:rPr>
        <w:t>B.</w:t>
      </w:r>
      <w:r w:rsidR="002319CD">
        <w:rPr>
          <w:b/>
        </w:rPr>
        <w:tab/>
      </w:r>
      <w:r w:rsidR="00280F3D" w:rsidRPr="006D6D7A">
        <w:rPr>
          <w:b/>
        </w:rPr>
        <w:t>CULPABILITY</w:t>
      </w:r>
    </w:p>
    <w:p w:rsidR="001F300C" w:rsidRDefault="00642088" w:rsidP="00383216">
      <w:pPr>
        <w:spacing w:line="480" w:lineRule="auto"/>
        <w:rPr>
          <w:b/>
        </w:rPr>
      </w:pPr>
      <w:r>
        <w:rPr>
          <w:b/>
        </w:rPr>
        <w:tab/>
      </w:r>
      <w:r w:rsidR="001F300C">
        <w:rPr>
          <w:b/>
        </w:rPr>
        <w:t xml:space="preserve">Count One – </w:t>
      </w:r>
      <w:r>
        <w:rPr>
          <w:b/>
        </w:rPr>
        <w:t>Section 6103</w:t>
      </w:r>
      <w:r w:rsidR="000F3D56">
        <w:rPr>
          <w:rStyle w:val="FootnoteReference"/>
          <w:b/>
        </w:rPr>
        <w:footnoteReference w:id="3"/>
      </w:r>
      <w:r>
        <w:rPr>
          <w:b/>
        </w:rPr>
        <w:t xml:space="preserve"> (</w:t>
      </w:r>
      <w:r w:rsidR="001F300C">
        <w:rPr>
          <w:b/>
        </w:rPr>
        <w:t>Failure to Obey Court Order)</w:t>
      </w:r>
    </w:p>
    <w:p w:rsidR="00686B33" w:rsidRDefault="00465FAC" w:rsidP="00BB3785">
      <w:pPr>
        <w:spacing w:line="480" w:lineRule="auto"/>
      </w:pPr>
      <w:r>
        <w:rPr>
          <w:b/>
        </w:rPr>
        <w:tab/>
      </w:r>
      <w:r w:rsidR="00586365">
        <w:t>The State Bar</w:t>
      </w:r>
      <w:r w:rsidR="00604F70">
        <w:t xml:space="preserve"> </w:t>
      </w:r>
      <w:r w:rsidR="00291104">
        <w:t xml:space="preserve">alleged that </w:t>
      </w:r>
      <w:r w:rsidR="00586365">
        <w:t>Nownejad</w:t>
      </w:r>
      <w:r w:rsidR="00604F70">
        <w:t xml:space="preserve"> </w:t>
      </w:r>
      <w:r w:rsidR="00291104">
        <w:t xml:space="preserve">violated </w:t>
      </w:r>
      <w:r w:rsidR="0030326B">
        <w:t>section 6103</w:t>
      </w:r>
      <w:r w:rsidR="00604F70">
        <w:t xml:space="preserve"> </w:t>
      </w:r>
      <w:r w:rsidR="00C1341C">
        <w:t xml:space="preserve">because </w:t>
      </w:r>
      <w:r w:rsidR="009D230D">
        <w:t xml:space="preserve">he </w:t>
      </w:r>
      <w:r w:rsidR="00604F70">
        <w:t>failed to obey</w:t>
      </w:r>
      <w:r w:rsidR="00402F26">
        <w:t xml:space="preserve"> three </w:t>
      </w:r>
      <w:r w:rsidR="00457774">
        <w:t>court orders</w:t>
      </w:r>
      <w:r w:rsidR="00810F6C">
        <w:t xml:space="preserve"> requiring him to</w:t>
      </w:r>
      <w:r w:rsidR="00402F26">
        <w:t>:</w:t>
      </w:r>
      <w:r w:rsidR="00604F70">
        <w:t xml:space="preserve">  (1) </w:t>
      </w:r>
      <w:r w:rsidR="00C1341C">
        <w:t xml:space="preserve">pay </w:t>
      </w:r>
      <w:r w:rsidR="00604F70">
        <w:t>court</w:t>
      </w:r>
      <w:r w:rsidR="00B95878">
        <w:t>-</w:t>
      </w:r>
      <w:r w:rsidR="00604F70">
        <w:t xml:space="preserve">ordered </w:t>
      </w:r>
      <w:r w:rsidR="00C1341C">
        <w:t>sanctions</w:t>
      </w:r>
      <w:r w:rsidR="00604F70">
        <w:t>; (2)</w:t>
      </w:r>
      <w:r w:rsidR="00C1341C">
        <w:t xml:space="preserve"> file a declaration </w:t>
      </w:r>
      <w:r w:rsidR="00810F6C">
        <w:t>stating he complied with</w:t>
      </w:r>
      <w:r w:rsidR="00604F70">
        <w:t xml:space="preserve"> </w:t>
      </w:r>
      <w:r w:rsidR="00BB3785">
        <w:t xml:space="preserve">the </w:t>
      </w:r>
      <w:r w:rsidR="00604F70">
        <w:t>sanctions order; and (3)</w:t>
      </w:r>
      <w:r w:rsidR="00402F26">
        <w:t xml:space="preserve"> </w:t>
      </w:r>
      <w:r w:rsidR="00604F70">
        <w:t xml:space="preserve">appear at the OSC hearing on </w:t>
      </w:r>
      <w:r w:rsidR="00C1341C">
        <w:t>September 9, 2005</w:t>
      </w:r>
      <w:r w:rsidR="00604F70">
        <w:t xml:space="preserve">.  </w:t>
      </w:r>
      <w:r w:rsidR="004B3DC6">
        <w:t>The hearing judge found him culpable and we agree</w:t>
      </w:r>
      <w:r w:rsidR="00B66249">
        <w:t xml:space="preserve"> – he clearly violated the court’s orders </w:t>
      </w:r>
      <w:r w:rsidR="00021AE8">
        <w:t>to pay the sanctions and attend the related hearings.</w:t>
      </w:r>
    </w:p>
    <w:p w:rsidR="00544D0B" w:rsidRDefault="00BB3785" w:rsidP="00686B33">
      <w:pPr>
        <w:spacing w:line="480" w:lineRule="auto"/>
        <w:ind w:firstLine="720"/>
      </w:pPr>
      <w:r>
        <w:t xml:space="preserve">Nownejad </w:t>
      </w:r>
      <w:r w:rsidR="00416E81">
        <w:t>contends</w:t>
      </w:r>
      <w:r w:rsidR="00686B33">
        <w:t xml:space="preserve"> </w:t>
      </w:r>
      <w:r w:rsidR="0070637E">
        <w:t xml:space="preserve">that he could not </w:t>
      </w:r>
      <w:r w:rsidR="00021AE8">
        <w:t xml:space="preserve">timely </w:t>
      </w:r>
      <w:r w:rsidR="00686B33">
        <w:t xml:space="preserve">pay the sanctions </w:t>
      </w:r>
      <w:r w:rsidR="0070637E">
        <w:t>because he</w:t>
      </w:r>
      <w:r w:rsidR="00402F26">
        <w:t xml:space="preserve"> was experiencing financial problems</w:t>
      </w:r>
      <w:r w:rsidR="0070637E">
        <w:t>.</w:t>
      </w:r>
      <w:r>
        <w:t xml:space="preserve">  </w:t>
      </w:r>
      <w:r w:rsidR="00402F26">
        <w:t xml:space="preserve">But </w:t>
      </w:r>
      <w:r w:rsidR="004B3DC6">
        <w:t>he</w:t>
      </w:r>
      <w:r w:rsidR="0070637E">
        <w:t xml:space="preserve"> never notified the superior court </w:t>
      </w:r>
      <w:r w:rsidR="00686B33">
        <w:t xml:space="preserve">about </w:t>
      </w:r>
      <w:r w:rsidR="00402F26">
        <w:t>any financial</w:t>
      </w:r>
      <w:r w:rsidR="00686B33">
        <w:t xml:space="preserve"> difficulties and </w:t>
      </w:r>
      <w:r w:rsidR="00402F26">
        <w:t>did not appear</w:t>
      </w:r>
      <w:r w:rsidR="00686B33">
        <w:t xml:space="preserve"> at the scheduled OSC hearings</w:t>
      </w:r>
      <w:r w:rsidR="004B3DC6">
        <w:t xml:space="preserve">.  </w:t>
      </w:r>
      <w:r w:rsidR="00686B33">
        <w:t xml:space="preserve">Moreover, Nownejad </w:t>
      </w:r>
      <w:r w:rsidR="002C35F0">
        <w:t xml:space="preserve">ultimately </w:t>
      </w:r>
      <w:r w:rsidR="00686B33">
        <w:t>paid</w:t>
      </w:r>
      <w:r w:rsidR="0070637E">
        <w:t xml:space="preserve"> </w:t>
      </w:r>
      <w:r w:rsidR="00AE07C8">
        <w:t xml:space="preserve">the $450 </w:t>
      </w:r>
      <w:r w:rsidR="00021AE8">
        <w:t>late on September 9</w:t>
      </w:r>
      <w:r w:rsidR="00021AE8" w:rsidRPr="00021AE8">
        <w:rPr>
          <w:vertAlign w:val="superscript"/>
        </w:rPr>
        <w:t>th</w:t>
      </w:r>
      <w:r w:rsidR="00021AE8">
        <w:t xml:space="preserve">, </w:t>
      </w:r>
      <w:r w:rsidR="001C574C">
        <w:t xml:space="preserve">thus </w:t>
      </w:r>
      <w:r w:rsidR="00AE07C8">
        <w:t>demonstrating his ability to pay.</w:t>
      </w:r>
      <w:r w:rsidR="00810F6C">
        <w:t xml:space="preserve">  </w:t>
      </w:r>
      <w:r w:rsidR="00021AE8">
        <w:t xml:space="preserve">His claim </w:t>
      </w:r>
      <w:r w:rsidR="00FB2E72">
        <w:t xml:space="preserve">lacks merit and does not excuse </w:t>
      </w:r>
      <w:r w:rsidR="004C137F">
        <w:t xml:space="preserve">his </w:t>
      </w:r>
      <w:r w:rsidR="00FB2E72">
        <w:t>violati</w:t>
      </w:r>
      <w:r w:rsidR="004C137F">
        <w:t>o</w:t>
      </w:r>
      <w:r w:rsidR="00FB2E72">
        <w:t>n</w:t>
      </w:r>
      <w:r w:rsidR="004C137F">
        <w:t xml:space="preserve"> of</w:t>
      </w:r>
      <w:r w:rsidR="00FB2E72">
        <w:t xml:space="preserve"> the court orders.</w:t>
      </w:r>
    </w:p>
    <w:p w:rsidR="001765CE" w:rsidRDefault="001765CE" w:rsidP="00686B33">
      <w:pPr>
        <w:spacing w:line="480" w:lineRule="auto"/>
        <w:ind w:firstLine="720"/>
      </w:pPr>
    </w:p>
    <w:p w:rsidR="00F725FB" w:rsidRDefault="00F725FB" w:rsidP="00686B33">
      <w:pPr>
        <w:spacing w:line="480" w:lineRule="auto"/>
        <w:ind w:firstLine="720"/>
      </w:pPr>
    </w:p>
    <w:p w:rsidR="00A14086" w:rsidRDefault="00A14086" w:rsidP="00A14086">
      <w:pPr>
        <w:jc w:val="center"/>
        <w:rPr>
          <w:b/>
        </w:rPr>
      </w:pPr>
      <w:r w:rsidRPr="00E1352F">
        <w:rPr>
          <w:b/>
        </w:rPr>
        <w:lastRenderedPageBreak/>
        <w:t>V</w:t>
      </w:r>
      <w:r>
        <w:rPr>
          <w:b/>
        </w:rPr>
        <w:t>.  CASE NUMBER 05-O-04519</w:t>
      </w:r>
      <w:r w:rsidRPr="009D230D">
        <w:rPr>
          <w:b/>
        </w:rPr>
        <w:t xml:space="preserve"> (</w:t>
      </w:r>
      <w:r>
        <w:rPr>
          <w:b/>
        </w:rPr>
        <w:t>NORMAN MATTER</w:t>
      </w:r>
      <w:r w:rsidRPr="009D230D">
        <w:rPr>
          <w:b/>
        </w:rPr>
        <w:t>)</w:t>
      </w:r>
    </w:p>
    <w:p w:rsidR="00A14086" w:rsidRDefault="00A14086" w:rsidP="00A14086">
      <w:pPr>
        <w:jc w:val="center"/>
        <w:rPr>
          <w:b/>
        </w:rPr>
      </w:pPr>
    </w:p>
    <w:p w:rsidR="00E1352F" w:rsidRDefault="00E1352F" w:rsidP="00A14086">
      <w:pPr>
        <w:spacing w:line="480" w:lineRule="auto"/>
        <w:rPr>
          <w:b/>
        </w:rPr>
      </w:pPr>
      <w:r w:rsidRPr="00E1352F">
        <w:rPr>
          <w:b/>
        </w:rPr>
        <w:t>A.</w:t>
      </w:r>
      <w:r w:rsidR="00A14086">
        <w:rPr>
          <w:b/>
        </w:rPr>
        <w:tab/>
        <w:t>FINDINGS OF FACT</w:t>
      </w:r>
    </w:p>
    <w:p w:rsidR="00FB2E72" w:rsidRDefault="005851EA" w:rsidP="0063762B">
      <w:pPr>
        <w:spacing w:line="480" w:lineRule="auto"/>
        <w:ind w:firstLine="720"/>
      </w:pPr>
      <w:r>
        <w:t xml:space="preserve">On </w:t>
      </w:r>
      <w:r w:rsidR="00C55B43">
        <w:t xml:space="preserve">June 10, 2003, Valerie Norman retained </w:t>
      </w:r>
      <w:r w:rsidR="004970DF">
        <w:t>Nownejad</w:t>
      </w:r>
      <w:r w:rsidR="00C55B43">
        <w:t xml:space="preserve"> to represent her in a contested dissolution matter.  </w:t>
      </w:r>
      <w:r w:rsidR="00FB2E72">
        <w:t xml:space="preserve">At the time, </w:t>
      </w:r>
      <w:r w:rsidR="004970DF">
        <w:t>he</w:t>
      </w:r>
      <w:r w:rsidR="004B3DC6">
        <w:t xml:space="preserve"> had </w:t>
      </w:r>
      <w:r w:rsidR="00AE07C8">
        <w:t xml:space="preserve">been practicing law for only three years and had </w:t>
      </w:r>
      <w:r w:rsidR="004B3DC6">
        <w:t xml:space="preserve">limited family law experience.  </w:t>
      </w:r>
      <w:r w:rsidR="00457774">
        <w:t xml:space="preserve">Mrs. Norman </w:t>
      </w:r>
      <w:r w:rsidR="002C35F0">
        <w:t>was married to a wealthy businessman residing in San Diego County</w:t>
      </w:r>
      <w:r w:rsidR="00FB2E72">
        <w:t xml:space="preserve"> and their</w:t>
      </w:r>
      <w:r w:rsidR="00AE07C8">
        <w:t xml:space="preserve"> </w:t>
      </w:r>
      <w:r w:rsidR="00457774">
        <w:t xml:space="preserve">community estate </w:t>
      </w:r>
      <w:r w:rsidR="00AE07C8">
        <w:t xml:space="preserve">was </w:t>
      </w:r>
      <w:r w:rsidR="00FB2E72">
        <w:t xml:space="preserve">estimated </w:t>
      </w:r>
      <w:r w:rsidR="00021AE8">
        <w:t xml:space="preserve">between </w:t>
      </w:r>
      <w:r w:rsidR="00AE07C8">
        <w:t>$</w:t>
      </w:r>
      <w:r w:rsidR="00FC2967">
        <w:t>40</w:t>
      </w:r>
      <w:r w:rsidR="00AE07C8">
        <w:t xml:space="preserve"> and $6</w:t>
      </w:r>
      <w:r w:rsidR="00FC2967">
        <w:t>0 million</w:t>
      </w:r>
      <w:r w:rsidR="002C35F0">
        <w:t xml:space="preserve">.  </w:t>
      </w:r>
      <w:r w:rsidR="00457774">
        <w:t xml:space="preserve">Mrs. Norman </w:t>
      </w:r>
      <w:r w:rsidR="00021AE8">
        <w:t xml:space="preserve">was an unemployed high school graduate </w:t>
      </w:r>
      <w:r w:rsidR="00B43D1A">
        <w:t>with</w:t>
      </w:r>
      <w:r w:rsidR="00021AE8">
        <w:t xml:space="preserve"> two young children</w:t>
      </w:r>
      <w:r w:rsidR="00457774">
        <w:t xml:space="preserve">.  </w:t>
      </w:r>
    </w:p>
    <w:p w:rsidR="00402F26" w:rsidRDefault="00736CBD" w:rsidP="0063762B">
      <w:pPr>
        <w:spacing w:line="480" w:lineRule="auto"/>
        <w:ind w:firstLine="720"/>
      </w:pPr>
      <w:r>
        <w:t>When she came to Nownejad</w:t>
      </w:r>
      <w:r w:rsidR="00D15F23">
        <w:t>, Mrs. Norman</w:t>
      </w:r>
      <w:r w:rsidR="002C35F0">
        <w:t xml:space="preserve"> </w:t>
      </w:r>
      <w:r w:rsidR="00021AE8">
        <w:t xml:space="preserve">and her children were </w:t>
      </w:r>
      <w:r w:rsidR="001D1005">
        <w:t>living in a hotel</w:t>
      </w:r>
      <w:r w:rsidR="00C100B3">
        <w:t xml:space="preserve">.  She was primarily </w:t>
      </w:r>
      <w:r w:rsidR="002C35F0">
        <w:t xml:space="preserve">concerned with </w:t>
      </w:r>
      <w:r w:rsidR="0073028B">
        <w:t>ascertaining</w:t>
      </w:r>
      <w:r w:rsidR="002C35F0">
        <w:t xml:space="preserve"> </w:t>
      </w:r>
      <w:r w:rsidR="00FC2967">
        <w:t xml:space="preserve">the </w:t>
      </w:r>
      <w:r w:rsidR="0073028B">
        <w:t>estate</w:t>
      </w:r>
      <w:r w:rsidR="00FC2967">
        <w:t xml:space="preserve">’s assets and receiving monthly </w:t>
      </w:r>
      <w:r w:rsidR="001765CE">
        <w:t xml:space="preserve">spousal </w:t>
      </w:r>
      <w:r w:rsidR="00FC2967">
        <w:t>su</w:t>
      </w:r>
      <w:r w:rsidR="00EF662F">
        <w:t>pport.</w:t>
      </w:r>
      <w:r w:rsidR="00402F26">
        <w:t xml:space="preserve">  </w:t>
      </w:r>
      <w:r w:rsidR="00C100B3">
        <w:t xml:space="preserve">But </w:t>
      </w:r>
      <w:r w:rsidR="00021AE8">
        <w:t xml:space="preserve">according to Mrs. Norman, </w:t>
      </w:r>
      <w:r>
        <w:t>Nownejad</w:t>
      </w:r>
      <w:r w:rsidR="00402F26">
        <w:t>’s “biggest concern was getting paid attorneys fees</w:t>
      </w:r>
      <w:r w:rsidR="0073028B">
        <w:t xml:space="preserve"> . . .</w:t>
      </w:r>
      <w:r w:rsidR="00021AE8">
        <w:t xml:space="preserve"> .</w:t>
      </w:r>
      <w:r w:rsidR="00402F26">
        <w:t>”</w:t>
      </w:r>
      <w:r w:rsidR="00C100B3">
        <w:t xml:space="preserve">  Nownejad prepared a fee agreement which Mrs. Norman signed without reading.</w:t>
      </w:r>
      <w:r w:rsidR="00542B1B">
        <w:t xml:space="preserve"> </w:t>
      </w:r>
      <w:r w:rsidR="004970DF">
        <w:t xml:space="preserve"> The agreement provided for a $5,000 refundable deposit as advanced fees.  Nownejad’s hourly rate was $250.  The agreement also pr</w:t>
      </w:r>
      <w:r w:rsidR="001765CE">
        <w:t xml:space="preserve">ovided for “one attorney at </w:t>
      </w:r>
      <w:r w:rsidR="004D5008">
        <w:t>a time billing $250.”</w:t>
      </w:r>
      <w:r w:rsidR="00542B1B">
        <w:t xml:space="preserve"> </w:t>
      </w:r>
    </w:p>
    <w:p w:rsidR="00D15F23" w:rsidRDefault="00AE07C8" w:rsidP="0063762B">
      <w:pPr>
        <w:spacing w:line="480" w:lineRule="auto"/>
        <w:ind w:firstLine="720"/>
      </w:pPr>
      <w:r>
        <w:t>A</w:t>
      </w:r>
      <w:r w:rsidR="00402F26">
        <w:t xml:space="preserve">lthough </w:t>
      </w:r>
      <w:r w:rsidR="00FB2E72">
        <w:t xml:space="preserve">Nownejad </w:t>
      </w:r>
      <w:r w:rsidR="00393562">
        <w:t xml:space="preserve">knew </w:t>
      </w:r>
      <w:r w:rsidR="00E77D71">
        <w:t>Mrs. Norman</w:t>
      </w:r>
      <w:r w:rsidR="00402F26">
        <w:t xml:space="preserve"> resided in San Diego County</w:t>
      </w:r>
      <w:r>
        <w:t xml:space="preserve">, he wanted to file the </w:t>
      </w:r>
      <w:r w:rsidR="00021AE8">
        <w:t>dissolution</w:t>
      </w:r>
      <w:r>
        <w:t xml:space="preserve"> in Los Angeles</w:t>
      </w:r>
      <w:r w:rsidR="00021AE8">
        <w:t>.  He</w:t>
      </w:r>
      <w:r>
        <w:t xml:space="preserve"> reasoned that</w:t>
      </w:r>
      <w:r w:rsidR="00D15F23">
        <w:t xml:space="preserve"> t</w:t>
      </w:r>
      <w:r w:rsidR="00135DF2">
        <w:t>he Los Angeles j</w:t>
      </w:r>
      <w:r w:rsidR="00D15F23">
        <w:t xml:space="preserve">udges </w:t>
      </w:r>
      <w:r w:rsidR="00135DF2">
        <w:t xml:space="preserve">understood wealthy clients </w:t>
      </w:r>
      <w:r w:rsidR="00393562">
        <w:t>and</w:t>
      </w:r>
      <w:r w:rsidR="00FB2E72">
        <w:t xml:space="preserve"> </w:t>
      </w:r>
      <w:r w:rsidR="00393562">
        <w:t>Mr. Norman</w:t>
      </w:r>
      <w:r w:rsidR="00D02ACC">
        <w:t xml:space="preserve"> might</w:t>
      </w:r>
      <w:r w:rsidR="000A0DE6">
        <w:t xml:space="preserve"> </w:t>
      </w:r>
      <w:r w:rsidR="00021AE8">
        <w:t>agree</w:t>
      </w:r>
      <w:r w:rsidR="000A0DE6">
        <w:t xml:space="preserve"> </w:t>
      </w:r>
      <w:r w:rsidR="00FB2E72">
        <w:t>to a quick</w:t>
      </w:r>
      <w:r w:rsidR="000A0DE6">
        <w:t xml:space="preserve"> settlement </w:t>
      </w:r>
      <w:r w:rsidR="00021AE8">
        <w:t xml:space="preserve">which was </w:t>
      </w:r>
      <w:r w:rsidR="000A0DE6">
        <w:t>favorable to Mrs. Norman</w:t>
      </w:r>
      <w:r w:rsidR="00FB2E72">
        <w:t xml:space="preserve"> to avoid traveling to court in Los Angeles</w:t>
      </w:r>
      <w:r w:rsidR="000A0DE6">
        <w:t>.</w:t>
      </w:r>
      <w:r w:rsidR="00EF662F">
        <w:t xml:space="preserve">  </w:t>
      </w:r>
      <w:r w:rsidR="00CF38E8">
        <w:t xml:space="preserve">Nownejad testified that Mrs. Norman </w:t>
      </w:r>
      <w:r w:rsidR="00C100B3">
        <w:t xml:space="preserve">asked him to file the case </w:t>
      </w:r>
      <w:r w:rsidR="00CF38E8">
        <w:t>in Los Angeles</w:t>
      </w:r>
      <w:r w:rsidR="000A0DE6">
        <w:t xml:space="preserve">, </w:t>
      </w:r>
      <w:r w:rsidR="00C100B3">
        <w:t xml:space="preserve">but </w:t>
      </w:r>
      <w:r w:rsidR="000A0DE6">
        <w:t>Mrs. Norman denie</w:t>
      </w:r>
      <w:r w:rsidR="00C100B3">
        <w:t xml:space="preserve">d </w:t>
      </w:r>
      <w:r w:rsidR="0073028B">
        <w:t>doing so.</w:t>
      </w:r>
    </w:p>
    <w:p w:rsidR="0003022E" w:rsidRDefault="00EF662F" w:rsidP="00591FF5">
      <w:pPr>
        <w:spacing w:line="480" w:lineRule="auto"/>
        <w:ind w:firstLine="720"/>
      </w:pPr>
      <w:r>
        <w:t xml:space="preserve">On </w:t>
      </w:r>
      <w:r w:rsidR="009F65BA">
        <w:t xml:space="preserve">June 19, 2003, </w:t>
      </w:r>
      <w:r>
        <w:t xml:space="preserve">Nownejad </w:t>
      </w:r>
      <w:r w:rsidR="00021AE8">
        <w:t xml:space="preserve">filed a petition for </w:t>
      </w:r>
      <w:r>
        <w:t>dissolution in Los Angeles County Superior Court</w:t>
      </w:r>
      <w:r w:rsidR="00CF38E8">
        <w:t xml:space="preserve"> and began </w:t>
      </w:r>
      <w:r w:rsidR="00B43D1A">
        <w:t>communicating</w:t>
      </w:r>
      <w:r w:rsidR="00CF38E8">
        <w:t xml:space="preserve"> </w:t>
      </w:r>
      <w:r>
        <w:t xml:space="preserve">with </w:t>
      </w:r>
      <w:r w:rsidR="005D2C9A">
        <w:t xml:space="preserve">Mr. Norman’s </w:t>
      </w:r>
      <w:r>
        <w:t xml:space="preserve">attorney </w:t>
      </w:r>
      <w:r w:rsidR="00021AE8">
        <w:t xml:space="preserve">about </w:t>
      </w:r>
      <w:r w:rsidR="00067F24">
        <w:t xml:space="preserve">temporary </w:t>
      </w:r>
      <w:r>
        <w:t xml:space="preserve">spousal support.  </w:t>
      </w:r>
      <w:r w:rsidR="0073028B">
        <w:t>His efforts</w:t>
      </w:r>
      <w:r>
        <w:t xml:space="preserve"> included two telephon</w:t>
      </w:r>
      <w:r w:rsidR="00393562">
        <w:t>e</w:t>
      </w:r>
      <w:r>
        <w:t xml:space="preserve"> conversations on June 13 and </w:t>
      </w:r>
      <w:r w:rsidR="0073028B">
        <w:t xml:space="preserve">June </w:t>
      </w:r>
      <w:r>
        <w:t xml:space="preserve">16, 2003, a meeting </w:t>
      </w:r>
      <w:r w:rsidR="00FB2E72">
        <w:t xml:space="preserve">with Mr. Norman’s attorney </w:t>
      </w:r>
      <w:r>
        <w:t xml:space="preserve">on June 18, 2003, and letters dated June </w:t>
      </w:r>
      <w:r w:rsidR="004D5008">
        <w:t xml:space="preserve">20, June </w:t>
      </w:r>
      <w:r>
        <w:t>24 and June 26, 2003.  By the end of June, Nownejad agreed to dismiss the petition in Los An</w:t>
      </w:r>
      <w:r w:rsidR="000976F3">
        <w:t xml:space="preserve">geles in </w:t>
      </w:r>
    </w:p>
    <w:p w:rsidR="00CF38E8" w:rsidRDefault="0003022E" w:rsidP="0003022E">
      <w:pPr>
        <w:spacing w:line="480" w:lineRule="auto"/>
      </w:pPr>
      <w:r>
        <w:br w:type="page"/>
      </w:r>
      <w:proofErr w:type="gramStart"/>
      <w:r w:rsidR="000976F3">
        <w:lastRenderedPageBreak/>
        <w:t>exchange</w:t>
      </w:r>
      <w:proofErr w:type="gramEnd"/>
      <w:r w:rsidR="000976F3">
        <w:t xml:space="preserve"> for $25,000 in monthly spousal support</w:t>
      </w:r>
      <w:r w:rsidR="00021AE8">
        <w:t xml:space="preserve"> for Mrs. Norman, and a $35,000 attorney fees advance, of which he</w:t>
      </w:r>
      <w:r w:rsidR="000976F3">
        <w:t xml:space="preserve"> used $5</w:t>
      </w:r>
      <w:r w:rsidR="00B42107">
        <w:t>,</w:t>
      </w:r>
      <w:r w:rsidR="000976F3">
        <w:t xml:space="preserve">000 to retain an accountant to identify Mr. Norman’s assets.  </w:t>
      </w:r>
    </w:p>
    <w:p w:rsidR="000F0892" w:rsidRDefault="000976F3" w:rsidP="00CF38E8">
      <w:pPr>
        <w:spacing w:line="480" w:lineRule="auto"/>
        <w:ind w:firstLine="720"/>
      </w:pPr>
      <w:r>
        <w:t xml:space="preserve">On July 10, 2003, Nownejad dismissed the </w:t>
      </w:r>
      <w:r w:rsidR="00B42107">
        <w:t xml:space="preserve">Los Angeles </w:t>
      </w:r>
      <w:r w:rsidR="007F1E42">
        <w:t xml:space="preserve">dissolution.  On </w:t>
      </w:r>
      <w:r>
        <w:t xml:space="preserve">July 21, 2003, </w:t>
      </w:r>
      <w:r w:rsidR="007F1E42">
        <w:t xml:space="preserve">he </w:t>
      </w:r>
      <w:r>
        <w:t xml:space="preserve">filed a response </w:t>
      </w:r>
      <w:r w:rsidR="00CF38E8">
        <w:t xml:space="preserve">to </w:t>
      </w:r>
      <w:r>
        <w:t>Mr. Norman’s San Diego County Superior Court</w:t>
      </w:r>
      <w:r w:rsidR="00CF38E8">
        <w:t xml:space="preserve"> Petition for Dissolution</w:t>
      </w:r>
      <w:r w:rsidR="00FB2E72">
        <w:t xml:space="preserve">, which had been filed </w:t>
      </w:r>
      <w:r w:rsidR="00D32B47">
        <w:t>o</w:t>
      </w:r>
      <w:r w:rsidR="00FB2E72">
        <w:t>n June</w:t>
      </w:r>
      <w:r w:rsidR="00D32B47">
        <w:t xml:space="preserve"> 16, 2003</w:t>
      </w:r>
      <w:r w:rsidR="00385FAA">
        <w:t>, three days before he filed the action in Los Angeles</w:t>
      </w:r>
      <w:r>
        <w:t>.</w:t>
      </w:r>
      <w:r w:rsidR="00385FAA">
        <w:rPr>
          <w:rStyle w:val="FootnoteReference"/>
        </w:rPr>
        <w:footnoteReference w:id="4"/>
      </w:r>
      <w:r w:rsidR="00B42107">
        <w:t xml:space="preserve">  On July 23, 2003, Nownejad filed a request for </w:t>
      </w:r>
      <w:r w:rsidR="00CF38E8">
        <w:t xml:space="preserve">monthly </w:t>
      </w:r>
      <w:r w:rsidR="00B42107">
        <w:t>spousal support of $61,150</w:t>
      </w:r>
      <w:r w:rsidR="0097201E">
        <w:t xml:space="preserve">.  </w:t>
      </w:r>
      <w:r w:rsidR="0073028B">
        <w:t>He</w:t>
      </w:r>
      <w:r w:rsidR="0097201E">
        <w:t xml:space="preserve"> also requested attorney fees and costs </w:t>
      </w:r>
      <w:r w:rsidR="00FB15F4">
        <w:t>tota</w:t>
      </w:r>
      <w:r w:rsidR="0097201E">
        <w:t>ling</w:t>
      </w:r>
      <w:r w:rsidR="00B42107">
        <w:t xml:space="preserve"> $37,275.</w:t>
      </w:r>
      <w:r w:rsidR="00E738DE">
        <w:t xml:space="preserve">  </w:t>
      </w:r>
      <w:r w:rsidR="00CF38E8">
        <w:t>He</w:t>
      </w:r>
      <w:r w:rsidR="00947095">
        <w:t xml:space="preserve"> included a declaration </w:t>
      </w:r>
      <w:r w:rsidR="0073028B">
        <w:t>signed by</w:t>
      </w:r>
      <w:r w:rsidR="00CF38E8">
        <w:t xml:space="preserve"> </w:t>
      </w:r>
      <w:r w:rsidR="00947095">
        <w:t>Mrs. Norman attesting to the amount of attorney fees owed</w:t>
      </w:r>
      <w:r w:rsidR="00CF38E8">
        <w:t>, although he had never sent Mrs. Norman any billing statements.</w:t>
      </w:r>
      <w:r w:rsidR="00947095">
        <w:t xml:space="preserve">  </w:t>
      </w:r>
      <w:r w:rsidR="007F1E42">
        <w:t>Mrs. Norman became dissatisfied with Nownejad</w:t>
      </w:r>
      <w:r w:rsidR="00B43D1A">
        <w:t>’s representation</w:t>
      </w:r>
      <w:r w:rsidR="007F1E42">
        <w:t xml:space="preserve"> and terminated his services on </w:t>
      </w:r>
      <w:r w:rsidR="00E738DE">
        <w:t>July 25, 2003</w:t>
      </w:r>
      <w:r w:rsidR="007F1E42">
        <w:t>.  She hired new counsel who</w:t>
      </w:r>
      <w:r w:rsidR="00426968">
        <w:t xml:space="preserve"> immediately obtained </w:t>
      </w:r>
      <w:r w:rsidR="00B43D1A">
        <w:t xml:space="preserve">a </w:t>
      </w:r>
      <w:r w:rsidR="00426968">
        <w:t xml:space="preserve">temporary support </w:t>
      </w:r>
      <w:r w:rsidR="007F1E42">
        <w:t>order for</w:t>
      </w:r>
      <w:r w:rsidR="00426968">
        <w:t xml:space="preserve"> $75,000 per month</w:t>
      </w:r>
      <w:r w:rsidR="000F0892">
        <w:t xml:space="preserve">.  </w:t>
      </w:r>
    </w:p>
    <w:p w:rsidR="00D24C76" w:rsidRDefault="000F0892" w:rsidP="00D551D5">
      <w:pPr>
        <w:spacing w:line="480" w:lineRule="auto"/>
        <w:ind w:firstLine="720"/>
      </w:pPr>
      <w:r>
        <w:t>In August 2003</w:t>
      </w:r>
      <w:r w:rsidR="005851EA">
        <w:t>,</w:t>
      </w:r>
      <w:r>
        <w:t xml:space="preserve"> Nownejad sent Mrs. Norman three invoices for </w:t>
      </w:r>
      <w:r w:rsidR="000A0DE6">
        <w:t xml:space="preserve">additional </w:t>
      </w:r>
      <w:r w:rsidR="00D24C76">
        <w:t>fees</w:t>
      </w:r>
      <w:r>
        <w:t xml:space="preserve"> </w:t>
      </w:r>
      <w:r w:rsidR="000A0DE6">
        <w:t xml:space="preserve">of </w:t>
      </w:r>
      <w:r>
        <w:t xml:space="preserve">$39,726.03.  </w:t>
      </w:r>
      <w:r w:rsidR="000A0DE6">
        <w:t xml:space="preserve">Mr. Norman refused to pay since </w:t>
      </w:r>
      <w:r>
        <w:t xml:space="preserve">Nownejad had already received </w:t>
      </w:r>
      <w:r w:rsidR="007F1E42">
        <w:t xml:space="preserve">the </w:t>
      </w:r>
      <w:r>
        <w:t>$35,000</w:t>
      </w:r>
      <w:r w:rsidR="007F1E42">
        <w:t xml:space="preserve"> advanced fee</w:t>
      </w:r>
      <w:r w:rsidR="00D24C76">
        <w:t xml:space="preserve">. </w:t>
      </w:r>
      <w:r>
        <w:t xml:space="preserve"> On September 23, 2003, Nownejad filed </w:t>
      </w:r>
      <w:r w:rsidR="00393562">
        <w:t>a civil lawsuit</w:t>
      </w:r>
      <w:r>
        <w:t xml:space="preserve"> </w:t>
      </w:r>
      <w:r w:rsidR="00D24C76">
        <w:t xml:space="preserve">in Los Angeles Superior Court </w:t>
      </w:r>
      <w:r w:rsidR="00067F24">
        <w:t xml:space="preserve">against Mrs. Norman </w:t>
      </w:r>
      <w:r>
        <w:t xml:space="preserve">to recover </w:t>
      </w:r>
      <w:r w:rsidR="00C100B3">
        <w:t xml:space="preserve">the outstanding </w:t>
      </w:r>
      <w:r w:rsidR="00AC27CD">
        <w:t xml:space="preserve">claimed </w:t>
      </w:r>
      <w:r w:rsidR="00C100B3">
        <w:t>fees</w:t>
      </w:r>
      <w:r w:rsidR="005851EA">
        <w:t xml:space="preserve"> </w:t>
      </w:r>
      <w:r w:rsidR="00D24C76">
        <w:t>(</w:t>
      </w:r>
      <w:r w:rsidR="00D24C76" w:rsidRPr="00D24C76">
        <w:rPr>
          <w:i/>
        </w:rPr>
        <w:t>Law Offices of Cyrus &amp; Cyrus v. Norman</w:t>
      </w:r>
      <w:r w:rsidR="00D24C76">
        <w:t>)</w:t>
      </w:r>
      <w:r w:rsidR="00FB2E72">
        <w:t>.</w:t>
      </w:r>
      <w:r w:rsidR="00D24C76">
        <w:t xml:space="preserve"> </w:t>
      </w:r>
      <w:r w:rsidR="00FB2E72">
        <w:t xml:space="preserve"> </w:t>
      </w:r>
      <w:proofErr w:type="gramStart"/>
      <w:r w:rsidR="00067F24">
        <w:t>Mrs. Norman cross-complain</w:t>
      </w:r>
      <w:r w:rsidR="00393562">
        <w:t>ed</w:t>
      </w:r>
      <w:r w:rsidR="006672FF">
        <w:t xml:space="preserve"> seeking rescission of the fee agreement</w:t>
      </w:r>
      <w:r w:rsidR="00067F24">
        <w:t>.</w:t>
      </w:r>
      <w:proofErr w:type="gramEnd"/>
      <w:r w:rsidR="00067F24">
        <w:t xml:space="preserve">  </w:t>
      </w:r>
      <w:r w:rsidR="007F1E42">
        <w:t xml:space="preserve">Claiming miscalculations, </w:t>
      </w:r>
      <w:r w:rsidR="00D355D1">
        <w:t xml:space="preserve">Nownejad amended </w:t>
      </w:r>
      <w:r w:rsidR="00067F24">
        <w:t>his</w:t>
      </w:r>
      <w:r w:rsidR="00D355D1">
        <w:t xml:space="preserve"> complaint </w:t>
      </w:r>
      <w:r w:rsidR="005C63EA">
        <w:t xml:space="preserve">on November 20, 2003, </w:t>
      </w:r>
      <w:r w:rsidR="00D355D1">
        <w:t xml:space="preserve">to allege that the fees </w:t>
      </w:r>
      <w:r w:rsidR="00067F24">
        <w:t>owed were</w:t>
      </w:r>
      <w:r w:rsidR="00D355D1">
        <w:t xml:space="preserve"> $47,006.03</w:t>
      </w:r>
      <w:r w:rsidR="007F1E42">
        <w:t xml:space="preserve">, and </w:t>
      </w:r>
      <w:r w:rsidR="00067F24">
        <w:t>at</w:t>
      </w:r>
      <w:r w:rsidR="00D355D1">
        <w:t xml:space="preserve"> trial asserted </w:t>
      </w:r>
      <w:r w:rsidR="00FB2E72">
        <w:t>that Mrs. Norman actually</w:t>
      </w:r>
      <w:r w:rsidR="005C63EA">
        <w:t xml:space="preserve"> </w:t>
      </w:r>
      <w:r w:rsidR="00D355D1">
        <w:t xml:space="preserve">owed </w:t>
      </w:r>
      <w:r w:rsidR="00393562">
        <w:t>him</w:t>
      </w:r>
      <w:r w:rsidR="00D53A9F">
        <w:t xml:space="preserve"> </w:t>
      </w:r>
      <w:r w:rsidR="00D355D1">
        <w:t xml:space="preserve">$62,240.49.  </w:t>
      </w:r>
    </w:p>
    <w:p w:rsidR="00A14086" w:rsidRDefault="000A0DE6" w:rsidP="0063762B">
      <w:pPr>
        <w:spacing w:line="480" w:lineRule="auto"/>
        <w:ind w:firstLine="720"/>
      </w:pPr>
      <w:r>
        <w:t xml:space="preserve">In 2005, </w:t>
      </w:r>
      <w:r w:rsidR="007F1E42">
        <w:t xml:space="preserve">Superior Court </w:t>
      </w:r>
      <w:r w:rsidR="00561DD2">
        <w:t xml:space="preserve">Judge Susan Bryant-Deason </w:t>
      </w:r>
      <w:r w:rsidR="00A067B0">
        <w:t>conducted</w:t>
      </w:r>
      <w:r w:rsidR="00D24C76">
        <w:t xml:space="preserve"> </w:t>
      </w:r>
      <w:r>
        <w:t xml:space="preserve">a </w:t>
      </w:r>
      <w:r w:rsidR="000F5DAA">
        <w:t>seven</w:t>
      </w:r>
      <w:r>
        <w:t xml:space="preserve">-day </w:t>
      </w:r>
      <w:r w:rsidR="00067F24">
        <w:t xml:space="preserve">bench </w:t>
      </w:r>
      <w:r w:rsidR="00A067B0">
        <w:t>trial</w:t>
      </w:r>
      <w:r w:rsidR="00BE070A">
        <w:t xml:space="preserve"> in the civil lawsuit</w:t>
      </w:r>
      <w:r>
        <w:t xml:space="preserve">. </w:t>
      </w:r>
      <w:r w:rsidR="00A067B0">
        <w:t xml:space="preserve"> </w:t>
      </w:r>
      <w:r w:rsidR="00C100B3">
        <w:t xml:space="preserve">A credible family law expert opined that </w:t>
      </w:r>
      <w:r w:rsidR="007F1E42">
        <w:t xml:space="preserve">Nownejad’s </w:t>
      </w:r>
      <w:r w:rsidR="00C100B3">
        <w:t xml:space="preserve">fee was unconscionable and </w:t>
      </w:r>
      <w:r w:rsidR="00D02ACC">
        <w:t>the legal services rendered</w:t>
      </w:r>
      <w:r w:rsidR="00C100B3">
        <w:t xml:space="preserve"> </w:t>
      </w:r>
      <w:r w:rsidR="00D02ACC">
        <w:t>were worth only $</w:t>
      </w:r>
      <w:r w:rsidR="00C100B3">
        <w:t xml:space="preserve">10,000.  </w:t>
      </w:r>
      <w:r w:rsidR="00BE070A">
        <w:t xml:space="preserve">Analyzing the case under </w:t>
      </w:r>
      <w:r w:rsidR="00385FAA">
        <w:t xml:space="preserve">               </w:t>
      </w:r>
      <w:r w:rsidR="00BE070A">
        <w:lastRenderedPageBreak/>
        <w:t>rule 4-200(A)</w:t>
      </w:r>
      <w:r w:rsidR="00B43D1A">
        <w:t>,</w:t>
      </w:r>
      <w:r w:rsidR="007F1E42" w:rsidRPr="00B43D1A">
        <w:rPr>
          <w:rStyle w:val="FootnoteReference"/>
        </w:rPr>
        <w:footnoteReference w:id="5"/>
      </w:r>
      <w:r w:rsidR="00BE070A">
        <w:t xml:space="preserve"> </w:t>
      </w:r>
      <w:r w:rsidR="00561DD2">
        <w:t>Judge Bryant-Deason</w:t>
      </w:r>
      <w:r>
        <w:t xml:space="preserve"> </w:t>
      </w:r>
      <w:r w:rsidR="007F1E42">
        <w:t>found</w:t>
      </w:r>
      <w:r>
        <w:t xml:space="preserve"> Nownejad’s request for </w:t>
      </w:r>
      <w:r w:rsidR="00D24C76">
        <w:t xml:space="preserve">nearly $93,000 </w:t>
      </w:r>
      <w:r w:rsidR="00FB2E72">
        <w:t>in attorneys’ fees</w:t>
      </w:r>
      <w:r w:rsidR="006672FF">
        <w:t xml:space="preserve"> </w:t>
      </w:r>
      <w:r w:rsidR="00D24C76">
        <w:t xml:space="preserve">for 45 days of </w:t>
      </w:r>
      <w:r w:rsidR="006672FF">
        <w:t xml:space="preserve">legal </w:t>
      </w:r>
      <w:r w:rsidR="00D24C76">
        <w:t xml:space="preserve">representation </w:t>
      </w:r>
      <w:r w:rsidR="007F1E42">
        <w:t>to be</w:t>
      </w:r>
      <w:r w:rsidR="00D24C76">
        <w:t xml:space="preserve"> un</w:t>
      </w:r>
      <w:r w:rsidR="00D551D5">
        <w:t>conscionable</w:t>
      </w:r>
      <w:r>
        <w:t>.</w:t>
      </w:r>
      <w:r w:rsidR="004F5AA8">
        <w:rPr>
          <w:rStyle w:val="FootnoteReference"/>
        </w:rPr>
        <w:footnoteReference w:id="6"/>
      </w:r>
      <w:r w:rsidR="006672FF">
        <w:t xml:space="preserve"> </w:t>
      </w:r>
      <w:r>
        <w:t xml:space="preserve"> </w:t>
      </w:r>
      <w:r w:rsidR="006672FF">
        <w:t>She found the evidence was “just over the top</w:t>
      </w:r>
      <w:r w:rsidR="00D02ACC">
        <w:t>,</w:t>
      </w:r>
      <w:r w:rsidR="006672FF">
        <w:t>” and that is was “almost shameful</w:t>
      </w:r>
      <w:r w:rsidR="00561DD2">
        <w:t xml:space="preserve"> when you look at what happened here, the price that was charged, and then to think that</w:t>
      </w:r>
      <w:r w:rsidR="006672FF">
        <w:t xml:space="preserve"> someone would come </w:t>
      </w:r>
      <w:r w:rsidR="00561DD2">
        <w:t>in a</w:t>
      </w:r>
      <w:r w:rsidR="006672FF">
        <w:t xml:space="preserve">nd ask for almost $93,000 for this level of services is just unconscionable.”  </w:t>
      </w:r>
      <w:r w:rsidR="00561DD2">
        <w:t>Judge Bryant-Deason</w:t>
      </w:r>
      <w:r>
        <w:t xml:space="preserve"> ordered the fee </w:t>
      </w:r>
      <w:r w:rsidR="00D551D5">
        <w:t xml:space="preserve">agreement </w:t>
      </w:r>
      <w:r>
        <w:t>rescinded, and awarded</w:t>
      </w:r>
      <w:r w:rsidR="00D551D5">
        <w:t xml:space="preserve"> Nownejad $10,000 as the </w:t>
      </w:r>
      <w:r w:rsidR="00A067B0">
        <w:t xml:space="preserve">quantum meruit </w:t>
      </w:r>
      <w:r w:rsidR="0008448E">
        <w:t xml:space="preserve">value of </w:t>
      </w:r>
      <w:r>
        <w:t>his</w:t>
      </w:r>
      <w:r w:rsidR="0008448E">
        <w:t xml:space="preserve"> </w:t>
      </w:r>
      <w:r>
        <w:t xml:space="preserve">legal </w:t>
      </w:r>
      <w:r w:rsidR="0008448E">
        <w:t xml:space="preserve">services.  </w:t>
      </w:r>
      <w:r>
        <w:t xml:space="preserve">Mrs. Norman was awarded </w:t>
      </w:r>
      <w:r w:rsidR="0008448E">
        <w:t>$25,000 in restitution</w:t>
      </w:r>
      <w:r>
        <w:t>, which</w:t>
      </w:r>
      <w:r w:rsidR="00A43777">
        <w:t xml:space="preserve"> Nownejad has not paid</w:t>
      </w:r>
      <w:r w:rsidR="0008448E">
        <w:t xml:space="preserve">.  </w:t>
      </w:r>
      <w:r w:rsidR="005851EA">
        <w:t xml:space="preserve">  </w:t>
      </w:r>
    </w:p>
    <w:p w:rsidR="0077172E" w:rsidRPr="00A14086" w:rsidRDefault="00A14086" w:rsidP="00A14086">
      <w:pPr>
        <w:spacing w:line="480" w:lineRule="auto"/>
      </w:pPr>
      <w:r>
        <w:rPr>
          <w:b/>
        </w:rPr>
        <w:t>B.</w:t>
      </w:r>
      <w:r>
        <w:rPr>
          <w:b/>
        </w:rPr>
        <w:tab/>
        <w:t>CULPABILITY</w:t>
      </w:r>
    </w:p>
    <w:p w:rsidR="00586365" w:rsidRDefault="00EF6DB3" w:rsidP="00BA2B85">
      <w:pPr>
        <w:spacing w:line="480" w:lineRule="auto"/>
        <w:ind w:firstLine="720"/>
        <w:rPr>
          <w:b/>
        </w:rPr>
      </w:pPr>
      <w:r>
        <w:rPr>
          <w:b/>
        </w:rPr>
        <w:t>Count Two – Section 6103 (Failure to Obey Court Order)</w:t>
      </w:r>
    </w:p>
    <w:p w:rsidR="00D551D5" w:rsidRDefault="00DC7DB5" w:rsidP="00EF6DB3">
      <w:pPr>
        <w:spacing w:line="480" w:lineRule="auto"/>
      </w:pPr>
      <w:r>
        <w:rPr>
          <w:b/>
        </w:rPr>
        <w:tab/>
      </w:r>
      <w:r>
        <w:t>The State Bar charged</w:t>
      </w:r>
      <w:r w:rsidR="00AC27CD">
        <w:t>,</w:t>
      </w:r>
      <w:r>
        <w:t xml:space="preserve"> and the hearing judge found</w:t>
      </w:r>
      <w:r w:rsidR="00AC27CD">
        <w:t>,</w:t>
      </w:r>
      <w:r>
        <w:t xml:space="preserve"> that Nownejad failed to promptly pay </w:t>
      </w:r>
      <w:r w:rsidR="00AC27CD">
        <w:t xml:space="preserve">post-trial </w:t>
      </w:r>
      <w:r>
        <w:t xml:space="preserve">sanctions </w:t>
      </w:r>
      <w:r w:rsidR="00AC27CD">
        <w:t xml:space="preserve">imposed by </w:t>
      </w:r>
      <w:r w:rsidR="004F5AA8">
        <w:t xml:space="preserve">an order of the </w:t>
      </w:r>
      <w:r w:rsidR="00012DB7">
        <w:t xml:space="preserve">superior </w:t>
      </w:r>
      <w:r>
        <w:t>court</w:t>
      </w:r>
      <w:r w:rsidR="004F5AA8">
        <w:t xml:space="preserve"> dated</w:t>
      </w:r>
      <w:r>
        <w:t xml:space="preserve"> May 9, 2005.</w:t>
      </w:r>
      <w:r w:rsidR="00E01739">
        <w:t xml:space="preserve">  We found no evidence of this order in the record.</w:t>
      </w:r>
      <w:r w:rsidR="004F5AA8">
        <w:rPr>
          <w:rStyle w:val="FootnoteReference"/>
        </w:rPr>
        <w:footnoteReference w:id="7"/>
      </w:r>
      <w:r w:rsidR="00E01739">
        <w:t xml:space="preserve">  Nownejad denied </w:t>
      </w:r>
      <w:r w:rsidR="007F1E42">
        <w:t xml:space="preserve">violating </w:t>
      </w:r>
      <w:r w:rsidR="00E01739">
        <w:t>th</w:t>
      </w:r>
      <w:r w:rsidR="004D5008">
        <w:t>e</w:t>
      </w:r>
      <w:r w:rsidR="00E01739">
        <w:t xml:space="preserve"> order in his response to the NDC and admitted </w:t>
      </w:r>
      <w:r w:rsidR="00ED0E09">
        <w:t xml:space="preserve">during trial </w:t>
      </w:r>
      <w:r w:rsidR="00E01739">
        <w:t>only that he paid court reporter</w:t>
      </w:r>
      <w:r w:rsidR="00D551D5">
        <w:t xml:space="preserve"> fees late in the Norman matter</w:t>
      </w:r>
      <w:r w:rsidR="00393562">
        <w:t xml:space="preserve">.  He did not admit that he </w:t>
      </w:r>
      <w:r w:rsidR="00E01739">
        <w:t>failed to promptly pay sanctions</w:t>
      </w:r>
      <w:r w:rsidR="00393562">
        <w:t xml:space="preserve"> </w:t>
      </w:r>
      <w:r w:rsidR="00ED0E09">
        <w:t>that</w:t>
      </w:r>
      <w:r w:rsidR="00393562">
        <w:t xml:space="preserve"> were ordered on May 9, 2005</w:t>
      </w:r>
      <w:r w:rsidR="00E01739">
        <w:t>.</w:t>
      </w:r>
      <w:r w:rsidR="002F5CB7">
        <w:t xml:space="preserve">  </w:t>
      </w:r>
      <w:r w:rsidR="00D551D5">
        <w:t xml:space="preserve">We therefore conclude that the State Bar did not prove </w:t>
      </w:r>
      <w:r w:rsidR="007F1E42">
        <w:t xml:space="preserve">this charge by </w:t>
      </w:r>
      <w:r w:rsidR="00D551D5">
        <w:t>clear and convincing evidence.</w:t>
      </w:r>
    </w:p>
    <w:p w:rsidR="00EF6DB3" w:rsidRDefault="00EF6DB3" w:rsidP="00BA2B85">
      <w:pPr>
        <w:spacing w:line="480" w:lineRule="auto"/>
        <w:ind w:firstLine="720"/>
        <w:rPr>
          <w:b/>
        </w:rPr>
      </w:pPr>
      <w:r>
        <w:rPr>
          <w:b/>
        </w:rPr>
        <w:t>Count Three – Rule 4-200(A) (Unconscionable Fee)</w:t>
      </w:r>
    </w:p>
    <w:p w:rsidR="00F533BD" w:rsidRDefault="00586365" w:rsidP="00C014D6">
      <w:pPr>
        <w:spacing w:line="480" w:lineRule="auto"/>
      </w:pPr>
      <w:r>
        <w:rPr>
          <w:b/>
        </w:rPr>
        <w:tab/>
      </w:r>
      <w:r w:rsidR="00DA4460">
        <w:t xml:space="preserve">The State Bar </w:t>
      </w:r>
      <w:r w:rsidR="00A06F8F">
        <w:t xml:space="preserve">alleged </w:t>
      </w:r>
      <w:r w:rsidR="00C014D6">
        <w:t xml:space="preserve">and the hearing judge correctly found </w:t>
      </w:r>
      <w:r w:rsidR="00683D0D">
        <w:t xml:space="preserve">that </w:t>
      </w:r>
      <w:r w:rsidR="00A06F8F">
        <w:t xml:space="preserve">Nownejad </w:t>
      </w:r>
      <w:r w:rsidR="00DA4460">
        <w:t>char</w:t>
      </w:r>
      <w:r w:rsidR="00A06F8F">
        <w:t>ged and attempted</w:t>
      </w:r>
      <w:r w:rsidR="00DA4460">
        <w:t xml:space="preserve"> to collec</w:t>
      </w:r>
      <w:r w:rsidR="00E9105E">
        <w:t xml:space="preserve">t an unconscionable fee </w:t>
      </w:r>
      <w:r w:rsidR="00DA4460">
        <w:t xml:space="preserve">disproportionate to the value of services provided.  </w:t>
      </w:r>
      <w:r w:rsidR="00CA358D">
        <w:t xml:space="preserve">It is settled that a gross overcharge by an attorney may warrant discipline.  </w:t>
      </w:r>
      <w:proofErr w:type="gramStart"/>
      <w:r w:rsidR="00CA358D">
        <w:t>(</w:t>
      </w:r>
      <w:r w:rsidR="00CA358D" w:rsidRPr="00CA358D">
        <w:rPr>
          <w:i/>
        </w:rPr>
        <w:t>Bushman v. State Bar</w:t>
      </w:r>
      <w:r w:rsidR="00CA358D">
        <w:t xml:space="preserve"> </w:t>
      </w:r>
      <w:r w:rsidR="00CA358D">
        <w:lastRenderedPageBreak/>
        <w:t>(1974) 11 Cal.3d 558, 563.)</w:t>
      </w:r>
      <w:proofErr w:type="gramEnd"/>
      <w:r w:rsidR="00CA358D">
        <w:t xml:space="preserve">  A fee is unconscionable </w:t>
      </w:r>
      <w:r w:rsidR="00C014D6">
        <w:t xml:space="preserve">under rule 4-200(A) </w:t>
      </w:r>
      <w:r w:rsidR="00CA358D">
        <w:t xml:space="preserve">when it is exorbitant, </w:t>
      </w:r>
      <w:r w:rsidR="00957040">
        <w:t xml:space="preserve">and wholly </w:t>
      </w:r>
      <w:r w:rsidR="00CA358D">
        <w:t>disproportionate to the services performed</w:t>
      </w:r>
      <w:r w:rsidR="00957040">
        <w:t>,</w:t>
      </w:r>
      <w:r w:rsidR="00CA358D">
        <w:t xml:space="preserve"> and </w:t>
      </w:r>
      <w:r w:rsidR="00957040">
        <w:t>usually</w:t>
      </w:r>
      <w:r w:rsidR="00CA358D">
        <w:t xml:space="preserve"> involves an element of fraud </w:t>
      </w:r>
      <w:r w:rsidR="00957040">
        <w:t xml:space="preserve">or </w:t>
      </w:r>
      <w:r w:rsidR="00CA358D">
        <w:t xml:space="preserve">overreaching.  </w:t>
      </w:r>
      <w:proofErr w:type="gramStart"/>
      <w:r w:rsidR="00CA358D">
        <w:t>(</w:t>
      </w:r>
      <w:r w:rsidR="002F52A4">
        <w:rPr>
          <w:i/>
        </w:rPr>
        <w:t xml:space="preserve">Herrscher v. State Bar </w:t>
      </w:r>
      <w:r w:rsidR="002F52A4">
        <w:t>(1935) 4 Cal.2d 399, 402-403.)</w:t>
      </w:r>
      <w:proofErr w:type="gramEnd"/>
      <w:r w:rsidR="00CA358D">
        <w:t xml:space="preserve">  </w:t>
      </w:r>
      <w:r w:rsidR="00F533BD">
        <w:t>To determine whether a fee meets the te</w:t>
      </w:r>
      <w:r w:rsidR="00CE6B0E">
        <w:t>st of unconscionability, we consider the 11 nonexclusive factors listed in</w:t>
      </w:r>
      <w:r w:rsidR="00F533BD">
        <w:t xml:space="preserve"> </w:t>
      </w:r>
      <w:r w:rsidR="00385FAA">
        <w:t xml:space="preserve">     </w:t>
      </w:r>
      <w:r w:rsidR="00F533BD">
        <w:t>rule 4-200(B)</w:t>
      </w:r>
      <w:r w:rsidR="00CE6B0E">
        <w:t>.</w:t>
      </w:r>
      <w:r w:rsidR="00F533BD">
        <w:rPr>
          <w:rStyle w:val="FootnoteReference"/>
        </w:rPr>
        <w:footnoteReference w:id="8"/>
      </w:r>
      <w:r w:rsidR="00CE6B0E">
        <w:t xml:space="preserve">  </w:t>
      </w:r>
    </w:p>
    <w:p w:rsidR="00726192" w:rsidRDefault="00305980" w:rsidP="00305980">
      <w:pPr>
        <w:spacing w:line="480" w:lineRule="auto"/>
      </w:pPr>
      <w:r>
        <w:tab/>
      </w:r>
      <w:r w:rsidR="00F533BD">
        <w:t xml:space="preserve">We </w:t>
      </w:r>
      <w:r w:rsidR="002F52A4">
        <w:t>first</w:t>
      </w:r>
      <w:r w:rsidR="00F65DC1">
        <w:t xml:space="preserve"> </w:t>
      </w:r>
      <w:r w:rsidR="00BF5046">
        <w:t xml:space="preserve">consider </w:t>
      </w:r>
      <w:r w:rsidR="00F65DC1">
        <w:t>the</w:t>
      </w:r>
      <w:r w:rsidR="00BF5046">
        <w:t xml:space="preserve"> </w:t>
      </w:r>
      <w:r w:rsidR="00BF5046" w:rsidRPr="00A72E7E">
        <w:t>findings</w:t>
      </w:r>
      <w:r w:rsidR="00BF5046">
        <w:t xml:space="preserve"> </w:t>
      </w:r>
      <w:r w:rsidR="00BE070A">
        <w:t xml:space="preserve">by </w:t>
      </w:r>
      <w:r w:rsidR="00561DD2">
        <w:t>Judge Bryant-Deason</w:t>
      </w:r>
      <w:r w:rsidR="00BF5046">
        <w:t xml:space="preserve">.  </w:t>
      </w:r>
      <w:r w:rsidR="00BF5046" w:rsidRPr="00A72E7E">
        <w:t>(</w:t>
      </w:r>
      <w:r w:rsidR="00BF5046" w:rsidRPr="00A72E7E">
        <w:rPr>
          <w:i/>
        </w:rPr>
        <w:t>In the Matter of Scott</w:t>
      </w:r>
      <w:r w:rsidR="00BF5046">
        <w:t xml:space="preserve"> (Review Dept. 2002) </w:t>
      </w:r>
      <w:r w:rsidR="002F52A4">
        <w:t xml:space="preserve">4 </w:t>
      </w:r>
      <w:r w:rsidR="00BF5046" w:rsidRPr="00A72E7E">
        <w:t xml:space="preserve">Cal. State Bar Ct. Rptr. </w:t>
      </w:r>
      <w:r w:rsidR="00BF5046">
        <w:t xml:space="preserve">446, </w:t>
      </w:r>
      <w:r w:rsidR="00BF5046" w:rsidRPr="00A72E7E">
        <w:t>455</w:t>
      </w:r>
      <w:r w:rsidR="00907848">
        <w:t xml:space="preserve"> [c</w:t>
      </w:r>
      <w:r w:rsidR="00BF5046" w:rsidRPr="00A72E7E">
        <w:t>ivil verdicts, judgments and findings</w:t>
      </w:r>
      <w:r w:rsidR="00BF5046">
        <w:t xml:space="preserve"> entitled to strong presumption of validity].)  </w:t>
      </w:r>
      <w:r w:rsidR="00F65DC1">
        <w:t xml:space="preserve">Although </w:t>
      </w:r>
      <w:r w:rsidR="00493FC3">
        <w:t xml:space="preserve">the </w:t>
      </w:r>
      <w:r w:rsidR="00BF5046">
        <w:t xml:space="preserve">civil proceeding </w:t>
      </w:r>
      <w:r w:rsidR="006A79CF">
        <w:t>is not</w:t>
      </w:r>
      <w:r w:rsidR="00493FC3">
        <w:t xml:space="preserve"> </w:t>
      </w:r>
      <w:r w:rsidR="00F65DC1">
        <w:t>dispos</w:t>
      </w:r>
      <w:r w:rsidR="003579D6">
        <w:t>itive</w:t>
      </w:r>
      <w:r w:rsidR="004F5AA8">
        <w:t xml:space="preserve"> of</w:t>
      </w:r>
      <w:r w:rsidR="003579D6">
        <w:t xml:space="preserve"> culpability, it “</w:t>
      </w:r>
      <w:proofErr w:type="gramStart"/>
      <w:r w:rsidR="003579D6">
        <w:t>bear</w:t>
      </w:r>
      <w:r w:rsidR="002F52A4">
        <w:t>[</w:t>
      </w:r>
      <w:proofErr w:type="gramEnd"/>
      <w:r w:rsidR="003579D6">
        <w:t>s</w:t>
      </w:r>
      <w:r w:rsidR="002F52A4">
        <w:t>]</w:t>
      </w:r>
      <w:r w:rsidR="003579D6">
        <w:t xml:space="preserve"> a strong similarity, if not identity, to the charged disciplinary [mis]conduct</w:t>
      </w:r>
      <w:r w:rsidR="00BF5046">
        <w:t>.</w:t>
      </w:r>
      <w:r w:rsidR="003579D6">
        <w:t>”</w:t>
      </w:r>
      <w:r w:rsidR="00BF5046">
        <w:t xml:space="preserve">  (</w:t>
      </w:r>
      <w:r w:rsidR="00BF5046">
        <w:rPr>
          <w:i/>
        </w:rPr>
        <w:t>In the Matter of Lais</w:t>
      </w:r>
      <w:r w:rsidR="00BF5046">
        <w:t xml:space="preserve"> (Review Dept. 2000) 4 </w:t>
      </w:r>
      <w:smartTag w:uri="urn:schemas-microsoft-com:office:smarttags" w:element="State">
        <w:smartTag w:uri="urn:schemas-microsoft-com:office:smarttags" w:element="place">
          <w:r w:rsidR="00BF5046">
            <w:t>Cal.</w:t>
          </w:r>
        </w:smartTag>
      </w:smartTag>
      <w:r w:rsidR="00BF5046">
        <w:t xml:space="preserve"> </w:t>
      </w:r>
      <w:proofErr w:type="gramStart"/>
      <w:r w:rsidR="00BF5046">
        <w:t>State</w:t>
      </w:r>
      <w:proofErr w:type="gramEnd"/>
      <w:r w:rsidR="00BF5046">
        <w:t xml:space="preserve"> Bar Ct. Rptr. 112, 117.)  </w:t>
      </w:r>
      <w:r w:rsidR="00C014D6">
        <w:t>T</w:t>
      </w:r>
      <w:r w:rsidR="00563F33">
        <w:t xml:space="preserve">he </w:t>
      </w:r>
      <w:r>
        <w:t>civil court’s certified record</w:t>
      </w:r>
      <w:r w:rsidR="00C014D6">
        <w:t xml:space="preserve"> reveals that </w:t>
      </w:r>
      <w:r w:rsidR="00561DD2">
        <w:t>Judge Bryant-Deason was</w:t>
      </w:r>
      <w:r w:rsidR="00BE070A">
        <w:t xml:space="preserve"> guided by rule 4-200</w:t>
      </w:r>
      <w:r w:rsidR="00D02ACC">
        <w:t xml:space="preserve">(A), and relied on </w:t>
      </w:r>
      <w:r w:rsidR="005679D1">
        <w:t xml:space="preserve">credible </w:t>
      </w:r>
      <w:r w:rsidR="00C014D6">
        <w:t xml:space="preserve">expert testimony </w:t>
      </w:r>
      <w:r w:rsidR="00D02ACC">
        <w:t xml:space="preserve">to find that </w:t>
      </w:r>
      <w:r w:rsidR="00C014D6">
        <w:t xml:space="preserve">the </w:t>
      </w:r>
      <w:r w:rsidR="005679D1">
        <w:t xml:space="preserve">fees were unconscionable.  </w:t>
      </w:r>
      <w:r w:rsidR="00C014D6">
        <w:t xml:space="preserve">Since substantial evidence </w:t>
      </w:r>
      <w:r w:rsidR="004F5AA8">
        <w:t xml:space="preserve">supports </w:t>
      </w:r>
      <w:r w:rsidR="00D02ACC">
        <w:t>her findings and conclusion</w:t>
      </w:r>
      <w:r w:rsidR="00561DD2">
        <w:t xml:space="preserve">, </w:t>
      </w:r>
      <w:r w:rsidR="00C014D6">
        <w:t xml:space="preserve">we </w:t>
      </w:r>
      <w:r w:rsidR="005679D1">
        <w:t xml:space="preserve">accord them </w:t>
      </w:r>
      <w:r w:rsidR="00561DD2">
        <w:t xml:space="preserve">a </w:t>
      </w:r>
      <w:r w:rsidR="00C9281B">
        <w:t xml:space="preserve">strong presumption of validity.  </w:t>
      </w:r>
      <w:proofErr w:type="gramStart"/>
      <w:r w:rsidR="00C9281B">
        <w:t>(</w:t>
      </w:r>
      <w:r w:rsidR="00C9281B">
        <w:rPr>
          <w:i/>
        </w:rPr>
        <w:t>Maltaman v. State Bar</w:t>
      </w:r>
      <w:r w:rsidR="00C9281B">
        <w:t xml:space="preserve"> (1987) 43 Cal.3d 924, 948 [civil findings entitled to strong presumption of validity if supported by substantial evidence].)</w:t>
      </w:r>
      <w:proofErr w:type="gramEnd"/>
      <w:r w:rsidR="00C9281B">
        <w:t xml:space="preserve">   </w:t>
      </w:r>
    </w:p>
    <w:p w:rsidR="00B43D1A" w:rsidRDefault="00C014D6" w:rsidP="00305980">
      <w:pPr>
        <w:pStyle w:val="PlainText"/>
        <w:spacing w:line="480" w:lineRule="auto"/>
        <w:ind w:firstLine="720"/>
        <w:rPr>
          <w:rFonts w:ascii="Times New Roman" w:hAnsi="Times New Roman"/>
          <w:sz w:val="24"/>
          <w:szCs w:val="24"/>
        </w:rPr>
      </w:pPr>
      <w:r>
        <w:rPr>
          <w:rFonts w:ascii="Times New Roman" w:hAnsi="Times New Roman"/>
          <w:sz w:val="24"/>
          <w:szCs w:val="24"/>
        </w:rPr>
        <w:t xml:space="preserve">Judge Bryant-Deason made several </w:t>
      </w:r>
      <w:r w:rsidR="00D02ACC">
        <w:rPr>
          <w:rFonts w:ascii="Times New Roman" w:hAnsi="Times New Roman"/>
          <w:sz w:val="24"/>
          <w:szCs w:val="24"/>
        </w:rPr>
        <w:t xml:space="preserve">specific </w:t>
      </w:r>
      <w:r>
        <w:rPr>
          <w:rFonts w:ascii="Times New Roman" w:hAnsi="Times New Roman"/>
          <w:sz w:val="24"/>
          <w:szCs w:val="24"/>
        </w:rPr>
        <w:t>findings</w:t>
      </w:r>
      <w:r w:rsidR="00D02ACC">
        <w:rPr>
          <w:rFonts w:ascii="Times New Roman" w:hAnsi="Times New Roman"/>
          <w:sz w:val="24"/>
          <w:szCs w:val="24"/>
        </w:rPr>
        <w:t xml:space="preserve"> including</w:t>
      </w:r>
      <w:r>
        <w:rPr>
          <w:rFonts w:ascii="Times New Roman" w:hAnsi="Times New Roman"/>
          <w:sz w:val="24"/>
          <w:szCs w:val="24"/>
        </w:rPr>
        <w:t xml:space="preserve"> the following</w:t>
      </w:r>
      <w:r w:rsidR="00305980">
        <w:rPr>
          <w:rFonts w:ascii="Times New Roman" w:hAnsi="Times New Roman"/>
          <w:sz w:val="24"/>
          <w:szCs w:val="24"/>
        </w:rPr>
        <w:t>:</w:t>
      </w:r>
      <w:r w:rsidR="00851887">
        <w:rPr>
          <w:rFonts w:ascii="Times New Roman" w:hAnsi="Times New Roman"/>
          <w:sz w:val="24"/>
          <w:szCs w:val="24"/>
        </w:rPr>
        <w:t xml:space="preserve"> </w:t>
      </w:r>
      <w:r w:rsidR="00B43D1A">
        <w:rPr>
          <w:rFonts w:ascii="Times New Roman" w:hAnsi="Times New Roman"/>
          <w:sz w:val="24"/>
          <w:szCs w:val="24"/>
        </w:rPr>
        <w:t xml:space="preserve"> </w:t>
      </w:r>
      <w:r w:rsidR="00563F33">
        <w:rPr>
          <w:rFonts w:ascii="Times New Roman" w:hAnsi="Times New Roman"/>
          <w:sz w:val="24"/>
          <w:szCs w:val="24"/>
        </w:rPr>
        <w:t>(</w:t>
      </w:r>
      <w:r w:rsidR="00D22B27">
        <w:rPr>
          <w:rFonts w:ascii="Times New Roman" w:hAnsi="Times New Roman"/>
          <w:sz w:val="24"/>
          <w:szCs w:val="24"/>
        </w:rPr>
        <w:t>1) the $93,000 fee was not in proportion to the $10,000 value of the services performed</w:t>
      </w:r>
      <w:r w:rsidR="00563F33">
        <w:rPr>
          <w:rFonts w:ascii="Times New Roman" w:hAnsi="Times New Roman"/>
          <w:sz w:val="24"/>
          <w:szCs w:val="24"/>
        </w:rPr>
        <w:t>;</w:t>
      </w:r>
      <w:r w:rsidR="00D22B27">
        <w:rPr>
          <w:rFonts w:ascii="Times New Roman" w:hAnsi="Times New Roman"/>
          <w:sz w:val="24"/>
          <w:szCs w:val="24"/>
        </w:rPr>
        <w:t xml:space="preserve"> </w:t>
      </w:r>
      <w:r w:rsidR="00563F33">
        <w:rPr>
          <w:rFonts w:ascii="Times New Roman" w:hAnsi="Times New Roman"/>
          <w:sz w:val="24"/>
          <w:szCs w:val="24"/>
        </w:rPr>
        <w:t>(</w:t>
      </w:r>
      <w:r w:rsidR="00D22B27">
        <w:rPr>
          <w:rFonts w:ascii="Times New Roman" w:hAnsi="Times New Roman"/>
          <w:sz w:val="24"/>
          <w:szCs w:val="24"/>
        </w:rPr>
        <w:t xml:space="preserve">2) </w:t>
      </w:r>
      <w:r w:rsidR="00761375">
        <w:rPr>
          <w:rFonts w:ascii="Times New Roman" w:hAnsi="Times New Roman"/>
          <w:sz w:val="24"/>
          <w:szCs w:val="24"/>
        </w:rPr>
        <w:t xml:space="preserve">as an </w:t>
      </w:r>
      <w:r w:rsidR="00761375">
        <w:rPr>
          <w:rFonts w:ascii="Times New Roman" w:hAnsi="Times New Roman"/>
          <w:sz w:val="24"/>
          <w:szCs w:val="24"/>
        </w:rPr>
        <w:lastRenderedPageBreak/>
        <w:t xml:space="preserve">inexperienced family law practitioner, Nownejad </w:t>
      </w:r>
      <w:r w:rsidR="00563F33">
        <w:rPr>
          <w:rFonts w:ascii="Times New Roman" w:hAnsi="Times New Roman"/>
          <w:sz w:val="24"/>
          <w:szCs w:val="24"/>
        </w:rPr>
        <w:t>obtained</w:t>
      </w:r>
      <w:r w:rsidR="00761375">
        <w:rPr>
          <w:rFonts w:ascii="Times New Roman" w:hAnsi="Times New Roman"/>
          <w:sz w:val="24"/>
          <w:szCs w:val="24"/>
        </w:rPr>
        <w:t xml:space="preserve"> only a minimal benefit to Mrs. Norman, who was unsophisticated and vulnerable</w:t>
      </w:r>
      <w:r w:rsidR="00563F33">
        <w:rPr>
          <w:rFonts w:ascii="Times New Roman" w:hAnsi="Times New Roman"/>
          <w:sz w:val="24"/>
          <w:szCs w:val="24"/>
        </w:rPr>
        <w:t>;</w:t>
      </w:r>
      <w:r w:rsidR="00D22B27">
        <w:rPr>
          <w:rFonts w:ascii="Times New Roman" w:hAnsi="Times New Roman"/>
          <w:sz w:val="24"/>
          <w:szCs w:val="24"/>
        </w:rPr>
        <w:t xml:space="preserve"> </w:t>
      </w:r>
      <w:r w:rsidR="00563F33">
        <w:rPr>
          <w:rFonts w:ascii="Times New Roman" w:hAnsi="Times New Roman"/>
          <w:sz w:val="24"/>
          <w:szCs w:val="24"/>
        </w:rPr>
        <w:t>(</w:t>
      </w:r>
      <w:r w:rsidR="00D22B27">
        <w:rPr>
          <w:rFonts w:ascii="Times New Roman" w:hAnsi="Times New Roman"/>
          <w:sz w:val="24"/>
          <w:szCs w:val="24"/>
        </w:rPr>
        <w:t xml:space="preserve">3) Nownejad did not have the background, skill, experience or sophistication necessary </w:t>
      </w:r>
      <w:r w:rsidR="002153CD">
        <w:rPr>
          <w:rFonts w:ascii="Times New Roman" w:hAnsi="Times New Roman"/>
          <w:sz w:val="24"/>
          <w:szCs w:val="24"/>
        </w:rPr>
        <w:t>to act as counsel in the case</w:t>
      </w:r>
      <w:r w:rsidR="00563F33">
        <w:rPr>
          <w:rFonts w:ascii="Times New Roman" w:hAnsi="Times New Roman"/>
          <w:sz w:val="24"/>
          <w:szCs w:val="24"/>
        </w:rPr>
        <w:t>;</w:t>
      </w:r>
      <w:r w:rsidR="002153CD">
        <w:rPr>
          <w:rFonts w:ascii="Times New Roman" w:hAnsi="Times New Roman"/>
          <w:sz w:val="24"/>
          <w:szCs w:val="24"/>
        </w:rPr>
        <w:t xml:space="preserve"> </w:t>
      </w:r>
      <w:r w:rsidR="00563F33">
        <w:rPr>
          <w:rFonts w:ascii="Times New Roman" w:hAnsi="Times New Roman"/>
          <w:sz w:val="24"/>
          <w:szCs w:val="24"/>
        </w:rPr>
        <w:t>(</w:t>
      </w:r>
      <w:r w:rsidR="002153CD">
        <w:rPr>
          <w:rFonts w:ascii="Times New Roman" w:hAnsi="Times New Roman"/>
          <w:sz w:val="24"/>
          <w:szCs w:val="24"/>
        </w:rPr>
        <w:t>4</w:t>
      </w:r>
      <w:r w:rsidR="00D22B27">
        <w:rPr>
          <w:rFonts w:ascii="Times New Roman" w:hAnsi="Times New Roman"/>
          <w:sz w:val="24"/>
          <w:szCs w:val="24"/>
        </w:rPr>
        <w:t>)</w:t>
      </w:r>
      <w:r w:rsidR="00563F33">
        <w:rPr>
          <w:rFonts w:ascii="Times New Roman" w:hAnsi="Times New Roman"/>
          <w:sz w:val="24"/>
          <w:szCs w:val="24"/>
        </w:rPr>
        <w:t xml:space="preserve"> </w:t>
      </w:r>
      <w:r w:rsidR="00D02ACC">
        <w:rPr>
          <w:rFonts w:ascii="Times New Roman" w:hAnsi="Times New Roman"/>
          <w:sz w:val="24"/>
          <w:szCs w:val="24"/>
        </w:rPr>
        <w:t>Nownejad</w:t>
      </w:r>
      <w:r w:rsidR="00D22B27">
        <w:rPr>
          <w:rFonts w:ascii="Times New Roman" w:hAnsi="Times New Roman"/>
          <w:sz w:val="24"/>
          <w:szCs w:val="24"/>
        </w:rPr>
        <w:t xml:space="preserve"> failed to complete legal and accounti</w:t>
      </w:r>
      <w:r w:rsidR="002153CD">
        <w:rPr>
          <w:rFonts w:ascii="Times New Roman" w:hAnsi="Times New Roman"/>
          <w:sz w:val="24"/>
          <w:szCs w:val="24"/>
        </w:rPr>
        <w:t xml:space="preserve">ng services </w:t>
      </w:r>
      <w:r w:rsidR="00563F33">
        <w:rPr>
          <w:rFonts w:ascii="Times New Roman" w:hAnsi="Times New Roman"/>
          <w:sz w:val="24"/>
          <w:szCs w:val="24"/>
        </w:rPr>
        <w:t xml:space="preserve">required by </w:t>
      </w:r>
      <w:r w:rsidR="002153CD">
        <w:rPr>
          <w:rFonts w:ascii="Times New Roman" w:hAnsi="Times New Roman"/>
          <w:sz w:val="24"/>
          <w:szCs w:val="24"/>
        </w:rPr>
        <w:t>the case</w:t>
      </w:r>
      <w:r w:rsidR="00563F33">
        <w:rPr>
          <w:rFonts w:ascii="Times New Roman" w:hAnsi="Times New Roman"/>
          <w:sz w:val="24"/>
          <w:szCs w:val="24"/>
        </w:rPr>
        <w:t>;</w:t>
      </w:r>
      <w:r w:rsidR="002153CD">
        <w:rPr>
          <w:rFonts w:ascii="Times New Roman" w:hAnsi="Times New Roman"/>
          <w:sz w:val="24"/>
          <w:szCs w:val="24"/>
        </w:rPr>
        <w:t xml:space="preserve"> </w:t>
      </w:r>
      <w:r w:rsidR="00563F33">
        <w:rPr>
          <w:rFonts w:ascii="Times New Roman" w:hAnsi="Times New Roman"/>
          <w:sz w:val="24"/>
          <w:szCs w:val="24"/>
        </w:rPr>
        <w:t>(</w:t>
      </w:r>
      <w:r w:rsidR="002153CD">
        <w:rPr>
          <w:rFonts w:ascii="Times New Roman" w:hAnsi="Times New Roman"/>
          <w:sz w:val="24"/>
          <w:szCs w:val="24"/>
        </w:rPr>
        <w:t>5</w:t>
      </w:r>
      <w:r w:rsidR="00D22B27">
        <w:rPr>
          <w:rFonts w:ascii="Times New Roman" w:hAnsi="Times New Roman"/>
          <w:sz w:val="24"/>
          <w:szCs w:val="24"/>
        </w:rPr>
        <w:t xml:space="preserve">) Nownejad obtained a bare </w:t>
      </w:r>
      <w:r w:rsidR="002153CD">
        <w:rPr>
          <w:rFonts w:ascii="Times New Roman" w:hAnsi="Times New Roman"/>
          <w:sz w:val="24"/>
          <w:szCs w:val="24"/>
        </w:rPr>
        <w:t>minimum result</w:t>
      </w:r>
      <w:r w:rsidR="00563F33">
        <w:rPr>
          <w:rFonts w:ascii="Times New Roman" w:hAnsi="Times New Roman"/>
          <w:sz w:val="24"/>
          <w:szCs w:val="24"/>
        </w:rPr>
        <w:t>;</w:t>
      </w:r>
      <w:r w:rsidR="002153CD">
        <w:rPr>
          <w:rFonts w:ascii="Times New Roman" w:hAnsi="Times New Roman"/>
          <w:sz w:val="24"/>
          <w:szCs w:val="24"/>
        </w:rPr>
        <w:t xml:space="preserve"> </w:t>
      </w:r>
      <w:r w:rsidR="00563F33">
        <w:rPr>
          <w:rFonts w:ascii="Times New Roman" w:hAnsi="Times New Roman"/>
          <w:sz w:val="24"/>
          <w:szCs w:val="24"/>
        </w:rPr>
        <w:t>(</w:t>
      </w:r>
      <w:r w:rsidR="002153CD">
        <w:rPr>
          <w:rFonts w:ascii="Times New Roman" w:hAnsi="Times New Roman"/>
          <w:sz w:val="24"/>
          <w:szCs w:val="24"/>
        </w:rPr>
        <w:t>6</w:t>
      </w:r>
      <w:r w:rsidR="00D22B27">
        <w:rPr>
          <w:rFonts w:ascii="Times New Roman" w:hAnsi="Times New Roman"/>
          <w:sz w:val="24"/>
          <w:szCs w:val="24"/>
        </w:rPr>
        <w:t xml:space="preserve">) </w:t>
      </w:r>
      <w:r w:rsidR="002153CD">
        <w:rPr>
          <w:rFonts w:ascii="Times New Roman" w:hAnsi="Times New Roman"/>
          <w:sz w:val="24"/>
          <w:szCs w:val="24"/>
        </w:rPr>
        <w:t xml:space="preserve">the services rendered to Mrs. Norman could have been </w:t>
      </w:r>
      <w:r w:rsidR="00563F33">
        <w:rPr>
          <w:rFonts w:ascii="Times New Roman" w:hAnsi="Times New Roman"/>
          <w:sz w:val="24"/>
          <w:szCs w:val="24"/>
        </w:rPr>
        <w:t>done</w:t>
      </w:r>
      <w:r w:rsidR="002153CD">
        <w:rPr>
          <w:rFonts w:ascii="Times New Roman" w:hAnsi="Times New Roman"/>
          <w:sz w:val="24"/>
          <w:szCs w:val="24"/>
        </w:rPr>
        <w:t xml:space="preserve"> in far less time than Nownejad expended</w:t>
      </w:r>
      <w:r w:rsidR="00563F33">
        <w:rPr>
          <w:rFonts w:ascii="Times New Roman" w:hAnsi="Times New Roman"/>
          <w:sz w:val="24"/>
          <w:szCs w:val="24"/>
        </w:rPr>
        <w:t>;</w:t>
      </w:r>
      <w:r w:rsidR="002153CD">
        <w:rPr>
          <w:rFonts w:ascii="Times New Roman" w:hAnsi="Times New Roman"/>
          <w:sz w:val="24"/>
          <w:szCs w:val="24"/>
        </w:rPr>
        <w:t xml:space="preserve"> </w:t>
      </w:r>
      <w:r w:rsidR="00563F33">
        <w:rPr>
          <w:rFonts w:ascii="Times New Roman" w:hAnsi="Times New Roman"/>
          <w:sz w:val="24"/>
          <w:szCs w:val="24"/>
        </w:rPr>
        <w:t>and (</w:t>
      </w:r>
      <w:r w:rsidR="002153CD">
        <w:rPr>
          <w:rFonts w:ascii="Times New Roman" w:hAnsi="Times New Roman"/>
          <w:sz w:val="24"/>
          <w:szCs w:val="24"/>
        </w:rPr>
        <w:t xml:space="preserve">7) </w:t>
      </w:r>
      <w:r w:rsidR="00563F33">
        <w:rPr>
          <w:rFonts w:ascii="Times New Roman" w:hAnsi="Times New Roman"/>
          <w:sz w:val="24"/>
          <w:szCs w:val="24"/>
        </w:rPr>
        <w:t xml:space="preserve">Mrs. </w:t>
      </w:r>
      <w:r w:rsidR="002153CD">
        <w:rPr>
          <w:rFonts w:ascii="Times New Roman" w:hAnsi="Times New Roman"/>
          <w:sz w:val="24"/>
          <w:szCs w:val="24"/>
        </w:rPr>
        <w:t xml:space="preserve">Norman did not </w:t>
      </w:r>
      <w:r w:rsidR="00563F33">
        <w:rPr>
          <w:rFonts w:ascii="Times New Roman" w:hAnsi="Times New Roman"/>
          <w:sz w:val="24"/>
          <w:szCs w:val="24"/>
        </w:rPr>
        <w:t>give</w:t>
      </w:r>
      <w:r w:rsidR="002153CD">
        <w:rPr>
          <w:rFonts w:ascii="Times New Roman" w:hAnsi="Times New Roman"/>
          <w:sz w:val="24"/>
          <w:szCs w:val="24"/>
        </w:rPr>
        <w:t xml:space="preserve"> informed consent to the fee.  </w:t>
      </w:r>
    </w:p>
    <w:p w:rsidR="0005413D" w:rsidRDefault="00305980" w:rsidP="00305980">
      <w:pPr>
        <w:pStyle w:val="PlainText"/>
        <w:spacing w:line="480" w:lineRule="auto"/>
        <w:ind w:firstLine="720"/>
        <w:rPr>
          <w:rFonts w:ascii="Times New Roman" w:hAnsi="Times New Roman"/>
          <w:sz w:val="24"/>
          <w:szCs w:val="24"/>
        </w:rPr>
      </w:pPr>
      <w:r>
        <w:rPr>
          <w:rFonts w:ascii="Times New Roman" w:hAnsi="Times New Roman"/>
          <w:sz w:val="24"/>
          <w:szCs w:val="24"/>
        </w:rPr>
        <w:t xml:space="preserve">The </w:t>
      </w:r>
      <w:r w:rsidR="004B3612">
        <w:rPr>
          <w:rFonts w:ascii="Times New Roman" w:hAnsi="Times New Roman"/>
          <w:sz w:val="24"/>
          <w:szCs w:val="24"/>
        </w:rPr>
        <w:t xml:space="preserve">hearing judge </w:t>
      </w:r>
      <w:r w:rsidR="005679D1">
        <w:rPr>
          <w:rFonts w:ascii="Times New Roman" w:hAnsi="Times New Roman"/>
          <w:sz w:val="24"/>
          <w:szCs w:val="24"/>
        </w:rPr>
        <w:t xml:space="preserve">also concluded </w:t>
      </w:r>
      <w:r w:rsidR="00B43D1A">
        <w:rPr>
          <w:rFonts w:ascii="Times New Roman" w:hAnsi="Times New Roman"/>
          <w:sz w:val="24"/>
          <w:szCs w:val="24"/>
        </w:rPr>
        <w:t xml:space="preserve">that </w:t>
      </w:r>
      <w:r w:rsidR="00C014D6">
        <w:rPr>
          <w:rFonts w:ascii="Times New Roman" w:hAnsi="Times New Roman"/>
          <w:sz w:val="24"/>
          <w:szCs w:val="24"/>
        </w:rPr>
        <w:t xml:space="preserve">Nownejad’s </w:t>
      </w:r>
      <w:r w:rsidR="005679D1">
        <w:rPr>
          <w:rFonts w:ascii="Times New Roman" w:hAnsi="Times New Roman"/>
          <w:sz w:val="24"/>
          <w:szCs w:val="24"/>
        </w:rPr>
        <w:t xml:space="preserve">fee was unconscionable and </w:t>
      </w:r>
      <w:r>
        <w:rPr>
          <w:rFonts w:ascii="Times New Roman" w:hAnsi="Times New Roman"/>
          <w:sz w:val="24"/>
          <w:szCs w:val="24"/>
        </w:rPr>
        <w:t>made several findings</w:t>
      </w:r>
      <w:r w:rsidR="00C014D6">
        <w:rPr>
          <w:rFonts w:ascii="Times New Roman" w:hAnsi="Times New Roman"/>
          <w:sz w:val="24"/>
          <w:szCs w:val="24"/>
        </w:rPr>
        <w:t xml:space="preserve"> in addition to those made by Judge Bryant-Deason</w:t>
      </w:r>
      <w:r w:rsidR="002D3F5E">
        <w:rPr>
          <w:rFonts w:ascii="Times New Roman" w:hAnsi="Times New Roman"/>
          <w:sz w:val="24"/>
          <w:szCs w:val="24"/>
        </w:rPr>
        <w:t xml:space="preserve">.  </w:t>
      </w:r>
      <w:r>
        <w:rPr>
          <w:rFonts w:ascii="Times New Roman" w:hAnsi="Times New Roman"/>
          <w:sz w:val="24"/>
          <w:szCs w:val="24"/>
        </w:rPr>
        <w:t xml:space="preserve">For example, </w:t>
      </w:r>
      <w:r w:rsidR="002D3F5E">
        <w:rPr>
          <w:rFonts w:ascii="Times New Roman" w:hAnsi="Times New Roman"/>
          <w:sz w:val="24"/>
          <w:szCs w:val="24"/>
        </w:rPr>
        <w:t xml:space="preserve">Nownejad routinely billed </w:t>
      </w:r>
      <w:r w:rsidR="00563F33">
        <w:rPr>
          <w:rFonts w:ascii="Times New Roman" w:hAnsi="Times New Roman"/>
          <w:sz w:val="24"/>
          <w:szCs w:val="24"/>
        </w:rPr>
        <w:t xml:space="preserve">Mrs. </w:t>
      </w:r>
      <w:r w:rsidR="002D3F5E">
        <w:rPr>
          <w:rFonts w:ascii="Times New Roman" w:hAnsi="Times New Roman"/>
          <w:sz w:val="24"/>
          <w:szCs w:val="24"/>
        </w:rPr>
        <w:t xml:space="preserve">Norman without </w:t>
      </w:r>
      <w:r w:rsidR="00B43D1A">
        <w:rPr>
          <w:rFonts w:ascii="Times New Roman" w:hAnsi="Times New Roman"/>
          <w:sz w:val="24"/>
          <w:szCs w:val="24"/>
        </w:rPr>
        <w:t xml:space="preserve">confirming whether the </w:t>
      </w:r>
      <w:r w:rsidR="0005413D">
        <w:rPr>
          <w:rFonts w:ascii="Times New Roman" w:hAnsi="Times New Roman"/>
          <w:sz w:val="24"/>
          <w:szCs w:val="24"/>
        </w:rPr>
        <w:t>charge was warranted</w:t>
      </w:r>
      <w:r w:rsidR="002D3F5E">
        <w:rPr>
          <w:rFonts w:ascii="Times New Roman" w:hAnsi="Times New Roman"/>
          <w:sz w:val="24"/>
          <w:szCs w:val="24"/>
        </w:rPr>
        <w:t xml:space="preserve">, whether the time billed by a contract attorney was merely for clerical </w:t>
      </w:r>
      <w:r w:rsidR="002507A2">
        <w:rPr>
          <w:rFonts w:ascii="Times New Roman" w:hAnsi="Times New Roman"/>
          <w:sz w:val="24"/>
          <w:szCs w:val="24"/>
        </w:rPr>
        <w:t>services</w:t>
      </w:r>
      <w:r w:rsidR="002D3F5E">
        <w:rPr>
          <w:rFonts w:ascii="Times New Roman" w:hAnsi="Times New Roman"/>
          <w:sz w:val="24"/>
          <w:szCs w:val="24"/>
        </w:rPr>
        <w:t xml:space="preserve">, and whether the contract attorney </w:t>
      </w:r>
      <w:r w:rsidR="0005413D">
        <w:rPr>
          <w:rFonts w:ascii="Times New Roman" w:hAnsi="Times New Roman"/>
          <w:sz w:val="24"/>
          <w:szCs w:val="24"/>
        </w:rPr>
        <w:t xml:space="preserve">billed </w:t>
      </w:r>
      <w:r w:rsidR="002D3F5E">
        <w:rPr>
          <w:rFonts w:ascii="Times New Roman" w:hAnsi="Times New Roman"/>
          <w:sz w:val="24"/>
          <w:szCs w:val="24"/>
        </w:rPr>
        <w:t xml:space="preserve">work to the correct client.  </w:t>
      </w:r>
      <w:r w:rsidR="0097127B">
        <w:rPr>
          <w:rFonts w:ascii="Times New Roman" w:hAnsi="Times New Roman"/>
          <w:sz w:val="24"/>
          <w:szCs w:val="24"/>
        </w:rPr>
        <w:t>As a result</w:t>
      </w:r>
      <w:r w:rsidR="004F5AA8">
        <w:rPr>
          <w:rFonts w:ascii="Times New Roman" w:hAnsi="Times New Roman"/>
          <w:sz w:val="24"/>
          <w:szCs w:val="24"/>
        </w:rPr>
        <w:t>,</w:t>
      </w:r>
      <w:r w:rsidR="0005413D">
        <w:rPr>
          <w:rFonts w:ascii="Times New Roman" w:hAnsi="Times New Roman"/>
          <w:sz w:val="24"/>
          <w:szCs w:val="24"/>
        </w:rPr>
        <w:t xml:space="preserve"> and </w:t>
      </w:r>
      <w:r w:rsidR="0097127B">
        <w:rPr>
          <w:rFonts w:ascii="Times New Roman" w:hAnsi="Times New Roman"/>
          <w:sz w:val="24"/>
          <w:szCs w:val="24"/>
        </w:rPr>
        <w:t xml:space="preserve">contrary to </w:t>
      </w:r>
      <w:r w:rsidR="0005413D">
        <w:rPr>
          <w:rFonts w:ascii="Times New Roman" w:hAnsi="Times New Roman"/>
          <w:sz w:val="24"/>
          <w:szCs w:val="24"/>
        </w:rPr>
        <w:t xml:space="preserve">the fee </w:t>
      </w:r>
      <w:r w:rsidR="0097127B">
        <w:rPr>
          <w:rFonts w:ascii="Times New Roman" w:hAnsi="Times New Roman"/>
          <w:sz w:val="24"/>
          <w:szCs w:val="24"/>
        </w:rPr>
        <w:t xml:space="preserve">agreement, Nownejad’s bills improperly charged </w:t>
      </w:r>
      <w:r w:rsidR="007F147A">
        <w:rPr>
          <w:rFonts w:ascii="Times New Roman" w:hAnsi="Times New Roman"/>
          <w:sz w:val="24"/>
          <w:szCs w:val="24"/>
        </w:rPr>
        <w:t>for more than</w:t>
      </w:r>
      <w:r w:rsidR="0097127B">
        <w:rPr>
          <w:rFonts w:ascii="Times New Roman" w:hAnsi="Times New Roman"/>
          <w:sz w:val="24"/>
          <w:szCs w:val="24"/>
        </w:rPr>
        <w:t xml:space="preserve"> one att</w:t>
      </w:r>
      <w:r w:rsidR="00773A49">
        <w:rPr>
          <w:rFonts w:ascii="Times New Roman" w:hAnsi="Times New Roman"/>
          <w:sz w:val="24"/>
          <w:szCs w:val="24"/>
        </w:rPr>
        <w:t xml:space="preserve">orney </w:t>
      </w:r>
      <w:r w:rsidR="007F147A">
        <w:rPr>
          <w:rFonts w:ascii="Times New Roman" w:hAnsi="Times New Roman"/>
          <w:sz w:val="24"/>
          <w:szCs w:val="24"/>
        </w:rPr>
        <w:t xml:space="preserve">to attend meetings </w:t>
      </w:r>
      <w:r w:rsidR="00773A49">
        <w:rPr>
          <w:rFonts w:ascii="Times New Roman" w:hAnsi="Times New Roman"/>
          <w:sz w:val="24"/>
          <w:szCs w:val="24"/>
        </w:rPr>
        <w:t>and</w:t>
      </w:r>
      <w:r w:rsidR="0097127B">
        <w:rPr>
          <w:rFonts w:ascii="Times New Roman" w:hAnsi="Times New Roman"/>
          <w:sz w:val="24"/>
          <w:szCs w:val="24"/>
        </w:rPr>
        <w:t xml:space="preserve"> consistently billed clerical work at </w:t>
      </w:r>
      <w:r w:rsidR="005404BF">
        <w:rPr>
          <w:rFonts w:ascii="Times New Roman" w:hAnsi="Times New Roman"/>
          <w:sz w:val="24"/>
          <w:szCs w:val="24"/>
        </w:rPr>
        <w:t xml:space="preserve">a rate of </w:t>
      </w:r>
      <w:r w:rsidR="0097127B">
        <w:rPr>
          <w:rFonts w:ascii="Times New Roman" w:hAnsi="Times New Roman"/>
          <w:sz w:val="24"/>
          <w:szCs w:val="24"/>
        </w:rPr>
        <w:t>$250/hr in</w:t>
      </w:r>
      <w:r w:rsidR="005404BF">
        <w:rPr>
          <w:rFonts w:ascii="Times New Roman" w:hAnsi="Times New Roman"/>
          <w:sz w:val="24"/>
          <w:szCs w:val="24"/>
        </w:rPr>
        <w:t>stead of the agreed</w:t>
      </w:r>
      <w:r w:rsidR="002507A2">
        <w:rPr>
          <w:rFonts w:ascii="Times New Roman" w:hAnsi="Times New Roman"/>
          <w:sz w:val="24"/>
          <w:szCs w:val="24"/>
        </w:rPr>
        <w:t>-</w:t>
      </w:r>
      <w:r w:rsidR="005404BF">
        <w:rPr>
          <w:rFonts w:ascii="Times New Roman" w:hAnsi="Times New Roman"/>
          <w:sz w:val="24"/>
          <w:szCs w:val="24"/>
        </w:rPr>
        <w:t>upon $50/hr</w:t>
      </w:r>
      <w:r w:rsidR="0097127B">
        <w:rPr>
          <w:rFonts w:ascii="Times New Roman" w:hAnsi="Times New Roman"/>
          <w:sz w:val="24"/>
          <w:szCs w:val="24"/>
        </w:rPr>
        <w:t>.</w:t>
      </w:r>
      <w:r w:rsidR="00616C21">
        <w:rPr>
          <w:rFonts w:ascii="Times New Roman" w:hAnsi="Times New Roman"/>
          <w:sz w:val="24"/>
          <w:szCs w:val="24"/>
        </w:rPr>
        <w:t xml:space="preserve">  Nownejad </w:t>
      </w:r>
      <w:r w:rsidR="0005413D">
        <w:rPr>
          <w:rFonts w:ascii="Times New Roman" w:hAnsi="Times New Roman"/>
          <w:sz w:val="24"/>
          <w:szCs w:val="24"/>
        </w:rPr>
        <w:t xml:space="preserve">also </w:t>
      </w:r>
      <w:r w:rsidR="00616C21">
        <w:rPr>
          <w:rFonts w:ascii="Times New Roman" w:hAnsi="Times New Roman"/>
          <w:sz w:val="24"/>
          <w:szCs w:val="24"/>
        </w:rPr>
        <w:t>double-bille</w:t>
      </w:r>
      <w:r w:rsidR="00FF4AC4">
        <w:rPr>
          <w:rFonts w:ascii="Times New Roman" w:hAnsi="Times New Roman"/>
          <w:sz w:val="24"/>
          <w:szCs w:val="24"/>
        </w:rPr>
        <w:t>d over $3,000</w:t>
      </w:r>
      <w:r w:rsidR="0005413D">
        <w:rPr>
          <w:rFonts w:ascii="Times New Roman" w:hAnsi="Times New Roman"/>
          <w:sz w:val="24"/>
          <w:szCs w:val="24"/>
        </w:rPr>
        <w:t>,</w:t>
      </w:r>
      <w:r w:rsidR="00EE679C">
        <w:rPr>
          <w:rFonts w:ascii="Times New Roman" w:hAnsi="Times New Roman"/>
          <w:sz w:val="24"/>
          <w:szCs w:val="24"/>
        </w:rPr>
        <w:t xml:space="preserve"> charged </w:t>
      </w:r>
      <w:r w:rsidR="0005413D">
        <w:rPr>
          <w:rFonts w:ascii="Times New Roman" w:hAnsi="Times New Roman"/>
          <w:sz w:val="24"/>
          <w:szCs w:val="24"/>
        </w:rPr>
        <w:t xml:space="preserve">Mrs. </w:t>
      </w:r>
      <w:r w:rsidR="005404BF">
        <w:rPr>
          <w:rFonts w:ascii="Times New Roman" w:hAnsi="Times New Roman"/>
          <w:sz w:val="24"/>
          <w:szCs w:val="24"/>
        </w:rPr>
        <w:t xml:space="preserve">Norman for </w:t>
      </w:r>
      <w:r w:rsidR="00616C21">
        <w:rPr>
          <w:rFonts w:ascii="Times New Roman" w:hAnsi="Times New Roman"/>
          <w:sz w:val="24"/>
          <w:szCs w:val="24"/>
        </w:rPr>
        <w:t xml:space="preserve">work </w:t>
      </w:r>
      <w:r w:rsidR="0005413D">
        <w:rPr>
          <w:rFonts w:ascii="Times New Roman" w:hAnsi="Times New Roman"/>
          <w:sz w:val="24"/>
          <w:szCs w:val="24"/>
        </w:rPr>
        <w:t>on a</w:t>
      </w:r>
      <w:r w:rsidR="002507A2">
        <w:rPr>
          <w:rFonts w:ascii="Times New Roman" w:hAnsi="Times New Roman"/>
          <w:sz w:val="24"/>
          <w:szCs w:val="24"/>
        </w:rPr>
        <w:t>nother</w:t>
      </w:r>
      <w:r w:rsidR="005404BF">
        <w:rPr>
          <w:rFonts w:ascii="Times New Roman" w:hAnsi="Times New Roman"/>
          <w:sz w:val="24"/>
          <w:szCs w:val="24"/>
        </w:rPr>
        <w:t xml:space="preserve"> </w:t>
      </w:r>
      <w:r w:rsidR="00616C21">
        <w:rPr>
          <w:rFonts w:ascii="Times New Roman" w:hAnsi="Times New Roman"/>
          <w:sz w:val="24"/>
          <w:szCs w:val="24"/>
        </w:rPr>
        <w:t>client</w:t>
      </w:r>
      <w:r w:rsidR="0005413D">
        <w:rPr>
          <w:rFonts w:ascii="Times New Roman" w:hAnsi="Times New Roman"/>
          <w:sz w:val="24"/>
          <w:szCs w:val="24"/>
        </w:rPr>
        <w:t xml:space="preserve">’s case, and billed </w:t>
      </w:r>
      <w:r w:rsidR="00247EC3">
        <w:rPr>
          <w:rFonts w:ascii="Times New Roman" w:hAnsi="Times New Roman"/>
          <w:sz w:val="24"/>
          <w:szCs w:val="24"/>
        </w:rPr>
        <w:t xml:space="preserve">for work performed after </w:t>
      </w:r>
      <w:r w:rsidR="0005413D">
        <w:rPr>
          <w:rFonts w:ascii="Times New Roman" w:hAnsi="Times New Roman"/>
          <w:sz w:val="24"/>
          <w:szCs w:val="24"/>
        </w:rPr>
        <w:t xml:space="preserve">Mrs. </w:t>
      </w:r>
      <w:r w:rsidR="00247EC3">
        <w:rPr>
          <w:rFonts w:ascii="Times New Roman" w:hAnsi="Times New Roman"/>
          <w:sz w:val="24"/>
          <w:szCs w:val="24"/>
        </w:rPr>
        <w:t>Norman terminated his services.</w:t>
      </w:r>
      <w:r w:rsidR="009F65BA">
        <w:rPr>
          <w:rFonts w:ascii="Times New Roman" w:hAnsi="Times New Roman"/>
          <w:sz w:val="24"/>
          <w:szCs w:val="24"/>
        </w:rPr>
        <w:t xml:space="preserve"> </w:t>
      </w:r>
      <w:r w:rsidR="00D41719">
        <w:rPr>
          <w:rFonts w:ascii="Times New Roman" w:hAnsi="Times New Roman"/>
          <w:sz w:val="24"/>
          <w:szCs w:val="24"/>
        </w:rPr>
        <w:t xml:space="preserve"> </w:t>
      </w:r>
    </w:p>
    <w:p w:rsidR="00305980" w:rsidRPr="00305980" w:rsidRDefault="00FB2F8D" w:rsidP="00305980">
      <w:pPr>
        <w:pStyle w:val="PlainText"/>
        <w:spacing w:line="480" w:lineRule="auto"/>
        <w:ind w:firstLine="720"/>
        <w:rPr>
          <w:rFonts w:ascii="Times New Roman" w:hAnsi="Times New Roman"/>
          <w:sz w:val="24"/>
          <w:szCs w:val="24"/>
        </w:rPr>
      </w:pPr>
      <w:r>
        <w:rPr>
          <w:rFonts w:ascii="Times New Roman" w:hAnsi="Times New Roman"/>
          <w:sz w:val="24"/>
          <w:szCs w:val="24"/>
        </w:rPr>
        <w:t>W</w:t>
      </w:r>
      <w:r w:rsidR="004B3612">
        <w:rPr>
          <w:rFonts w:ascii="Times New Roman" w:hAnsi="Times New Roman"/>
          <w:sz w:val="24"/>
          <w:szCs w:val="24"/>
        </w:rPr>
        <w:t xml:space="preserve">e </w:t>
      </w:r>
      <w:r w:rsidR="005679D1">
        <w:rPr>
          <w:rFonts w:ascii="Times New Roman" w:hAnsi="Times New Roman"/>
          <w:sz w:val="24"/>
          <w:szCs w:val="24"/>
        </w:rPr>
        <w:t xml:space="preserve">adopt </w:t>
      </w:r>
      <w:r w:rsidR="007F147A">
        <w:rPr>
          <w:rFonts w:ascii="Times New Roman" w:hAnsi="Times New Roman"/>
          <w:sz w:val="24"/>
          <w:szCs w:val="24"/>
        </w:rPr>
        <w:t>the findings and conclusions of both Judge Bryant-Deason and the hearing judge</w:t>
      </w:r>
      <w:r w:rsidR="00B43D1A">
        <w:rPr>
          <w:rFonts w:ascii="Times New Roman" w:hAnsi="Times New Roman"/>
          <w:sz w:val="24"/>
          <w:szCs w:val="24"/>
        </w:rPr>
        <w:t xml:space="preserve"> that </w:t>
      </w:r>
      <w:r>
        <w:rPr>
          <w:rFonts w:ascii="Times New Roman" w:hAnsi="Times New Roman"/>
          <w:sz w:val="24"/>
          <w:szCs w:val="24"/>
        </w:rPr>
        <w:t xml:space="preserve">Nownejad charged and sought to collect an </w:t>
      </w:r>
      <w:r w:rsidR="00D277B4">
        <w:rPr>
          <w:rFonts w:ascii="Times New Roman" w:hAnsi="Times New Roman"/>
          <w:sz w:val="24"/>
          <w:szCs w:val="24"/>
        </w:rPr>
        <w:t xml:space="preserve">unconscionable fee.  </w:t>
      </w:r>
      <w:r w:rsidR="007C5490">
        <w:rPr>
          <w:rFonts w:ascii="Times New Roman" w:hAnsi="Times New Roman"/>
          <w:sz w:val="24"/>
          <w:szCs w:val="24"/>
        </w:rPr>
        <w:t>A</w:t>
      </w:r>
      <w:r w:rsidR="00305980" w:rsidRPr="00305980">
        <w:rPr>
          <w:rFonts w:ascii="Times New Roman" w:hAnsi="Times New Roman"/>
          <w:sz w:val="24"/>
          <w:szCs w:val="24"/>
        </w:rPr>
        <w:t>lthough</w:t>
      </w:r>
      <w:r w:rsidR="00B43D1A">
        <w:rPr>
          <w:rFonts w:ascii="Times New Roman" w:hAnsi="Times New Roman"/>
          <w:sz w:val="24"/>
          <w:szCs w:val="24"/>
        </w:rPr>
        <w:t xml:space="preserve"> Nownejad</w:t>
      </w:r>
      <w:r w:rsidR="00305980" w:rsidRPr="00305980">
        <w:rPr>
          <w:rFonts w:ascii="Times New Roman" w:hAnsi="Times New Roman"/>
          <w:sz w:val="24"/>
          <w:szCs w:val="24"/>
        </w:rPr>
        <w:t xml:space="preserve"> presented a family law expert </w:t>
      </w:r>
      <w:r w:rsidR="005C280B">
        <w:rPr>
          <w:rFonts w:ascii="Times New Roman" w:hAnsi="Times New Roman"/>
          <w:sz w:val="24"/>
          <w:szCs w:val="24"/>
        </w:rPr>
        <w:t xml:space="preserve">at his disciplinary trial </w:t>
      </w:r>
      <w:r w:rsidR="00305980" w:rsidRPr="00305980">
        <w:rPr>
          <w:rFonts w:ascii="Times New Roman" w:hAnsi="Times New Roman"/>
          <w:sz w:val="24"/>
          <w:szCs w:val="24"/>
        </w:rPr>
        <w:t xml:space="preserve">who </w:t>
      </w:r>
      <w:r w:rsidR="0065354E">
        <w:rPr>
          <w:rFonts w:ascii="Times New Roman" w:hAnsi="Times New Roman"/>
          <w:sz w:val="24"/>
          <w:szCs w:val="24"/>
        </w:rPr>
        <w:t>stated</w:t>
      </w:r>
      <w:r w:rsidR="00305980" w:rsidRPr="00305980">
        <w:rPr>
          <w:rFonts w:ascii="Times New Roman" w:hAnsi="Times New Roman"/>
          <w:sz w:val="24"/>
          <w:szCs w:val="24"/>
        </w:rPr>
        <w:t xml:space="preserve"> that </w:t>
      </w:r>
      <w:r w:rsidR="007C5490">
        <w:rPr>
          <w:rFonts w:ascii="Times New Roman" w:hAnsi="Times New Roman"/>
          <w:sz w:val="24"/>
          <w:szCs w:val="24"/>
        </w:rPr>
        <w:t>his</w:t>
      </w:r>
      <w:r w:rsidR="00305980" w:rsidRPr="00305980">
        <w:rPr>
          <w:rFonts w:ascii="Times New Roman" w:hAnsi="Times New Roman"/>
          <w:sz w:val="24"/>
          <w:szCs w:val="24"/>
        </w:rPr>
        <w:t xml:space="preserve"> fees were reasonable, the hearing judge </w:t>
      </w:r>
      <w:r w:rsidR="00305980">
        <w:rPr>
          <w:rFonts w:ascii="Times New Roman" w:hAnsi="Times New Roman"/>
          <w:sz w:val="24"/>
          <w:szCs w:val="24"/>
        </w:rPr>
        <w:t>was</w:t>
      </w:r>
      <w:r w:rsidR="0065354E">
        <w:rPr>
          <w:rFonts w:ascii="Times New Roman" w:hAnsi="Times New Roman"/>
          <w:sz w:val="24"/>
          <w:szCs w:val="24"/>
        </w:rPr>
        <w:t xml:space="preserve"> </w:t>
      </w:r>
      <w:r w:rsidR="00305980" w:rsidRPr="00305980">
        <w:rPr>
          <w:rFonts w:ascii="Times New Roman" w:hAnsi="Times New Roman"/>
          <w:sz w:val="24"/>
          <w:szCs w:val="24"/>
        </w:rPr>
        <w:t>not persuaded</w:t>
      </w:r>
      <w:r w:rsidR="007C5490">
        <w:rPr>
          <w:rFonts w:ascii="Times New Roman" w:hAnsi="Times New Roman"/>
          <w:sz w:val="24"/>
          <w:szCs w:val="24"/>
        </w:rPr>
        <w:t>, nor are we in light of the evidence presented</w:t>
      </w:r>
      <w:r w:rsidR="005679D1">
        <w:rPr>
          <w:rFonts w:ascii="Times New Roman" w:hAnsi="Times New Roman"/>
          <w:sz w:val="24"/>
          <w:szCs w:val="24"/>
        </w:rPr>
        <w:t xml:space="preserve">.  </w:t>
      </w:r>
      <w:r w:rsidR="007C5490">
        <w:rPr>
          <w:rFonts w:ascii="Times New Roman" w:hAnsi="Times New Roman"/>
          <w:sz w:val="24"/>
          <w:szCs w:val="24"/>
        </w:rPr>
        <w:t>And after</w:t>
      </w:r>
      <w:r w:rsidR="005679D1">
        <w:rPr>
          <w:rFonts w:ascii="Times New Roman" w:hAnsi="Times New Roman"/>
          <w:sz w:val="24"/>
          <w:szCs w:val="24"/>
        </w:rPr>
        <w:t xml:space="preserve"> </w:t>
      </w:r>
      <w:r w:rsidR="005A1793">
        <w:rPr>
          <w:rFonts w:ascii="Times New Roman" w:hAnsi="Times New Roman"/>
          <w:sz w:val="24"/>
          <w:szCs w:val="24"/>
        </w:rPr>
        <w:t xml:space="preserve">reviewing </w:t>
      </w:r>
      <w:r w:rsidR="00D02ACC">
        <w:rPr>
          <w:rFonts w:ascii="Times New Roman" w:hAnsi="Times New Roman"/>
          <w:sz w:val="24"/>
          <w:szCs w:val="24"/>
        </w:rPr>
        <w:t>the record</w:t>
      </w:r>
      <w:r w:rsidR="005A1793">
        <w:rPr>
          <w:rFonts w:ascii="Times New Roman" w:hAnsi="Times New Roman"/>
          <w:sz w:val="24"/>
          <w:szCs w:val="24"/>
        </w:rPr>
        <w:t xml:space="preserve">, particularly the </w:t>
      </w:r>
      <w:r w:rsidR="007C5490">
        <w:rPr>
          <w:rFonts w:ascii="Times New Roman" w:hAnsi="Times New Roman"/>
          <w:sz w:val="24"/>
          <w:szCs w:val="24"/>
        </w:rPr>
        <w:t xml:space="preserve">expert </w:t>
      </w:r>
      <w:r w:rsidR="005A1793">
        <w:rPr>
          <w:rFonts w:ascii="Times New Roman" w:hAnsi="Times New Roman"/>
          <w:sz w:val="24"/>
          <w:szCs w:val="24"/>
        </w:rPr>
        <w:t xml:space="preserve">testimony from the </w:t>
      </w:r>
      <w:r w:rsidR="000F5DAA">
        <w:rPr>
          <w:rFonts w:ascii="Times New Roman" w:hAnsi="Times New Roman"/>
          <w:sz w:val="24"/>
          <w:szCs w:val="24"/>
        </w:rPr>
        <w:t xml:space="preserve">superior court </w:t>
      </w:r>
      <w:r w:rsidR="007C5490">
        <w:rPr>
          <w:rFonts w:ascii="Times New Roman" w:hAnsi="Times New Roman"/>
          <w:sz w:val="24"/>
          <w:szCs w:val="24"/>
        </w:rPr>
        <w:t>civil trial</w:t>
      </w:r>
      <w:r w:rsidR="000F5DAA">
        <w:rPr>
          <w:rFonts w:ascii="Times New Roman" w:hAnsi="Times New Roman"/>
          <w:sz w:val="24"/>
          <w:szCs w:val="24"/>
        </w:rPr>
        <w:t xml:space="preserve">, </w:t>
      </w:r>
      <w:r w:rsidR="005C280B">
        <w:rPr>
          <w:rFonts w:ascii="Times New Roman" w:hAnsi="Times New Roman"/>
          <w:sz w:val="24"/>
          <w:szCs w:val="24"/>
        </w:rPr>
        <w:t>Judge Bryant-Deason</w:t>
      </w:r>
      <w:r w:rsidR="000F5DAA">
        <w:rPr>
          <w:rFonts w:ascii="Times New Roman" w:hAnsi="Times New Roman"/>
          <w:sz w:val="24"/>
          <w:szCs w:val="24"/>
        </w:rPr>
        <w:t xml:space="preserve">’s findings and conclusions and </w:t>
      </w:r>
      <w:r w:rsidR="00305980">
        <w:rPr>
          <w:rFonts w:ascii="Times New Roman" w:hAnsi="Times New Roman"/>
          <w:sz w:val="24"/>
          <w:szCs w:val="24"/>
        </w:rPr>
        <w:t xml:space="preserve">the </w:t>
      </w:r>
      <w:r w:rsidR="00305980" w:rsidRPr="00305980">
        <w:rPr>
          <w:rFonts w:ascii="Times New Roman" w:hAnsi="Times New Roman"/>
          <w:sz w:val="24"/>
          <w:szCs w:val="24"/>
        </w:rPr>
        <w:t>hearing judge</w:t>
      </w:r>
      <w:r w:rsidR="000F5DAA">
        <w:rPr>
          <w:rFonts w:ascii="Times New Roman" w:hAnsi="Times New Roman"/>
          <w:sz w:val="24"/>
          <w:szCs w:val="24"/>
        </w:rPr>
        <w:t xml:space="preserve">’s </w:t>
      </w:r>
      <w:r w:rsidR="005679D1">
        <w:rPr>
          <w:rFonts w:ascii="Times New Roman" w:hAnsi="Times New Roman"/>
          <w:sz w:val="24"/>
          <w:szCs w:val="24"/>
        </w:rPr>
        <w:t xml:space="preserve">decision, we </w:t>
      </w:r>
      <w:r w:rsidR="00D02ACC">
        <w:rPr>
          <w:rFonts w:ascii="Times New Roman" w:hAnsi="Times New Roman"/>
          <w:sz w:val="24"/>
          <w:szCs w:val="24"/>
        </w:rPr>
        <w:t>also</w:t>
      </w:r>
      <w:r w:rsidR="007C5490">
        <w:rPr>
          <w:rFonts w:ascii="Times New Roman" w:hAnsi="Times New Roman"/>
          <w:sz w:val="24"/>
          <w:szCs w:val="24"/>
        </w:rPr>
        <w:t xml:space="preserve"> conclude</w:t>
      </w:r>
      <w:r w:rsidR="005679D1">
        <w:rPr>
          <w:rFonts w:ascii="Times New Roman" w:hAnsi="Times New Roman"/>
          <w:sz w:val="24"/>
          <w:szCs w:val="24"/>
        </w:rPr>
        <w:t xml:space="preserve"> </w:t>
      </w:r>
      <w:r w:rsidR="000F5DAA">
        <w:rPr>
          <w:rFonts w:ascii="Times New Roman" w:hAnsi="Times New Roman"/>
          <w:sz w:val="24"/>
          <w:szCs w:val="24"/>
        </w:rPr>
        <w:t xml:space="preserve">that </w:t>
      </w:r>
      <w:r w:rsidR="00305980" w:rsidRPr="00305980">
        <w:rPr>
          <w:rFonts w:ascii="Times New Roman" w:hAnsi="Times New Roman"/>
          <w:sz w:val="24"/>
          <w:szCs w:val="24"/>
        </w:rPr>
        <w:t xml:space="preserve">Nownejad </w:t>
      </w:r>
      <w:r w:rsidR="00D02ACC">
        <w:rPr>
          <w:rFonts w:ascii="Times New Roman" w:hAnsi="Times New Roman"/>
          <w:sz w:val="24"/>
          <w:szCs w:val="24"/>
        </w:rPr>
        <w:t>violated</w:t>
      </w:r>
      <w:r w:rsidR="007C5490">
        <w:rPr>
          <w:rFonts w:ascii="Times New Roman" w:hAnsi="Times New Roman"/>
          <w:sz w:val="24"/>
          <w:szCs w:val="24"/>
        </w:rPr>
        <w:t xml:space="preserve"> rule 4-200</w:t>
      </w:r>
      <w:r w:rsidR="00D02ACC">
        <w:rPr>
          <w:rFonts w:ascii="Times New Roman" w:hAnsi="Times New Roman"/>
          <w:sz w:val="24"/>
          <w:szCs w:val="24"/>
        </w:rPr>
        <w:t>(A)</w:t>
      </w:r>
      <w:r w:rsidR="00305980" w:rsidRPr="00305980">
        <w:rPr>
          <w:rFonts w:ascii="Times New Roman" w:hAnsi="Times New Roman"/>
          <w:sz w:val="24"/>
          <w:szCs w:val="24"/>
        </w:rPr>
        <w:t xml:space="preserve">.  </w:t>
      </w:r>
    </w:p>
    <w:p w:rsidR="00EF6DB3" w:rsidRDefault="00EF6DB3" w:rsidP="00BA2B85">
      <w:pPr>
        <w:spacing w:line="480" w:lineRule="auto"/>
        <w:ind w:firstLine="720"/>
        <w:rPr>
          <w:b/>
        </w:rPr>
      </w:pPr>
      <w:r>
        <w:rPr>
          <w:b/>
        </w:rPr>
        <w:lastRenderedPageBreak/>
        <w:t>Count Four – Section 6106</w:t>
      </w:r>
      <w:r w:rsidR="00BA6C5A">
        <w:rPr>
          <w:rStyle w:val="FootnoteReference"/>
          <w:b/>
        </w:rPr>
        <w:footnoteReference w:id="9"/>
      </w:r>
      <w:r>
        <w:rPr>
          <w:b/>
        </w:rPr>
        <w:t xml:space="preserve"> (Moral Turpitude)</w:t>
      </w:r>
    </w:p>
    <w:p w:rsidR="00591FF5" w:rsidRDefault="005E30EB" w:rsidP="0063762B">
      <w:pPr>
        <w:spacing w:line="480" w:lineRule="auto"/>
        <w:ind w:firstLine="720"/>
      </w:pPr>
      <w:r>
        <w:t xml:space="preserve">The State Bar alleged that Nownejad violated section 6106 because he took advantage of </w:t>
      </w:r>
      <w:r w:rsidR="0065354E">
        <w:t xml:space="preserve">Mrs. </w:t>
      </w:r>
      <w:r>
        <w:t xml:space="preserve">Norman and sought to collect a windfall from her.  The hearing judge </w:t>
      </w:r>
      <w:r w:rsidR="004B3612">
        <w:t>correctly found him culpable.</w:t>
      </w:r>
      <w:r w:rsidR="007E0B89">
        <w:t xml:space="preserve">  Nownejad’s </w:t>
      </w:r>
      <w:r w:rsidR="003D42A2">
        <w:t xml:space="preserve">improper billing charges and </w:t>
      </w:r>
      <w:r w:rsidR="007E0B89">
        <w:t xml:space="preserve">attempt to collect an inflated fee </w:t>
      </w:r>
      <w:r w:rsidR="003D42A2">
        <w:t>are</w:t>
      </w:r>
      <w:r w:rsidR="0065354E">
        <w:t>,</w:t>
      </w:r>
      <w:r w:rsidR="007E0B89">
        <w:t xml:space="preserve"> at best</w:t>
      </w:r>
      <w:r w:rsidR="0065354E">
        <w:t>,</w:t>
      </w:r>
      <w:r w:rsidR="007E0B89">
        <w:t xml:space="preserve"> a gross</w:t>
      </w:r>
      <w:r w:rsidR="0065354E">
        <w:t xml:space="preserve">ly </w:t>
      </w:r>
      <w:r w:rsidR="007E0B89">
        <w:t xml:space="preserve">negligent violation of his fiduciary duty to </w:t>
      </w:r>
      <w:r w:rsidR="008A1110">
        <w:t>Mr</w:t>
      </w:r>
      <w:r w:rsidR="0065354E">
        <w:t>s</w:t>
      </w:r>
      <w:r w:rsidR="008A1110">
        <w:t xml:space="preserve">. </w:t>
      </w:r>
      <w:r w:rsidR="007E0B89">
        <w:t>Norman</w:t>
      </w:r>
      <w:r w:rsidR="008A1110">
        <w:t>,</w:t>
      </w:r>
      <w:r w:rsidR="007E0B89">
        <w:t xml:space="preserve"> and</w:t>
      </w:r>
      <w:r w:rsidR="0065354E">
        <w:t>,</w:t>
      </w:r>
      <w:r w:rsidR="007E0B89">
        <w:t xml:space="preserve"> at worst</w:t>
      </w:r>
      <w:r w:rsidR="0065354E">
        <w:t>,</w:t>
      </w:r>
      <w:r w:rsidR="007E0B89">
        <w:t xml:space="preserve"> an intentional attempt to exploit a vulnerable client.  I</w:t>
      </w:r>
      <w:r w:rsidR="00193E0E">
        <w:t>n either case, such conduct e</w:t>
      </w:r>
      <w:r w:rsidR="007E0B89">
        <w:t>s</w:t>
      </w:r>
      <w:r w:rsidR="00193E0E">
        <w:t>tablishes</w:t>
      </w:r>
      <w:r w:rsidR="007E0B89">
        <w:t xml:space="preserve"> overreaching and constitutes moral turpitude.  (</w:t>
      </w:r>
      <w:r w:rsidR="007E0B89" w:rsidRPr="007E0B89">
        <w:rPr>
          <w:i/>
        </w:rPr>
        <w:t>In the Matter of Conner</w:t>
      </w:r>
      <w:r w:rsidR="007E0B89">
        <w:t xml:space="preserve"> (Review Dept. 2008) 5 Cal. State Bar Ct. Rptr. 93, 105</w:t>
      </w:r>
      <w:r w:rsidR="002179E5">
        <w:t xml:space="preserve"> [attorney’s charging of unconscionable fee constituted overreaching of vulnerable client and rose to level of moral turpitude]</w:t>
      </w:r>
      <w:r w:rsidR="007E0B89">
        <w:t>.)</w:t>
      </w:r>
    </w:p>
    <w:p w:rsidR="00A14086" w:rsidRDefault="00080BB6" w:rsidP="00A14086">
      <w:pPr>
        <w:spacing w:line="480" w:lineRule="auto"/>
        <w:jc w:val="center"/>
        <w:rPr>
          <w:b/>
        </w:rPr>
      </w:pPr>
      <w:r>
        <w:rPr>
          <w:b/>
        </w:rPr>
        <w:t>V</w:t>
      </w:r>
      <w:r w:rsidR="00352A48">
        <w:rPr>
          <w:b/>
        </w:rPr>
        <w:t>I</w:t>
      </w:r>
      <w:proofErr w:type="gramStart"/>
      <w:r w:rsidR="00C32F05">
        <w:rPr>
          <w:b/>
        </w:rPr>
        <w:t>.</w:t>
      </w:r>
      <w:r w:rsidR="00A14086">
        <w:rPr>
          <w:b/>
        </w:rPr>
        <w:t xml:space="preserve"> </w:t>
      </w:r>
      <w:r w:rsidR="00C32F05">
        <w:rPr>
          <w:b/>
        </w:rPr>
        <w:t xml:space="preserve"> </w:t>
      </w:r>
      <w:r w:rsidR="00A14086">
        <w:rPr>
          <w:b/>
        </w:rPr>
        <w:t>CASE</w:t>
      </w:r>
      <w:proofErr w:type="gramEnd"/>
      <w:r w:rsidR="00A14086">
        <w:rPr>
          <w:b/>
        </w:rPr>
        <w:t xml:space="preserve"> NUMBER 06-O-14309</w:t>
      </w:r>
      <w:r w:rsidR="00A14086" w:rsidRPr="009D230D">
        <w:rPr>
          <w:b/>
        </w:rPr>
        <w:t xml:space="preserve"> (</w:t>
      </w:r>
      <w:r w:rsidR="00A14086">
        <w:rPr>
          <w:b/>
        </w:rPr>
        <w:t>CALDWELL AND TATUM MATTER)</w:t>
      </w:r>
    </w:p>
    <w:p w:rsidR="00E950D6" w:rsidRDefault="00E950D6" w:rsidP="00A14086">
      <w:pPr>
        <w:spacing w:line="480" w:lineRule="auto"/>
        <w:rPr>
          <w:b/>
        </w:rPr>
      </w:pPr>
      <w:r w:rsidRPr="00E1352F">
        <w:rPr>
          <w:b/>
        </w:rPr>
        <w:t>A.</w:t>
      </w:r>
      <w:r w:rsidR="00A14086">
        <w:rPr>
          <w:b/>
        </w:rPr>
        <w:tab/>
        <w:t>FINDINGS OF FACT</w:t>
      </w:r>
    </w:p>
    <w:p w:rsidR="005C280B" w:rsidRDefault="004F081C" w:rsidP="004F081C">
      <w:pPr>
        <w:spacing w:line="480" w:lineRule="auto"/>
      </w:pPr>
      <w:r>
        <w:tab/>
        <w:t>On April 9, 2004, Chandler Caldwell and her mother, Jackie Tatum, were injured during an altercation with personnel at a Los Angeles car dealership.  The police arrested Caldwel</w:t>
      </w:r>
      <w:r w:rsidR="004B6683">
        <w:t>l.</w:t>
      </w:r>
      <w:r w:rsidR="001B44A5">
        <w:t xml:space="preserve"> </w:t>
      </w:r>
      <w:r w:rsidR="0065354E">
        <w:t xml:space="preserve"> </w:t>
      </w:r>
      <w:r w:rsidR="001B44A5">
        <w:t xml:space="preserve">On </w:t>
      </w:r>
      <w:r w:rsidR="005C280B">
        <w:t>February 7, 2005, Caldwell</w:t>
      </w:r>
      <w:r w:rsidR="0005413D">
        <w:t xml:space="preserve"> and</w:t>
      </w:r>
      <w:r>
        <w:t xml:space="preserve"> Tatum </w:t>
      </w:r>
      <w:r w:rsidR="004B3612">
        <w:t>hired</w:t>
      </w:r>
      <w:r>
        <w:t xml:space="preserve"> Nownejad </w:t>
      </w:r>
      <w:r w:rsidR="005C280B">
        <w:t xml:space="preserve">on a contingency fee basis </w:t>
      </w:r>
      <w:r>
        <w:t>to represent them in a</w:t>
      </w:r>
      <w:r w:rsidR="005C280B">
        <w:t xml:space="preserve"> civil</w:t>
      </w:r>
      <w:r>
        <w:t xml:space="preserve"> action to recover damages for inj</w:t>
      </w:r>
      <w:r w:rsidR="0071391E">
        <w:t>uries sustained during the</w:t>
      </w:r>
      <w:r>
        <w:t xml:space="preserve"> </w:t>
      </w:r>
      <w:r w:rsidR="0071391E">
        <w:t>altercation</w:t>
      </w:r>
      <w:r>
        <w:t>.</w:t>
      </w:r>
      <w:r w:rsidR="00F3661C">
        <w:t xml:space="preserve">  </w:t>
      </w:r>
      <w:r w:rsidR="004B6683">
        <w:t>Caldwell entered a nolo con</w:t>
      </w:r>
      <w:r w:rsidR="0065354E">
        <w:t>t</w:t>
      </w:r>
      <w:r w:rsidR="004B6683">
        <w:t>end</w:t>
      </w:r>
      <w:r w:rsidR="0065354E">
        <w:t>e</w:t>
      </w:r>
      <w:r w:rsidR="004B6683">
        <w:t xml:space="preserve">re plea to </w:t>
      </w:r>
      <w:r w:rsidR="00800D9C">
        <w:t xml:space="preserve">a </w:t>
      </w:r>
      <w:r w:rsidR="004B6683">
        <w:t xml:space="preserve">misdemeanor </w:t>
      </w:r>
      <w:r w:rsidR="00800D9C">
        <w:t>charge</w:t>
      </w:r>
      <w:r w:rsidR="004D5008">
        <w:t xml:space="preserve"> on February 23, 2005</w:t>
      </w:r>
      <w:r w:rsidR="00800D9C">
        <w:t>.</w:t>
      </w:r>
    </w:p>
    <w:p w:rsidR="00757909" w:rsidRDefault="005C280B" w:rsidP="004F081C">
      <w:pPr>
        <w:spacing w:line="480" w:lineRule="auto"/>
      </w:pPr>
      <w:r>
        <w:tab/>
        <w:t xml:space="preserve">On March 25, 2005, Nownejad </w:t>
      </w:r>
      <w:r w:rsidR="00F3661C">
        <w:t xml:space="preserve">filed </w:t>
      </w:r>
      <w:r w:rsidR="0005413D">
        <w:t>a</w:t>
      </w:r>
      <w:r w:rsidR="00F3661C">
        <w:t xml:space="preserve"> </w:t>
      </w:r>
      <w:r w:rsidR="004B3612">
        <w:t xml:space="preserve">civil </w:t>
      </w:r>
      <w:r w:rsidR="00F3661C">
        <w:t>complaint</w:t>
      </w:r>
      <w:r w:rsidR="0005413D">
        <w:t xml:space="preserve"> on behalf</w:t>
      </w:r>
      <w:r w:rsidR="004B6683">
        <w:t xml:space="preserve"> of Caldwell and Tatum</w:t>
      </w:r>
      <w:r w:rsidR="0005413D">
        <w:t xml:space="preserve">.  The defense then </w:t>
      </w:r>
      <w:r w:rsidR="00DE22FF">
        <w:t>served a subpoena on the Los Angeles City Attorney’s office for records pertaining to Caldwell’s arrest and criminal conviction.</w:t>
      </w:r>
      <w:r w:rsidR="007C1819">
        <w:t xml:space="preserve">  Nownejad </w:t>
      </w:r>
      <w:r w:rsidR="008A1110">
        <w:t xml:space="preserve">unsuccessfully attempted to </w:t>
      </w:r>
      <w:r w:rsidR="007C1819">
        <w:t xml:space="preserve">quash the subpoena.  </w:t>
      </w:r>
      <w:r w:rsidR="00800D9C">
        <w:t xml:space="preserve">The record reflects that Nownejad </w:t>
      </w:r>
      <w:r w:rsidR="0099164E">
        <w:t xml:space="preserve">decided to </w:t>
      </w:r>
      <w:r w:rsidR="004F5AA8">
        <w:t>abandon</w:t>
      </w:r>
      <w:r w:rsidR="0099164E">
        <w:t xml:space="preserve"> the </w:t>
      </w:r>
      <w:r w:rsidR="0065354E">
        <w:t xml:space="preserve">civil </w:t>
      </w:r>
      <w:r w:rsidR="0099164E">
        <w:t xml:space="preserve">case since </w:t>
      </w:r>
      <w:r w:rsidR="00344AF2">
        <w:t xml:space="preserve">he felt </w:t>
      </w:r>
      <w:r w:rsidR="007C1819">
        <w:t xml:space="preserve">Caldwell’s plea </w:t>
      </w:r>
      <w:r w:rsidR="007C5490">
        <w:t xml:space="preserve">would be a problem and </w:t>
      </w:r>
      <w:r w:rsidR="00800D9C">
        <w:t>he could not persuade another</w:t>
      </w:r>
      <w:r w:rsidR="007C1819">
        <w:t xml:space="preserve"> attorney to take the </w:t>
      </w:r>
      <w:r w:rsidR="00800D9C">
        <w:t xml:space="preserve">case.  </w:t>
      </w:r>
      <w:r w:rsidR="00A77E47">
        <w:t xml:space="preserve"> </w:t>
      </w:r>
    </w:p>
    <w:p w:rsidR="00BB6DDF" w:rsidRDefault="00BB6DDF" w:rsidP="00385FAA">
      <w:pPr>
        <w:spacing w:line="480" w:lineRule="auto"/>
        <w:ind w:firstLine="720"/>
      </w:pPr>
      <w:r>
        <w:lastRenderedPageBreak/>
        <w:t xml:space="preserve">Consistent with his decision not to pursue the case, Nownejad </w:t>
      </w:r>
      <w:r w:rsidR="007C5490">
        <w:t>did not</w:t>
      </w:r>
      <w:r w:rsidR="0099164E">
        <w:t xml:space="preserve"> </w:t>
      </w:r>
      <w:r>
        <w:t xml:space="preserve">serve the complaint on an outstanding defendant, respond to interrogatories, </w:t>
      </w:r>
      <w:r w:rsidR="007C5490">
        <w:t xml:space="preserve">or </w:t>
      </w:r>
      <w:r>
        <w:t xml:space="preserve">attend </w:t>
      </w:r>
      <w:r w:rsidR="004F5AA8">
        <w:t>several</w:t>
      </w:r>
      <w:r>
        <w:t xml:space="preserve"> hearing</w:t>
      </w:r>
      <w:r w:rsidR="004F5AA8">
        <w:t>s</w:t>
      </w:r>
      <w:r>
        <w:t xml:space="preserve">, including three OSCs and a case management conference.  As a result, </w:t>
      </w:r>
      <w:r w:rsidR="00967206">
        <w:t xml:space="preserve">the </w:t>
      </w:r>
      <w:r w:rsidR="005E72DC">
        <w:t xml:space="preserve">civil case was </w:t>
      </w:r>
      <w:r w:rsidR="00967206">
        <w:t>dismissed</w:t>
      </w:r>
      <w:r w:rsidR="004F6014">
        <w:t xml:space="preserve"> on August 2</w:t>
      </w:r>
      <w:r w:rsidR="004D5008">
        <w:t>3</w:t>
      </w:r>
      <w:r w:rsidR="004F6014">
        <w:t xml:space="preserve">, 2005.  </w:t>
      </w:r>
      <w:r>
        <w:t>Nownejad took no action to set aside the dismissal.</w:t>
      </w:r>
      <w:r w:rsidR="004B46DF">
        <w:t xml:space="preserve">  Almost a year later, on August 8, 2006, Nownejad notified his client that the matter had been </w:t>
      </w:r>
      <w:r w:rsidR="00A77E47" w:rsidRPr="005E72DC">
        <w:rPr>
          <w:i/>
        </w:rPr>
        <w:t>inadvertently</w:t>
      </w:r>
      <w:r w:rsidR="00A77E47">
        <w:t xml:space="preserve"> </w:t>
      </w:r>
      <w:r w:rsidR="004B46DF">
        <w:t>dismissed and the time had lapsed to set aside the dismissal.</w:t>
      </w:r>
    </w:p>
    <w:p w:rsidR="001A0F42" w:rsidRDefault="001A0F42" w:rsidP="004F081C">
      <w:pPr>
        <w:spacing w:line="480" w:lineRule="auto"/>
      </w:pPr>
      <w:r>
        <w:tab/>
      </w:r>
      <w:r w:rsidR="00840647">
        <w:t>During this time,</w:t>
      </w:r>
      <w:r w:rsidR="00DC025D">
        <w:t xml:space="preserve"> however, </w:t>
      </w:r>
      <w:r>
        <w:t xml:space="preserve">Tatum </w:t>
      </w:r>
      <w:r w:rsidR="00DC025D">
        <w:t xml:space="preserve">had </w:t>
      </w:r>
      <w:r w:rsidR="005E72DC">
        <w:t xml:space="preserve">been unsuccessfully trying to contact </w:t>
      </w:r>
      <w:r>
        <w:t>Nownejad</w:t>
      </w:r>
      <w:r w:rsidR="005E72DC">
        <w:t xml:space="preserve">.  </w:t>
      </w:r>
      <w:r>
        <w:t>On December 19, 2005</w:t>
      </w:r>
      <w:r w:rsidR="00331C3E">
        <w:t>,</w:t>
      </w:r>
      <w:r>
        <w:t xml:space="preserve"> she wrote </w:t>
      </w:r>
      <w:r w:rsidR="0065354E">
        <w:t xml:space="preserve">to him </w:t>
      </w:r>
      <w:r>
        <w:t>to schedule a meeting</w:t>
      </w:r>
      <w:r w:rsidR="005E72DC">
        <w:t xml:space="preserve">.  On </w:t>
      </w:r>
      <w:r>
        <w:t xml:space="preserve">March 1, 2006, she wrote </w:t>
      </w:r>
      <w:r w:rsidR="0099164E">
        <w:t>again</w:t>
      </w:r>
      <w:r w:rsidR="0065354E">
        <w:t>,</w:t>
      </w:r>
      <w:r w:rsidR="0099164E">
        <w:t xml:space="preserve"> </w:t>
      </w:r>
      <w:r w:rsidR="005E72DC">
        <w:t xml:space="preserve">inquiring </w:t>
      </w:r>
      <w:r w:rsidR="00840647">
        <w:t xml:space="preserve">about the </w:t>
      </w:r>
      <w:r w:rsidR="00396B92">
        <w:t xml:space="preserve">case and </w:t>
      </w:r>
      <w:r w:rsidR="005E72DC">
        <w:t>question</w:t>
      </w:r>
      <w:r w:rsidR="0065354E">
        <w:t>ing</w:t>
      </w:r>
      <w:r w:rsidR="005E72DC">
        <w:t xml:space="preserve"> why </w:t>
      </w:r>
      <w:r w:rsidR="0065354E">
        <w:t xml:space="preserve">he did not return </w:t>
      </w:r>
      <w:r w:rsidR="005E72DC">
        <w:t xml:space="preserve">her </w:t>
      </w:r>
      <w:r w:rsidR="00840647">
        <w:t>many</w:t>
      </w:r>
      <w:r>
        <w:t xml:space="preserve"> telephone calls over the last three months.  On June 24, 2006, she wrote </w:t>
      </w:r>
      <w:r w:rsidR="005E72DC">
        <w:t xml:space="preserve">a </w:t>
      </w:r>
      <w:r w:rsidR="00840647">
        <w:t xml:space="preserve">third time </w:t>
      </w:r>
      <w:r w:rsidR="0065354E">
        <w:t xml:space="preserve">to </w:t>
      </w:r>
      <w:r w:rsidR="0099164E">
        <w:t xml:space="preserve">request </w:t>
      </w:r>
      <w:r w:rsidR="0065354E">
        <w:t xml:space="preserve">the </w:t>
      </w:r>
      <w:r w:rsidR="005E72DC">
        <w:t xml:space="preserve">return of </w:t>
      </w:r>
      <w:r w:rsidR="0099164E">
        <w:t xml:space="preserve">her </w:t>
      </w:r>
      <w:r>
        <w:t>docum</w:t>
      </w:r>
      <w:r w:rsidR="002B3697">
        <w:t>ents</w:t>
      </w:r>
      <w:r w:rsidR="005E72DC">
        <w:t xml:space="preserve">.  In that letter, Tatum </w:t>
      </w:r>
      <w:r w:rsidR="002B3697">
        <w:t>admonished</w:t>
      </w:r>
      <w:r>
        <w:t xml:space="preserve"> </w:t>
      </w:r>
      <w:r w:rsidR="005E72DC">
        <w:t>Nownejad</w:t>
      </w:r>
      <w:r>
        <w:t xml:space="preserve"> for not returning her telephone calls.  </w:t>
      </w:r>
      <w:r w:rsidR="0099164E">
        <w:t xml:space="preserve">Finally, </w:t>
      </w:r>
      <w:r>
        <w:t xml:space="preserve">Tatum repeated her request </w:t>
      </w:r>
      <w:r w:rsidR="0036112B">
        <w:t xml:space="preserve">for </w:t>
      </w:r>
      <w:r w:rsidR="0065354E">
        <w:t>her file</w:t>
      </w:r>
      <w:r w:rsidR="0036112B">
        <w:t xml:space="preserve"> in a July</w:t>
      </w:r>
      <w:r>
        <w:t xml:space="preserve"> 25, 2006, letter</w:t>
      </w:r>
      <w:r w:rsidR="00840647">
        <w:t xml:space="preserve">.  Nownejad </w:t>
      </w:r>
      <w:r>
        <w:t>received Tatum’s letters</w:t>
      </w:r>
      <w:r w:rsidR="0099164E">
        <w:t xml:space="preserve"> but </w:t>
      </w:r>
      <w:r>
        <w:t>did not respond to any of them.</w:t>
      </w:r>
    </w:p>
    <w:p w:rsidR="00385FAA" w:rsidRDefault="00385FAA" w:rsidP="004F081C">
      <w:pPr>
        <w:spacing w:line="480" w:lineRule="auto"/>
      </w:pPr>
      <w:r>
        <w:tab/>
      </w:r>
      <w:r w:rsidRPr="00385FAA">
        <w:t xml:space="preserve">Nownejad </w:t>
      </w:r>
      <w:r>
        <w:t xml:space="preserve">also </w:t>
      </w:r>
      <w:r w:rsidRPr="00385FAA">
        <w:t xml:space="preserve">lied to Tatum and Caldwell about his mishandling of their civil case by making several misrepresentations in </w:t>
      </w:r>
      <w:r>
        <w:t>a</w:t>
      </w:r>
      <w:r w:rsidRPr="00385FAA">
        <w:t xml:space="preserve"> December 18, 2006 letter to them.  First, he falsely asserted that the civil court would admit all the adverse evidence in Caldwell’s criminal action.  He also claimed that one of his contract attorneys unsuccessfully sought to rescind Caldwell’s criminal plea when in fact no such request had been made.  And his letter stated that opposing counsel threatened to sue for malicious prosecution, which was false.  </w:t>
      </w:r>
    </w:p>
    <w:p w:rsidR="00642088" w:rsidRPr="00914FD7" w:rsidRDefault="00642088" w:rsidP="00A14086">
      <w:pPr>
        <w:spacing w:line="480" w:lineRule="auto"/>
        <w:rPr>
          <w:b/>
        </w:rPr>
      </w:pPr>
      <w:r>
        <w:rPr>
          <w:b/>
        </w:rPr>
        <w:t>B.</w:t>
      </w:r>
      <w:r w:rsidR="00A14086">
        <w:rPr>
          <w:b/>
        </w:rPr>
        <w:tab/>
        <w:t>CULPABILITY</w:t>
      </w:r>
    </w:p>
    <w:p w:rsidR="00642088" w:rsidRDefault="00642088" w:rsidP="00BA2B85">
      <w:pPr>
        <w:spacing w:line="480" w:lineRule="auto"/>
        <w:ind w:firstLine="720"/>
        <w:rPr>
          <w:b/>
        </w:rPr>
      </w:pPr>
      <w:r>
        <w:rPr>
          <w:b/>
        </w:rPr>
        <w:t>Count Five – Rule 3-110(A)</w:t>
      </w:r>
      <w:r w:rsidR="002800AF">
        <w:rPr>
          <w:rStyle w:val="FootnoteReference"/>
          <w:b/>
        </w:rPr>
        <w:footnoteReference w:id="10"/>
      </w:r>
      <w:r>
        <w:rPr>
          <w:b/>
        </w:rPr>
        <w:t xml:space="preserve"> (Failure to Perform Competently)</w:t>
      </w:r>
    </w:p>
    <w:p w:rsidR="004F6014" w:rsidRDefault="00642088" w:rsidP="00F152AE">
      <w:pPr>
        <w:spacing w:line="480" w:lineRule="auto"/>
      </w:pPr>
      <w:r>
        <w:tab/>
        <w:t>The State Bar charged Nownejad with violating rule 3-110(A) because he failed to serve defendants, failed to appear at scheduled hearing</w:t>
      </w:r>
      <w:r w:rsidR="0099164E">
        <w:t>s</w:t>
      </w:r>
      <w:r>
        <w:t>, failed to respond to discovery</w:t>
      </w:r>
      <w:r w:rsidR="004510E7">
        <w:t xml:space="preserve"> requests</w:t>
      </w:r>
      <w:r>
        <w:t xml:space="preserve">, </w:t>
      </w:r>
      <w:r w:rsidR="00E62876">
        <w:lastRenderedPageBreak/>
        <w:t xml:space="preserve">intentionally </w:t>
      </w:r>
      <w:r>
        <w:t xml:space="preserve">allowed the case to be dismissed and failed to take any action to set aside the dismissal.  </w:t>
      </w:r>
      <w:r w:rsidR="00E62876">
        <w:t xml:space="preserve">We </w:t>
      </w:r>
      <w:r w:rsidR="004F6014">
        <w:t xml:space="preserve">agree with the hearing judge that </w:t>
      </w:r>
      <w:r w:rsidR="00E62876">
        <w:t xml:space="preserve">Nownejad </w:t>
      </w:r>
      <w:r w:rsidR="004F6014">
        <w:t xml:space="preserve">is </w:t>
      </w:r>
      <w:r w:rsidR="00E62876">
        <w:t>culpable since he</w:t>
      </w:r>
      <w:r w:rsidR="0099164E">
        <w:t xml:space="preserve"> </w:t>
      </w:r>
      <w:r w:rsidR="004F6014">
        <w:t xml:space="preserve">essentially </w:t>
      </w:r>
      <w:r w:rsidR="00852DAB">
        <w:t xml:space="preserve">abandoned his clients’ </w:t>
      </w:r>
      <w:r w:rsidR="007C5490">
        <w:t>case</w:t>
      </w:r>
      <w:r w:rsidR="00840647">
        <w:t>.</w:t>
      </w:r>
      <w:r w:rsidR="005A1793">
        <w:t xml:space="preserve">  </w:t>
      </w:r>
      <w:proofErr w:type="gramStart"/>
      <w:r w:rsidR="005A1793">
        <w:t xml:space="preserve">(See </w:t>
      </w:r>
      <w:r w:rsidR="005A1793" w:rsidRPr="005A1793">
        <w:rPr>
          <w:i/>
        </w:rPr>
        <w:t>In the Matter of Respondent G</w:t>
      </w:r>
      <w:r w:rsidR="005A1793">
        <w:t xml:space="preserve"> (Review Dept. 1992</w:t>
      </w:r>
      <w:r w:rsidR="002F52A4">
        <w:t>)</w:t>
      </w:r>
      <w:r w:rsidR="005A1793">
        <w:t xml:space="preserve"> 2 Cal. State Bar C</w:t>
      </w:r>
      <w:r w:rsidR="004510E7">
        <w:t>t.</w:t>
      </w:r>
      <w:r w:rsidR="005A1793">
        <w:t xml:space="preserve"> Rptr. 175, 179 [attorney’s repeated inattention to needs of clients grounds for discipline </w:t>
      </w:r>
      <w:r w:rsidR="004510E7">
        <w:t>for</w:t>
      </w:r>
      <w:r w:rsidR="005A1793">
        <w:t xml:space="preserve"> failing to perform competently].)</w:t>
      </w:r>
      <w:proofErr w:type="gramEnd"/>
      <w:r w:rsidR="007C5490">
        <w:t xml:space="preserve">  </w:t>
      </w:r>
    </w:p>
    <w:p w:rsidR="0099164E" w:rsidRDefault="00517DF8" w:rsidP="00F152AE">
      <w:pPr>
        <w:ind w:left="720"/>
        <w:rPr>
          <w:b/>
        </w:rPr>
      </w:pPr>
      <w:r>
        <w:rPr>
          <w:b/>
        </w:rPr>
        <w:t>Count Six – Section 6068, subdivision (m)</w:t>
      </w:r>
      <w:r w:rsidR="002800AF">
        <w:rPr>
          <w:rStyle w:val="FootnoteReference"/>
          <w:b/>
        </w:rPr>
        <w:footnoteReference w:id="11"/>
      </w:r>
      <w:r>
        <w:rPr>
          <w:b/>
        </w:rPr>
        <w:t xml:space="preserve"> (Failure to Inform Client of Significant Development)</w:t>
      </w:r>
      <w:r>
        <w:rPr>
          <w:b/>
        </w:rPr>
        <w:tab/>
      </w:r>
    </w:p>
    <w:p w:rsidR="00F152AE" w:rsidRDefault="00F152AE" w:rsidP="00F152AE">
      <w:pPr>
        <w:ind w:left="720"/>
        <w:rPr>
          <w:b/>
        </w:rPr>
      </w:pPr>
    </w:p>
    <w:p w:rsidR="00517DF8" w:rsidRDefault="0099164E" w:rsidP="00F152AE">
      <w:pPr>
        <w:spacing w:line="480" w:lineRule="auto"/>
      </w:pPr>
      <w:r>
        <w:rPr>
          <w:b/>
        </w:rPr>
        <w:tab/>
      </w:r>
      <w:r w:rsidR="00517DF8" w:rsidRPr="00517DF8">
        <w:t xml:space="preserve">The State </w:t>
      </w:r>
      <w:r w:rsidR="00970CF2">
        <w:t xml:space="preserve">Bar </w:t>
      </w:r>
      <w:r w:rsidR="00517DF8">
        <w:t xml:space="preserve">charged Nownejad </w:t>
      </w:r>
      <w:r>
        <w:t xml:space="preserve">with </w:t>
      </w:r>
      <w:r w:rsidR="00517DF8">
        <w:t>violat</w:t>
      </w:r>
      <w:r>
        <w:t>ing</w:t>
      </w:r>
      <w:r w:rsidR="00517DF8">
        <w:t xml:space="preserve"> this section because he did not notify his clients that the</w:t>
      </w:r>
      <w:r w:rsidR="004F6014">
        <w:t>ir case</w:t>
      </w:r>
      <w:r w:rsidR="00517DF8">
        <w:t xml:space="preserve"> </w:t>
      </w:r>
      <w:r w:rsidR="00591FF5">
        <w:t xml:space="preserve">had been </w:t>
      </w:r>
      <w:r w:rsidR="00517DF8">
        <w:t xml:space="preserve">dismissed until almost one year later.  </w:t>
      </w:r>
      <w:r w:rsidR="00E90B21">
        <w:t>Certainly, d</w:t>
      </w:r>
      <w:r>
        <w:t xml:space="preserve">ismissal is </w:t>
      </w:r>
      <w:r w:rsidR="00952152">
        <w:t>a</w:t>
      </w:r>
      <w:r>
        <w:t xml:space="preserve"> significant development in a case.  </w:t>
      </w:r>
      <w:r w:rsidR="00840647">
        <w:t xml:space="preserve">We agree </w:t>
      </w:r>
      <w:r>
        <w:t xml:space="preserve">with </w:t>
      </w:r>
      <w:r w:rsidR="00840647">
        <w:t xml:space="preserve">and </w:t>
      </w:r>
      <w:r w:rsidR="00517DF8">
        <w:t>adopt the hearing judge’s finding</w:t>
      </w:r>
      <w:r w:rsidR="00591FF5">
        <w:t xml:space="preserve"> that Nownejad violated section 6068, subdivision (m), for failing to inform his clients of this significant development.</w:t>
      </w:r>
    </w:p>
    <w:p w:rsidR="00517DF8" w:rsidRDefault="00517DF8" w:rsidP="00BA2B85">
      <w:pPr>
        <w:ind w:left="720"/>
        <w:rPr>
          <w:b/>
        </w:rPr>
      </w:pPr>
      <w:r>
        <w:rPr>
          <w:b/>
        </w:rPr>
        <w:t>Count Seven – Section 6068, subdivision (m) (Failure to Respond to Client Inquiries)</w:t>
      </w:r>
    </w:p>
    <w:p w:rsidR="00BA2B85" w:rsidRDefault="00BA2B85" w:rsidP="00BA2B85">
      <w:pPr>
        <w:ind w:left="720"/>
        <w:rPr>
          <w:b/>
        </w:rPr>
      </w:pPr>
    </w:p>
    <w:p w:rsidR="00517DF8" w:rsidRPr="004F081C" w:rsidRDefault="00852DAB" w:rsidP="004F081C">
      <w:pPr>
        <w:spacing w:line="480" w:lineRule="auto"/>
      </w:pPr>
      <w:r>
        <w:tab/>
        <w:t xml:space="preserve">The State Bar alleged that Nownejad failed to respond to Tatum’s numerous telephone calls and four letters.  </w:t>
      </w:r>
      <w:r w:rsidR="00840647">
        <w:t>T</w:t>
      </w:r>
      <w:r w:rsidR="00517DF8">
        <w:t>he hearing judge</w:t>
      </w:r>
      <w:r w:rsidR="00840647">
        <w:t xml:space="preserve"> found</w:t>
      </w:r>
      <w:r w:rsidR="00517DF8">
        <w:t xml:space="preserve"> Nownejad </w:t>
      </w:r>
      <w:r>
        <w:t>culpable of failing</w:t>
      </w:r>
      <w:r w:rsidR="00517DF8">
        <w:t xml:space="preserve"> to promptly respond to reasonable client inquiries when he </w:t>
      </w:r>
      <w:r w:rsidR="00DC025D">
        <w:t xml:space="preserve">did not </w:t>
      </w:r>
      <w:r w:rsidR="00952152">
        <w:t>answer</w:t>
      </w:r>
      <w:r w:rsidR="00517DF8">
        <w:t xml:space="preserve"> Tatum’s </w:t>
      </w:r>
      <w:r w:rsidR="00DC025D">
        <w:t>many</w:t>
      </w:r>
      <w:r w:rsidR="00517DF8">
        <w:t xml:space="preserve"> </w:t>
      </w:r>
      <w:r>
        <w:t>attempts to communicate with him.</w:t>
      </w:r>
      <w:r w:rsidR="00840647">
        <w:t xml:space="preserve">  We agree </w:t>
      </w:r>
      <w:r w:rsidR="00591FF5">
        <w:t xml:space="preserve">with </w:t>
      </w:r>
      <w:r w:rsidR="00840647">
        <w:t>and adopt the hearing judge’s finding</w:t>
      </w:r>
      <w:r w:rsidR="00591FF5">
        <w:t xml:space="preserve"> that Nownejad is culpable of violating section 6068, subdivision </w:t>
      </w:r>
      <w:r w:rsidR="00544D0B">
        <w:t>(</w:t>
      </w:r>
      <w:r w:rsidR="00591FF5">
        <w:t>m</w:t>
      </w:r>
      <w:r w:rsidR="00544D0B">
        <w:t>)</w:t>
      </w:r>
      <w:r w:rsidR="00591FF5">
        <w:t>, for failing to respond to client inquiries</w:t>
      </w:r>
      <w:r w:rsidR="00517DF8">
        <w:t>.</w:t>
      </w:r>
    </w:p>
    <w:p w:rsidR="003D38FF" w:rsidRPr="0063762B" w:rsidRDefault="00757909" w:rsidP="0063762B">
      <w:pPr>
        <w:spacing w:line="480" w:lineRule="auto"/>
        <w:jc w:val="center"/>
        <w:rPr>
          <w:b/>
        </w:rPr>
      </w:pPr>
      <w:r>
        <w:rPr>
          <w:b/>
        </w:rPr>
        <w:t>VII</w:t>
      </w:r>
      <w:proofErr w:type="gramStart"/>
      <w:r>
        <w:rPr>
          <w:b/>
        </w:rPr>
        <w:t xml:space="preserve">.  </w:t>
      </w:r>
      <w:r w:rsidR="00080BB6">
        <w:rPr>
          <w:b/>
        </w:rPr>
        <w:t>AGGRAVATION</w:t>
      </w:r>
      <w:proofErr w:type="gramEnd"/>
      <w:r w:rsidR="00080BB6">
        <w:rPr>
          <w:b/>
        </w:rPr>
        <w:t xml:space="preserve"> AND MITIGATION</w:t>
      </w:r>
    </w:p>
    <w:p w:rsidR="00080BB6" w:rsidRDefault="00080BB6" w:rsidP="005443D0">
      <w:pPr>
        <w:spacing w:line="480" w:lineRule="auto"/>
        <w:ind w:firstLine="720"/>
        <w:rPr>
          <w:rFonts w:cs="Times New Roman"/>
        </w:rPr>
      </w:pPr>
      <w:r>
        <w:rPr>
          <w:rFonts w:cs="Times New Roman"/>
        </w:rPr>
        <w:t xml:space="preserve">The offering party bears the burden of proof for aggravating and </w:t>
      </w:r>
      <w:r w:rsidR="005443D0">
        <w:rPr>
          <w:rFonts w:cs="Times New Roman"/>
        </w:rPr>
        <w:t>mitigating circumstances.  The State Bar</w:t>
      </w:r>
      <w:r>
        <w:rPr>
          <w:rFonts w:cs="Times New Roman"/>
        </w:rPr>
        <w:t xml:space="preserve"> mu</w:t>
      </w:r>
      <w:r w:rsidR="005443D0">
        <w:rPr>
          <w:rFonts w:cs="Times New Roman"/>
        </w:rPr>
        <w:t>st establish ag</w:t>
      </w:r>
      <w:r>
        <w:rPr>
          <w:rFonts w:cs="Times New Roman"/>
        </w:rPr>
        <w:t>g</w:t>
      </w:r>
      <w:r w:rsidR="005443D0">
        <w:rPr>
          <w:rFonts w:cs="Times New Roman"/>
        </w:rPr>
        <w:t>ravating circumstances</w:t>
      </w:r>
      <w:r>
        <w:rPr>
          <w:rFonts w:cs="Times New Roman"/>
        </w:rPr>
        <w:t xml:space="preserve"> by</w:t>
      </w:r>
      <w:r w:rsidR="005443D0">
        <w:rPr>
          <w:rFonts w:cs="Times New Roman"/>
        </w:rPr>
        <w:t xml:space="preserve"> clear and convincing </w:t>
      </w:r>
      <w:r w:rsidR="005443D0">
        <w:rPr>
          <w:rFonts w:cs="Times New Roman"/>
        </w:rPr>
        <w:lastRenderedPageBreak/>
        <w:t xml:space="preserve">evidence </w:t>
      </w:r>
      <w:r>
        <w:rPr>
          <w:rFonts w:cs="Times New Roman"/>
        </w:rPr>
        <w:t xml:space="preserve">while </w:t>
      </w:r>
      <w:r w:rsidR="002C1919">
        <w:rPr>
          <w:rFonts w:cs="Times New Roman"/>
        </w:rPr>
        <w:t>Nownejad</w:t>
      </w:r>
      <w:r>
        <w:rPr>
          <w:rFonts w:cs="Times New Roman"/>
        </w:rPr>
        <w:t xml:space="preserve"> has</w:t>
      </w:r>
      <w:r w:rsidR="005443D0">
        <w:rPr>
          <w:rFonts w:cs="Times New Roman"/>
        </w:rPr>
        <w:t xml:space="preserve"> the same burden to prove mitig</w:t>
      </w:r>
      <w:r>
        <w:rPr>
          <w:rFonts w:cs="Times New Roman"/>
        </w:rPr>
        <w:t xml:space="preserve">ating circumstances.  </w:t>
      </w:r>
      <w:proofErr w:type="gramStart"/>
      <w:r w:rsidR="005443D0">
        <w:rPr>
          <w:rFonts w:cs="Times New Roman"/>
        </w:rPr>
        <w:t>(Std. 1.2(b) and (e).)</w:t>
      </w:r>
      <w:proofErr w:type="gramEnd"/>
    </w:p>
    <w:p w:rsidR="00080BB6" w:rsidRDefault="00C32F05" w:rsidP="00C32F05">
      <w:pPr>
        <w:spacing w:line="480" w:lineRule="auto"/>
        <w:rPr>
          <w:rFonts w:cs="Times New Roman"/>
          <w:b/>
          <w:bCs/>
        </w:rPr>
      </w:pPr>
      <w:r>
        <w:rPr>
          <w:rFonts w:cs="Times New Roman"/>
          <w:b/>
          <w:bCs/>
        </w:rPr>
        <w:t>A.</w:t>
      </w:r>
      <w:r w:rsidR="00A14086">
        <w:rPr>
          <w:rFonts w:cs="Times New Roman"/>
          <w:b/>
          <w:bCs/>
        </w:rPr>
        <w:tab/>
        <w:t>FIVE AGGRAVATING CIRCUMSTANCES</w:t>
      </w:r>
    </w:p>
    <w:p w:rsidR="00CF03D4" w:rsidRDefault="00344D79" w:rsidP="00080BB6">
      <w:pPr>
        <w:spacing w:line="480" w:lineRule="auto"/>
        <w:ind w:firstLine="720"/>
        <w:rPr>
          <w:rFonts w:cs="Times New Roman"/>
        </w:rPr>
      </w:pPr>
      <w:r>
        <w:rPr>
          <w:rFonts w:cs="Times New Roman"/>
        </w:rPr>
        <w:t xml:space="preserve">We adopt the </w:t>
      </w:r>
      <w:r w:rsidR="000E07C5">
        <w:rPr>
          <w:rFonts w:cs="Times New Roman"/>
        </w:rPr>
        <w:t>five</w:t>
      </w:r>
      <w:r w:rsidR="005443D0">
        <w:rPr>
          <w:rFonts w:cs="Times New Roman"/>
        </w:rPr>
        <w:t xml:space="preserve"> aggravating circumstances </w:t>
      </w:r>
      <w:r w:rsidR="00481483">
        <w:rPr>
          <w:rFonts w:cs="Times New Roman"/>
        </w:rPr>
        <w:t>found by the hearing judge</w:t>
      </w:r>
      <w:r w:rsidR="009B712A">
        <w:rPr>
          <w:rFonts w:cs="Times New Roman"/>
        </w:rPr>
        <w:t xml:space="preserve"> –</w:t>
      </w:r>
      <w:r>
        <w:rPr>
          <w:rFonts w:cs="Times New Roman"/>
        </w:rPr>
        <w:t xml:space="preserve"> </w:t>
      </w:r>
      <w:r w:rsidR="009B712A">
        <w:rPr>
          <w:rFonts w:cs="Times New Roman"/>
        </w:rPr>
        <w:t>multiple acts of misconduct</w:t>
      </w:r>
      <w:r w:rsidR="00D33A05">
        <w:rPr>
          <w:rFonts w:cs="Times New Roman"/>
        </w:rPr>
        <w:t xml:space="preserve">, </w:t>
      </w:r>
      <w:r w:rsidR="000E07C5">
        <w:rPr>
          <w:rFonts w:cs="Times New Roman"/>
        </w:rPr>
        <w:t xml:space="preserve">misconduct followed by dishonesty, significant client harm, lack of remorse, </w:t>
      </w:r>
      <w:r w:rsidR="00D33A05">
        <w:rPr>
          <w:rFonts w:cs="Times New Roman"/>
        </w:rPr>
        <w:t xml:space="preserve">and </w:t>
      </w:r>
      <w:r w:rsidR="000E07C5">
        <w:rPr>
          <w:rFonts w:cs="Times New Roman"/>
        </w:rPr>
        <w:t>lack of candor</w:t>
      </w:r>
      <w:r w:rsidR="00FB2D69">
        <w:rPr>
          <w:rFonts w:cs="Times New Roman"/>
        </w:rPr>
        <w:t xml:space="preserve">.  </w:t>
      </w:r>
      <w:r w:rsidR="009B712A">
        <w:rPr>
          <w:rFonts w:cs="Times New Roman"/>
        </w:rPr>
        <w:t xml:space="preserve"> </w:t>
      </w:r>
    </w:p>
    <w:p w:rsidR="009B712A" w:rsidRPr="007239C4" w:rsidRDefault="006E47FD" w:rsidP="00080BB6">
      <w:pPr>
        <w:spacing w:line="480" w:lineRule="auto"/>
        <w:rPr>
          <w:rFonts w:cs="Times New Roman"/>
          <w:b/>
        </w:rPr>
      </w:pPr>
      <w:r>
        <w:rPr>
          <w:rFonts w:cs="Times New Roman"/>
          <w:b/>
        </w:rPr>
        <w:tab/>
      </w:r>
      <w:r w:rsidR="000E07C5">
        <w:rPr>
          <w:rFonts w:cs="Times New Roman"/>
          <w:b/>
        </w:rPr>
        <w:t>1</w:t>
      </w:r>
      <w:r w:rsidR="009B712A" w:rsidRPr="007239C4">
        <w:rPr>
          <w:rFonts w:cs="Times New Roman"/>
          <w:b/>
        </w:rPr>
        <w:t>.  Multiple Acts of Misconduct</w:t>
      </w:r>
      <w:r w:rsidR="00D33A05">
        <w:rPr>
          <w:rFonts w:cs="Times New Roman"/>
          <w:b/>
        </w:rPr>
        <w:t xml:space="preserve"> (S</w:t>
      </w:r>
      <w:r w:rsidR="00D33A05" w:rsidRPr="00D33A05">
        <w:rPr>
          <w:rFonts w:cs="Times New Roman"/>
          <w:b/>
        </w:rPr>
        <w:t>td. 1.2(b</w:t>
      </w:r>
      <w:proofErr w:type="gramStart"/>
      <w:r w:rsidR="00D33A05" w:rsidRPr="00D33A05">
        <w:rPr>
          <w:rFonts w:cs="Times New Roman"/>
          <w:b/>
        </w:rPr>
        <w:t>)(</w:t>
      </w:r>
      <w:proofErr w:type="gramEnd"/>
      <w:r w:rsidR="00D33A05" w:rsidRPr="00D33A05">
        <w:rPr>
          <w:rFonts w:cs="Times New Roman"/>
          <w:b/>
        </w:rPr>
        <w:t>ii))</w:t>
      </w:r>
    </w:p>
    <w:p w:rsidR="002F52A4" w:rsidRDefault="00EC5F8B" w:rsidP="00840647">
      <w:pPr>
        <w:spacing w:line="480" w:lineRule="auto"/>
        <w:rPr>
          <w:rFonts w:cs="Times New Roman"/>
        </w:rPr>
      </w:pPr>
      <w:r>
        <w:rPr>
          <w:rFonts w:cs="Times New Roman"/>
        </w:rPr>
        <w:tab/>
      </w:r>
      <w:r w:rsidR="00840647">
        <w:rPr>
          <w:rFonts w:cs="Times New Roman"/>
        </w:rPr>
        <w:t>Nownejad committed multiple acts of misconduct in three client matters</w:t>
      </w:r>
      <w:r w:rsidR="005E72DC">
        <w:rPr>
          <w:rFonts w:cs="Times New Roman"/>
        </w:rPr>
        <w:t xml:space="preserve"> over a three-y</w:t>
      </w:r>
      <w:r w:rsidR="00A77E47">
        <w:rPr>
          <w:rFonts w:cs="Times New Roman"/>
        </w:rPr>
        <w:t>ear period</w:t>
      </w:r>
      <w:r w:rsidR="00840647">
        <w:rPr>
          <w:rFonts w:cs="Times New Roman"/>
        </w:rPr>
        <w:t>.  We assign moderate weight to this aggravating factor.</w:t>
      </w:r>
    </w:p>
    <w:p w:rsidR="008C44D7" w:rsidRPr="007239C4" w:rsidRDefault="006E47FD" w:rsidP="00080BB6">
      <w:pPr>
        <w:spacing w:line="480" w:lineRule="auto"/>
        <w:rPr>
          <w:rFonts w:cs="Times New Roman"/>
          <w:b/>
        </w:rPr>
      </w:pPr>
      <w:r>
        <w:rPr>
          <w:rFonts w:cs="Times New Roman"/>
          <w:b/>
        </w:rPr>
        <w:tab/>
      </w:r>
      <w:r w:rsidR="008E0DF6">
        <w:rPr>
          <w:rFonts w:cs="Times New Roman"/>
          <w:b/>
        </w:rPr>
        <w:t>2</w:t>
      </w:r>
      <w:r w:rsidR="008C44D7" w:rsidRPr="007239C4">
        <w:rPr>
          <w:rFonts w:cs="Times New Roman"/>
          <w:b/>
        </w:rPr>
        <w:t xml:space="preserve">.  </w:t>
      </w:r>
      <w:r w:rsidR="00025FA8">
        <w:rPr>
          <w:rFonts w:cs="Times New Roman"/>
          <w:b/>
        </w:rPr>
        <w:t>Misconduct Followed by Dishonesty</w:t>
      </w:r>
      <w:r w:rsidR="00D33A05">
        <w:rPr>
          <w:rFonts w:cs="Times New Roman"/>
          <w:b/>
        </w:rPr>
        <w:t xml:space="preserve"> </w:t>
      </w:r>
      <w:r w:rsidR="00D33A05" w:rsidRPr="00D33A05">
        <w:rPr>
          <w:rFonts w:cs="Times New Roman"/>
          <w:b/>
        </w:rPr>
        <w:t>(Std. 1.2(b</w:t>
      </w:r>
      <w:proofErr w:type="gramStart"/>
      <w:r w:rsidR="00D33A05" w:rsidRPr="00D33A05">
        <w:rPr>
          <w:rFonts w:cs="Times New Roman"/>
          <w:b/>
        </w:rPr>
        <w:t>)(</w:t>
      </w:r>
      <w:proofErr w:type="gramEnd"/>
      <w:r w:rsidR="00D33A05" w:rsidRPr="00D33A05">
        <w:rPr>
          <w:rFonts w:cs="Times New Roman"/>
          <w:b/>
        </w:rPr>
        <w:t>iii))</w:t>
      </w:r>
    </w:p>
    <w:p w:rsidR="001B44CB" w:rsidRDefault="001B44CB" w:rsidP="00080BB6">
      <w:pPr>
        <w:spacing w:line="480" w:lineRule="auto"/>
        <w:rPr>
          <w:rFonts w:cs="Times New Roman"/>
        </w:rPr>
      </w:pPr>
      <w:r>
        <w:rPr>
          <w:rFonts w:cs="Times New Roman"/>
        </w:rPr>
        <w:tab/>
      </w:r>
      <w:r w:rsidR="00344AF2">
        <w:rPr>
          <w:rFonts w:cs="Times New Roman"/>
        </w:rPr>
        <w:t>Nownejad made</w:t>
      </w:r>
      <w:r w:rsidR="00385FAA">
        <w:rPr>
          <w:rFonts w:cs="Times New Roman"/>
        </w:rPr>
        <w:t xml:space="preserve"> misrepresentations in his December 18, 2006 letter to his clients in order to cover up his mishandling of their case.  He made</w:t>
      </w:r>
      <w:r w:rsidR="00344AF2">
        <w:rPr>
          <w:rFonts w:cs="Times New Roman"/>
        </w:rPr>
        <w:t xml:space="preserve"> these dishonest statements to</w:t>
      </w:r>
      <w:r w:rsidR="00E00173">
        <w:rPr>
          <w:rFonts w:cs="Times New Roman"/>
        </w:rPr>
        <w:t xml:space="preserve"> conceal his decision </w:t>
      </w:r>
      <w:r w:rsidR="003A4470">
        <w:rPr>
          <w:rFonts w:cs="Times New Roman"/>
        </w:rPr>
        <w:t xml:space="preserve">not to pursue </w:t>
      </w:r>
      <w:r w:rsidR="00E00173">
        <w:rPr>
          <w:rFonts w:cs="Times New Roman"/>
        </w:rPr>
        <w:t>the</w:t>
      </w:r>
      <w:r w:rsidR="003A4470">
        <w:rPr>
          <w:rFonts w:cs="Times New Roman"/>
        </w:rPr>
        <w:t xml:space="preserve"> civil case</w:t>
      </w:r>
      <w:r w:rsidR="000C07BC">
        <w:rPr>
          <w:rFonts w:cs="Times New Roman"/>
        </w:rPr>
        <w:t>.</w:t>
      </w:r>
      <w:r w:rsidR="007C5490">
        <w:rPr>
          <w:rFonts w:cs="Times New Roman"/>
        </w:rPr>
        <w:t xml:space="preserve">  </w:t>
      </w:r>
      <w:r w:rsidR="00385FAA">
        <w:rPr>
          <w:rFonts w:cs="Times New Roman"/>
        </w:rPr>
        <w:t>Such</w:t>
      </w:r>
      <w:r w:rsidR="007C5490">
        <w:rPr>
          <w:rFonts w:cs="Times New Roman"/>
        </w:rPr>
        <w:t xml:space="preserve"> dishonesty </w:t>
      </w:r>
      <w:r w:rsidR="00BB6A1C">
        <w:rPr>
          <w:rFonts w:cs="Times New Roman"/>
        </w:rPr>
        <w:t>is a substantial aggravating factor</w:t>
      </w:r>
      <w:r w:rsidR="007C5490">
        <w:rPr>
          <w:rFonts w:cs="Times New Roman"/>
        </w:rPr>
        <w:t>.</w:t>
      </w:r>
    </w:p>
    <w:p w:rsidR="009B712A" w:rsidRPr="00D33A05" w:rsidRDefault="006E47FD" w:rsidP="00080BB6">
      <w:pPr>
        <w:spacing w:line="480" w:lineRule="auto"/>
        <w:rPr>
          <w:rFonts w:cs="Times New Roman"/>
          <w:b/>
        </w:rPr>
      </w:pPr>
      <w:r>
        <w:rPr>
          <w:rFonts w:cs="Times New Roman"/>
          <w:b/>
        </w:rPr>
        <w:tab/>
      </w:r>
      <w:r w:rsidR="008E0DF6">
        <w:rPr>
          <w:rFonts w:cs="Times New Roman"/>
          <w:b/>
        </w:rPr>
        <w:t>3</w:t>
      </w:r>
      <w:r w:rsidR="009B712A" w:rsidRPr="00416D42">
        <w:rPr>
          <w:rFonts w:cs="Times New Roman"/>
          <w:b/>
        </w:rPr>
        <w:t xml:space="preserve">.  </w:t>
      </w:r>
      <w:r w:rsidR="00025FA8">
        <w:rPr>
          <w:rFonts w:cs="Times New Roman"/>
          <w:b/>
        </w:rPr>
        <w:t>Significant Client Harm</w:t>
      </w:r>
      <w:r w:rsidR="00D33A05">
        <w:rPr>
          <w:rFonts w:cs="Times New Roman"/>
          <w:b/>
        </w:rPr>
        <w:t xml:space="preserve"> </w:t>
      </w:r>
      <w:r w:rsidR="00D33A05" w:rsidRPr="00D33A05">
        <w:rPr>
          <w:rFonts w:cs="Times New Roman"/>
          <w:b/>
        </w:rPr>
        <w:t>(Std. 1.2(b</w:t>
      </w:r>
      <w:proofErr w:type="gramStart"/>
      <w:r w:rsidR="00D33A05" w:rsidRPr="00D33A05">
        <w:rPr>
          <w:rFonts w:cs="Times New Roman"/>
          <w:b/>
        </w:rPr>
        <w:t>)(</w:t>
      </w:r>
      <w:proofErr w:type="gramEnd"/>
      <w:r w:rsidR="00025FA8">
        <w:rPr>
          <w:rFonts w:cs="Times New Roman"/>
          <w:b/>
        </w:rPr>
        <w:t>i</w:t>
      </w:r>
      <w:r w:rsidR="00D33A05" w:rsidRPr="00D33A05">
        <w:rPr>
          <w:rFonts w:cs="Times New Roman"/>
          <w:b/>
        </w:rPr>
        <w:t xml:space="preserve">v))  </w:t>
      </w:r>
    </w:p>
    <w:p w:rsidR="00672BF4" w:rsidRDefault="003A4470" w:rsidP="00234FC0">
      <w:pPr>
        <w:spacing w:line="480" w:lineRule="auto"/>
        <w:ind w:firstLine="720"/>
        <w:rPr>
          <w:rFonts w:cs="Times New Roman"/>
        </w:rPr>
      </w:pPr>
      <w:r>
        <w:rPr>
          <w:rFonts w:cs="Times New Roman"/>
        </w:rPr>
        <w:t xml:space="preserve">Tatum </w:t>
      </w:r>
      <w:r w:rsidR="000C07BC">
        <w:rPr>
          <w:rFonts w:cs="Times New Roman"/>
        </w:rPr>
        <w:t>and Caldwell</w:t>
      </w:r>
      <w:r w:rsidR="00DC025D">
        <w:rPr>
          <w:rFonts w:cs="Times New Roman"/>
        </w:rPr>
        <w:t xml:space="preserve"> </w:t>
      </w:r>
      <w:r>
        <w:rPr>
          <w:rFonts w:cs="Times New Roman"/>
        </w:rPr>
        <w:t xml:space="preserve">were harmed </w:t>
      </w:r>
      <w:r w:rsidR="00344AF2">
        <w:rPr>
          <w:rFonts w:cs="Times New Roman"/>
        </w:rPr>
        <w:t xml:space="preserve">when the </w:t>
      </w:r>
      <w:r w:rsidR="000C07BC">
        <w:rPr>
          <w:rFonts w:cs="Times New Roman"/>
        </w:rPr>
        <w:t>civil case was dismissed</w:t>
      </w:r>
      <w:r w:rsidR="00234FC0">
        <w:rPr>
          <w:rFonts w:cs="Times New Roman"/>
        </w:rPr>
        <w:t xml:space="preserve"> and they lost their opportunity to pursue the action. </w:t>
      </w:r>
      <w:r w:rsidR="00575DDC">
        <w:rPr>
          <w:rFonts w:cs="Times New Roman"/>
        </w:rPr>
        <w:t xml:space="preserve"> </w:t>
      </w:r>
      <w:r w:rsidR="00BB6A1C">
        <w:rPr>
          <w:rFonts w:cs="Times New Roman"/>
        </w:rPr>
        <w:t>An</w:t>
      </w:r>
      <w:r w:rsidR="003A77D6">
        <w:rPr>
          <w:rFonts w:cs="Times New Roman"/>
        </w:rPr>
        <w:t xml:space="preserve"> attorney’s failure to perform </w:t>
      </w:r>
      <w:proofErr w:type="gramStart"/>
      <w:r w:rsidR="00BB6A1C">
        <w:rPr>
          <w:rFonts w:cs="Times New Roman"/>
        </w:rPr>
        <w:t xml:space="preserve">that </w:t>
      </w:r>
      <w:r w:rsidR="003A77D6">
        <w:rPr>
          <w:rFonts w:cs="Times New Roman"/>
        </w:rPr>
        <w:t>results</w:t>
      </w:r>
      <w:proofErr w:type="gramEnd"/>
      <w:r w:rsidR="003A77D6">
        <w:rPr>
          <w:rFonts w:cs="Times New Roman"/>
        </w:rPr>
        <w:t xml:space="preserve"> in the loss of a client’s cause of action constitutes significant client harm.  (</w:t>
      </w:r>
      <w:r w:rsidR="003A77D6" w:rsidRPr="003A77D6">
        <w:rPr>
          <w:rFonts w:cs="Times New Roman"/>
          <w:i/>
        </w:rPr>
        <w:t>In the Matter of Dahlz</w:t>
      </w:r>
      <w:r w:rsidR="003A77D6">
        <w:rPr>
          <w:rFonts w:cs="Times New Roman"/>
        </w:rPr>
        <w:t xml:space="preserve"> (Review Dept. 2001) 4 Cal. </w:t>
      </w:r>
      <w:proofErr w:type="gramStart"/>
      <w:r w:rsidR="003A77D6">
        <w:rPr>
          <w:rFonts w:cs="Times New Roman"/>
        </w:rPr>
        <w:t>State</w:t>
      </w:r>
      <w:proofErr w:type="gramEnd"/>
      <w:r w:rsidR="003A77D6">
        <w:rPr>
          <w:rFonts w:cs="Times New Roman"/>
        </w:rPr>
        <w:t xml:space="preserve"> Bar Ct. Rptr. 269, 283.)  </w:t>
      </w:r>
      <w:r w:rsidR="00BB6A1C">
        <w:rPr>
          <w:rFonts w:cs="Times New Roman"/>
        </w:rPr>
        <w:t xml:space="preserve">Also, </w:t>
      </w:r>
      <w:r>
        <w:rPr>
          <w:rFonts w:cs="Times New Roman"/>
        </w:rPr>
        <w:t>Mrs. Norma</w:t>
      </w:r>
      <w:r w:rsidR="007F1962">
        <w:rPr>
          <w:rFonts w:cs="Times New Roman"/>
        </w:rPr>
        <w:t>n</w:t>
      </w:r>
      <w:r>
        <w:rPr>
          <w:rFonts w:cs="Times New Roman"/>
        </w:rPr>
        <w:t xml:space="preserve"> was harmed </w:t>
      </w:r>
      <w:r w:rsidR="00BB6A1C">
        <w:rPr>
          <w:rFonts w:cs="Times New Roman"/>
        </w:rPr>
        <w:t>since she had to incur</w:t>
      </w:r>
      <w:r>
        <w:rPr>
          <w:rFonts w:cs="Times New Roman"/>
        </w:rPr>
        <w:t xml:space="preserve"> legal </w:t>
      </w:r>
      <w:r w:rsidR="00DC025D">
        <w:rPr>
          <w:rFonts w:cs="Times New Roman"/>
        </w:rPr>
        <w:t xml:space="preserve">expenses </w:t>
      </w:r>
      <w:r w:rsidR="007F1962">
        <w:rPr>
          <w:rFonts w:cs="Times New Roman"/>
        </w:rPr>
        <w:t xml:space="preserve">to </w:t>
      </w:r>
      <w:r w:rsidR="00F14DA3">
        <w:rPr>
          <w:rFonts w:cs="Times New Roman"/>
        </w:rPr>
        <w:t xml:space="preserve">defend </w:t>
      </w:r>
      <w:r w:rsidR="000C07BC">
        <w:rPr>
          <w:rFonts w:cs="Times New Roman"/>
        </w:rPr>
        <w:t xml:space="preserve">against </w:t>
      </w:r>
      <w:r w:rsidR="00F14DA3">
        <w:rPr>
          <w:rFonts w:cs="Times New Roman"/>
        </w:rPr>
        <w:t xml:space="preserve">Nownejad’s </w:t>
      </w:r>
      <w:r w:rsidR="00BB6A1C">
        <w:rPr>
          <w:rFonts w:cs="Times New Roman"/>
        </w:rPr>
        <w:t>lawsuit</w:t>
      </w:r>
      <w:r w:rsidR="00F14DA3">
        <w:rPr>
          <w:rFonts w:cs="Times New Roman"/>
        </w:rPr>
        <w:t xml:space="preserve"> to collect </w:t>
      </w:r>
      <w:r>
        <w:rPr>
          <w:rFonts w:cs="Times New Roman"/>
        </w:rPr>
        <w:t>his</w:t>
      </w:r>
      <w:r w:rsidR="00F14DA3">
        <w:rPr>
          <w:rFonts w:cs="Times New Roman"/>
        </w:rPr>
        <w:t xml:space="preserve"> unconscionable fee</w:t>
      </w:r>
      <w:r w:rsidR="00852DAB">
        <w:rPr>
          <w:rFonts w:cs="Times New Roman"/>
        </w:rPr>
        <w:t xml:space="preserve">, and </w:t>
      </w:r>
      <w:r w:rsidR="00591FF5">
        <w:rPr>
          <w:rFonts w:cs="Times New Roman"/>
        </w:rPr>
        <w:t xml:space="preserve">she </w:t>
      </w:r>
      <w:r w:rsidR="00852DAB">
        <w:rPr>
          <w:rFonts w:cs="Times New Roman"/>
        </w:rPr>
        <w:t>has not yet received her $25,000 in restitution</w:t>
      </w:r>
      <w:r w:rsidR="00F14DA3">
        <w:rPr>
          <w:rFonts w:cs="Times New Roman"/>
        </w:rPr>
        <w:t xml:space="preserve">.    </w:t>
      </w:r>
    </w:p>
    <w:p w:rsidR="00BA59A5" w:rsidRPr="00B55A50" w:rsidRDefault="00BA59A5" w:rsidP="00080BB6">
      <w:pPr>
        <w:spacing w:line="480" w:lineRule="auto"/>
        <w:rPr>
          <w:rFonts w:cs="Times New Roman"/>
          <w:b/>
        </w:rPr>
      </w:pPr>
      <w:r>
        <w:rPr>
          <w:rFonts w:cs="Times New Roman"/>
        </w:rPr>
        <w:tab/>
      </w:r>
      <w:r w:rsidR="008E0DF6" w:rsidRPr="008E0DF6">
        <w:rPr>
          <w:rFonts w:cs="Times New Roman"/>
          <w:b/>
        </w:rPr>
        <w:t>4</w:t>
      </w:r>
      <w:r w:rsidR="00385FAA">
        <w:rPr>
          <w:rFonts w:cs="Times New Roman"/>
          <w:b/>
        </w:rPr>
        <w:t>.  Indifference Toward Rectification</w:t>
      </w:r>
      <w:r w:rsidRPr="00B55A50">
        <w:rPr>
          <w:rFonts w:cs="Times New Roman"/>
          <w:b/>
        </w:rPr>
        <w:t xml:space="preserve"> (Std. 1.2(b</w:t>
      </w:r>
      <w:proofErr w:type="gramStart"/>
      <w:r w:rsidRPr="00B55A50">
        <w:rPr>
          <w:rFonts w:cs="Times New Roman"/>
          <w:b/>
        </w:rPr>
        <w:t>)(</w:t>
      </w:r>
      <w:proofErr w:type="gramEnd"/>
      <w:r w:rsidRPr="00B55A50">
        <w:rPr>
          <w:rFonts w:cs="Times New Roman"/>
          <w:b/>
        </w:rPr>
        <w:t>v)</w:t>
      </w:r>
      <w:r w:rsidR="003D407B">
        <w:rPr>
          <w:rFonts w:cs="Times New Roman"/>
          <w:b/>
        </w:rPr>
        <w:t>)</w:t>
      </w:r>
    </w:p>
    <w:p w:rsidR="004D5008" w:rsidRDefault="00BA59A5" w:rsidP="00080BB6">
      <w:pPr>
        <w:spacing w:line="480" w:lineRule="auto"/>
        <w:rPr>
          <w:rFonts w:cs="Times New Roman"/>
        </w:rPr>
      </w:pPr>
      <w:r>
        <w:rPr>
          <w:rFonts w:cs="Times New Roman"/>
        </w:rPr>
        <w:tab/>
      </w:r>
      <w:r w:rsidR="00DC025D">
        <w:rPr>
          <w:rFonts w:cs="Times New Roman"/>
        </w:rPr>
        <w:t xml:space="preserve">Nownejad </w:t>
      </w:r>
      <w:r>
        <w:rPr>
          <w:rFonts w:cs="Times New Roman"/>
        </w:rPr>
        <w:t xml:space="preserve">has </w:t>
      </w:r>
      <w:r w:rsidR="003A4470">
        <w:rPr>
          <w:rFonts w:cs="Times New Roman"/>
        </w:rPr>
        <w:t xml:space="preserve">demonstrated </w:t>
      </w:r>
      <w:r w:rsidR="00385FAA">
        <w:rPr>
          <w:rFonts w:cs="Times New Roman"/>
        </w:rPr>
        <w:t xml:space="preserve">indifference toward rectification of the consequences of his misconduct as well as a </w:t>
      </w:r>
      <w:r w:rsidR="003A4470">
        <w:rPr>
          <w:rFonts w:cs="Times New Roman"/>
        </w:rPr>
        <w:t xml:space="preserve">lack of remorse.  </w:t>
      </w:r>
      <w:r w:rsidR="00385FAA">
        <w:rPr>
          <w:rFonts w:cs="Times New Roman"/>
        </w:rPr>
        <w:t xml:space="preserve">Despite a court-ordered judgment, </w:t>
      </w:r>
      <w:r w:rsidR="003A4470">
        <w:rPr>
          <w:rFonts w:cs="Times New Roman"/>
        </w:rPr>
        <w:t xml:space="preserve">he has not paid </w:t>
      </w:r>
      <w:r>
        <w:rPr>
          <w:rFonts w:cs="Times New Roman"/>
        </w:rPr>
        <w:t xml:space="preserve">the </w:t>
      </w:r>
    </w:p>
    <w:p w:rsidR="004D5008" w:rsidRDefault="004D5008" w:rsidP="00080BB6">
      <w:pPr>
        <w:spacing w:line="480" w:lineRule="auto"/>
        <w:rPr>
          <w:rFonts w:cs="Times New Roman"/>
        </w:rPr>
      </w:pPr>
    </w:p>
    <w:p w:rsidR="002F52A4" w:rsidRDefault="003A4470" w:rsidP="00080BB6">
      <w:pPr>
        <w:spacing w:line="480" w:lineRule="auto"/>
        <w:rPr>
          <w:rFonts w:cs="Times New Roman"/>
        </w:rPr>
      </w:pPr>
      <w:proofErr w:type="gramStart"/>
      <w:r>
        <w:rPr>
          <w:rFonts w:cs="Times New Roman"/>
        </w:rPr>
        <w:lastRenderedPageBreak/>
        <w:t xml:space="preserve">$25,000 in </w:t>
      </w:r>
      <w:r w:rsidR="00BA59A5">
        <w:rPr>
          <w:rFonts w:cs="Times New Roman"/>
        </w:rPr>
        <w:t xml:space="preserve">restitution to </w:t>
      </w:r>
      <w:r w:rsidR="000C07BC">
        <w:rPr>
          <w:rFonts w:cs="Times New Roman"/>
        </w:rPr>
        <w:t xml:space="preserve">Mrs. </w:t>
      </w:r>
      <w:r w:rsidR="00BA59A5">
        <w:rPr>
          <w:rFonts w:cs="Times New Roman"/>
        </w:rPr>
        <w:t>Norman.</w:t>
      </w:r>
      <w:proofErr w:type="gramEnd"/>
      <w:r w:rsidR="00BA59A5">
        <w:rPr>
          <w:rFonts w:cs="Times New Roman"/>
        </w:rPr>
        <w:t xml:space="preserve">  </w:t>
      </w:r>
      <w:r w:rsidR="00481483">
        <w:rPr>
          <w:rFonts w:cs="Times New Roman"/>
        </w:rPr>
        <w:t>(</w:t>
      </w:r>
      <w:r w:rsidR="00481483">
        <w:rPr>
          <w:rFonts w:cs="Times New Roman"/>
          <w:i/>
        </w:rPr>
        <w:t>In the Matter of Conner, supra,</w:t>
      </w:r>
      <w:r w:rsidR="00481483">
        <w:rPr>
          <w:rFonts w:cs="Times New Roman"/>
        </w:rPr>
        <w:t xml:space="preserve"> 5 Cal. State Bar Ct. Rptr. at p. 106 [failure to make full restitution is aggravating factor under st</w:t>
      </w:r>
      <w:r w:rsidR="00DB2C71">
        <w:rPr>
          <w:rFonts w:cs="Times New Roman"/>
        </w:rPr>
        <w:t>d.</w:t>
      </w:r>
      <w:r w:rsidR="00481483">
        <w:rPr>
          <w:rFonts w:cs="Times New Roman"/>
        </w:rPr>
        <w:t xml:space="preserve"> 1.2(b</w:t>
      </w:r>
      <w:proofErr w:type="gramStart"/>
      <w:r w:rsidR="00481483">
        <w:rPr>
          <w:rFonts w:cs="Times New Roman"/>
        </w:rPr>
        <w:t>)(</w:t>
      </w:r>
      <w:proofErr w:type="gramEnd"/>
      <w:r w:rsidR="00481483">
        <w:rPr>
          <w:rFonts w:cs="Times New Roman"/>
        </w:rPr>
        <w:t xml:space="preserve">v)].) </w:t>
      </w:r>
      <w:r w:rsidR="00852DAB">
        <w:rPr>
          <w:rFonts w:cs="Times New Roman"/>
        </w:rPr>
        <w:t xml:space="preserve"> </w:t>
      </w:r>
      <w:r w:rsidR="00B55A50">
        <w:rPr>
          <w:rFonts w:cs="Times New Roman"/>
        </w:rPr>
        <w:t xml:space="preserve">  </w:t>
      </w:r>
    </w:p>
    <w:p w:rsidR="00BA59A5" w:rsidRPr="006C0294" w:rsidRDefault="00BA59A5" w:rsidP="00385FAA">
      <w:pPr>
        <w:spacing w:line="480" w:lineRule="auto"/>
        <w:rPr>
          <w:rFonts w:cs="Times New Roman"/>
          <w:b/>
        </w:rPr>
      </w:pPr>
      <w:r>
        <w:rPr>
          <w:rFonts w:cs="Times New Roman"/>
        </w:rPr>
        <w:tab/>
      </w:r>
      <w:r w:rsidR="008E0DF6" w:rsidRPr="008E0DF6">
        <w:rPr>
          <w:rFonts w:cs="Times New Roman"/>
          <w:b/>
        </w:rPr>
        <w:t>5</w:t>
      </w:r>
      <w:r w:rsidRPr="008E0DF6">
        <w:rPr>
          <w:rFonts w:cs="Times New Roman"/>
          <w:b/>
        </w:rPr>
        <w:t>.  Lack</w:t>
      </w:r>
      <w:r w:rsidRPr="006C0294">
        <w:rPr>
          <w:rFonts w:cs="Times New Roman"/>
          <w:b/>
        </w:rPr>
        <w:t xml:space="preserve"> of Candor (</w:t>
      </w:r>
      <w:r w:rsidR="00DB2C71">
        <w:rPr>
          <w:rFonts w:cs="Times New Roman"/>
          <w:b/>
        </w:rPr>
        <w:t xml:space="preserve">Std. </w:t>
      </w:r>
      <w:r w:rsidR="00B55A50" w:rsidRPr="006C0294">
        <w:rPr>
          <w:rFonts w:cs="Times New Roman"/>
          <w:b/>
        </w:rPr>
        <w:t>1.2(b</w:t>
      </w:r>
      <w:proofErr w:type="gramStart"/>
      <w:r w:rsidR="00B55A50" w:rsidRPr="006C0294">
        <w:rPr>
          <w:rFonts w:cs="Times New Roman"/>
          <w:b/>
        </w:rPr>
        <w:t>)(</w:t>
      </w:r>
      <w:proofErr w:type="gramEnd"/>
      <w:r w:rsidR="00B55A50" w:rsidRPr="006C0294">
        <w:rPr>
          <w:rFonts w:cs="Times New Roman"/>
          <w:b/>
        </w:rPr>
        <w:t>vi))</w:t>
      </w:r>
    </w:p>
    <w:p w:rsidR="00B55A50" w:rsidRDefault="00B55A50" w:rsidP="00080BB6">
      <w:pPr>
        <w:spacing w:line="480" w:lineRule="auto"/>
        <w:rPr>
          <w:rFonts w:cs="Times New Roman"/>
        </w:rPr>
      </w:pPr>
      <w:r>
        <w:rPr>
          <w:rFonts w:cs="Times New Roman"/>
        </w:rPr>
        <w:tab/>
      </w:r>
      <w:r w:rsidR="00B174B5">
        <w:rPr>
          <w:rFonts w:cs="Times New Roman"/>
        </w:rPr>
        <w:t>Nownejad</w:t>
      </w:r>
      <w:r w:rsidR="000C07BC">
        <w:rPr>
          <w:rFonts w:cs="Times New Roman"/>
        </w:rPr>
        <w:t xml:space="preserve"> </w:t>
      </w:r>
      <w:r w:rsidR="00BB6A1C">
        <w:rPr>
          <w:rFonts w:cs="Times New Roman"/>
        </w:rPr>
        <w:t>was not honest in his testimony before the hearing judge</w:t>
      </w:r>
      <w:r w:rsidR="00A630B4">
        <w:rPr>
          <w:rFonts w:cs="Times New Roman"/>
        </w:rPr>
        <w:t xml:space="preserve"> – he </w:t>
      </w:r>
      <w:r w:rsidR="00591FF5">
        <w:rPr>
          <w:rFonts w:cs="Times New Roman"/>
        </w:rPr>
        <w:t xml:space="preserve">falsely </w:t>
      </w:r>
      <w:r w:rsidR="00A630B4">
        <w:rPr>
          <w:rFonts w:cs="Times New Roman"/>
        </w:rPr>
        <w:t>stated</w:t>
      </w:r>
      <w:r w:rsidR="00BB6A1C">
        <w:rPr>
          <w:rFonts w:cs="Times New Roman"/>
        </w:rPr>
        <w:t xml:space="preserve"> </w:t>
      </w:r>
      <w:r w:rsidR="00B174B5">
        <w:rPr>
          <w:rFonts w:cs="Times New Roman"/>
        </w:rPr>
        <w:t xml:space="preserve">that Tatum and Caldwell agreed to dismiss their </w:t>
      </w:r>
      <w:r w:rsidR="000C07BC">
        <w:rPr>
          <w:rFonts w:cs="Times New Roman"/>
        </w:rPr>
        <w:t>civil case</w:t>
      </w:r>
      <w:r w:rsidR="00B174B5">
        <w:rPr>
          <w:rFonts w:cs="Times New Roman"/>
        </w:rPr>
        <w:t xml:space="preserve">.  </w:t>
      </w:r>
      <w:r w:rsidR="00E00173">
        <w:rPr>
          <w:rFonts w:cs="Times New Roman"/>
        </w:rPr>
        <w:t xml:space="preserve">Tatum and Caldwell credibly testified that </w:t>
      </w:r>
      <w:r w:rsidR="000C07BC">
        <w:rPr>
          <w:rFonts w:cs="Times New Roman"/>
        </w:rPr>
        <w:t xml:space="preserve">they never agreed </w:t>
      </w:r>
      <w:r w:rsidR="00DC025D">
        <w:rPr>
          <w:rFonts w:cs="Times New Roman"/>
        </w:rPr>
        <w:t xml:space="preserve">to </w:t>
      </w:r>
      <w:r w:rsidR="000C07BC">
        <w:rPr>
          <w:rFonts w:cs="Times New Roman"/>
        </w:rPr>
        <w:t xml:space="preserve">dismiss </w:t>
      </w:r>
      <w:r w:rsidR="00DB2C71">
        <w:rPr>
          <w:rFonts w:cs="Times New Roman"/>
        </w:rPr>
        <w:t>it</w:t>
      </w:r>
      <w:r w:rsidR="000C07BC">
        <w:rPr>
          <w:rFonts w:cs="Times New Roman"/>
        </w:rPr>
        <w:t>.</w:t>
      </w:r>
      <w:r w:rsidR="003A4470">
        <w:rPr>
          <w:rFonts w:cs="Times New Roman"/>
        </w:rPr>
        <w:t xml:space="preserve"> </w:t>
      </w:r>
      <w:r w:rsidR="000C07BC">
        <w:rPr>
          <w:rFonts w:cs="Times New Roman"/>
        </w:rPr>
        <w:t xml:space="preserve"> </w:t>
      </w:r>
      <w:r w:rsidR="00481483">
        <w:rPr>
          <w:rFonts w:cs="Times New Roman"/>
        </w:rPr>
        <w:t>To</w:t>
      </w:r>
      <w:r w:rsidR="00234FC0">
        <w:rPr>
          <w:rFonts w:cs="Times New Roman"/>
        </w:rPr>
        <w:t xml:space="preserve"> corroborate </w:t>
      </w:r>
      <w:r w:rsidR="00E00173">
        <w:rPr>
          <w:rFonts w:cs="Times New Roman"/>
        </w:rPr>
        <w:t xml:space="preserve">their testimony, </w:t>
      </w:r>
      <w:r w:rsidR="00234FC0">
        <w:rPr>
          <w:rFonts w:cs="Times New Roman"/>
        </w:rPr>
        <w:t xml:space="preserve">the State Bar produced </w:t>
      </w:r>
      <w:r w:rsidR="000C07BC">
        <w:rPr>
          <w:rFonts w:cs="Times New Roman"/>
        </w:rPr>
        <w:t xml:space="preserve">two letters </w:t>
      </w:r>
      <w:r w:rsidR="00E00173">
        <w:rPr>
          <w:rFonts w:cs="Times New Roman"/>
        </w:rPr>
        <w:t xml:space="preserve">Nownejad wrote to </w:t>
      </w:r>
      <w:r w:rsidR="000C07BC">
        <w:rPr>
          <w:rFonts w:cs="Times New Roman"/>
        </w:rPr>
        <w:t xml:space="preserve">Tatum and Caldwell, dated August 8 and December 18, 2006, </w:t>
      </w:r>
      <w:r w:rsidR="00481483">
        <w:rPr>
          <w:rFonts w:cs="Times New Roman"/>
        </w:rPr>
        <w:t xml:space="preserve">each </w:t>
      </w:r>
      <w:r w:rsidR="000C07BC">
        <w:rPr>
          <w:rFonts w:cs="Times New Roman"/>
        </w:rPr>
        <w:t xml:space="preserve">stating </w:t>
      </w:r>
      <w:r w:rsidR="00DC025D">
        <w:rPr>
          <w:rFonts w:cs="Times New Roman"/>
        </w:rPr>
        <w:t xml:space="preserve">that </w:t>
      </w:r>
      <w:r w:rsidR="003A4470">
        <w:rPr>
          <w:rFonts w:cs="Times New Roman"/>
        </w:rPr>
        <w:t xml:space="preserve">Nownejad had </w:t>
      </w:r>
      <w:r w:rsidR="00234FC0">
        <w:rPr>
          <w:rFonts w:cs="Times New Roman"/>
        </w:rPr>
        <w:t xml:space="preserve">just discovered that </w:t>
      </w:r>
      <w:r w:rsidR="00DC025D">
        <w:rPr>
          <w:rFonts w:cs="Times New Roman"/>
        </w:rPr>
        <w:t xml:space="preserve">their case </w:t>
      </w:r>
      <w:r w:rsidR="00234FC0">
        <w:rPr>
          <w:rFonts w:cs="Times New Roman"/>
        </w:rPr>
        <w:t xml:space="preserve">had been </w:t>
      </w:r>
      <w:r w:rsidR="00DC025D" w:rsidRPr="00DC025D">
        <w:rPr>
          <w:rFonts w:cs="Times New Roman"/>
          <w:i/>
        </w:rPr>
        <w:t xml:space="preserve">mistakenly </w:t>
      </w:r>
      <w:r w:rsidR="00DC025D">
        <w:rPr>
          <w:rFonts w:cs="Times New Roman"/>
        </w:rPr>
        <w:t xml:space="preserve">dismissed:  “I </w:t>
      </w:r>
      <w:r w:rsidR="000C07BC">
        <w:rPr>
          <w:rFonts w:cs="Times New Roman"/>
        </w:rPr>
        <w:t xml:space="preserve">just recently realized that, due to inadvertence, your case . . . has gotten dismissed.”  The hearing judge found that </w:t>
      </w:r>
      <w:r w:rsidR="00B174B5">
        <w:rPr>
          <w:rFonts w:cs="Times New Roman"/>
        </w:rPr>
        <w:t xml:space="preserve">Nownejad </w:t>
      </w:r>
      <w:r w:rsidR="000C07BC">
        <w:rPr>
          <w:rFonts w:cs="Times New Roman"/>
        </w:rPr>
        <w:t xml:space="preserve">lacked candor </w:t>
      </w:r>
      <w:r w:rsidR="00E00173">
        <w:rPr>
          <w:rFonts w:cs="Times New Roman"/>
        </w:rPr>
        <w:t>and we</w:t>
      </w:r>
      <w:r w:rsidR="003A4470">
        <w:rPr>
          <w:rFonts w:cs="Times New Roman"/>
        </w:rPr>
        <w:t xml:space="preserve"> agree</w:t>
      </w:r>
      <w:r w:rsidR="00E00173">
        <w:rPr>
          <w:rFonts w:cs="Times New Roman"/>
        </w:rPr>
        <w:t>.  Such</w:t>
      </w:r>
      <w:r w:rsidR="003A4470">
        <w:rPr>
          <w:rFonts w:cs="Times New Roman"/>
        </w:rPr>
        <w:t xml:space="preserve"> </w:t>
      </w:r>
      <w:r w:rsidR="000C07BC">
        <w:rPr>
          <w:rFonts w:cs="Times New Roman"/>
        </w:rPr>
        <w:t xml:space="preserve">dishonesty before the court </w:t>
      </w:r>
      <w:r w:rsidR="00BB6A1C">
        <w:rPr>
          <w:rFonts w:cs="Times New Roman"/>
        </w:rPr>
        <w:t>greatly</w:t>
      </w:r>
      <w:r w:rsidR="006C0294">
        <w:rPr>
          <w:rFonts w:cs="Times New Roman"/>
        </w:rPr>
        <w:t xml:space="preserve"> aggravat</w:t>
      </w:r>
      <w:r w:rsidR="00DB2C71">
        <w:rPr>
          <w:rFonts w:cs="Times New Roman"/>
        </w:rPr>
        <w:t>e</w:t>
      </w:r>
      <w:r w:rsidR="00E00173">
        <w:rPr>
          <w:rFonts w:cs="Times New Roman"/>
        </w:rPr>
        <w:t>s</w:t>
      </w:r>
      <w:r w:rsidR="006C0294">
        <w:rPr>
          <w:rFonts w:cs="Times New Roman"/>
        </w:rPr>
        <w:t xml:space="preserve"> </w:t>
      </w:r>
      <w:r w:rsidR="00481483">
        <w:rPr>
          <w:rFonts w:cs="Times New Roman"/>
        </w:rPr>
        <w:t>this case</w:t>
      </w:r>
      <w:r w:rsidR="006C0294">
        <w:rPr>
          <w:rFonts w:cs="Times New Roman"/>
        </w:rPr>
        <w:t xml:space="preserve">.  </w:t>
      </w:r>
      <w:proofErr w:type="gramStart"/>
      <w:r w:rsidR="006C0294">
        <w:rPr>
          <w:rFonts w:cs="Times New Roman"/>
        </w:rPr>
        <w:t>(</w:t>
      </w:r>
      <w:r w:rsidR="006C0294" w:rsidRPr="003A77D6">
        <w:rPr>
          <w:rFonts w:cs="Times New Roman"/>
          <w:i/>
        </w:rPr>
        <w:t>In the Matter of Dahlz</w:t>
      </w:r>
      <w:r w:rsidR="006C0294">
        <w:rPr>
          <w:rFonts w:cs="Times New Roman"/>
          <w:i/>
        </w:rPr>
        <w:t>, supra,</w:t>
      </w:r>
      <w:r w:rsidR="006C0294">
        <w:rPr>
          <w:rFonts w:cs="Times New Roman"/>
        </w:rPr>
        <w:t xml:space="preserve"> 4 Cal. State Bar Ct. Rptr. </w:t>
      </w:r>
      <w:r w:rsidR="002F52A4">
        <w:rPr>
          <w:rFonts w:cs="Times New Roman"/>
        </w:rPr>
        <w:t>a</w:t>
      </w:r>
      <w:r w:rsidR="006C0294">
        <w:rPr>
          <w:rFonts w:cs="Times New Roman"/>
        </w:rPr>
        <w:t>t p. 282</w:t>
      </w:r>
      <w:r w:rsidR="00481483">
        <w:rPr>
          <w:rFonts w:cs="Times New Roman"/>
        </w:rPr>
        <w:t xml:space="preserve"> [lack of candor is “strong aggravating circumstance”]</w:t>
      </w:r>
      <w:r w:rsidR="006C0294">
        <w:rPr>
          <w:rFonts w:cs="Times New Roman"/>
        </w:rPr>
        <w:t>.)</w:t>
      </w:r>
      <w:proofErr w:type="gramEnd"/>
    </w:p>
    <w:p w:rsidR="00B93E4B" w:rsidRPr="005E72DC" w:rsidRDefault="00080BB6" w:rsidP="00B55A50">
      <w:pPr>
        <w:rPr>
          <w:rFonts w:cs="Times New Roman"/>
          <w:b/>
        </w:rPr>
      </w:pPr>
      <w:r>
        <w:rPr>
          <w:rFonts w:cs="Times New Roman"/>
          <w:b/>
          <w:bCs/>
        </w:rPr>
        <w:t>B</w:t>
      </w:r>
      <w:r w:rsidRPr="005E72DC">
        <w:rPr>
          <w:rFonts w:cs="Times New Roman"/>
          <w:b/>
          <w:bCs/>
        </w:rPr>
        <w:t>.</w:t>
      </w:r>
      <w:r w:rsidR="00A14086">
        <w:rPr>
          <w:rFonts w:cs="Times New Roman"/>
          <w:b/>
          <w:bCs/>
        </w:rPr>
        <w:tab/>
      </w:r>
      <w:r w:rsidR="00A14086" w:rsidRPr="005E72DC">
        <w:rPr>
          <w:rFonts w:cs="Times New Roman"/>
          <w:b/>
        </w:rPr>
        <w:t xml:space="preserve">NO </w:t>
      </w:r>
      <w:r w:rsidR="00A14086" w:rsidRPr="005E72DC">
        <w:rPr>
          <w:rFonts w:cs="Times New Roman"/>
          <w:b/>
          <w:bCs/>
        </w:rPr>
        <w:t>MITIGATING CIRCUMSTANCES</w:t>
      </w:r>
      <w:r w:rsidR="00A14086" w:rsidRPr="005E72DC">
        <w:rPr>
          <w:rFonts w:cs="Times New Roman"/>
          <w:b/>
        </w:rPr>
        <w:t xml:space="preserve"> </w:t>
      </w:r>
    </w:p>
    <w:p w:rsidR="00B55A50" w:rsidRPr="005E72DC" w:rsidRDefault="00B55A50" w:rsidP="00B55A50">
      <w:pPr>
        <w:rPr>
          <w:rFonts w:cs="Times New Roman"/>
          <w:b/>
        </w:rPr>
      </w:pPr>
    </w:p>
    <w:p w:rsidR="00B93E4B" w:rsidRPr="009E01D9" w:rsidRDefault="00B93E4B" w:rsidP="00080BB6">
      <w:pPr>
        <w:pStyle w:val="FootnoteText"/>
        <w:spacing w:line="480" w:lineRule="auto"/>
        <w:rPr>
          <w:rFonts w:cs="Times New Roman"/>
          <w:b/>
          <w:sz w:val="24"/>
          <w:szCs w:val="24"/>
        </w:rPr>
      </w:pPr>
      <w:r>
        <w:rPr>
          <w:rFonts w:cs="Times New Roman"/>
          <w:sz w:val="24"/>
          <w:szCs w:val="24"/>
        </w:rPr>
        <w:tab/>
      </w:r>
      <w:r w:rsidR="00625E69">
        <w:rPr>
          <w:rFonts w:cs="Times New Roman"/>
          <w:b/>
          <w:sz w:val="24"/>
          <w:szCs w:val="24"/>
        </w:rPr>
        <w:t>1</w:t>
      </w:r>
      <w:r w:rsidR="00345F28">
        <w:rPr>
          <w:rFonts w:cs="Times New Roman"/>
          <w:b/>
          <w:sz w:val="24"/>
          <w:szCs w:val="24"/>
        </w:rPr>
        <w:t>.  Good Character (Std. 1.2(e</w:t>
      </w:r>
      <w:proofErr w:type="gramStart"/>
      <w:r w:rsidRPr="009E01D9">
        <w:rPr>
          <w:rFonts w:cs="Times New Roman"/>
          <w:b/>
          <w:sz w:val="24"/>
          <w:szCs w:val="24"/>
        </w:rPr>
        <w:t>)(</w:t>
      </w:r>
      <w:proofErr w:type="gramEnd"/>
      <w:r w:rsidRPr="009E01D9">
        <w:rPr>
          <w:rFonts w:cs="Times New Roman"/>
          <w:b/>
          <w:sz w:val="24"/>
          <w:szCs w:val="24"/>
        </w:rPr>
        <w:t>v</w:t>
      </w:r>
      <w:r w:rsidR="00252A04">
        <w:rPr>
          <w:rFonts w:cs="Times New Roman"/>
          <w:b/>
          <w:sz w:val="24"/>
          <w:szCs w:val="24"/>
        </w:rPr>
        <w:t>i</w:t>
      </w:r>
      <w:r w:rsidRPr="009E01D9">
        <w:rPr>
          <w:rFonts w:cs="Times New Roman"/>
          <w:b/>
          <w:sz w:val="24"/>
          <w:szCs w:val="24"/>
        </w:rPr>
        <w:t>))</w:t>
      </w:r>
    </w:p>
    <w:p w:rsidR="00DE0303" w:rsidRDefault="00B93E4B" w:rsidP="00080BB6">
      <w:pPr>
        <w:pStyle w:val="FootnoteText"/>
        <w:spacing w:line="480" w:lineRule="auto"/>
        <w:rPr>
          <w:rFonts w:cs="Times New Roman"/>
          <w:sz w:val="24"/>
          <w:szCs w:val="24"/>
        </w:rPr>
      </w:pPr>
      <w:r>
        <w:rPr>
          <w:rFonts w:cs="Times New Roman"/>
          <w:sz w:val="24"/>
          <w:szCs w:val="24"/>
        </w:rPr>
        <w:tab/>
      </w:r>
      <w:r w:rsidR="00F71177">
        <w:rPr>
          <w:rFonts w:cs="Times New Roman"/>
          <w:sz w:val="24"/>
          <w:szCs w:val="24"/>
        </w:rPr>
        <w:t xml:space="preserve">Nownejad </w:t>
      </w:r>
      <w:r w:rsidR="003A4470">
        <w:rPr>
          <w:rFonts w:cs="Times New Roman"/>
          <w:sz w:val="24"/>
          <w:szCs w:val="24"/>
        </w:rPr>
        <w:t xml:space="preserve">did not </w:t>
      </w:r>
      <w:r w:rsidR="00344AF2">
        <w:rPr>
          <w:rFonts w:cs="Times New Roman"/>
          <w:sz w:val="24"/>
          <w:szCs w:val="24"/>
        </w:rPr>
        <w:t>prove</w:t>
      </w:r>
      <w:r w:rsidR="003A4470">
        <w:rPr>
          <w:rFonts w:cs="Times New Roman"/>
          <w:sz w:val="24"/>
          <w:szCs w:val="24"/>
        </w:rPr>
        <w:t xml:space="preserve"> meaningful character testimony worthy of mitigation credit.  While he presented</w:t>
      </w:r>
      <w:r w:rsidR="00F71177">
        <w:rPr>
          <w:rFonts w:cs="Times New Roman"/>
          <w:sz w:val="24"/>
          <w:szCs w:val="24"/>
        </w:rPr>
        <w:t xml:space="preserve"> five declarations from two business owners, an attorney, his office manager, and his father</w:t>
      </w:r>
      <w:r w:rsidR="003A4470">
        <w:rPr>
          <w:rFonts w:cs="Times New Roman"/>
          <w:sz w:val="24"/>
          <w:szCs w:val="24"/>
        </w:rPr>
        <w:t xml:space="preserve">, the declarants exhibited only limited knowledge of Nownejad’s misconduct.  </w:t>
      </w:r>
      <w:r w:rsidR="00957AD9">
        <w:rPr>
          <w:rFonts w:cs="Times New Roman"/>
          <w:sz w:val="24"/>
          <w:szCs w:val="24"/>
        </w:rPr>
        <w:t>(</w:t>
      </w:r>
      <w:r w:rsidR="00957AD9" w:rsidRPr="00EB2533">
        <w:rPr>
          <w:rFonts w:cs="Times New Roman"/>
          <w:i/>
          <w:sz w:val="24"/>
          <w:szCs w:val="24"/>
        </w:rPr>
        <w:t>In the Matter of Kreitenberg</w:t>
      </w:r>
      <w:r w:rsidR="00957AD9">
        <w:rPr>
          <w:rFonts w:cs="Times New Roman"/>
          <w:sz w:val="24"/>
          <w:szCs w:val="24"/>
        </w:rPr>
        <w:t xml:space="preserve"> (Review Dept. 2002) 4 Cal. State Bar Ct. Rptr. 469</w:t>
      </w:r>
      <w:r w:rsidR="002F52A4">
        <w:rPr>
          <w:rFonts w:cs="Times New Roman"/>
          <w:sz w:val="24"/>
          <w:szCs w:val="24"/>
        </w:rPr>
        <w:t>,</w:t>
      </w:r>
      <w:r w:rsidR="00957AD9">
        <w:rPr>
          <w:rFonts w:cs="Times New Roman"/>
          <w:sz w:val="24"/>
          <w:szCs w:val="24"/>
        </w:rPr>
        <w:t xml:space="preserve"> 476-477 [character evidence entitled to limited mitigative weight because declarants not fully aware of extent of attorney’s misconduct].)</w:t>
      </w:r>
      <w:r w:rsidR="00BB6A1C">
        <w:rPr>
          <w:rFonts w:cs="Times New Roman"/>
          <w:sz w:val="24"/>
          <w:szCs w:val="24"/>
        </w:rPr>
        <w:t xml:space="preserve">  </w:t>
      </w:r>
    </w:p>
    <w:p w:rsidR="003D38FF" w:rsidRPr="0063762B" w:rsidRDefault="00E906A5" w:rsidP="00A14086">
      <w:pPr>
        <w:spacing w:line="480" w:lineRule="auto"/>
        <w:jc w:val="center"/>
        <w:rPr>
          <w:rFonts w:cs="Times New Roman"/>
        </w:rPr>
      </w:pPr>
      <w:r>
        <w:rPr>
          <w:rStyle w:val="apple-converted-space"/>
          <w:b/>
          <w:color w:val="000000"/>
        </w:rPr>
        <w:t>V</w:t>
      </w:r>
      <w:r w:rsidR="00352A48">
        <w:rPr>
          <w:rStyle w:val="apple-converted-space"/>
          <w:b/>
          <w:color w:val="000000"/>
        </w:rPr>
        <w:t>I</w:t>
      </w:r>
      <w:r>
        <w:rPr>
          <w:rStyle w:val="apple-converted-space"/>
          <w:b/>
          <w:color w:val="000000"/>
        </w:rPr>
        <w:t>I</w:t>
      </w:r>
      <w:r w:rsidR="00544D0B">
        <w:rPr>
          <w:rStyle w:val="apple-converted-space"/>
          <w:b/>
          <w:color w:val="000000"/>
        </w:rPr>
        <w:t>I</w:t>
      </w:r>
      <w:proofErr w:type="gramStart"/>
      <w:r w:rsidR="00C32F05">
        <w:rPr>
          <w:rStyle w:val="apple-converted-space"/>
          <w:b/>
          <w:color w:val="000000"/>
        </w:rPr>
        <w:t xml:space="preserve">. </w:t>
      </w:r>
      <w:r w:rsidR="00A14086">
        <w:rPr>
          <w:rStyle w:val="apple-converted-space"/>
          <w:b/>
          <w:color w:val="000000"/>
        </w:rPr>
        <w:t xml:space="preserve"> </w:t>
      </w:r>
      <w:r w:rsidR="00FD350E">
        <w:rPr>
          <w:rStyle w:val="apple-converted-space"/>
          <w:b/>
          <w:color w:val="000000"/>
        </w:rPr>
        <w:t>DISCIPLINE</w:t>
      </w:r>
      <w:proofErr w:type="gramEnd"/>
      <w:r w:rsidR="00FD350E">
        <w:rPr>
          <w:rStyle w:val="apple-converted-space"/>
          <w:b/>
          <w:color w:val="000000"/>
        </w:rPr>
        <w:t xml:space="preserve"> </w:t>
      </w:r>
      <w:r w:rsidR="003D38FF">
        <w:rPr>
          <w:rFonts w:cs="Times New Roman"/>
          <w:b/>
          <w:bCs/>
        </w:rPr>
        <w:t>ANALYSIS</w:t>
      </w:r>
    </w:p>
    <w:p w:rsidR="00E906A5" w:rsidRPr="00385FAA" w:rsidRDefault="00FD350E" w:rsidP="00B40D7B">
      <w:pPr>
        <w:tabs>
          <w:tab w:val="left" w:pos="720"/>
        </w:tabs>
        <w:spacing w:line="480" w:lineRule="auto"/>
        <w:rPr>
          <w:rFonts w:cs="Times New Roman"/>
        </w:rPr>
      </w:pPr>
      <w:r>
        <w:rPr>
          <w:rFonts w:cs="Times New Roman"/>
        </w:rPr>
        <w:tab/>
        <w:t xml:space="preserve">The purpose of attorney discipline is not to punish the attorney, but to protect the public, the courts and the legal profession, to maintain high standards for attorneys and to preserve public confidence in the profession.  </w:t>
      </w:r>
      <w:proofErr w:type="gramStart"/>
      <w:r>
        <w:rPr>
          <w:rFonts w:cs="Times New Roman"/>
        </w:rPr>
        <w:t>(Std. 1.3.)</w:t>
      </w:r>
      <w:proofErr w:type="gramEnd"/>
      <w:r>
        <w:rPr>
          <w:rFonts w:cs="Times New Roman"/>
        </w:rPr>
        <w:t xml:space="preserve">  There is no fixed formula to determine the </w:t>
      </w:r>
      <w:r>
        <w:rPr>
          <w:rFonts w:cs="Times New Roman"/>
        </w:rPr>
        <w:lastRenderedPageBreak/>
        <w:t xml:space="preserve">appropriate discipline.  </w:t>
      </w:r>
      <w:proofErr w:type="gramStart"/>
      <w:r>
        <w:rPr>
          <w:rFonts w:cs="Times New Roman"/>
        </w:rPr>
        <w:t>(</w:t>
      </w:r>
      <w:r>
        <w:rPr>
          <w:rFonts w:cs="Times New Roman"/>
          <w:i/>
          <w:iCs/>
        </w:rPr>
        <w:t>In the Matter of Brimberry</w:t>
      </w:r>
      <w:r>
        <w:rPr>
          <w:rFonts w:cs="Times New Roman"/>
        </w:rPr>
        <w:t xml:space="preserve"> (Review Dept. 1995) 3 Cal. State Bar Ct. Rptr. 390, 403.)</w:t>
      </w:r>
      <w:proofErr w:type="gramEnd"/>
      <w:r>
        <w:rPr>
          <w:rFonts w:cs="Times New Roman"/>
        </w:rPr>
        <w:t xml:space="preserve">  Ultimately, we balance all r</w:t>
      </w:r>
      <w:r w:rsidR="00711ADE">
        <w:rPr>
          <w:rFonts w:cs="Times New Roman"/>
        </w:rPr>
        <w:t>elevant factors, including aggrav</w:t>
      </w:r>
      <w:r>
        <w:rPr>
          <w:rFonts w:cs="Times New Roman"/>
        </w:rPr>
        <w:t xml:space="preserve">ating and </w:t>
      </w:r>
      <w:r w:rsidR="00711ADE">
        <w:rPr>
          <w:rFonts w:cs="Times New Roman"/>
        </w:rPr>
        <w:t>mitig</w:t>
      </w:r>
      <w:r>
        <w:rPr>
          <w:rFonts w:cs="Times New Roman"/>
        </w:rPr>
        <w:t xml:space="preserve">ating circumstances, on a case-by-case basis to impose discipline consistent with its purpose.  </w:t>
      </w:r>
      <w:proofErr w:type="gramStart"/>
      <w:r>
        <w:rPr>
          <w:rFonts w:cs="Times New Roman"/>
        </w:rPr>
        <w:t>(</w:t>
      </w:r>
      <w:r>
        <w:rPr>
          <w:rFonts w:cs="Times New Roman"/>
          <w:i/>
          <w:iCs/>
        </w:rPr>
        <w:t>In re Young</w:t>
      </w:r>
      <w:r w:rsidR="00D8278F">
        <w:rPr>
          <w:rFonts w:cs="Times New Roman"/>
        </w:rPr>
        <w:t xml:space="preserve"> (1989) 49 Cal.3d 257, 266.)</w:t>
      </w:r>
      <w:proofErr w:type="gramEnd"/>
      <w:r w:rsidR="00D8278F">
        <w:rPr>
          <w:rFonts w:cs="Times New Roman"/>
        </w:rPr>
        <w:t xml:space="preserve">  We begin our discipline analysis with the standards.</w:t>
      </w:r>
      <w:r w:rsidR="00385FAA">
        <w:rPr>
          <w:rFonts w:cs="Times New Roman"/>
        </w:rPr>
        <w:t xml:space="preserve">  </w:t>
      </w:r>
      <w:proofErr w:type="gramStart"/>
      <w:r w:rsidR="00385FAA">
        <w:rPr>
          <w:rFonts w:cs="Times New Roman"/>
        </w:rPr>
        <w:t>(</w:t>
      </w:r>
      <w:r w:rsidR="00385FAA">
        <w:rPr>
          <w:rFonts w:cs="Times New Roman"/>
          <w:i/>
        </w:rPr>
        <w:t xml:space="preserve">In the Matter of Brimberry, supra, </w:t>
      </w:r>
      <w:r w:rsidR="00385FAA">
        <w:rPr>
          <w:rFonts w:cs="Times New Roman"/>
        </w:rPr>
        <w:t>3 Cal. State Bar Ct. Rptr. at p. 403.)</w:t>
      </w:r>
      <w:proofErr w:type="gramEnd"/>
    </w:p>
    <w:p w:rsidR="00234FC0" w:rsidRDefault="00855E0B" w:rsidP="002273E9">
      <w:pPr>
        <w:tabs>
          <w:tab w:val="left" w:pos="720"/>
        </w:tabs>
        <w:spacing w:line="480" w:lineRule="auto"/>
        <w:rPr>
          <w:rFonts w:cs="Times New Roman"/>
        </w:rPr>
      </w:pPr>
      <w:r>
        <w:rPr>
          <w:rFonts w:cs="Times New Roman"/>
        </w:rPr>
        <w:tab/>
        <w:t xml:space="preserve">When multiple acts of misconduct call for different sanctions, standard 1.6(a) directs that the </w:t>
      </w:r>
      <w:r w:rsidR="0081108D">
        <w:rPr>
          <w:rFonts w:cs="Times New Roman"/>
        </w:rPr>
        <w:t xml:space="preserve">most severe sanction must apply.  </w:t>
      </w:r>
      <w:r w:rsidR="00224CFE">
        <w:rPr>
          <w:rFonts w:cs="Times New Roman"/>
        </w:rPr>
        <w:t>Standards</w:t>
      </w:r>
      <w:r>
        <w:rPr>
          <w:rFonts w:cs="Times New Roman"/>
        </w:rPr>
        <w:t xml:space="preserve"> 2.3</w:t>
      </w:r>
      <w:r w:rsidR="00224CFE">
        <w:rPr>
          <w:rFonts w:cs="Times New Roman"/>
        </w:rPr>
        <w:t xml:space="preserve"> and 2.7 are most a</w:t>
      </w:r>
      <w:r w:rsidR="00234FC0">
        <w:rPr>
          <w:rFonts w:cs="Times New Roman"/>
        </w:rPr>
        <w:t>p</w:t>
      </w:r>
      <w:r w:rsidR="00224CFE">
        <w:rPr>
          <w:rFonts w:cs="Times New Roman"/>
        </w:rPr>
        <w:t>p</w:t>
      </w:r>
      <w:r w:rsidR="00234FC0">
        <w:rPr>
          <w:rFonts w:cs="Times New Roman"/>
        </w:rPr>
        <w:t>licable</w:t>
      </w:r>
      <w:r w:rsidR="003A4470">
        <w:rPr>
          <w:rFonts w:cs="Times New Roman"/>
        </w:rPr>
        <w:t xml:space="preserve"> </w:t>
      </w:r>
      <w:r w:rsidR="00DB2C71">
        <w:rPr>
          <w:rFonts w:cs="Times New Roman"/>
        </w:rPr>
        <w:t>in this case</w:t>
      </w:r>
      <w:r w:rsidR="00853350">
        <w:rPr>
          <w:rFonts w:cs="Times New Roman"/>
        </w:rPr>
        <w:t xml:space="preserve">.  </w:t>
      </w:r>
      <w:r w:rsidR="00224CFE">
        <w:rPr>
          <w:rFonts w:cs="Times New Roman"/>
        </w:rPr>
        <w:t>Standard 2.3</w:t>
      </w:r>
      <w:r>
        <w:rPr>
          <w:rFonts w:cs="Times New Roman"/>
        </w:rPr>
        <w:t xml:space="preserve"> </w:t>
      </w:r>
      <w:r w:rsidR="0058428F">
        <w:rPr>
          <w:rFonts w:cs="Times New Roman"/>
        </w:rPr>
        <w:t>requires</w:t>
      </w:r>
      <w:r>
        <w:rPr>
          <w:rFonts w:cs="Times New Roman"/>
        </w:rPr>
        <w:t xml:space="preserve"> actual suspension or disbarment when a member is found culpable of an act involving moral turpitude, fraud, or intentional dishonesty</w:t>
      </w:r>
      <w:r w:rsidR="00234FC0">
        <w:rPr>
          <w:rFonts w:cs="Times New Roman"/>
        </w:rPr>
        <w:t>,</w:t>
      </w:r>
      <w:r w:rsidR="00224CFE">
        <w:rPr>
          <w:rFonts w:cs="Times New Roman"/>
        </w:rPr>
        <w:t xml:space="preserve"> and standard 2.7 requires a minimum six-month actual suspension for a member who charges an unconscionable fee</w:t>
      </w:r>
      <w:r>
        <w:rPr>
          <w:rFonts w:cs="Times New Roman"/>
        </w:rPr>
        <w:t>.</w:t>
      </w:r>
      <w:r w:rsidR="007A052D">
        <w:rPr>
          <w:rFonts w:cs="Times New Roman"/>
        </w:rPr>
        <w:t xml:space="preserve">  </w:t>
      </w:r>
    </w:p>
    <w:p w:rsidR="00B42763" w:rsidRDefault="00234FC0" w:rsidP="002273E9">
      <w:pPr>
        <w:tabs>
          <w:tab w:val="left" w:pos="720"/>
        </w:tabs>
        <w:spacing w:line="480" w:lineRule="auto"/>
        <w:rPr>
          <w:rFonts w:cs="Times New Roman"/>
        </w:rPr>
      </w:pPr>
      <w:r>
        <w:rPr>
          <w:rFonts w:cs="Times New Roman"/>
        </w:rPr>
        <w:tab/>
      </w:r>
      <w:r w:rsidR="0081108D">
        <w:rPr>
          <w:rFonts w:cs="Times New Roman"/>
        </w:rPr>
        <w:t>The hearing judge applied th</w:t>
      </w:r>
      <w:r>
        <w:rPr>
          <w:rFonts w:cs="Times New Roman"/>
        </w:rPr>
        <w:t>ese</w:t>
      </w:r>
      <w:r w:rsidR="0081108D">
        <w:rPr>
          <w:rFonts w:cs="Times New Roman"/>
        </w:rPr>
        <w:t xml:space="preserve"> standard</w:t>
      </w:r>
      <w:r>
        <w:rPr>
          <w:rFonts w:cs="Times New Roman"/>
        </w:rPr>
        <w:t>s</w:t>
      </w:r>
      <w:r w:rsidR="005679D1">
        <w:rPr>
          <w:rFonts w:cs="Times New Roman"/>
        </w:rPr>
        <w:t xml:space="preserve"> and recommended a two-year actual suspension subject to a standard 1.4(c</w:t>
      </w:r>
      <w:proofErr w:type="gramStart"/>
      <w:r w:rsidR="005679D1">
        <w:rPr>
          <w:rFonts w:cs="Times New Roman"/>
        </w:rPr>
        <w:t>)(</w:t>
      </w:r>
      <w:proofErr w:type="gramEnd"/>
      <w:r w:rsidR="005679D1">
        <w:rPr>
          <w:rFonts w:cs="Times New Roman"/>
        </w:rPr>
        <w:t>ii) hearing.</w:t>
      </w:r>
      <w:r w:rsidR="0037276E">
        <w:rPr>
          <w:rFonts w:cs="Times New Roman"/>
        </w:rPr>
        <w:t xml:space="preserve">  </w:t>
      </w:r>
      <w:r w:rsidR="00544D0B">
        <w:rPr>
          <w:rFonts w:cs="Times New Roman"/>
        </w:rPr>
        <w:t>T</w:t>
      </w:r>
      <w:r w:rsidR="005679D1">
        <w:rPr>
          <w:rFonts w:cs="Times New Roman"/>
        </w:rPr>
        <w:t xml:space="preserve">he hearing judge </w:t>
      </w:r>
      <w:r w:rsidR="00DB2C71">
        <w:rPr>
          <w:rFonts w:cs="Times New Roman"/>
        </w:rPr>
        <w:t>considered</w:t>
      </w:r>
      <w:r w:rsidR="005679D1">
        <w:rPr>
          <w:rFonts w:cs="Times New Roman"/>
        </w:rPr>
        <w:t xml:space="preserve"> it significant that Nownejad blamed others for his misconduct and was dishonest in his trial testimony.  </w:t>
      </w:r>
      <w:r w:rsidR="00E00173">
        <w:rPr>
          <w:rFonts w:cs="Times New Roman"/>
        </w:rPr>
        <w:t>W</w:t>
      </w:r>
      <w:r w:rsidR="0037276E">
        <w:rPr>
          <w:rFonts w:cs="Times New Roman"/>
        </w:rPr>
        <w:t xml:space="preserve">hile the hearing judge did not cite any case law </w:t>
      </w:r>
      <w:r w:rsidR="00481483">
        <w:rPr>
          <w:rFonts w:cs="Times New Roman"/>
        </w:rPr>
        <w:t>guiding him to a</w:t>
      </w:r>
      <w:r w:rsidR="0037276E">
        <w:rPr>
          <w:rFonts w:cs="Times New Roman"/>
        </w:rPr>
        <w:t xml:space="preserve"> period of actual suspension</w:t>
      </w:r>
      <w:r w:rsidR="00BB6A1C">
        <w:rPr>
          <w:rFonts w:cs="Times New Roman"/>
        </w:rPr>
        <w:t xml:space="preserve"> under the standards</w:t>
      </w:r>
      <w:r w:rsidR="0037276E">
        <w:rPr>
          <w:rFonts w:cs="Times New Roman"/>
        </w:rPr>
        <w:t>,</w:t>
      </w:r>
      <w:r w:rsidR="005679D1">
        <w:rPr>
          <w:rFonts w:cs="Times New Roman"/>
        </w:rPr>
        <w:t xml:space="preserve"> the recommended </w:t>
      </w:r>
      <w:r w:rsidR="00544D0B">
        <w:rPr>
          <w:rFonts w:cs="Times New Roman"/>
        </w:rPr>
        <w:t>two years</w:t>
      </w:r>
      <w:r w:rsidR="005679D1">
        <w:rPr>
          <w:rFonts w:cs="Times New Roman"/>
        </w:rPr>
        <w:t xml:space="preserve"> is supported by </w:t>
      </w:r>
      <w:r w:rsidR="004D5008">
        <w:rPr>
          <w:rFonts w:cs="Times New Roman"/>
        </w:rPr>
        <w:t>relevant authorities.</w:t>
      </w:r>
      <w:r w:rsidR="0081108D">
        <w:rPr>
          <w:rStyle w:val="FootnoteReference"/>
        </w:rPr>
        <w:footnoteReference w:id="12"/>
      </w:r>
      <w:r w:rsidR="00E00173">
        <w:rPr>
          <w:rFonts w:cs="Times New Roman"/>
        </w:rPr>
        <w:t xml:space="preserve">  </w:t>
      </w:r>
      <w:r w:rsidR="00747A27">
        <w:rPr>
          <w:rFonts w:cs="Times New Roman"/>
        </w:rPr>
        <w:t>We therefore</w:t>
      </w:r>
      <w:r w:rsidR="00481483">
        <w:rPr>
          <w:rFonts w:cs="Times New Roman"/>
        </w:rPr>
        <w:t xml:space="preserve"> affirm the </w:t>
      </w:r>
      <w:r w:rsidR="00BB6A1C">
        <w:rPr>
          <w:rFonts w:cs="Times New Roman"/>
        </w:rPr>
        <w:t xml:space="preserve">hearing judge’s </w:t>
      </w:r>
      <w:r w:rsidR="002273E9">
        <w:rPr>
          <w:rFonts w:cs="Times New Roman"/>
        </w:rPr>
        <w:t>recommend</w:t>
      </w:r>
      <w:r w:rsidR="0037276E">
        <w:rPr>
          <w:rFonts w:cs="Times New Roman"/>
        </w:rPr>
        <w:t>ation</w:t>
      </w:r>
      <w:r w:rsidR="00591FF5">
        <w:rPr>
          <w:rFonts w:cs="Times New Roman"/>
        </w:rPr>
        <w:t xml:space="preserve"> </w:t>
      </w:r>
      <w:r w:rsidR="004D5008">
        <w:rPr>
          <w:rFonts w:cs="Times New Roman"/>
        </w:rPr>
        <w:t>but add restitution</w:t>
      </w:r>
      <w:r w:rsidR="0023172E">
        <w:rPr>
          <w:rFonts w:cs="Times New Roman"/>
        </w:rPr>
        <w:t>,</w:t>
      </w:r>
      <w:r w:rsidR="00344AF2">
        <w:rPr>
          <w:rFonts w:cs="Times New Roman"/>
        </w:rPr>
        <w:t xml:space="preserve"> </w:t>
      </w:r>
      <w:r w:rsidR="004D5008">
        <w:rPr>
          <w:rFonts w:cs="Times New Roman"/>
        </w:rPr>
        <w:t>noting</w:t>
      </w:r>
      <w:r w:rsidR="00344AF2">
        <w:rPr>
          <w:rFonts w:cs="Times New Roman"/>
        </w:rPr>
        <w:t xml:space="preserve"> </w:t>
      </w:r>
      <w:r w:rsidR="00BB6A1C">
        <w:rPr>
          <w:rFonts w:cs="Times New Roman"/>
        </w:rPr>
        <w:t>that Nownejad’s dishonesty is</w:t>
      </w:r>
      <w:r w:rsidR="00DB2C71">
        <w:rPr>
          <w:rFonts w:cs="Times New Roman"/>
        </w:rPr>
        <w:t xml:space="preserve"> </w:t>
      </w:r>
      <w:r w:rsidR="0037276E">
        <w:rPr>
          <w:rFonts w:cs="Times New Roman"/>
        </w:rPr>
        <w:t>particularly disturbing</w:t>
      </w:r>
      <w:r w:rsidR="00BB6A1C">
        <w:rPr>
          <w:rFonts w:cs="Times New Roman"/>
        </w:rPr>
        <w:t xml:space="preserve"> </w:t>
      </w:r>
      <w:r w:rsidR="00344AF2">
        <w:rPr>
          <w:rFonts w:cs="Times New Roman"/>
        </w:rPr>
        <w:t>because it is</w:t>
      </w:r>
      <w:r w:rsidR="00BB6A1C">
        <w:rPr>
          <w:rFonts w:cs="Times New Roman"/>
        </w:rPr>
        <w:t xml:space="preserve">, </w:t>
      </w:r>
      <w:r w:rsidR="0037276E">
        <w:rPr>
          <w:rFonts w:cs="Times New Roman"/>
        </w:rPr>
        <w:t xml:space="preserve">in our view, </w:t>
      </w:r>
      <w:r w:rsidR="002E6BE9">
        <w:rPr>
          <w:rFonts w:cs="Times New Roman"/>
        </w:rPr>
        <w:t xml:space="preserve">as egregious as </w:t>
      </w:r>
      <w:r w:rsidR="0037276E">
        <w:rPr>
          <w:rFonts w:cs="Times New Roman"/>
        </w:rPr>
        <w:t xml:space="preserve">his </w:t>
      </w:r>
      <w:r w:rsidR="00DB2C71">
        <w:rPr>
          <w:rFonts w:cs="Times New Roman"/>
        </w:rPr>
        <w:t xml:space="preserve">underlying </w:t>
      </w:r>
      <w:r w:rsidR="008F067C">
        <w:rPr>
          <w:rFonts w:cs="Times New Roman"/>
        </w:rPr>
        <w:t>misconduct</w:t>
      </w:r>
      <w:r w:rsidR="002E6BE9">
        <w:rPr>
          <w:rFonts w:cs="Times New Roman"/>
        </w:rPr>
        <w:t xml:space="preserve">.  </w:t>
      </w:r>
      <w:proofErr w:type="gramStart"/>
      <w:r w:rsidR="002E6BE9">
        <w:rPr>
          <w:rFonts w:cs="Times New Roman"/>
        </w:rPr>
        <w:t>(</w:t>
      </w:r>
      <w:r w:rsidR="002E6BE9" w:rsidRPr="00986EB4">
        <w:rPr>
          <w:rFonts w:cs="Times New Roman"/>
          <w:i/>
        </w:rPr>
        <w:t>Franklin v. State Bar</w:t>
      </w:r>
      <w:r w:rsidR="002E6BE9">
        <w:rPr>
          <w:rFonts w:cs="Times New Roman"/>
        </w:rPr>
        <w:t xml:space="preserve"> (1986)</w:t>
      </w:r>
      <w:r w:rsidR="0060705F">
        <w:rPr>
          <w:rFonts w:cs="Times New Roman"/>
        </w:rPr>
        <w:t xml:space="preserve"> 41 Cal.3d 700, 712 (dis. o</w:t>
      </w:r>
      <w:r w:rsidR="003D6886">
        <w:rPr>
          <w:rFonts w:cs="Times New Roman"/>
        </w:rPr>
        <w:t>pn. o</w:t>
      </w:r>
      <w:r w:rsidR="002E6BE9">
        <w:rPr>
          <w:rFonts w:cs="Times New Roman"/>
        </w:rPr>
        <w:t>f Lucas, J.)</w:t>
      </w:r>
      <w:proofErr w:type="gramEnd"/>
      <w:r w:rsidR="002E6BE9">
        <w:rPr>
          <w:rFonts w:cs="Times New Roman"/>
        </w:rPr>
        <w:t xml:space="preserve"> [</w:t>
      </w:r>
      <w:proofErr w:type="gramStart"/>
      <w:r w:rsidR="002E6BE9">
        <w:rPr>
          <w:rFonts w:cs="Times New Roman"/>
        </w:rPr>
        <w:t>deception</w:t>
      </w:r>
      <w:proofErr w:type="gramEnd"/>
      <w:r w:rsidR="002E6BE9">
        <w:rPr>
          <w:rFonts w:cs="Times New Roman"/>
        </w:rPr>
        <w:t xml:space="preserve"> of State Bar may constitute more serious offense than </w:t>
      </w:r>
      <w:r w:rsidR="008F067C">
        <w:rPr>
          <w:rFonts w:cs="Times New Roman"/>
        </w:rPr>
        <w:t xml:space="preserve">conduct being investigated].)  </w:t>
      </w:r>
    </w:p>
    <w:p w:rsidR="0023172E" w:rsidRDefault="0023172E" w:rsidP="002273E9">
      <w:pPr>
        <w:tabs>
          <w:tab w:val="left" w:pos="720"/>
        </w:tabs>
        <w:spacing w:line="480" w:lineRule="auto"/>
        <w:rPr>
          <w:rFonts w:cs="Times New Roman"/>
        </w:rPr>
      </w:pPr>
    </w:p>
    <w:p w:rsidR="00010C55" w:rsidRPr="002848B0" w:rsidRDefault="00544D0B" w:rsidP="002848B0">
      <w:pPr>
        <w:spacing w:line="480" w:lineRule="auto"/>
        <w:jc w:val="center"/>
        <w:rPr>
          <w:rFonts w:cs="Times New Roman"/>
          <w:b/>
        </w:rPr>
      </w:pPr>
      <w:r>
        <w:rPr>
          <w:rFonts w:cs="Times New Roman"/>
          <w:b/>
        </w:rPr>
        <w:lastRenderedPageBreak/>
        <w:t>IX</w:t>
      </w:r>
      <w:proofErr w:type="gramStart"/>
      <w:r w:rsidR="00C32F05" w:rsidRPr="002848B0">
        <w:rPr>
          <w:rFonts w:cs="Times New Roman"/>
          <w:b/>
        </w:rPr>
        <w:t>.</w:t>
      </w:r>
      <w:r w:rsidR="00A14086">
        <w:rPr>
          <w:rFonts w:cs="Times New Roman"/>
          <w:b/>
        </w:rPr>
        <w:t xml:space="preserve"> </w:t>
      </w:r>
      <w:r w:rsidR="00C32F05" w:rsidRPr="002848B0">
        <w:rPr>
          <w:rFonts w:cs="Times New Roman"/>
          <w:b/>
        </w:rPr>
        <w:t xml:space="preserve"> </w:t>
      </w:r>
      <w:r w:rsidR="00010C55" w:rsidRPr="002848B0">
        <w:rPr>
          <w:rFonts w:cs="Times New Roman"/>
          <w:b/>
        </w:rPr>
        <w:t>RECOMMENDATION</w:t>
      </w:r>
      <w:proofErr w:type="gramEnd"/>
    </w:p>
    <w:p w:rsidR="002D036A" w:rsidRDefault="002D036A" w:rsidP="002D036A">
      <w:pPr>
        <w:spacing w:line="480" w:lineRule="auto"/>
        <w:ind w:firstLine="720"/>
        <w:rPr>
          <w:rFonts w:cs="Times New Roman"/>
        </w:rPr>
      </w:pPr>
      <w:r>
        <w:rPr>
          <w:rFonts w:cs="Times New Roman"/>
        </w:rPr>
        <w:t>W</w:t>
      </w:r>
      <w:r w:rsidRPr="002F45AA">
        <w:rPr>
          <w:rFonts w:cs="Times New Roman"/>
        </w:rPr>
        <w:t xml:space="preserve">e recommend that </w:t>
      </w:r>
      <w:r w:rsidR="008F067C">
        <w:rPr>
          <w:rFonts w:cs="Times New Roman"/>
        </w:rPr>
        <w:t xml:space="preserve">Cyrus John Nownejad, bar number 207769, </w:t>
      </w:r>
      <w:r w:rsidRPr="002F45AA">
        <w:rPr>
          <w:rFonts w:cs="Times New Roman"/>
        </w:rPr>
        <w:t xml:space="preserve">be suspended from the practice of law for </w:t>
      </w:r>
      <w:r w:rsidR="008F067C">
        <w:rPr>
          <w:rFonts w:cs="Times New Roman"/>
        </w:rPr>
        <w:t>three year</w:t>
      </w:r>
      <w:r w:rsidRPr="002F45AA">
        <w:rPr>
          <w:rFonts w:cs="Times New Roman"/>
        </w:rPr>
        <w:t xml:space="preserve">s, that execution of that suspension be stayed, and that </w:t>
      </w:r>
      <w:r w:rsidR="008F067C">
        <w:rPr>
          <w:rFonts w:cs="Times New Roman"/>
        </w:rPr>
        <w:t>Nownejad</w:t>
      </w:r>
      <w:r w:rsidRPr="002F45AA">
        <w:rPr>
          <w:rFonts w:cs="Times New Roman"/>
        </w:rPr>
        <w:t xml:space="preserve"> be placed on probation for</w:t>
      </w:r>
      <w:r w:rsidR="008F067C">
        <w:rPr>
          <w:rFonts w:cs="Times New Roman"/>
        </w:rPr>
        <w:t xml:space="preserve"> </w:t>
      </w:r>
      <w:r w:rsidR="00F725FB">
        <w:rPr>
          <w:rFonts w:cs="Times New Roman"/>
        </w:rPr>
        <w:t>three</w:t>
      </w:r>
      <w:r w:rsidR="008F067C">
        <w:rPr>
          <w:rFonts w:cs="Times New Roman"/>
        </w:rPr>
        <w:t xml:space="preserve"> years</w:t>
      </w:r>
      <w:r w:rsidRPr="002F45AA">
        <w:rPr>
          <w:rFonts w:cs="Times New Roman"/>
        </w:rPr>
        <w:t xml:space="preserve"> on the following conditions:</w:t>
      </w:r>
    </w:p>
    <w:p w:rsidR="005A54F0" w:rsidRDefault="002D036A" w:rsidP="005A54F0">
      <w:pPr>
        <w:pStyle w:val="ListParagraph"/>
        <w:numPr>
          <w:ilvl w:val="0"/>
          <w:numId w:val="23"/>
        </w:numPr>
        <w:ind w:left="360"/>
        <w:contextualSpacing/>
        <w:rPr>
          <w:rFonts w:cs="Times New Roman"/>
        </w:rPr>
      </w:pPr>
      <w:r w:rsidRPr="005A54F0">
        <w:rPr>
          <w:rFonts w:cs="Times New Roman"/>
        </w:rPr>
        <w:t>H</w:t>
      </w:r>
      <w:r w:rsidR="008F067C" w:rsidRPr="005A54F0">
        <w:rPr>
          <w:rFonts w:cs="Times New Roman"/>
        </w:rPr>
        <w:t>e</w:t>
      </w:r>
      <w:r w:rsidRPr="005A54F0">
        <w:rPr>
          <w:rFonts w:cs="Times New Roman"/>
        </w:rPr>
        <w:t xml:space="preserve"> must be suspended from the practice of law for a minimum of the first </w:t>
      </w:r>
      <w:r w:rsidR="008F067C" w:rsidRPr="005A54F0">
        <w:rPr>
          <w:rFonts w:cs="Times New Roman"/>
        </w:rPr>
        <w:t xml:space="preserve">two years </w:t>
      </w:r>
      <w:r w:rsidRPr="005A54F0">
        <w:rPr>
          <w:rFonts w:cs="Times New Roman"/>
        </w:rPr>
        <w:t xml:space="preserve">of </w:t>
      </w:r>
      <w:r w:rsidR="008F067C" w:rsidRPr="005A54F0">
        <w:rPr>
          <w:rFonts w:cs="Times New Roman"/>
        </w:rPr>
        <w:t xml:space="preserve">his </w:t>
      </w:r>
      <w:r w:rsidR="00515917">
        <w:rPr>
          <w:rFonts w:cs="Times New Roman"/>
        </w:rPr>
        <w:t>probation</w:t>
      </w:r>
      <w:r w:rsidRPr="005A54F0">
        <w:rPr>
          <w:rFonts w:cs="Times New Roman"/>
        </w:rPr>
        <w:t xml:space="preserve"> and remain suspended until </w:t>
      </w:r>
      <w:r w:rsidR="005A54F0" w:rsidRPr="005A54F0">
        <w:rPr>
          <w:rFonts w:cs="Times New Roman"/>
        </w:rPr>
        <w:t xml:space="preserve">the following conditions are satisfied:  </w:t>
      </w:r>
    </w:p>
    <w:p w:rsidR="00234FC0" w:rsidRPr="005A54F0" w:rsidRDefault="00234FC0" w:rsidP="00234FC0">
      <w:pPr>
        <w:pStyle w:val="ListParagraph"/>
        <w:ind w:left="360"/>
        <w:contextualSpacing/>
        <w:rPr>
          <w:rFonts w:cs="Times New Roman"/>
        </w:rPr>
      </w:pPr>
    </w:p>
    <w:p w:rsidR="005A54F0" w:rsidRPr="002F45AA" w:rsidRDefault="005A54F0" w:rsidP="00852DAB">
      <w:pPr>
        <w:pStyle w:val="ListParagraph"/>
        <w:numPr>
          <w:ilvl w:val="0"/>
          <w:numId w:val="24"/>
        </w:numPr>
        <w:ind w:left="720"/>
        <w:contextualSpacing/>
        <w:rPr>
          <w:rFonts w:cs="Times New Roman"/>
        </w:rPr>
      </w:pPr>
      <w:r>
        <w:rPr>
          <w:rFonts w:cs="Times New Roman"/>
        </w:rPr>
        <w:t>He</w:t>
      </w:r>
      <w:r w:rsidRPr="002F45AA">
        <w:rPr>
          <w:rFonts w:cs="Times New Roman"/>
        </w:rPr>
        <w:t xml:space="preserve"> makes restitution</w:t>
      </w:r>
      <w:r>
        <w:rPr>
          <w:rFonts w:cs="Times New Roman"/>
        </w:rPr>
        <w:t xml:space="preserve"> to Valerie Norman in the amount of $25,000</w:t>
      </w:r>
      <w:r w:rsidRPr="002F45AA">
        <w:rPr>
          <w:rFonts w:cs="Times New Roman"/>
        </w:rPr>
        <w:t xml:space="preserve"> plus 10 percent interest per annum from </w:t>
      </w:r>
      <w:r>
        <w:rPr>
          <w:rFonts w:cs="Times New Roman"/>
        </w:rPr>
        <w:t>May 18, 2005</w:t>
      </w:r>
      <w:r w:rsidRPr="002F45AA">
        <w:rPr>
          <w:rFonts w:cs="Times New Roman"/>
        </w:rPr>
        <w:t xml:space="preserve"> (or reimburses the Client Security Fund to the extent of any payment from the Fund to </w:t>
      </w:r>
      <w:r>
        <w:rPr>
          <w:rFonts w:cs="Times New Roman"/>
        </w:rPr>
        <w:t>Valerie Norman</w:t>
      </w:r>
      <w:r w:rsidRPr="002F45AA">
        <w:rPr>
          <w:rFonts w:cs="Times New Roman"/>
        </w:rPr>
        <w:t>, in accordance with Business and Professions Code section 6140.5) and furnishes satisfactory proof to the State Bar Office of Probation in Los Angeles; and,</w:t>
      </w:r>
    </w:p>
    <w:p w:rsidR="005A54F0" w:rsidRPr="002F45AA" w:rsidRDefault="005A54F0" w:rsidP="00852DAB">
      <w:pPr>
        <w:pStyle w:val="ListParagraph"/>
        <w:rPr>
          <w:rFonts w:cs="Times New Roman"/>
        </w:rPr>
      </w:pPr>
    </w:p>
    <w:p w:rsidR="005A54F0" w:rsidRDefault="005A54F0" w:rsidP="00852DAB">
      <w:pPr>
        <w:pStyle w:val="ListParagraph"/>
        <w:numPr>
          <w:ilvl w:val="0"/>
          <w:numId w:val="24"/>
        </w:numPr>
        <w:ind w:left="720"/>
        <w:contextualSpacing/>
        <w:rPr>
          <w:rFonts w:cs="Times New Roman"/>
        </w:rPr>
      </w:pPr>
      <w:r>
        <w:rPr>
          <w:rFonts w:cs="Times New Roman"/>
        </w:rPr>
        <w:t>He</w:t>
      </w:r>
      <w:r w:rsidRPr="002F45AA">
        <w:rPr>
          <w:rFonts w:cs="Times New Roman"/>
        </w:rPr>
        <w:t xml:space="preserve"> provides proof </w:t>
      </w:r>
      <w:r>
        <w:rPr>
          <w:rFonts w:cs="Times New Roman"/>
        </w:rPr>
        <w:t>to the State Bar Court of his</w:t>
      </w:r>
      <w:r w:rsidRPr="002F45AA">
        <w:rPr>
          <w:rFonts w:cs="Times New Roman"/>
        </w:rPr>
        <w:t xml:space="preserve"> rehabilitation, fitness to practice and learning and ability in the general law.  (Rules Proc. of State Bar, tit. IV, Stds. for Atty. Sanctions for Prof. Misconduct, std. 1.4(c</w:t>
      </w:r>
      <w:proofErr w:type="gramStart"/>
      <w:r w:rsidRPr="002F45AA">
        <w:rPr>
          <w:rFonts w:cs="Times New Roman"/>
        </w:rPr>
        <w:t>)(</w:t>
      </w:r>
      <w:proofErr w:type="gramEnd"/>
      <w:r w:rsidRPr="002F45AA">
        <w:rPr>
          <w:rFonts w:cs="Times New Roman"/>
        </w:rPr>
        <w:t>ii).)</w:t>
      </w:r>
    </w:p>
    <w:p w:rsidR="00544D0B" w:rsidRPr="00544D0B" w:rsidRDefault="00544D0B" w:rsidP="00544D0B">
      <w:pPr>
        <w:pStyle w:val="ListParagraph"/>
        <w:rPr>
          <w:rFonts w:cs="Times New Roman"/>
        </w:rPr>
      </w:pPr>
    </w:p>
    <w:p w:rsidR="00B34C9D" w:rsidRDefault="008F067C" w:rsidP="00B34C9D">
      <w:pPr>
        <w:pStyle w:val="ListParagraph"/>
        <w:numPr>
          <w:ilvl w:val="0"/>
          <w:numId w:val="23"/>
        </w:numPr>
        <w:ind w:left="360"/>
        <w:contextualSpacing/>
        <w:rPr>
          <w:rFonts w:cs="Times New Roman"/>
        </w:rPr>
      </w:pPr>
      <w:r>
        <w:rPr>
          <w:rFonts w:cs="Times New Roman"/>
        </w:rPr>
        <w:t>He</w:t>
      </w:r>
      <w:r w:rsidR="002D036A" w:rsidRPr="008F067C">
        <w:rPr>
          <w:rFonts w:cs="Times New Roman"/>
        </w:rPr>
        <w:t xml:space="preserve"> must comply with the provisions of the State Bar Act, the Rules of Professional Conduct, and all of the conditions of </w:t>
      </w:r>
      <w:r>
        <w:rPr>
          <w:rFonts w:cs="Times New Roman"/>
        </w:rPr>
        <w:t>his</w:t>
      </w:r>
      <w:r w:rsidR="00B34C9D">
        <w:rPr>
          <w:rFonts w:cs="Times New Roman"/>
        </w:rPr>
        <w:t xml:space="preserve"> probation.</w:t>
      </w:r>
    </w:p>
    <w:p w:rsidR="00B34C9D" w:rsidRDefault="00B34C9D" w:rsidP="00B34C9D">
      <w:pPr>
        <w:pStyle w:val="ListParagraph"/>
        <w:ind w:left="360"/>
        <w:contextualSpacing/>
        <w:rPr>
          <w:rFonts w:cs="Times New Roman"/>
        </w:rPr>
      </w:pPr>
    </w:p>
    <w:p w:rsidR="00B34C9D" w:rsidRDefault="002D036A" w:rsidP="00B34C9D">
      <w:pPr>
        <w:pStyle w:val="ListParagraph"/>
        <w:numPr>
          <w:ilvl w:val="0"/>
          <w:numId w:val="23"/>
        </w:numPr>
        <w:ind w:left="360"/>
        <w:contextualSpacing/>
        <w:rPr>
          <w:rFonts w:cs="Times New Roman"/>
        </w:rPr>
      </w:pPr>
      <w:r w:rsidRPr="00B34C9D">
        <w:rPr>
          <w:rFonts w:cs="Times New Roman"/>
        </w:rPr>
        <w:t xml:space="preserve">Within 10 days of any change in the information required to be maintained on the membership records of the State Bar pursuant to Business and Professions Code section 6002.1, subdivision (a), including </w:t>
      </w:r>
      <w:r w:rsidR="008F067C" w:rsidRPr="00B34C9D">
        <w:rPr>
          <w:rFonts w:cs="Times New Roman"/>
        </w:rPr>
        <w:t>his</w:t>
      </w:r>
      <w:r w:rsidRPr="00B34C9D">
        <w:rPr>
          <w:rFonts w:cs="Times New Roman"/>
        </w:rPr>
        <w:t xml:space="preserve"> current office address and telephone number, or if no office is maintained, the address to be use</w:t>
      </w:r>
      <w:r w:rsidR="005A54F0">
        <w:rPr>
          <w:rFonts w:cs="Times New Roman"/>
        </w:rPr>
        <w:t>d for State Bar purposes, he</w:t>
      </w:r>
      <w:r w:rsidRPr="00B34C9D">
        <w:rPr>
          <w:rFonts w:cs="Times New Roman"/>
        </w:rPr>
        <w:t xml:space="preserve"> must report such change in writing to the Membership Records Office of the</w:t>
      </w:r>
      <w:r w:rsidR="00B34C9D">
        <w:rPr>
          <w:rFonts w:cs="Times New Roman"/>
        </w:rPr>
        <w:t xml:space="preserve"> State Bar Office of Probation.</w:t>
      </w:r>
    </w:p>
    <w:p w:rsidR="00B34C9D" w:rsidRDefault="00B34C9D" w:rsidP="00B34C9D">
      <w:pPr>
        <w:pStyle w:val="ListParagraph"/>
        <w:ind w:left="360"/>
        <w:contextualSpacing/>
        <w:rPr>
          <w:rFonts w:cs="Times New Roman"/>
        </w:rPr>
      </w:pPr>
    </w:p>
    <w:p w:rsidR="00615748" w:rsidRDefault="00B34C9D" w:rsidP="00615748">
      <w:pPr>
        <w:pStyle w:val="ListParagraph"/>
        <w:numPr>
          <w:ilvl w:val="0"/>
          <w:numId w:val="23"/>
        </w:numPr>
        <w:ind w:left="360"/>
        <w:contextualSpacing/>
        <w:rPr>
          <w:rFonts w:cs="Times New Roman"/>
        </w:rPr>
      </w:pPr>
      <w:r>
        <w:rPr>
          <w:rFonts w:cs="Times New Roman"/>
        </w:rPr>
        <w:t>H</w:t>
      </w:r>
      <w:r w:rsidRPr="00B34C9D">
        <w:rPr>
          <w:rFonts w:cs="Times New Roman"/>
        </w:rPr>
        <w:t>e</w:t>
      </w:r>
      <w:r w:rsidR="002D036A" w:rsidRPr="00B34C9D">
        <w:rPr>
          <w:rFonts w:cs="Times New Roman"/>
        </w:rPr>
        <w:t xml:space="preserve"> must submit written quarterly reports to the Office of Probation on each January 10, April 10, July 10, and October 10 of the period of probation.  Under penalty of perjury, </w:t>
      </w:r>
      <w:r w:rsidRPr="00B34C9D">
        <w:rPr>
          <w:rFonts w:cs="Times New Roman"/>
        </w:rPr>
        <w:t>he</w:t>
      </w:r>
      <w:r w:rsidR="002D036A" w:rsidRPr="00B34C9D">
        <w:rPr>
          <w:rFonts w:cs="Times New Roman"/>
        </w:rPr>
        <w:t xml:space="preserve"> must state whether </w:t>
      </w:r>
      <w:r w:rsidRPr="00B34C9D">
        <w:rPr>
          <w:rFonts w:cs="Times New Roman"/>
        </w:rPr>
        <w:t>he</w:t>
      </w:r>
      <w:r w:rsidR="002D036A" w:rsidRPr="00B34C9D">
        <w:rPr>
          <w:rFonts w:cs="Times New Roman"/>
        </w:rPr>
        <w:t xml:space="preserve"> has complied with the State Bar Act, the Rules of Professional Conduct, and all of the conditions of </w:t>
      </w:r>
      <w:r w:rsidRPr="00B34C9D">
        <w:rPr>
          <w:rFonts w:cs="Times New Roman"/>
        </w:rPr>
        <w:t>his</w:t>
      </w:r>
      <w:r w:rsidR="002D036A" w:rsidRPr="00B34C9D">
        <w:rPr>
          <w:rFonts w:cs="Times New Roman"/>
        </w:rPr>
        <w:t xml:space="preserve"> probation during the preceding calendar quarter.  In addition to all quarterly reports, a final report, containing the same information, is due no earlier than 20 days before the last day of the probation period and no later than the las</w:t>
      </w:r>
      <w:r w:rsidR="003C4795">
        <w:rPr>
          <w:rFonts w:cs="Times New Roman"/>
        </w:rPr>
        <w:t xml:space="preserve">t day of the probation period. </w:t>
      </w:r>
    </w:p>
    <w:p w:rsidR="00825EDB" w:rsidRDefault="00825EDB" w:rsidP="00825EDB">
      <w:pPr>
        <w:pStyle w:val="ListParagraph"/>
        <w:ind w:left="360"/>
        <w:contextualSpacing/>
        <w:rPr>
          <w:rFonts w:cs="Times New Roman"/>
        </w:rPr>
      </w:pPr>
    </w:p>
    <w:p w:rsidR="00615748" w:rsidRDefault="002D036A" w:rsidP="00615748">
      <w:pPr>
        <w:pStyle w:val="ListParagraph"/>
        <w:numPr>
          <w:ilvl w:val="0"/>
          <w:numId w:val="23"/>
        </w:numPr>
        <w:ind w:left="360"/>
        <w:contextualSpacing/>
        <w:rPr>
          <w:rFonts w:cs="Times New Roman"/>
        </w:rPr>
      </w:pPr>
      <w:r w:rsidRPr="00615748">
        <w:rPr>
          <w:rFonts w:cs="Times New Roman"/>
        </w:rPr>
        <w:t xml:space="preserve">Subject to the assertion of applicable privileges, </w:t>
      </w:r>
      <w:r w:rsidR="00763FF4" w:rsidRPr="00615748">
        <w:rPr>
          <w:rFonts w:cs="Times New Roman"/>
        </w:rPr>
        <w:t>he</w:t>
      </w:r>
      <w:r w:rsidRPr="00615748">
        <w:rPr>
          <w:rFonts w:cs="Times New Roman"/>
        </w:rPr>
        <w:t xml:space="preserve"> must answer fully, promptly, and truthfully, any inquiries of the Office of Probation that are directed to </w:t>
      </w:r>
      <w:r w:rsidR="00763FF4" w:rsidRPr="00615748">
        <w:rPr>
          <w:rFonts w:cs="Times New Roman"/>
        </w:rPr>
        <w:t>him</w:t>
      </w:r>
      <w:r w:rsidRPr="00615748">
        <w:rPr>
          <w:rFonts w:cs="Times New Roman"/>
        </w:rPr>
        <w:t xml:space="preserve"> personally or in writing, relating to whether </w:t>
      </w:r>
      <w:r w:rsidR="001A4AB8" w:rsidRPr="00615748">
        <w:rPr>
          <w:rFonts w:cs="Times New Roman"/>
        </w:rPr>
        <w:t>he</w:t>
      </w:r>
      <w:r w:rsidRPr="00615748">
        <w:rPr>
          <w:rFonts w:cs="Times New Roman"/>
        </w:rPr>
        <w:t xml:space="preserve"> is complying or has complied with t</w:t>
      </w:r>
      <w:r w:rsidR="00615748" w:rsidRPr="00615748">
        <w:rPr>
          <w:rFonts w:cs="Times New Roman"/>
        </w:rPr>
        <w:t>he conditions contained herein.</w:t>
      </w:r>
    </w:p>
    <w:p w:rsidR="00591FF5" w:rsidRDefault="00591FF5" w:rsidP="00825EDB">
      <w:pPr>
        <w:pStyle w:val="ListParagraph"/>
        <w:ind w:left="360"/>
        <w:contextualSpacing/>
        <w:rPr>
          <w:rFonts w:cs="Times New Roman"/>
        </w:rPr>
      </w:pPr>
    </w:p>
    <w:p w:rsidR="002D036A" w:rsidRDefault="002D036A" w:rsidP="00615748">
      <w:pPr>
        <w:pStyle w:val="ListParagraph"/>
        <w:numPr>
          <w:ilvl w:val="0"/>
          <w:numId w:val="23"/>
        </w:numPr>
        <w:ind w:left="360"/>
        <w:contextualSpacing/>
        <w:rPr>
          <w:rFonts w:cs="Times New Roman"/>
        </w:rPr>
      </w:pPr>
      <w:r w:rsidRPr="00615748">
        <w:rPr>
          <w:rFonts w:cs="Times New Roman"/>
        </w:rPr>
        <w:t xml:space="preserve">Within one year after the effective date of the discipline herein, </w:t>
      </w:r>
      <w:r w:rsidR="003C4795" w:rsidRPr="00615748">
        <w:rPr>
          <w:rFonts w:cs="Times New Roman"/>
        </w:rPr>
        <w:t>he</w:t>
      </w:r>
      <w:r w:rsidRPr="00615748">
        <w:rPr>
          <w:rFonts w:cs="Times New Roman"/>
        </w:rPr>
        <w:t xml:space="preserve"> must submit to the Office of Probation satisfactory evidence of completion of the State Bar’s Ethics School and passage of the test given at the end of that session.  This requirement is separate from any Minimum Continuing Legal Education (MCLE) requirement, and </w:t>
      </w:r>
      <w:r w:rsidR="005F3055" w:rsidRPr="00615748">
        <w:rPr>
          <w:rFonts w:cs="Times New Roman"/>
        </w:rPr>
        <w:t>he</w:t>
      </w:r>
      <w:r w:rsidRPr="00615748">
        <w:rPr>
          <w:rFonts w:cs="Times New Roman"/>
        </w:rPr>
        <w:t xml:space="preserve"> shall not receive MCLE credit for attending Ethics School. </w:t>
      </w:r>
    </w:p>
    <w:p w:rsidR="002D036A" w:rsidRPr="00544D0B" w:rsidRDefault="002D036A" w:rsidP="00544D0B">
      <w:pPr>
        <w:pStyle w:val="ListParagraph"/>
        <w:numPr>
          <w:ilvl w:val="0"/>
          <w:numId w:val="23"/>
        </w:numPr>
        <w:rPr>
          <w:rFonts w:cs="Times New Roman"/>
        </w:rPr>
      </w:pPr>
      <w:r w:rsidRPr="00544D0B">
        <w:rPr>
          <w:rFonts w:cs="Times New Roman"/>
        </w:rPr>
        <w:lastRenderedPageBreak/>
        <w:t xml:space="preserve">The period of probation will commence on the effective date of the Supreme Court order imposing discipline in this matter.  At the expiration of the period of probation, if </w:t>
      </w:r>
      <w:r w:rsidR="001B28CC" w:rsidRPr="00544D0B">
        <w:rPr>
          <w:rFonts w:cs="Times New Roman"/>
        </w:rPr>
        <w:t>he</w:t>
      </w:r>
      <w:r w:rsidRPr="00544D0B">
        <w:rPr>
          <w:rFonts w:cs="Times New Roman"/>
        </w:rPr>
        <w:t xml:space="preserve"> has complied with all conditions of probation, the </w:t>
      </w:r>
      <w:r w:rsidR="00852DAB" w:rsidRPr="00544D0B">
        <w:rPr>
          <w:rFonts w:cs="Times New Roman"/>
        </w:rPr>
        <w:t>three-</w:t>
      </w:r>
      <w:r w:rsidR="001B28CC" w:rsidRPr="00544D0B">
        <w:rPr>
          <w:rFonts w:cs="Times New Roman"/>
        </w:rPr>
        <w:t>year</w:t>
      </w:r>
      <w:r w:rsidRPr="00544D0B">
        <w:rPr>
          <w:rFonts w:cs="Times New Roman"/>
        </w:rPr>
        <w:t xml:space="preserve"> period of stayed suspension will be satisfied and that suspension will be terminated.</w:t>
      </w:r>
    </w:p>
    <w:p w:rsidR="00544D0B" w:rsidRPr="00544D0B" w:rsidRDefault="00544D0B" w:rsidP="00544D0B">
      <w:pPr>
        <w:pStyle w:val="ListParagraph"/>
        <w:rPr>
          <w:rFonts w:cs="Times New Roman"/>
        </w:rPr>
      </w:pPr>
    </w:p>
    <w:p w:rsidR="002D036A" w:rsidRPr="002F45AA" w:rsidRDefault="00234FC0" w:rsidP="002D036A">
      <w:pPr>
        <w:spacing w:line="480" w:lineRule="auto"/>
        <w:jc w:val="center"/>
        <w:rPr>
          <w:rFonts w:cs="Times New Roman"/>
        </w:rPr>
      </w:pPr>
      <w:r>
        <w:rPr>
          <w:rFonts w:cs="Times New Roman"/>
          <w:b/>
          <w:caps/>
        </w:rPr>
        <w:t>X.</w:t>
      </w:r>
      <w:r w:rsidR="00591FF5">
        <w:rPr>
          <w:rFonts w:cs="Times New Roman"/>
          <w:b/>
          <w:caps/>
        </w:rPr>
        <w:t xml:space="preserve"> </w:t>
      </w:r>
      <w:r>
        <w:rPr>
          <w:rFonts w:cs="Times New Roman"/>
          <w:b/>
          <w:caps/>
        </w:rPr>
        <w:t xml:space="preserve"> </w:t>
      </w:r>
      <w:r w:rsidR="002D036A" w:rsidRPr="002F45AA">
        <w:rPr>
          <w:rFonts w:cs="Times New Roman"/>
          <w:b/>
          <w:caps/>
        </w:rPr>
        <w:t>PROFESSIONAL RESPONSIBILITY EXAMINATION</w:t>
      </w:r>
    </w:p>
    <w:p w:rsidR="00591FF5" w:rsidRDefault="002D036A" w:rsidP="002D036A">
      <w:pPr>
        <w:spacing w:line="480" w:lineRule="auto"/>
        <w:ind w:firstLine="720"/>
        <w:rPr>
          <w:rFonts w:cs="Times New Roman"/>
        </w:rPr>
      </w:pPr>
      <w:r w:rsidRPr="002F45AA">
        <w:rPr>
          <w:rFonts w:cs="Times New Roman"/>
        </w:rPr>
        <w:t xml:space="preserve">We further recommend that </w:t>
      </w:r>
      <w:r w:rsidR="000F6BEC">
        <w:rPr>
          <w:rFonts w:cs="Times New Roman"/>
        </w:rPr>
        <w:t>Cyrus John Nownejad</w:t>
      </w:r>
      <w:r w:rsidRPr="002F45AA">
        <w:rPr>
          <w:rFonts w:cs="Times New Roman"/>
        </w:rPr>
        <w:t xml:space="preserve"> be ordered to take and pass the Multistate Professional Responsibility Examination administered by the National Conference of Bar Examiners during the period of his actual suspension in this matter and to provide satisfactory proof of such passage to the Office of Probation within the same period.  Failure to do so may result in an automatic suspension.  (Cal. Rules of Court, rule 9.10(b).)</w:t>
      </w:r>
    </w:p>
    <w:p w:rsidR="002D036A" w:rsidRPr="002F45AA" w:rsidRDefault="00234FC0" w:rsidP="00A14086">
      <w:pPr>
        <w:spacing w:line="480" w:lineRule="auto"/>
        <w:jc w:val="center"/>
        <w:rPr>
          <w:rFonts w:cs="Times New Roman"/>
          <w:b/>
          <w:caps/>
        </w:rPr>
      </w:pPr>
      <w:r>
        <w:rPr>
          <w:rFonts w:cs="Times New Roman"/>
          <w:b/>
          <w:caps/>
        </w:rPr>
        <w:t>X</w:t>
      </w:r>
      <w:r w:rsidR="00544D0B">
        <w:rPr>
          <w:rFonts w:cs="Times New Roman"/>
          <w:b/>
          <w:caps/>
        </w:rPr>
        <w:t>I</w:t>
      </w:r>
      <w:proofErr w:type="gramStart"/>
      <w:r>
        <w:rPr>
          <w:rFonts w:cs="Times New Roman"/>
          <w:b/>
          <w:caps/>
        </w:rPr>
        <w:t>.</w:t>
      </w:r>
      <w:r w:rsidR="00591FF5">
        <w:rPr>
          <w:rFonts w:cs="Times New Roman"/>
          <w:b/>
          <w:caps/>
        </w:rPr>
        <w:t xml:space="preserve"> </w:t>
      </w:r>
      <w:r>
        <w:rPr>
          <w:rFonts w:cs="Times New Roman"/>
          <w:b/>
          <w:caps/>
        </w:rPr>
        <w:t xml:space="preserve"> </w:t>
      </w:r>
      <w:r w:rsidR="002D036A" w:rsidRPr="002F45AA">
        <w:rPr>
          <w:rFonts w:cs="Times New Roman"/>
          <w:b/>
          <w:caps/>
        </w:rPr>
        <w:t>rule</w:t>
      </w:r>
      <w:proofErr w:type="gramEnd"/>
      <w:r w:rsidR="002D036A" w:rsidRPr="002F45AA">
        <w:rPr>
          <w:rFonts w:cs="Times New Roman"/>
          <w:b/>
          <w:caps/>
        </w:rPr>
        <w:t xml:space="preserve"> 9.20</w:t>
      </w:r>
    </w:p>
    <w:p w:rsidR="002D036A" w:rsidRPr="002F45AA" w:rsidRDefault="002D036A" w:rsidP="002D036A">
      <w:pPr>
        <w:spacing w:line="480" w:lineRule="auto"/>
        <w:ind w:firstLine="720"/>
        <w:rPr>
          <w:rFonts w:cs="Times New Roman"/>
        </w:rPr>
      </w:pPr>
      <w:r w:rsidRPr="002F45AA">
        <w:rPr>
          <w:rFonts w:cs="Times New Roman"/>
        </w:rPr>
        <w:t xml:space="preserve">We further recommend that </w:t>
      </w:r>
      <w:r w:rsidR="000F6BEC">
        <w:rPr>
          <w:rFonts w:cs="Times New Roman"/>
        </w:rPr>
        <w:t>Cyrus John Nownejad</w:t>
      </w:r>
      <w:r w:rsidRPr="002F45AA">
        <w:rPr>
          <w:rFonts w:cs="Times New Roman"/>
        </w:rPr>
        <w:t xml:space="preserve"> be ordered to comply with the requirements of rule 9.20 of the California Rules of Court, and to perform the acts specified in subdivisions (a) and (c) of that rule within 30 and 40 days, respectively, after the effective date of the Supreme Court order in this proceeding.  Failure to do so may result in disbarment or suspension.</w:t>
      </w:r>
    </w:p>
    <w:p w:rsidR="002D036A" w:rsidRPr="002F45AA" w:rsidRDefault="00234FC0" w:rsidP="002D036A">
      <w:pPr>
        <w:spacing w:line="480" w:lineRule="auto"/>
        <w:jc w:val="center"/>
        <w:rPr>
          <w:rFonts w:cs="Times New Roman"/>
          <w:b/>
          <w:caps/>
        </w:rPr>
      </w:pPr>
      <w:r>
        <w:rPr>
          <w:rFonts w:cs="Times New Roman"/>
          <w:b/>
          <w:caps/>
        </w:rPr>
        <w:t>X</w:t>
      </w:r>
      <w:r w:rsidR="00544D0B">
        <w:rPr>
          <w:rFonts w:cs="Times New Roman"/>
          <w:b/>
          <w:caps/>
        </w:rPr>
        <w:t>I</w:t>
      </w:r>
      <w:r>
        <w:rPr>
          <w:rFonts w:cs="Times New Roman"/>
          <w:b/>
          <w:caps/>
        </w:rPr>
        <w:t>I</w:t>
      </w:r>
      <w:proofErr w:type="gramStart"/>
      <w:r>
        <w:rPr>
          <w:rFonts w:cs="Times New Roman"/>
          <w:b/>
          <w:caps/>
        </w:rPr>
        <w:t>.</w:t>
      </w:r>
      <w:r w:rsidR="00591FF5">
        <w:rPr>
          <w:rFonts w:cs="Times New Roman"/>
          <w:b/>
          <w:caps/>
        </w:rPr>
        <w:t xml:space="preserve"> </w:t>
      </w:r>
      <w:r>
        <w:rPr>
          <w:rFonts w:cs="Times New Roman"/>
          <w:b/>
          <w:caps/>
        </w:rPr>
        <w:t xml:space="preserve"> </w:t>
      </w:r>
      <w:r w:rsidR="002D036A" w:rsidRPr="002F45AA">
        <w:rPr>
          <w:rFonts w:cs="Times New Roman"/>
          <w:b/>
          <w:caps/>
        </w:rPr>
        <w:t>costs</w:t>
      </w:r>
      <w:proofErr w:type="gramEnd"/>
    </w:p>
    <w:p w:rsidR="00F424E9" w:rsidRDefault="002D036A" w:rsidP="00F424E9">
      <w:pPr>
        <w:spacing w:line="480" w:lineRule="auto"/>
        <w:ind w:firstLine="720"/>
        <w:rPr>
          <w:rStyle w:val="apple-style-span"/>
        </w:rPr>
      </w:pPr>
      <w:r w:rsidRPr="002F45AA">
        <w:rPr>
          <w:rFonts w:cs="Times New Roman"/>
        </w:rPr>
        <w:t>We further recommend that costs be awarded to the State Bar in accordance with Business and Professions Code section 6086.10, such costs being enforceable both as provided in section 6140.7 and as a money judgment.</w:t>
      </w:r>
    </w:p>
    <w:p w:rsidR="00F424E9" w:rsidRDefault="00F424E9" w:rsidP="00F424E9">
      <w:pPr>
        <w:spacing w:line="480" w:lineRule="auto"/>
        <w:ind w:firstLine="720"/>
        <w:rPr>
          <w:rStyle w:val="apple-style-span"/>
        </w:rPr>
      </w:pPr>
      <w:r>
        <w:rPr>
          <w:rStyle w:val="apple-style-span"/>
        </w:rPr>
        <w:tab/>
      </w:r>
      <w:r>
        <w:rPr>
          <w:rStyle w:val="apple-style-span"/>
        </w:rPr>
        <w:tab/>
      </w:r>
      <w:r>
        <w:rPr>
          <w:rStyle w:val="apple-style-span"/>
        </w:rPr>
        <w:tab/>
      </w:r>
      <w:r>
        <w:rPr>
          <w:rStyle w:val="apple-style-span"/>
        </w:rPr>
        <w:tab/>
      </w:r>
      <w:r>
        <w:rPr>
          <w:rStyle w:val="apple-style-span"/>
        </w:rPr>
        <w:tab/>
      </w:r>
      <w:r>
        <w:rPr>
          <w:rStyle w:val="apple-style-span"/>
        </w:rPr>
        <w:tab/>
        <w:t>PURCELL, J.</w:t>
      </w:r>
    </w:p>
    <w:p w:rsidR="00F424E9" w:rsidRDefault="00F424E9" w:rsidP="00F424E9">
      <w:pPr>
        <w:spacing w:line="480" w:lineRule="auto"/>
        <w:rPr>
          <w:rStyle w:val="apple-style-span"/>
        </w:rPr>
      </w:pPr>
      <w:r>
        <w:rPr>
          <w:rStyle w:val="apple-style-span"/>
        </w:rPr>
        <w:t>WE CONCUR:</w:t>
      </w:r>
    </w:p>
    <w:p w:rsidR="00F424E9" w:rsidRDefault="00F424E9" w:rsidP="00F424E9">
      <w:pPr>
        <w:spacing w:line="480" w:lineRule="auto"/>
        <w:rPr>
          <w:rStyle w:val="apple-style-span"/>
        </w:rPr>
      </w:pPr>
      <w:r>
        <w:rPr>
          <w:rStyle w:val="apple-style-span"/>
        </w:rPr>
        <w:t>REMKE, P. J.</w:t>
      </w:r>
    </w:p>
    <w:p w:rsidR="00F424E9" w:rsidRDefault="00F424E9" w:rsidP="00F424E9">
      <w:pPr>
        <w:spacing w:line="480" w:lineRule="auto"/>
        <w:rPr>
          <w:rStyle w:val="apple-style-span"/>
        </w:rPr>
      </w:pPr>
      <w:r>
        <w:rPr>
          <w:rStyle w:val="apple-style-span"/>
        </w:rPr>
        <w:t>EPSTEIN, J.</w:t>
      </w:r>
    </w:p>
    <w:p w:rsidR="006F1624" w:rsidRPr="00A032B8" w:rsidRDefault="006F1624" w:rsidP="00A032B8">
      <w:pPr>
        <w:spacing w:line="480" w:lineRule="auto"/>
        <w:ind w:firstLine="720"/>
        <w:rPr>
          <w:rStyle w:val="apple-style-span"/>
        </w:rPr>
      </w:pPr>
    </w:p>
    <w:sectPr w:rsidR="006F1624" w:rsidRPr="00A032B8" w:rsidSect="002E62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864"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C9A" w:rsidRDefault="00674C9A">
      <w:r>
        <w:separator/>
      </w:r>
    </w:p>
  </w:endnote>
  <w:endnote w:type="continuationSeparator" w:id="0">
    <w:p w:rsidR="00674C9A" w:rsidRDefault="00674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29" w:rsidRDefault="00525C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CE" w:rsidRDefault="001765CE">
    <w:pPr>
      <w:framePr w:w="571" w:wrap="notBeside" w:vAnchor="text" w:hAnchor="page" w:x="6016" w:y="-2"/>
      <w:spacing w:before="120"/>
    </w:pPr>
    <w:r>
      <w:t>-</w:t>
    </w:r>
    <w:fldSimple w:instr=" PAGE  ">
      <w:r w:rsidR="00732E92">
        <w:rPr>
          <w:noProof/>
        </w:rPr>
        <w:t>16</w:t>
      </w:r>
    </w:fldSimple>
    <w:r>
      <w:t>-</w:t>
    </w:r>
  </w:p>
  <w:p w:rsidR="001765CE" w:rsidRDefault="001765CE" w:rsidP="0063762B">
    <w:pPr>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29" w:rsidRDefault="00525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C9A" w:rsidRDefault="00674C9A">
      <w:r>
        <w:separator/>
      </w:r>
    </w:p>
  </w:footnote>
  <w:footnote w:type="continuationSeparator" w:id="0">
    <w:p w:rsidR="00674C9A" w:rsidRDefault="00674C9A">
      <w:r>
        <w:continuationSeparator/>
      </w:r>
    </w:p>
  </w:footnote>
  <w:footnote w:id="1">
    <w:p w:rsidR="001765CE" w:rsidRDefault="001765CE" w:rsidP="003C7D8F">
      <w:pPr>
        <w:pStyle w:val="FootnoteText"/>
        <w:ind w:firstLine="720"/>
        <w:rPr>
          <w:sz w:val="24"/>
          <w:szCs w:val="24"/>
        </w:rPr>
      </w:pPr>
      <w:r>
        <w:rPr>
          <w:rStyle w:val="FootnoteReference"/>
        </w:rPr>
        <w:footnoteRef/>
      </w:r>
      <w:r>
        <w:t xml:space="preserve"> </w:t>
      </w:r>
      <w:r>
        <w:rPr>
          <w:sz w:val="24"/>
          <w:szCs w:val="24"/>
        </w:rPr>
        <w:t xml:space="preserve">Unless otherwise noted, all references to “standard(s)” are to the </w:t>
      </w:r>
      <w:r w:rsidRPr="00C16FB8">
        <w:rPr>
          <w:sz w:val="24"/>
          <w:szCs w:val="24"/>
        </w:rPr>
        <w:t>Rules of Procedure of the State Bar, title IV, Standards for Attorney Sanctions for Professional Misconduct.</w:t>
      </w:r>
    </w:p>
    <w:p w:rsidR="001765CE" w:rsidRPr="003C7D8F" w:rsidRDefault="001765CE" w:rsidP="003C7D8F">
      <w:pPr>
        <w:pStyle w:val="FootnoteText"/>
        <w:ind w:firstLine="720"/>
        <w:rPr>
          <w:sz w:val="24"/>
          <w:szCs w:val="24"/>
        </w:rPr>
      </w:pPr>
    </w:p>
  </w:footnote>
  <w:footnote w:id="2">
    <w:p w:rsidR="001765CE" w:rsidRDefault="001765CE" w:rsidP="00AE07C8">
      <w:pPr>
        <w:pStyle w:val="FootnoteText"/>
        <w:rPr>
          <w:sz w:val="24"/>
          <w:szCs w:val="24"/>
        </w:rPr>
      </w:pPr>
      <w:r>
        <w:tab/>
      </w:r>
      <w:r>
        <w:rPr>
          <w:rStyle w:val="FootnoteReference"/>
        </w:rPr>
        <w:footnoteRef/>
      </w:r>
      <w:r>
        <w:t xml:space="preserve"> </w:t>
      </w:r>
      <w:r w:rsidRPr="00D32B47">
        <w:rPr>
          <w:sz w:val="24"/>
          <w:szCs w:val="24"/>
        </w:rPr>
        <w:t>The factual findings and legal conclusions have been established by clear and convincing evidence</w:t>
      </w:r>
      <w:r w:rsidR="00FA5E42">
        <w:rPr>
          <w:sz w:val="24"/>
          <w:szCs w:val="24"/>
        </w:rPr>
        <w:t>.  Such evidence must be strong enough to leave no substantial doubt and to command the “</w:t>
      </w:r>
      <w:r w:rsidRPr="00D32B47">
        <w:rPr>
          <w:sz w:val="24"/>
          <w:szCs w:val="24"/>
        </w:rPr>
        <w:t xml:space="preserve">unhesitating assent of every reasonable mind. </w:t>
      </w:r>
      <w:r w:rsidR="00FA5E42">
        <w:rPr>
          <w:sz w:val="24"/>
          <w:szCs w:val="24"/>
        </w:rPr>
        <w:t xml:space="preserve"> </w:t>
      </w:r>
      <w:r w:rsidRPr="00D32B47">
        <w:rPr>
          <w:sz w:val="24"/>
          <w:szCs w:val="24"/>
        </w:rPr>
        <w:t xml:space="preserve">[Citation; internal quotations omitted.]” </w:t>
      </w:r>
      <w:r w:rsidR="00FA5E42">
        <w:rPr>
          <w:sz w:val="24"/>
          <w:szCs w:val="24"/>
        </w:rPr>
        <w:t xml:space="preserve"> </w:t>
      </w:r>
      <w:proofErr w:type="gramStart"/>
      <w:r w:rsidRPr="00D32B47">
        <w:rPr>
          <w:sz w:val="24"/>
          <w:szCs w:val="24"/>
        </w:rPr>
        <w:t>(</w:t>
      </w:r>
      <w:r w:rsidRPr="00D32B47">
        <w:rPr>
          <w:i/>
          <w:iCs/>
          <w:sz w:val="24"/>
          <w:szCs w:val="24"/>
        </w:rPr>
        <w:t>In re Angelina P</w:t>
      </w:r>
      <w:r w:rsidRPr="00D32B47">
        <w:rPr>
          <w:sz w:val="24"/>
          <w:szCs w:val="24"/>
        </w:rPr>
        <w:t>. (1981) 28 Cal.3d 908, 919.)</w:t>
      </w:r>
      <w:proofErr w:type="gramEnd"/>
    </w:p>
    <w:p w:rsidR="00FA5E42" w:rsidRDefault="00FA5E42" w:rsidP="00AE07C8">
      <w:pPr>
        <w:pStyle w:val="FootnoteText"/>
      </w:pPr>
    </w:p>
  </w:footnote>
  <w:footnote w:id="3">
    <w:p w:rsidR="001765CE" w:rsidRPr="002C35F0" w:rsidRDefault="001765CE">
      <w:pPr>
        <w:pStyle w:val="FootnoteText"/>
        <w:rPr>
          <w:sz w:val="24"/>
          <w:szCs w:val="24"/>
        </w:rPr>
      </w:pPr>
      <w:r>
        <w:tab/>
      </w:r>
      <w:r>
        <w:rPr>
          <w:rStyle w:val="FootnoteReference"/>
        </w:rPr>
        <w:footnoteRef/>
      </w:r>
      <w:r>
        <w:t xml:space="preserve"> </w:t>
      </w:r>
      <w:r w:rsidRPr="00C16FB8">
        <w:rPr>
          <w:sz w:val="24"/>
          <w:szCs w:val="24"/>
        </w:rPr>
        <w:t>Unless otherwise noted, all further references to “section(s)” are to the Business and Professions Code.</w:t>
      </w:r>
      <w:r>
        <w:rPr>
          <w:sz w:val="24"/>
          <w:szCs w:val="24"/>
        </w:rPr>
        <w:t xml:space="preserve">  Section 6</w:t>
      </w:r>
      <w:r w:rsidRPr="00291104">
        <w:rPr>
          <w:sz w:val="24"/>
          <w:szCs w:val="24"/>
        </w:rPr>
        <w:t>103 makes it cause for disbarment or suspension if any attorney willfully disobeys or violat</w:t>
      </w:r>
      <w:r>
        <w:rPr>
          <w:sz w:val="24"/>
          <w:szCs w:val="24"/>
        </w:rPr>
        <w:t>e</w:t>
      </w:r>
      <w:r w:rsidRPr="00291104">
        <w:rPr>
          <w:sz w:val="24"/>
          <w:szCs w:val="24"/>
        </w:rPr>
        <w:t xml:space="preserve">s a court </w:t>
      </w:r>
      <w:r>
        <w:rPr>
          <w:sz w:val="24"/>
          <w:szCs w:val="24"/>
        </w:rPr>
        <w:t xml:space="preserve">order </w:t>
      </w:r>
      <w:r w:rsidRPr="00291104">
        <w:rPr>
          <w:sz w:val="24"/>
          <w:szCs w:val="24"/>
        </w:rPr>
        <w:t xml:space="preserve">that requires him to do or forbear an act connected with the profession.  </w:t>
      </w:r>
      <w:r w:rsidRPr="002C35F0">
        <w:rPr>
          <w:sz w:val="24"/>
          <w:szCs w:val="24"/>
        </w:rPr>
        <w:t xml:space="preserve"> </w:t>
      </w:r>
    </w:p>
  </w:footnote>
  <w:footnote w:id="4">
    <w:p w:rsidR="001765CE" w:rsidRPr="00385FAA" w:rsidRDefault="001765CE">
      <w:pPr>
        <w:pStyle w:val="FootnoteText"/>
        <w:rPr>
          <w:sz w:val="24"/>
          <w:szCs w:val="24"/>
        </w:rPr>
      </w:pPr>
      <w:r>
        <w:tab/>
      </w:r>
      <w:r w:rsidRPr="00F725FB">
        <w:rPr>
          <w:rStyle w:val="FootnoteReference"/>
        </w:rPr>
        <w:footnoteRef/>
      </w:r>
      <w:r>
        <w:t xml:space="preserve"> </w:t>
      </w:r>
      <w:r w:rsidRPr="00385FAA">
        <w:rPr>
          <w:sz w:val="24"/>
          <w:szCs w:val="24"/>
        </w:rPr>
        <w:t>The record</w:t>
      </w:r>
      <w:r>
        <w:rPr>
          <w:sz w:val="24"/>
          <w:szCs w:val="24"/>
        </w:rPr>
        <w:t xml:space="preserve"> does not establish whether Nownejad knew about the San Diego </w:t>
      </w:r>
      <w:r w:rsidR="00F00FA6">
        <w:rPr>
          <w:sz w:val="24"/>
          <w:szCs w:val="24"/>
        </w:rPr>
        <w:t>petition</w:t>
      </w:r>
      <w:r>
        <w:rPr>
          <w:sz w:val="24"/>
          <w:szCs w:val="24"/>
        </w:rPr>
        <w:t xml:space="preserve"> when he filed the action in Los Angeles.</w:t>
      </w:r>
    </w:p>
  </w:footnote>
  <w:footnote w:id="5">
    <w:p w:rsidR="001765CE" w:rsidRPr="00D551D5" w:rsidRDefault="001765CE" w:rsidP="00591FF5">
      <w:pPr>
        <w:pStyle w:val="FootnoteText"/>
        <w:spacing w:after="120"/>
        <w:rPr>
          <w:sz w:val="24"/>
          <w:szCs w:val="24"/>
        </w:rPr>
      </w:pPr>
      <w:r>
        <w:tab/>
      </w:r>
      <w:r w:rsidRPr="0003022E">
        <w:rPr>
          <w:rStyle w:val="FootnoteReference"/>
        </w:rPr>
        <w:footnoteRef/>
      </w:r>
      <w:r>
        <w:t xml:space="preserve"> </w:t>
      </w:r>
      <w:r>
        <w:rPr>
          <w:sz w:val="24"/>
          <w:szCs w:val="24"/>
        </w:rPr>
        <w:t>Unless other noted, a</w:t>
      </w:r>
      <w:r w:rsidRPr="00D551D5">
        <w:rPr>
          <w:sz w:val="24"/>
          <w:szCs w:val="24"/>
        </w:rPr>
        <w:t xml:space="preserve">ll references to </w:t>
      </w:r>
      <w:r>
        <w:rPr>
          <w:sz w:val="24"/>
          <w:szCs w:val="24"/>
        </w:rPr>
        <w:t>“</w:t>
      </w:r>
      <w:r w:rsidRPr="00D551D5">
        <w:rPr>
          <w:sz w:val="24"/>
          <w:szCs w:val="24"/>
        </w:rPr>
        <w:t>rule</w:t>
      </w:r>
      <w:r>
        <w:rPr>
          <w:sz w:val="24"/>
          <w:szCs w:val="24"/>
        </w:rPr>
        <w:t>(s)”</w:t>
      </w:r>
      <w:r w:rsidRPr="00D551D5">
        <w:rPr>
          <w:sz w:val="24"/>
          <w:szCs w:val="24"/>
        </w:rPr>
        <w:t xml:space="preserve"> are to the Rules of Professional Conduct.  Rule 4-200(A) states that an attorney “shall not enter into an agreement for, charge, or collect an illegal or unconscionable fee.”</w:t>
      </w:r>
      <w:r>
        <w:rPr>
          <w:sz w:val="24"/>
          <w:szCs w:val="24"/>
        </w:rPr>
        <w:t xml:space="preserve">  </w:t>
      </w:r>
    </w:p>
  </w:footnote>
  <w:footnote w:id="6">
    <w:p w:rsidR="001765CE" w:rsidRDefault="001765CE">
      <w:pPr>
        <w:pStyle w:val="FootnoteText"/>
        <w:rPr>
          <w:sz w:val="24"/>
          <w:szCs w:val="24"/>
        </w:rPr>
      </w:pPr>
      <w:r>
        <w:tab/>
      </w:r>
      <w:r>
        <w:rPr>
          <w:rStyle w:val="FootnoteReference"/>
        </w:rPr>
        <w:footnoteRef/>
      </w:r>
      <w:r>
        <w:t xml:space="preserve"> </w:t>
      </w:r>
      <w:r w:rsidRPr="000F5DAA">
        <w:rPr>
          <w:sz w:val="24"/>
          <w:szCs w:val="24"/>
        </w:rPr>
        <w:t xml:space="preserve">Nownejad sought </w:t>
      </w:r>
      <w:r>
        <w:rPr>
          <w:sz w:val="24"/>
          <w:szCs w:val="24"/>
        </w:rPr>
        <w:t xml:space="preserve">nearly </w:t>
      </w:r>
      <w:r w:rsidRPr="000F5DAA">
        <w:rPr>
          <w:sz w:val="24"/>
          <w:szCs w:val="24"/>
        </w:rPr>
        <w:t>$93,000 in total fees</w:t>
      </w:r>
      <w:r>
        <w:rPr>
          <w:sz w:val="24"/>
          <w:szCs w:val="24"/>
        </w:rPr>
        <w:t xml:space="preserve"> </w:t>
      </w:r>
      <w:r w:rsidRPr="000F5DAA">
        <w:rPr>
          <w:sz w:val="24"/>
          <w:szCs w:val="24"/>
        </w:rPr>
        <w:t>as follows:  $35,000 paid by Mr. Norman initially (</w:t>
      </w:r>
      <w:r>
        <w:rPr>
          <w:sz w:val="24"/>
          <w:szCs w:val="24"/>
        </w:rPr>
        <w:t>less</w:t>
      </w:r>
      <w:r w:rsidRPr="000F5DAA">
        <w:rPr>
          <w:sz w:val="24"/>
          <w:szCs w:val="24"/>
        </w:rPr>
        <w:t xml:space="preserve"> $5,000 to </w:t>
      </w:r>
      <w:r>
        <w:rPr>
          <w:sz w:val="24"/>
          <w:szCs w:val="24"/>
        </w:rPr>
        <w:t>the</w:t>
      </w:r>
      <w:r w:rsidRPr="000F5DAA">
        <w:rPr>
          <w:sz w:val="24"/>
          <w:szCs w:val="24"/>
        </w:rPr>
        <w:t xml:space="preserve"> accountant) plus $62,240.49 requested at trial.</w:t>
      </w:r>
    </w:p>
    <w:p w:rsidR="001765CE" w:rsidRDefault="001765CE">
      <w:pPr>
        <w:pStyle w:val="FootnoteText"/>
      </w:pPr>
    </w:p>
  </w:footnote>
  <w:footnote w:id="7">
    <w:p w:rsidR="001765CE" w:rsidRDefault="001765CE">
      <w:pPr>
        <w:pStyle w:val="FootnoteText"/>
      </w:pPr>
      <w:r>
        <w:rPr>
          <w:sz w:val="24"/>
          <w:szCs w:val="24"/>
        </w:rPr>
        <w:tab/>
      </w:r>
      <w:r>
        <w:rPr>
          <w:rStyle w:val="FootnoteReference"/>
        </w:rPr>
        <w:footnoteRef/>
      </w:r>
      <w:r>
        <w:rPr>
          <w:sz w:val="24"/>
          <w:szCs w:val="24"/>
        </w:rPr>
        <w:t xml:space="preserve"> </w:t>
      </w:r>
      <w:r w:rsidRPr="00291104">
        <w:rPr>
          <w:sz w:val="24"/>
          <w:szCs w:val="24"/>
        </w:rPr>
        <w:t>In its brief</w:t>
      </w:r>
      <w:r>
        <w:rPr>
          <w:sz w:val="24"/>
          <w:szCs w:val="24"/>
        </w:rPr>
        <w:t>,</w:t>
      </w:r>
      <w:r w:rsidRPr="00291104">
        <w:rPr>
          <w:sz w:val="24"/>
          <w:szCs w:val="24"/>
        </w:rPr>
        <w:t xml:space="preserve"> the State Bar cited this order </w:t>
      </w:r>
      <w:r>
        <w:rPr>
          <w:sz w:val="24"/>
          <w:szCs w:val="24"/>
        </w:rPr>
        <w:t>at</w:t>
      </w:r>
      <w:r w:rsidRPr="00291104">
        <w:rPr>
          <w:sz w:val="24"/>
          <w:szCs w:val="24"/>
        </w:rPr>
        <w:t xml:space="preserve"> page 241 of exhibit 4.  However</w:t>
      </w:r>
      <w:r>
        <w:rPr>
          <w:sz w:val="24"/>
          <w:szCs w:val="24"/>
        </w:rPr>
        <w:t>,</w:t>
      </w:r>
      <w:r w:rsidRPr="00291104">
        <w:rPr>
          <w:sz w:val="24"/>
          <w:szCs w:val="24"/>
        </w:rPr>
        <w:t xml:space="preserve"> this page is </w:t>
      </w:r>
      <w:r w:rsidR="00F725FB">
        <w:rPr>
          <w:sz w:val="24"/>
          <w:szCs w:val="24"/>
        </w:rPr>
        <w:t>an April 28, 2006 superior court certification of an April 26, 2005 minute order</w:t>
      </w:r>
      <w:r w:rsidRPr="00291104">
        <w:rPr>
          <w:sz w:val="24"/>
          <w:szCs w:val="24"/>
        </w:rPr>
        <w:t>.</w:t>
      </w:r>
      <w:r>
        <w:t xml:space="preserve"> </w:t>
      </w:r>
    </w:p>
  </w:footnote>
  <w:footnote w:id="8">
    <w:p w:rsidR="001765CE" w:rsidRDefault="001765CE">
      <w:pPr>
        <w:pStyle w:val="FootnoteText"/>
        <w:rPr>
          <w:sz w:val="24"/>
          <w:szCs w:val="24"/>
        </w:rPr>
      </w:pPr>
      <w:r>
        <w:rPr>
          <w:rStyle w:val="FootnoteReference"/>
        </w:rPr>
        <w:footnoteRef/>
      </w:r>
      <w:r>
        <w:rPr>
          <w:sz w:val="24"/>
          <w:szCs w:val="24"/>
        </w:rPr>
        <w:t xml:space="preserve"> (1)  The amount of the fee in proportion to the value of the services performed.</w:t>
      </w:r>
    </w:p>
    <w:p w:rsidR="001765CE" w:rsidRDefault="001765CE">
      <w:pPr>
        <w:pStyle w:val="FootnoteText"/>
        <w:rPr>
          <w:sz w:val="24"/>
          <w:szCs w:val="24"/>
        </w:rPr>
      </w:pPr>
      <w:r>
        <w:rPr>
          <w:sz w:val="24"/>
          <w:szCs w:val="24"/>
        </w:rPr>
        <w:t xml:space="preserve">  (2)  The relative sophistication of the member and the client.</w:t>
      </w:r>
    </w:p>
    <w:p w:rsidR="001765CE" w:rsidRDefault="001765CE">
      <w:pPr>
        <w:pStyle w:val="FootnoteText"/>
        <w:rPr>
          <w:sz w:val="24"/>
          <w:szCs w:val="24"/>
        </w:rPr>
      </w:pPr>
      <w:r>
        <w:rPr>
          <w:sz w:val="24"/>
          <w:szCs w:val="24"/>
        </w:rPr>
        <w:t xml:space="preserve">  (3)  The novelty and difficulty of the questions involved and the skill requisite to perform the legal service properly.</w:t>
      </w:r>
    </w:p>
    <w:p w:rsidR="001765CE" w:rsidRDefault="001765CE">
      <w:pPr>
        <w:pStyle w:val="FootnoteText"/>
        <w:rPr>
          <w:sz w:val="24"/>
          <w:szCs w:val="24"/>
        </w:rPr>
      </w:pPr>
      <w:r>
        <w:rPr>
          <w:sz w:val="24"/>
          <w:szCs w:val="24"/>
        </w:rPr>
        <w:t xml:space="preserve">  (4)  The likelihood, if apparent to the client, that the acceptance of the particular employment will preclude other employment by the member.</w:t>
      </w:r>
    </w:p>
    <w:p w:rsidR="001765CE" w:rsidRDefault="001765CE">
      <w:pPr>
        <w:pStyle w:val="FootnoteText"/>
        <w:rPr>
          <w:sz w:val="24"/>
          <w:szCs w:val="24"/>
        </w:rPr>
      </w:pPr>
      <w:r>
        <w:rPr>
          <w:sz w:val="24"/>
          <w:szCs w:val="24"/>
        </w:rPr>
        <w:t xml:space="preserve">  (5)  The amount involved and the results obtained.</w:t>
      </w:r>
    </w:p>
    <w:p w:rsidR="001765CE" w:rsidRDefault="001765CE">
      <w:pPr>
        <w:pStyle w:val="FootnoteText"/>
        <w:rPr>
          <w:sz w:val="24"/>
          <w:szCs w:val="24"/>
        </w:rPr>
      </w:pPr>
      <w:r>
        <w:rPr>
          <w:sz w:val="24"/>
          <w:szCs w:val="24"/>
        </w:rPr>
        <w:t xml:space="preserve">  (6)  The time limitations imposed by the client or by the circumstances.</w:t>
      </w:r>
    </w:p>
    <w:p w:rsidR="001765CE" w:rsidRDefault="001765CE">
      <w:pPr>
        <w:pStyle w:val="FootnoteText"/>
        <w:rPr>
          <w:sz w:val="24"/>
          <w:szCs w:val="24"/>
        </w:rPr>
      </w:pPr>
      <w:r>
        <w:rPr>
          <w:sz w:val="24"/>
          <w:szCs w:val="24"/>
        </w:rPr>
        <w:t xml:space="preserve">  (7)  The nature and length of the professional relationship with the client.</w:t>
      </w:r>
    </w:p>
    <w:p w:rsidR="001765CE" w:rsidRDefault="001765CE">
      <w:pPr>
        <w:pStyle w:val="FootnoteText"/>
        <w:rPr>
          <w:sz w:val="24"/>
          <w:szCs w:val="24"/>
        </w:rPr>
      </w:pPr>
      <w:r>
        <w:rPr>
          <w:sz w:val="24"/>
          <w:szCs w:val="24"/>
        </w:rPr>
        <w:t xml:space="preserve">  (8)  The experience, reputation, and ability of the member or members performing the services.</w:t>
      </w:r>
    </w:p>
    <w:p w:rsidR="001765CE" w:rsidRDefault="001765CE">
      <w:pPr>
        <w:pStyle w:val="FootnoteText"/>
        <w:rPr>
          <w:sz w:val="24"/>
          <w:szCs w:val="24"/>
        </w:rPr>
      </w:pPr>
      <w:r>
        <w:rPr>
          <w:sz w:val="24"/>
          <w:szCs w:val="24"/>
        </w:rPr>
        <w:t xml:space="preserve">  (9)  Whether the fee is fixed or contingent.</w:t>
      </w:r>
    </w:p>
    <w:p w:rsidR="001765CE" w:rsidRDefault="001765CE">
      <w:pPr>
        <w:pStyle w:val="FootnoteText"/>
        <w:rPr>
          <w:sz w:val="24"/>
          <w:szCs w:val="24"/>
        </w:rPr>
      </w:pPr>
      <w:r>
        <w:rPr>
          <w:sz w:val="24"/>
          <w:szCs w:val="24"/>
        </w:rPr>
        <w:t xml:space="preserve"> (10)  The time and labor required.</w:t>
      </w:r>
    </w:p>
    <w:p w:rsidR="001765CE" w:rsidRPr="004F5AA8" w:rsidRDefault="001765CE">
      <w:pPr>
        <w:pStyle w:val="FootnoteText"/>
        <w:rPr>
          <w:sz w:val="24"/>
          <w:szCs w:val="24"/>
        </w:rPr>
      </w:pPr>
      <w:r>
        <w:rPr>
          <w:sz w:val="24"/>
          <w:szCs w:val="24"/>
        </w:rPr>
        <w:t xml:space="preserve"> (11)  The informed consent of the client to the fee.</w:t>
      </w:r>
    </w:p>
  </w:footnote>
  <w:footnote w:id="9">
    <w:p w:rsidR="001765CE" w:rsidRDefault="001765CE">
      <w:pPr>
        <w:pStyle w:val="FootnoteText"/>
        <w:rPr>
          <w:sz w:val="24"/>
          <w:szCs w:val="24"/>
        </w:rPr>
      </w:pPr>
      <w:r>
        <w:tab/>
      </w:r>
      <w:r>
        <w:rPr>
          <w:rStyle w:val="FootnoteReference"/>
        </w:rPr>
        <w:footnoteRef/>
      </w:r>
      <w:r>
        <w:t xml:space="preserve"> </w:t>
      </w:r>
      <w:r w:rsidRPr="00840647">
        <w:rPr>
          <w:sz w:val="24"/>
          <w:szCs w:val="24"/>
        </w:rPr>
        <w:t xml:space="preserve">This section makes it a cause for disbarment or suspension for an attorney to commit “any act involving moral turpitude, dishonesty, or </w:t>
      </w:r>
      <w:proofErr w:type="gramStart"/>
      <w:r w:rsidRPr="00840647">
        <w:rPr>
          <w:sz w:val="24"/>
          <w:szCs w:val="24"/>
        </w:rPr>
        <w:t>corruption .</w:t>
      </w:r>
      <w:proofErr w:type="gramEnd"/>
      <w:r w:rsidRPr="00840647">
        <w:rPr>
          <w:sz w:val="24"/>
          <w:szCs w:val="24"/>
        </w:rPr>
        <w:t> . . .”</w:t>
      </w:r>
    </w:p>
    <w:p w:rsidR="0023172E" w:rsidRPr="00840647" w:rsidRDefault="0023172E">
      <w:pPr>
        <w:pStyle w:val="FootnoteText"/>
        <w:rPr>
          <w:sz w:val="24"/>
          <w:szCs w:val="24"/>
        </w:rPr>
      </w:pPr>
    </w:p>
  </w:footnote>
  <w:footnote w:id="10">
    <w:p w:rsidR="001765CE" w:rsidRPr="001C574C" w:rsidRDefault="001765CE" w:rsidP="00591FF5">
      <w:pPr>
        <w:pStyle w:val="FootnoteText"/>
        <w:spacing w:after="120"/>
        <w:rPr>
          <w:sz w:val="24"/>
          <w:szCs w:val="24"/>
        </w:rPr>
      </w:pPr>
      <w:r>
        <w:tab/>
      </w:r>
      <w:r>
        <w:rPr>
          <w:rStyle w:val="FootnoteReference"/>
        </w:rPr>
        <w:footnoteRef/>
      </w:r>
      <w:r>
        <w:t xml:space="preserve"> </w:t>
      </w:r>
      <w:r w:rsidRPr="00291104">
        <w:rPr>
          <w:sz w:val="24"/>
          <w:szCs w:val="24"/>
        </w:rPr>
        <w:t xml:space="preserve">This rule prohibits attorneys from intentionally, recklessly or repeatedly failing to perform </w:t>
      </w:r>
      <w:r>
        <w:rPr>
          <w:sz w:val="24"/>
          <w:szCs w:val="24"/>
        </w:rPr>
        <w:t>legal services with competence.</w:t>
      </w:r>
    </w:p>
  </w:footnote>
  <w:footnote w:id="11">
    <w:p w:rsidR="001765CE" w:rsidRDefault="001765CE">
      <w:pPr>
        <w:pStyle w:val="FootnoteText"/>
      </w:pPr>
      <w:r>
        <w:tab/>
      </w:r>
      <w:r>
        <w:rPr>
          <w:rStyle w:val="FootnoteReference"/>
        </w:rPr>
        <w:footnoteRef/>
      </w:r>
      <w:r>
        <w:t xml:space="preserve"> </w:t>
      </w:r>
      <w:r w:rsidRPr="00291104">
        <w:rPr>
          <w:sz w:val="24"/>
          <w:szCs w:val="24"/>
        </w:rPr>
        <w:t>This section requires attorneys to promptly respond to reasonable status inquiries of clients and to keep clients reasonably informed of significant developments in matters where the attorney agreed to provide legal services.</w:t>
      </w:r>
    </w:p>
  </w:footnote>
  <w:footnote w:id="12">
    <w:p w:rsidR="001765CE" w:rsidRDefault="001765CE">
      <w:pPr>
        <w:pStyle w:val="FootnoteText"/>
        <w:rPr>
          <w:rFonts w:cs="Times New Roman"/>
          <w:sz w:val="24"/>
          <w:szCs w:val="24"/>
        </w:rPr>
      </w:pPr>
      <w:r>
        <w:tab/>
      </w:r>
      <w:r>
        <w:rPr>
          <w:rStyle w:val="FootnoteReference"/>
        </w:rPr>
        <w:footnoteRef/>
      </w:r>
      <w:r>
        <w:t xml:space="preserve"> </w:t>
      </w:r>
      <w:r w:rsidRPr="0037276E">
        <w:rPr>
          <w:rFonts w:cs="Times New Roman"/>
          <w:sz w:val="24"/>
          <w:szCs w:val="24"/>
        </w:rPr>
        <w:t>See</w:t>
      </w:r>
      <w:r>
        <w:rPr>
          <w:rFonts w:cs="Times New Roman"/>
          <w:sz w:val="24"/>
          <w:szCs w:val="24"/>
        </w:rPr>
        <w:t>,</w:t>
      </w:r>
      <w:r w:rsidRPr="0037276E">
        <w:rPr>
          <w:rFonts w:cs="Times New Roman"/>
          <w:sz w:val="24"/>
          <w:szCs w:val="24"/>
        </w:rPr>
        <w:t xml:space="preserve"> e.g., </w:t>
      </w:r>
      <w:r w:rsidRPr="00481483">
        <w:rPr>
          <w:rFonts w:cs="Times New Roman"/>
          <w:i/>
          <w:sz w:val="24"/>
          <w:szCs w:val="24"/>
        </w:rPr>
        <w:t>Barnum v</w:t>
      </w:r>
      <w:r w:rsidRPr="0081108D">
        <w:rPr>
          <w:rFonts w:cs="Times New Roman"/>
          <w:i/>
          <w:sz w:val="24"/>
          <w:szCs w:val="24"/>
        </w:rPr>
        <w:t>. State Bar</w:t>
      </w:r>
      <w:r w:rsidRPr="0081108D">
        <w:rPr>
          <w:rFonts w:cs="Times New Roman"/>
          <w:sz w:val="24"/>
          <w:szCs w:val="24"/>
        </w:rPr>
        <w:t xml:space="preserve"> (1990) 52 Cal.3d 104 [disbarment </w:t>
      </w:r>
      <w:r>
        <w:rPr>
          <w:rFonts w:cs="Times New Roman"/>
          <w:sz w:val="24"/>
          <w:szCs w:val="24"/>
        </w:rPr>
        <w:t>for</w:t>
      </w:r>
      <w:r w:rsidRPr="0081108D">
        <w:rPr>
          <w:rFonts w:cs="Times New Roman"/>
          <w:sz w:val="24"/>
          <w:szCs w:val="24"/>
        </w:rPr>
        <w:t xml:space="preserve"> unconscionable fee, acts of moral turpitude, </w:t>
      </w:r>
      <w:r>
        <w:rPr>
          <w:rFonts w:cs="Times New Roman"/>
          <w:sz w:val="24"/>
          <w:szCs w:val="24"/>
        </w:rPr>
        <w:t xml:space="preserve">disobedience to four court orders, and failure to </w:t>
      </w:r>
      <w:r w:rsidRPr="0081108D">
        <w:rPr>
          <w:rFonts w:cs="Times New Roman"/>
          <w:sz w:val="24"/>
          <w:szCs w:val="24"/>
        </w:rPr>
        <w:t xml:space="preserve">cooperate </w:t>
      </w:r>
      <w:r>
        <w:rPr>
          <w:rFonts w:cs="Times New Roman"/>
          <w:sz w:val="24"/>
          <w:szCs w:val="24"/>
        </w:rPr>
        <w:t xml:space="preserve">with investigation but aggravated by </w:t>
      </w:r>
      <w:r w:rsidRPr="0081108D">
        <w:rPr>
          <w:rFonts w:cs="Times New Roman"/>
          <w:sz w:val="24"/>
          <w:szCs w:val="24"/>
        </w:rPr>
        <w:t>prior record of discipline</w:t>
      </w:r>
      <w:r>
        <w:rPr>
          <w:rFonts w:cs="Times New Roman"/>
          <w:sz w:val="24"/>
          <w:szCs w:val="24"/>
        </w:rPr>
        <w:t xml:space="preserve"> and no mitigation</w:t>
      </w:r>
      <w:r w:rsidRPr="0081108D">
        <w:rPr>
          <w:rFonts w:cs="Times New Roman"/>
          <w:sz w:val="24"/>
          <w:szCs w:val="24"/>
        </w:rPr>
        <w:t>]</w:t>
      </w:r>
      <w:r>
        <w:rPr>
          <w:rFonts w:cs="Times New Roman"/>
          <w:sz w:val="24"/>
          <w:szCs w:val="24"/>
        </w:rPr>
        <w:t xml:space="preserve">; </w:t>
      </w:r>
      <w:r w:rsidRPr="0081108D">
        <w:rPr>
          <w:rFonts w:cs="Times New Roman"/>
          <w:i/>
          <w:sz w:val="24"/>
          <w:szCs w:val="24"/>
        </w:rPr>
        <w:t>In the Matter of Scapa and Brown</w:t>
      </w:r>
      <w:r w:rsidRPr="0081108D">
        <w:rPr>
          <w:rFonts w:cs="Times New Roman"/>
          <w:sz w:val="24"/>
          <w:szCs w:val="24"/>
        </w:rPr>
        <w:t xml:space="preserve"> (Review Dept. 1993) 2 Cal. State Bar Ct. Rptr. 635</w:t>
      </w:r>
      <w:r>
        <w:rPr>
          <w:rFonts w:cs="Times New Roman"/>
          <w:sz w:val="24"/>
          <w:szCs w:val="24"/>
        </w:rPr>
        <w:t xml:space="preserve"> [18-month actual suspension for </w:t>
      </w:r>
      <w:r w:rsidRPr="0081108D">
        <w:rPr>
          <w:rFonts w:cs="Times New Roman"/>
          <w:sz w:val="24"/>
          <w:szCs w:val="24"/>
        </w:rPr>
        <w:t xml:space="preserve">unconscionable fees, </w:t>
      </w:r>
      <w:r>
        <w:rPr>
          <w:rFonts w:cs="Times New Roman"/>
          <w:sz w:val="24"/>
          <w:szCs w:val="24"/>
        </w:rPr>
        <w:t xml:space="preserve">acts </w:t>
      </w:r>
      <w:r w:rsidRPr="0081108D">
        <w:rPr>
          <w:rFonts w:cs="Times New Roman"/>
          <w:sz w:val="24"/>
          <w:szCs w:val="24"/>
        </w:rPr>
        <w:t xml:space="preserve">of moral turpitude, </w:t>
      </w:r>
      <w:r>
        <w:rPr>
          <w:rFonts w:cs="Times New Roman"/>
          <w:sz w:val="24"/>
          <w:szCs w:val="24"/>
        </w:rPr>
        <w:t>and other violations but mitigated by good character and remedial steps to avoid misconduct and aggravated by multiple acts of wrongdoing and harm to administration of justice]</w:t>
      </w:r>
      <w:r w:rsidRPr="0081108D">
        <w:rPr>
          <w:rFonts w:cs="Times New Roman"/>
          <w:sz w:val="24"/>
          <w:szCs w:val="24"/>
        </w:rPr>
        <w:t xml:space="preserve">.  </w:t>
      </w:r>
    </w:p>
    <w:p w:rsidR="0023172E" w:rsidRPr="0081108D" w:rsidRDefault="0023172E">
      <w:pPr>
        <w:pStyle w:val="FootnoteText"/>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29" w:rsidRDefault="00525C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29" w:rsidRDefault="00525C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29" w:rsidRDefault="00525C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DD4"/>
    <w:multiLevelType w:val="hybridMultilevel"/>
    <w:tmpl w:val="1546A3D8"/>
    <w:lvl w:ilvl="0" w:tplc="23F863D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63A48"/>
    <w:multiLevelType w:val="hybridMultilevel"/>
    <w:tmpl w:val="76C83F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0E6ED1"/>
    <w:multiLevelType w:val="hybridMultilevel"/>
    <w:tmpl w:val="3F84FE1A"/>
    <w:lvl w:ilvl="0" w:tplc="20B2A324">
      <w:start w:val="1"/>
      <w:numFmt w:val="upperLetter"/>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3">
    <w:nsid w:val="13205559"/>
    <w:multiLevelType w:val="hybridMultilevel"/>
    <w:tmpl w:val="6CC88F9C"/>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144D7593"/>
    <w:multiLevelType w:val="hybridMultilevel"/>
    <w:tmpl w:val="ABE274E4"/>
    <w:lvl w:ilvl="0" w:tplc="04090015">
      <w:start w:val="1"/>
      <w:numFmt w:val="upp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5">
    <w:nsid w:val="17F40F9E"/>
    <w:multiLevelType w:val="hybridMultilevel"/>
    <w:tmpl w:val="DEA04D24"/>
    <w:lvl w:ilvl="0" w:tplc="DBB67E98">
      <w:start w:val="1"/>
      <w:numFmt w:val="upperRoman"/>
      <w:lvlText w:val="%1."/>
      <w:lvlJc w:val="left"/>
      <w:pPr>
        <w:ind w:left="1080" w:hanging="720"/>
      </w:pPr>
      <w:rPr>
        <w:rFonts w:ascii="Times New Roman" w:hAnsi="Times New Roman" w:hint="default"/>
        <w:b/>
        <w:bCs/>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6">
    <w:nsid w:val="1EB4215C"/>
    <w:multiLevelType w:val="hybridMultilevel"/>
    <w:tmpl w:val="86B65C50"/>
    <w:lvl w:ilvl="0" w:tplc="D6C26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10C42"/>
    <w:multiLevelType w:val="hybridMultilevel"/>
    <w:tmpl w:val="4CAA8D22"/>
    <w:lvl w:ilvl="0" w:tplc="DC48439C">
      <w:start w:val="1"/>
      <w:numFmt w:val="upperRoman"/>
      <w:pStyle w:val="Heading3"/>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8">
    <w:nsid w:val="2FF62718"/>
    <w:multiLevelType w:val="hybridMultilevel"/>
    <w:tmpl w:val="8638AD68"/>
    <w:lvl w:ilvl="0" w:tplc="CCFE9FD0">
      <w:start w:val="1"/>
      <w:numFmt w:val="upperRoman"/>
      <w:lvlText w:val="%1."/>
      <w:lvlJc w:val="left"/>
      <w:pPr>
        <w:ind w:left="1440" w:hanging="72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9">
    <w:nsid w:val="32105E1A"/>
    <w:multiLevelType w:val="hybridMultilevel"/>
    <w:tmpl w:val="25602CA6"/>
    <w:lvl w:ilvl="0" w:tplc="A11AC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FD2262"/>
    <w:multiLevelType w:val="hybridMultilevel"/>
    <w:tmpl w:val="A9B065A8"/>
    <w:lvl w:ilvl="0" w:tplc="EFD8E3E0">
      <w:start w:val="6"/>
      <w:numFmt w:val="upperRoman"/>
      <w:lvlText w:val="%1."/>
      <w:lvlJc w:val="left"/>
      <w:pPr>
        <w:tabs>
          <w:tab w:val="num" w:pos="1440"/>
        </w:tabs>
        <w:ind w:left="1440" w:hanging="720"/>
      </w:pPr>
      <w:rPr>
        <w:rFonts w:ascii="Times New Roman" w:hAnsi="Times New Roman" w:hint="default"/>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12">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54121"/>
    <w:multiLevelType w:val="hybridMultilevel"/>
    <w:tmpl w:val="CE8C4942"/>
    <w:lvl w:ilvl="0" w:tplc="6F744DD8">
      <w:start w:val="1"/>
      <w:numFmt w:val="upp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4">
    <w:nsid w:val="3F09006D"/>
    <w:multiLevelType w:val="hybridMultilevel"/>
    <w:tmpl w:val="2D06B902"/>
    <w:lvl w:ilvl="0" w:tplc="249608B4">
      <w:start w:val="2"/>
      <w:numFmt w:val="upperLetter"/>
      <w:pStyle w:val="Heading5"/>
      <w:lvlText w:val="%1."/>
      <w:lvlJc w:val="left"/>
      <w:pPr>
        <w:tabs>
          <w:tab w:val="num" w:pos="1080"/>
        </w:tabs>
        <w:ind w:left="1080" w:hanging="360"/>
      </w:pPr>
      <w:rPr>
        <w:rFonts w:ascii="Times New Roman" w:hAnsi="Times New Roman" w:hint="default"/>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15">
    <w:nsid w:val="420877DB"/>
    <w:multiLevelType w:val="hybridMultilevel"/>
    <w:tmpl w:val="D6E0E9FC"/>
    <w:lvl w:ilvl="0" w:tplc="D9FE5F7E">
      <w:start w:val="1"/>
      <w:numFmt w:val="upp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6">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E151A"/>
    <w:multiLevelType w:val="hybridMultilevel"/>
    <w:tmpl w:val="B672CD58"/>
    <w:lvl w:ilvl="0" w:tplc="144020D4">
      <w:start w:val="1"/>
      <w:numFmt w:val="decimal"/>
      <w:lvlText w:val="%1."/>
      <w:lvlJc w:val="left"/>
      <w:pPr>
        <w:tabs>
          <w:tab w:val="num" w:pos="1800"/>
        </w:tabs>
        <w:ind w:left="1800" w:hanging="1080"/>
      </w:pPr>
      <w:rPr>
        <w:rFonts w:ascii="Times New Roman" w:hAnsi="Times New Roman" w:hint="default"/>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19">
    <w:nsid w:val="52635974"/>
    <w:multiLevelType w:val="hybridMultilevel"/>
    <w:tmpl w:val="878C9280"/>
    <w:lvl w:ilvl="0" w:tplc="D47E9D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47AA5"/>
    <w:multiLevelType w:val="hybridMultilevel"/>
    <w:tmpl w:val="4A2617DA"/>
    <w:lvl w:ilvl="0" w:tplc="CFE073EA">
      <w:start w:val="1"/>
      <w:numFmt w:val="upperLetter"/>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21">
    <w:nsid w:val="595B3622"/>
    <w:multiLevelType w:val="hybridMultilevel"/>
    <w:tmpl w:val="999EBCEA"/>
    <w:lvl w:ilvl="0" w:tplc="28B2BC7C">
      <w:start w:val="1"/>
      <w:numFmt w:val="upperRoman"/>
      <w:lvlText w:val="%1."/>
      <w:lvlJc w:val="left"/>
      <w:pPr>
        <w:ind w:left="1440" w:hanging="72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22">
    <w:nsid w:val="5F685EC8"/>
    <w:multiLevelType w:val="hybridMultilevel"/>
    <w:tmpl w:val="D2049FB8"/>
    <w:lvl w:ilvl="0" w:tplc="F6944402">
      <w:start w:val="1"/>
      <w:numFmt w:val="upperLetter"/>
      <w:lvlText w:val="%1."/>
      <w:lvlJc w:val="left"/>
      <w:pPr>
        <w:ind w:left="1125" w:hanging="360"/>
      </w:pPr>
      <w:rPr>
        <w:rFonts w:ascii="Times New Roman" w:hAnsi="Times New Roman" w:hint="default"/>
        <w:b/>
        <w:bCs/>
      </w:rPr>
    </w:lvl>
    <w:lvl w:ilvl="1" w:tplc="04090019">
      <w:start w:val="1"/>
      <w:numFmt w:val="lowerLetter"/>
      <w:lvlText w:val="%2."/>
      <w:lvlJc w:val="left"/>
      <w:pPr>
        <w:ind w:left="1845" w:hanging="360"/>
      </w:pPr>
      <w:rPr>
        <w:rFonts w:ascii="Times New Roman" w:hAnsi="Times New Roman"/>
      </w:rPr>
    </w:lvl>
    <w:lvl w:ilvl="2" w:tplc="0409001B">
      <w:start w:val="1"/>
      <w:numFmt w:val="lowerRoman"/>
      <w:lvlText w:val="%3."/>
      <w:lvlJc w:val="right"/>
      <w:pPr>
        <w:ind w:left="2565" w:hanging="180"/>
      </w:pPr>
      <w:rPr>
        <w:rFonts w:ascii="Times New Roman" w:hAnsi="Times New Roman"/>
      </w:rPr>
    </w:lvl>
    <w:lvl w:ilvl="3" w:tplc="0409000F">
      <w:start w:val="1"/>
      <w:numFmt w:val="decimal"/>
      <w:lvlText w:val="%4."/>
      <w:lvlJc w:val="left"/>
      <w:pPr>
        <w:ind w:left="3285" w:hanging="360"/>
      </w:pPr>
      <w:rPr>
        <w:rFonts w:ascii="Times New Roman" w:hAnsi="Times New Roman"/>
      </w:rPr>
    </w:lvl>
    <w:lvl w:ilvl="4" w:tplc="04090019">
      <w:start w:val="1"/>
      <w:numFmt w:val="lowerLetter"/>
      <w:lvlText w:val="%5."/>
      <w:lvlJc w:val="left"/>
      <w:pPr>
        <w:ind w:left="4005" w:hanging="360"/>
      </w:pPr>
      <w:rPr>
        <w:rFonts w:ascii="Times New Roman" w:hAnsi="Times New Roman"/>
      </w:rPr>
    </w:lvl>
    <w:lvl w:ilvl="5" w:tplc="0409001B">
      <w:start w:val="1"/>
      <w:numFmt w:val="lowerRoman"/>
      <w:lvlText w:val="%6."/>
      <w:lvlJc w:val="right"/>
      <w:pPr>
        <w:ind w:left="4725" w:hanging="180"/>
      </w:pPr>
      <w:rPr>
        <w:rFonts w:ascii="Times New Roman" w:hAnsi="Times New Roman"/>
      </w:rPr>
    </w:lvl>
    <w:lvl w:ilvl="6" w:tplc="0409000F">
      <w:start w:val="1"/>
      <w:numFmt w:val="decimal"/>
      <w:lvlText w:val="%7."/>
      <w:lvlJc w:val="left"/>
      <w:pPr>
        <w:ind w:left="5445" w:hanging="360"/>
      </w:pPr>
      <w:rPr>
        <w:rFonts w:ascii="Times New Roman" w:hAnsi="Times New Roman"/>
      </w:rPr>
    </w:lvl>
    <w:lvl w:ilvl="7" w:tplc="04090019">
      <w:start w:val="1"/>
      <w:numFmt w:val="lowerLetter"/>
      <w:lvlText w:val="%8."/>
      <w:lvlJc w:val="left"/>
      <w:pPr>
        <w:ind w:left="6165" w:hanging="360"/>
      </w:pPr>
      <w:rPr>
        <w:rFonts w:ascii="Times New Roman" w:hAnsi="Times New Roman"/>
      </w:rPr>
    </w:lvl>
    <w:lvl w:ilvl="8" w:tplc="0409001B">
      <w:start w:val="1"/>
      <w:numFmt w:val="lowerRoman"/>
      <w:lvlText w:val="%9."/>
      <w:lvlJc w:val="right"/>
      <w:pPr>
        <w:ind w:left="6885" w:hanging="180"/>
      </w:pPr>
      <w:rPr>
        <w:rFonts w:ascii="Times New Roman" w:hAnsi="Times New Roman"/>
      </w:rPr>
    </w:lvl>
  </w:abstractNum>
  <w:abstractNum w:abstractNumId="23">
    <w:nsid w:val="6AE75C6E"/>
    <w:multiLevelType w:val="hybridMultilevel"/>
    <w:tmpl w:val="F0AEF600"/>
    <w:lvl w:ilvl="0" w:tplc="4E00CD20">
      <w:start w:val="1"/>
      <w:numFmt w:val="upperLetter"/>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abstractNum w:abstractNumId="24">
    <w:nsid w:val="6CCE7198"/>
    <w:multiLevelType w:val="hybridMultilevel"/>
    <w:tmpl w:val="F24013DC"/>
    <w:lvl w:ilvl="0" w:tplc="23968B34">
      <w:start w:val="1"/>
      <w:numFmt w:val="decimal"/>
      <w:lvlText w:val="%1."/>
      <w:lvlJc w:val="left"/>
      <w:pPr>
        <w:tabs>
          <w:tab w:val="num" w:pos="1140"/>
        </w:tabs>
        <w:ind w:left="1140" w:hanging="420"/>
      </w:pPr>
      <w:rPr>
        <w:rFonts w:ascii="Times New Roman" w:hAnsi="Times New Roman" w:hint="default"/>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25">
    <w:nsid w:val="73EC646C"/>
    <w:multiLevelType w:val="hybridMultilevel"/>
    <w:tmpl w:val="9AA07F7C"/>
    <w:lvl w:ilvl="0" w:tplc="A3A434F2">
      <w:start w:val="1"/>
      <w:numFmt w:val="upp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6">
    <w:nsid w:val="7B327978"/>
    <w:multiLevelType w:val="hybridMultilevel"/>
    <w:tmpl w:val="8DC68C12"/>
    <w:lvl w:ilvl="0" w:tplc="631A6672">
      <w:start w:val="1"/>
      <w:numFmt w:val="upperLetter"/>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num w:numId="1">
    <w:abstractNumId w:val="13"/>
  </w:num>
  <w:num w:numId="2">
    <w:abstractNumId w:val="15"/>
  </w:num>
  <w:num w:numId="3">
    <w:abstractNumId w:val="25"/>
  </w:num>
  <w:num w:numId="4">
    <w:abstractNumId w:val="2"/>
  </w:num>
  <w:num w:numId="5">
    <w:abstractNumId w:val="8"/>
  </w:num>
  <w:num w:numId="6">
    <w:abstractNumId w:val="4"/>
  </w:num>
  <w:num w:numId="7">
    <w:abstractNumId w:val="5"/>
  </w:num>
  <w:num w:numId="8">
    <w:abstractNumId w:val="22"/>
  </w:num>
  <w:num w:numId="9">
    <w:abstractNumId w:val="26"/>
  </w:num>
  <w:num w:numId="10">
    <w:abstractNumId w:val="21"/>
  </w:num>
  <w:num w:numId="11">
    <w:abstractNumId w:val="23"/>
  </w:num>
  <w:num w:numId="12">
    <w:abstractNumId w:val="7"/>
  </w:num>
  <w:num w:numId="13">
    <w:abstractNumId w:val="20"/>
  </w:num>
  <w:num w:numId="14">
    <w:abstractNumId w:val="24"/>
  </w:num>
  <w:num w:numId="15">
    <w:abstractNumId w:val="11"/>
  </w:num>
  <w:num w:numId="16">
    <w:abstractNumId w:val="14"/>
  </w:num>
  <w:num w:numId="17">
    <w:abstractNumId w:val="18"/>
  </w:num>
  <w:num w:numId="18">
    <w:abstractNumId w:val="14"/>
    <w:lvlOverride w:ilvl="0">
      <w:startOverride w:val="4"/>
    </w:lvlOverride>
  </w:num>
  <w:num w:numId="19">
    <w:abstractNumId w:val="6"/>
  </w:num>
  <w:num w:numId="20">
    <w:abstractNumId w:val="3"/>
  </w:num>
  <w:num w:numId="21">
    <w:abstractNumId w:val="16"/>
  </w:num>
  <w:num w:numId="22">
    <w:abstractNumId w:val="17"/>
  </w:num>
  <w:num w:numId="23">
    <w:abstractNumId w:val="12"/>
  </w:num>
  <w:num w:numId="24">
    <w:abstractNumId w:val="10"/>
  </w:num>
  <w:num w:numId="25">
    <w:abstractNumId w:val="1"/>
  </w:num>
  <w:num w:numId="26">
    <w:abstractNumId w:val="9"/>
  </w:num>
  <w:num w:numId="27">
    <w:abstractNumId w:val="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3D38FF"/>
    <w:rsid w:val="00001861"/>
    <w:rsid w:val="00010C55"/>
    <w:rsid w:val="00012DB7"/>
    <w:rsid w:val="00014580"/>
    <w:rsid w:val="000154FC"/>
    <w:rsid w:val="00015540"/>
    <w:rsid w:val="000173C3"/>
    <w:rsid w:val="00021AE8"/>
    <w:rsid w:val="00023193"/>
    <w:rsid w:val="000246E4"/>
    <w:rsid w:val="00025FA8"/>
    <w:rsid w:val="0003022E"/>
    <w:rsid w:val="00031A27"/>
    <w:rsid w:val="000352B4"/>
    <w:rsid w:val="00046638"/>
    <w:rsid w:val="0005030A"/>
    <w:rsid w:val="0005413D"/>
    <w:rsid w:val="00067F24"/>
    <w:rsid w:val="000736EC"/>
    <w:rsid w:val="00075CDB"/>
    <w:rsid w:val="00076349"/>
    <w:rsid w:val="00080BB6"/>
    <w:rsid w:val="000810A9"/>
    <w:rsid w:val="0008448E"/>
    <w:rsid w:val="00086EC3"/>
    <w:rsid w:val="000907E8"/>
    <w:rsid w:val="00092823"/>
    <w:rsid w:val="00092C9A"/>
    <w:rsid w:val="00094DB8"/>
    <w:rsid w:val="00096877"/>
    <w:rsid w:val="000976F3"/>
    <w:rsid w:val="000A0DE6"/>
    <w:rsid w:val="000A49AF"/>
    <w:rsid w:val="000A4E1C"/>
    <w:rsid w:val="000A5688"/>
    <w:rsid w:val="000A68ED"/>
    <w:rsid w:val="000B6388"/>
    <w:rsid w:val="000C07BC"/>
    <w:rsid w:val="000C5C26"/>
    <w:rsid w:val="000C6683"/>
    <w:rsid w:val="000D29AE"/>
    <w:rsid w:val="000D40E8"/>
    <w:rsid w:val="000E07C5"/>
    <w:rsid w:val="000E397E"/>
    <w:rsid w:val="000E431D"/>
    <w:rsid w:val="000E7F2C"/>
    <w:rsid w:val="000F0892"/>
    <w:rsid w:val="000F23A4"/>
    <w:rsid w:val="000F2D15"/>
    <w:rsid w:val="000F3D56"/>
    <w:rsid w:val="000F419C"/>
    <w:rsid w:val="000F5DAA"/>
    <w:rsid w:val="000F6BEC"/>
    <w:rsid w:val="00103A63"/>
    <w:rsid w:val="00107FF7"/>
    <w:rsid w:val="00120A03"/>
    <w:rsid w:val="00123164"/>
    <w:rsid w:val="00123ABE"/>
    <w:rsid w:val="00125BE8"/>
    <w:rsid w:val="0012694F"/>
    <w:rsid w:val="001330BA"/>
    <w:rsid w:val="00135DF2"/>
    <w:rsid w:val="0013731A"/>
    <w:rsid w:val="00142BB3"/>
    <w:rsid w:val="0014412D"/>
    <w:rsid w:val="00151D55"/>
    <w:rsid w:val="00167BC6"/>
    <w:rsid w:val="001707F4"/>
    <w:rsid w:val="00172F88"/>
    <w:rsid w:val="00173D16"/>
    <w:rsid w:val="001765CE"/>
    <w:rsid w:val="001770D4"/>
    <w:rsid w:val="00183B21"/>
    <w:rsid w:val="001879C6"/>
    <w:rsid w:val="00191AD8"/>
    <w:rsid w:val="0019236B"/>
    <w:rsid w:val="00193874"/>
    <w:rsid w:val="00193E0E"/>
    <w:rsid w:val="001A0F42"/>
    <w:rsid w:val="001A4AB8"/>
    <w:rsid w:val="001B13D8"/>
    <w:rsid w:val="001B28CC"/>
    <w:rsid w:val="001B44A5"/>
    <w:rsid w:val="001B44CB"/>
    <w:rsid w:val="001B563F"/>
    <w:rsid w:val="001B5B91"/>
    <w:rsid w:val="001C0BAC"/>
    <w:rsid w:val="001C401E"/>
    <w:rsid w:val="001C5585"/>
    <w:rsid w:val="001C574C"/>
    <w:rsid w:val="001C6DCA"/>
    <w:rsid w:val="001D1005"/>
    <w:rsid w:val="001D4EA9"/>
    <w:rsid w:val="001E2977"/>
    <w:rsid w:val="001E73E9"/>
    <w:rsid w:val="001F1AF4"/>
    <w:rsid w:val="001F2B58"/>
    <w:rsid w:val="001F300C"/>
    <w:rsid w:val="001F43A0"/>
    <w:rsid w:val="001F606D"/>
    <w:rsid w:val="00202C26"/>
    <w:rsid w:val="002133A9"/>
    <w:rsid w:val="002153CD"/>
    <w:rsid w:val="002179E5"/>
    <w:rsid w:val="00221AA5"/>
    <w:rsid w:val="002222E8"/>
    <w:rsid w:val="00222A39"/>
    <w:rsid w:val="00222B25"/>
    <w:rsid w:val="00224CFE"/>
    <w:rsid w:val="0022557C"/>
    <w:rsid w:val="002273E9"/>
    <w:rsid w:val="00230CA7"/>
    <w:rsid w:val="0023172E"/>
    <w:rsid w:val="002319CD"/>
    <w:rsid w:val="00234FC0"/>
    <w:rsid w:val="00240C19"/>
    <w:rsid w:val="00244AA7"/>
    <w:rsid w:val="00247EC3"/>
    <w:rsid w:val="002507A2"/>
    <w:rsid w:val="00252A04"/>
    <w:rsid w:val="00256543"/>
    <w:rsid w:val="002615F2"/>
    <w:rsid w:val="00264E23"/>
    <w:rsid w:val="002701BE"/>
    <w:rsid w:val="00270C9D"/>
    <w:rsid w:val="0027104A"/>
    <w:rsid w:val="00272955"/>
    <w:rsid w:val="0027624D"/>
    <w:rsid w:val="00276C29"/>
    <w:rsid w:val="002777EA"/>
    <w:rsid w:val="002800AF"/>
    <w:rsid w:val="00280F3D"/>
    <w:rsid w:val="0028194B"/>
    <w:rsid w:val="00282426"/>
    <w:rsid w:val="002848B0"/>
    <w:rsid w:val="00291104"/>
    <w:rsid w:val="002915E8"/>
    <w:rsid w:val="002946D4"/>
    <w:rsid w:val="002A797B"/>
    <w:rsid w:val="002B3697"/>
    <w:rsid w:val="002B6608"/>
    <w:rsid w:val="002B6BC9"/>
    <w:rsid w:val="002B770D"/>
    <w:rsid w:val="002C0E76"/>
    <w:rsid w:val="002C1919"/>
    <w:rsid w:val="002C35F0"/>
    <w:rsid w:val="002D036A"/>
    <w:rsid w:val="002D1BD7"/>
    <w:rsid w:val="002D2934"/>
    <w:rsid w:val="002D3F5E"/>
    <w:rsid w:val="002D727B"/>
    <w:rsid w:val="002E3808"/>
    <w:rsid w:val="002E4242"/>
    <w:rsid w:val="002E62E8"/>
    <w:rsid w:val="002E6792"/>
    <w:rsid w:val="002E6BE9"/>
    <w:rsid w:val="002F52A4"/>
    <w:rsid w:val="002F5CB7"/>
    <w:rsid w:val="002F7E30"/>
    <w:rsid w:val="0030326B"/>
    <w:rsid w:val="00303B59"/>
    <w:rsid w:val="00305980"/>
    <w:rsid w:val="00306836"/>
    <w:rsid w:val="00322447"/>
    <w:rsid w:val="003228E0"/>
    <w:rsid w:val="00327180"/>
    <w:rsid w:val="00331C3E"/>
    <w:rsid w:val="00340F07"/>
    <w:rsid w:val="00341DE1"/>
    <w:rsid w:val="00344611"/>
    <w:rsid w:val="00344AF2"/>
    <w:rsid w:val="00344D79"/>
    <w:rsid w:val="00345F28"/>
    <w:rsid w:val="0034759B"/>
    <w:rsid w:val="00352A48"/>
    <w:rsid w:val="003579D6"/>
    <w:rsid w:val="0036112B"/>
    <w:rsid w:val="00366299"/>
    <w:rsid w:val="00366AE8"/>
    <w:rsid w:val="00370AB4"/>
    <w:rsid w:val="0037276E"/>
    <w:rsid w:val="003733BA"/>
    <w:rsid w:val="00373CDF"/>
    <w:rsid w:val="00377D66"/>
    <w:rsid w:val="00383216"/>
    <w:rsid w:val="00385FAA"/>
    <w:rsid w:val="003875BC"/>
    <w:rsid w:val="00393562"/>
    <w:rsid w:val="00396B92"/>
    <w:rsid w:val="003970FF"/>
    <w:rsid w:val="003A4470"/>
    <w:rsid w:val="003A52E4"/>
    <w:rsid w:val="003A63B9"/>
    <w:rsid w:val="003A77D6"/>
    <w:rsid w:val="003B4180"/>
    <w:rsid w:val="003C4261"/>
    <w:rsid w:val="003C4686"/>
    <w:rsid w:val="003C4795"/>
    <w:rsid w:val="003C4EF6"/>
    <w:rsid w:val="003C7D8F"/>
    <w:rsid w:val="003D38FF"/>
    <w:rsid w:val="003D407B"/>
    <w:rsid w:val="003D42A2"/>
    <w:rsid w:val="003D6886"/>
    <w:rsid w:val="003E1F29"/>
    <w:rsid w:val="003E3AC0"/>
    <w:rsid w:val="003F2E6D"/>
    <w:rsid w:val="003F79E8"/>
    <w:rsid w:val="004003E0"/>
    <w:rsid w:val="00402F26"/>
    <w:rsid w:val="00410C59"/>
    <w:rsid w:val="0041402D"/>
    <w:rsid w:val="004150C5"/>
    <w:rsid w:val="00416CCC"/>
    <w:rsid w:val="00416D42"/>
    <w:rsid w:val="00416E81"/>
    <w:rsid w:val="00426968"/>
    <w:rsid w:val="00427031"/>
    <w:rsid w:val="00427119"/>
    <w:rsid w:val="00432231"/>
    <w:rsid w:val="004333FE"/>
    <w:rsid w:val="00433615"/>
    <w:rsid w:val="0044157B"/>
    <w:rsid w:val="004510E7"/>
    <w:rsid w:val="0045318D"/>
    <w:rsid w:val="004559BB"/>
    <w:rsid w:val="004568C4"/>
    <w:rsid w:val="00457774"/>
    <w:rsid w:val="00463F80"/>
    <w:rsid w:val="00465FAC"/>
    <w:rsid w:val="0047167B"/>
    <w:rsid w:val="00472A16"/>
    <w:rsid w:val="00481483"/>
    <w:rsid w:val="00481B24"/>
    <w:rsid w:val="004833A6"/>
    <w:rsid w:val="00483602"/>
    <w:rsid w:val="004845FF"/>
    <w:rsid w:val="00486771"/>
    <w:rsid w:val="00486F5B"/>
    <w:rsid w:val="00487284"/>
    <w:rsid w:val="004934D1"/>
    <w:rsid w:val="00493FC3"/>
    <w:rsid w:val="004953E1"/>
    <w:rsid w:val="00495BDC"/>
    <w:rsid w:val="00495F62"/>
    <w:rsid w:val="004970DF"/>
    <w:rsid w:val="004A4EA4"/>
    <w:rsid w:val="004B1B2F"/>
    <w:rsid w:val="004B29C2"/>
    <w:rsid w:val="004B35FD"/>
    <w:rsid w:val="004B3612"/>
    <w:rsid w:val="004B3DC6"/>
    <w:rsid w:val="004B46DF"/>
    <w:rsid w:val="004B6683"/>
    <w:rsid w:val="004C137F"/>
    <w:rsid w:val="004C6B24"/>
    <w:rsid w:val="004D32B3"/>
    <w:rsid w:val="004D35EA"/>
    <w:rsid w:val="004D5008"/>
    <w:rsid w:val="004D52B8"/>
    <w:rsid w:val="004E0B6C"/>
    <w:rsid w:val="004F081C"/>
    <w:rsid w:val="004F2F89"/>
    <w:rsid w:val="004F5AA8"/>
    <w:rsid w:val="004F6014"/>
    <w:rsid w:val="004F6DF6"/>
    <w:rsid w:val="004F7FDD"/>
    <w:rsid w:val="005034DB"/>
    <w:rsid w:val="00504F2E"/>
    <w:rsid w:val="0050535F"/>
    <w:rsid w:val="00506363"/>
    <w:rsid w:val="00506F08"/>
    <w:rsid w:val="00507B75"/>
    <w:rsid w:val="00510CC3"/>
    <w:rsid w:val="00515917"/>
    <w:rsid w:val="00515E6B"/>
    <w:rsid w:val="00517DF8"/>
    <w:rsid w:val="00517E56"/>
    <w:rsid w:val="00522EC3"/>
    <w:rsid w:val="00525C29"/>
    <w:rsid w:val="00532112"/>
    <w:rsid w:val="00532AD5"/>
    <w:rsid w:val="005404BF"/>
    <w:rsid w:val="00542B1B"/>
    <w:rsid w:val="005443D0"/>
    <w:rsid w:val="00544C7E"/>
    <w:rsid w:val="00544D0B"/>
    <w:rsid w:val="00551007"/>
    <w:rsid w:val="00551842"/>
    <w:rsid w:val="00560A9D"/>
    <w:rsid w:val="00561663"/>
    <w:rsid w:val="00561DD2"/>
    <w:rsid w:val="00563F33"/>
    <w:rsid w:val="00566F54"/>
    <w:rsid w:val="005679D1"/>
    <w:rsid w:val="0057236F"/>
    <w:rsid w:val="00573178"/>
    <w:rsid w:val="00575DDC"/>
    <w:rsid w:val="005822A1"/>
    <w:rsid w:val="0058428F"/>
    <w:rsid w:val="00584A7F"/>
    <w:rsid w:val="005851EA"/>
    <w:rsid w:val="00586365"/>
    <w:rsid w:val="005915ED"/>
    <w:rsid w:val="00591FF5"/>
    <w:rsid w:val="00592494"/>
    <w:rsid w:val="00594BCD"/>
    <w:rsid w:val="0059667A"/>
    <w:rsid w:val="00596B63"/>
    <w:rsid w:val="005A1793"/>
    <w:rsid w:val="005A4EFC"/>
    <w:rsid w:val="005A54F0"/>
    <w:rsid w:val="005A6A87"/>
    <w:rsid w:val="005B0067"/>
    <w:rsid w:val="005B172D"/>
    <w:rsid w:val="005B503B"/>
    <w:rsid w:val="005B6BAF"/>
    <w:rsid w:val="005C0059"/>
    <w:rsid w:val="005C280B"/>
    <w:rsid w:val="005C2F03"/>
    <w:rsid w:val="005C4FFA"/>
    <w:rsid w:val="005C52BE"/>
    <w:rsid w:val="005C54C6"/>
    <w:rsid w:val="005C63EA"/>
    <w:rsid w:val="005D06A2"/>
    <w:rsid w:val="005D2C9A"/>
    <w:rsid w:val="005D2E70"/>
    <w:rsid w:val="005D5303"/>
    <w:rsid w:val="005D5C32"/>
    <w:rsid w:val="005D65A1"/>
    <w:rsid w:val="005E0359"/>
    <w:rsid w:val="005E0FCC"/>
    <w:rsid w:val="005E30EB"/>
    <w:rsid w:val="005E72DC"/>
    <w:rsid w:val="005E7333"/>
    <w:rsid w:val="005E7F39"/>
    <w:rsid w:val="005F06EE"/>
    <w:rsid w:val="005F0962"/>
    <w:rsid w:val="005F129C"/>
    <w:rsid w:val="005F3055"/>
    <w:rsid w:val="005F4921"/>
    <w:rsid w:val="005F493B"/>
    <w:rsid w:val="005F53C2"/>
    <w:rsid w:val="005F64F9"/>
    <w:rsid w:val="00601F6D"/>
    <w:rsid w:val="00604B4C"/>
    <w:rsid w:val="00604F70"/>
    <w:rsid w:val="0060705F"/>
    <w:rsid w:val="00612520"/>
    <w:rsid w:val="006151F6"/>
    <w:rsid w:val="00615748"/>
    <w:rsid w:val="00616C21"/>
    <w:rsid w:val="0062382F"/>
    <w:rsid w:val="00625E69"/>
    <w:rsid w:val="006310BF"/>
    <w:rsid w:val="00632B8F"/>
    <w:rsid w:val="00633BA2"/>
    <w:rsid w:val="00635848"/>
    <w:rsid w:val="00635D5D"/>
    <w:rsid w:val="0063762B"/>
    <w:rsid w:val="00642088"/>
    <w:rsid w:val="0065200B"/>
    <w:rsid w:val="00652740"/>
    <w:rsid w:val="0065354E"/>
    <w:rsid w:val="00663915"/>
    <w:rsid w:val="00665C50"/>
    <w:rsid w:val="006672FF"/>
    <w:rsid w:val="00671FA1"/>
    <w:rsid w:val="00672BDA"/>
    <w:rsid w:val="00672BF4"/>
    <w:rsid w:val="00674C9A"/>
    <w:rsid w:val="00675742"/>
    <w:rsid w:val="00677809"/>
    <w:rsid w:val="00680601"/>
    <w:rsid w:val="00681DC3"/>
    <w:rsid w:val="00683D0D"/>
    <w:rsid w:val="00686B33"/>
    <w:rsid w:val="00692B87"/>
    <w:rsid w:val="00694387"/>
    <w:rsid w:val="006A79CF"/>
    <w:rsid w:val="006B157B"/>
    <w:rsid w:val="006B25E6"/>
    <w:rsid w:val="006C0294"/>
    <w:rsid w:val="006C1CC4"/>
    <w:rsid w:val="006C483F"/>
    <w:rsid w:val="006C763E"/>
    <w:rsid w:val="006D1346"/>
    <w:rsid w:val="006D2623"/>
    <w:rsid w:val="006D2F84"/>
    <w:rsid w:val="006D6D7A"/>
    <w:rsid w:val="006D7A0C"/>
    <w:rsid w:val="006E17DA"/>
    <w:rsid w:val="006E3A77"/>
    <w:rsid w:val="006E47FD"/>
    <w:rsid w:val="006E7F45"/>
    <w:rsid w:val="006F10AE"/>
    <w:rsid w:val="006F1624"/>
    <w:rsid w:val="007014C7"/>
    <w:rsid w:val="00705B9A"/>
    <w:rsid w:val="0070637E"/>
    <w:rsid w:val="007073B3"/>
    <w:rsid w:val="00710EFF"/>
    <w:rsid w:val="00711ADE"/>
    <w:rsid w:val="0071391E"/>
    <w:rsid w:val="00714E88"/>
    <w:rsid w:val="00716F2D"/>
    <w:rsid w:val="00720BFD"/>
    <w:rsid w:val="00723300"/>
    <w:rsid w:val="007239C4"/>
    <w:rsid w:val="00726192"/>
    <w:rsid w:val="00727477"/>
    <w:rsid w:val="0073028B"/>
    <w:rsid w:val="00732E92"/>
    <w:rsid w:val="00735602"/>
    <w:rsid w:val="00736CBD"/>
    <w:rsid w:val="00740285"/>
    <w:rsid w:val="00742560"/>
    <w:rsid w:val="00745749"/>
    <w:rsid w:val="00747A27"/>
    <w:rsid w:val="00747AC3"/>
    <w:rsid w:val="00754179"/>
    <w:rsid w:val="00757909"/>
    <w:rsid w:val="00760BB3"/>
    <w:rsid w:val="00761375"/>
    <w:rsid w:val="00763B30"/>
    <w:rsid w:val="00763FF4"/>
    <w:rsid w:val="00765C9C"/>
    <w:rsid w:val="0077172E"/>
    <w:rsid w:val="00773901"/>
    <w:rsid w:val="007739AC"/>
    <w:rsid w:val="00773A49"/>
    <w:rsid w:val="00775B6D"/>
    <w:rsid w:val="00776166"/>
    <w:rsid w:val="00777AF6"/>
    <w:rsid w:val="00780C2E"/>
    <w:rsid w:val="00782BC9"/>
    <w:rsid w:val="00792A85"/>
    <w:rsid w:val="0079326D"/>
    <w:rsid w:val="007966F8"/>
    <w:rsid w:val="007A052D"/>
    <w:rsid w:val="007A236F"/>
    <w:rsid w:val="007A3E6C"/>
    <w:rsid w:val="007C0DA8"/>
    <w:rsid w:val="007C1819"/>
    <w:rsid w:val="007C469B"/>
    <w:rsid w:val="007C5490"/>
    <w:rsid w:val="007D2569"/>
    <w:rsid w:val="007D55D1"/>
    <w:rsid w:val="007D682E"/>
    <w:rsid w:val="007E0B89"/>
    <w:rsid w:val="007E7136"/>
    <w:rsid w:val="007F147A"/>
    <w:rsid w:val="007F1962"/>
    <w:rsid w:val="007F1DB9"/>
    <w:rsid w:val="007F1E42"/>
    <w:rsid w:val="007F51E7"/>
    <w:rsid w:val="007F6760"/>
    <w:rsid w:val="007F6E5B"/>
    <w:rsid w:val="007F79E9"/>
    <w:rsid w:val="007F7A36"/>
    <w:rsid w:val="0080091E"/>
    <w:rsid w:val="00800D9C"/>
    <w:rsid w:val="0080104C"/>
    <w:rsid w:val="00804644"/>
    <w:rsid w:val="00805F40"/>
    <w:rsid w:val="00810F6C"/>
    <w:rsid w:val="0081108D"/>
    <w:rsid w:val="00811125"/>
    <w:rsid w:val="0081570E"/>
    <w:rsid w:val="00821847"/>
    <w:rsid w:val="0082433F"/>
    <w:rsid w:val="00825EDB"/>
    <w:rsid w:val="00827C53"/>
    <w:rsid w:val="008313EF"/>
    <w:rsid w:val="00834705"/>
    <w:rsid w:val="00834DCC"/>
    <w:rsid w:val="00840647"/>
    <w:rsid w:val="00841C0F"/>
    <w:rsid w:val="00851073"/>
    <w:rsid w:val="0085151E"/>
    <w:rsid w:val="00851887"/>
    <w:rsid w:val="00852DAB"/>
    <w:rsid w:val="00853350"/>
    <w:rsid w:val="00855E0B"/>
    <w:rsid w:val="00855F8E"/>
    <w:rsid w:val="00865BB9"/>
    <w:rsid w:val="008668F3"/>
    <w:rsid w:val="00871A10"/>
    <w:rsid w:val="00875474"/>
    <w:rsid w:val="00882687"/>
    <w:rsid w:val="0088319C"/>
    <w:rsid w:val="00890DA8"/>
    <w:rsid w:val="00891DC1"/>
    <w:rsid w:val="00895224"/>
    <w:rsid w:val="00895756"/>
    <w:rsid w:val="008A1110"/>
    <w:rsid w:val="008C44D7"/>
    <w:rsid w:val="008D27E5"/>
    <w:rsid w:val="008D395F"/>
    <w:rsid w:val="008D6BCD"/>
    <w:rsid w:val="008E008E"/>
    <w:rsid w:val="008E02EA"/>
    <w:rsid w:val="008E0DF6"/>
    <w:rsid w:val="008E1A90"/>
    <w:rsid w:val="008E211A"/>
    <w:rsid w:val="008E3D7C"/>
    <w:rsid w:val="008E65C5"/>
    <w:rsid w:val="008E66D2"/>
    <w:rsid w:val="008E6963"/>
    <w:rsid w:val="008F067C"/>
    <w:rsid w:val="008F1FA2"/>
    <w:rsid w:val="008F3CE8"/>
    <w:rsid w:val="008F7003"/>
    <w:rsid w:val="00900116"/>
    <w:rsid w:val="00903850"/>
    <w:rsid w:val="00903F14"/>
    <w:rsid w:val="00907848"/>
    <w:rsid w:val="0091251C"/>
    <w:rsid w:val="00912FFE"/>
    <w:rsid w:val="0091450D"/>
    <w:rsid w:val="00914987"/>
    <w:rsid w:val="00914A38"/>
    <w:rsid w:val="00914FD7"/>
    <w:rsid w:val="00916B2F"/>
    <w:rsid w:val="00917C41"/>
    <w:rsid w:val="00921746"/>
    <w:rsid w:val="00930E0D"/>
    <w:rsid w:val="00947095"/>
    <w:rsid w:val="00952152"/>
    <w:rsid w:val="00957040"/>
    <w:rsid w:val="0095716A"/>
    <w:rsid w:val="00957AD9"/>
    <w:rsid w:val="00960CE1"/>
    <w:rsid w:val="00961E8E"/>
    <w:rsid w:val="00962A54"/>
    <w:rsid w:val="00964577"/>
    <w:rsid w:val="00965A45"/>
    <w:rsid w:val="00967206"/>
    <w:rsid w:val="00970CF2"/>
    <w:rsid w:val="0097127B"/>
    <w:rsid w:val="0097201E"/>
    <w:rsid w:val="00976DC9"/>
    <w:rsid w:val="00980EAB"/>
    <w:rsid w:val="00981345"/>
    <w:rsid w:val="00986EB4"/>
    <w:rsid w:val="0099164E"/>
    <w:rsid w:val="009A34A4"/>
    <w:rsid w:val="009A3E4B"/>
    <w:rsid w:val="009A7D1A"/>
    <w:rsid w:val="009B1109"/>
    <w:rsid w:val="009B2040"/>
    <w:rsid w:val="009B712A"/>
    <w:rsid w:val="009C082B"/>
    <w:rsid w:val="009C4134"/>
    <w:rsid w:val="009D230D"/>
    <w:rsid w:val="009D7289"/>
    <w:rsid w:val="009E01D9"/>
    <w:rsid w:val="009E14D6"/>
    <w:rsid w:val="009E6F91"/>
    <w:rsid w:val="009F528F"/>
    <w:rsid w:val="009F65BA"/>
    <w:rsid w:val="00A020C2"/>
    <w:rsid w:val="00A032B8"/>
    <w:rsid w:val="00A049B5"/>
    <w:rsid w:val="00A067B0"/>
    <w:rsid w:val="00A06F8F"/>
    <w:rsid w:val="00A138D2"/>
    <w:rsid w:val="00A14086"/>
    <w:rsid w:val="00A217C7"/>
    <w:rsid w:val="00A3037E"/>
    <w:rsid w:val="00A347DE"/>
    <w:rsid w:val="00A43777"/>
    <w:rsid w:val="00A5187D"/>
    <w:rsid w:val="00A55D18"/>
    <w:rsid w:val="00A565C6"/>
    <w:rsid w:val="00A574C4"/>
    <w:rsid w:val="00A630B4"/>
    <w:rsid w:val="00A66751"/>
    <w:rsid w:val="00A74652"/>
    <w:rsid w:val="00A772CD"/>
    <w:rsid w:val="00A77E47"/>
    <w:rsid w:val="00A8459E"/>
    <w:rsid w:val="00A87615"/>
    <w:rsid w:val="00A96B4C"/>
    <w:rsid w:val="00AA0A04"/>
    <w:rsid w:val="00AA6C85"/>
    <w:rsid w:val="00AA7B20"/>
    <w:rsid w:val="00AB2F05"/>
    <w:rsid w:val="00AB4E6D"/>
    <w:rsid w:val="00AC1C70"/>
    <w:rsid w:val="00AC27CD"/>
    <w:rsid w:val="00AD234E"/>
    <w:rsid w:val="00AD4753"/>
    <w:rsid w:val="00AD4ADD"/>
    <w:rsid w:val="00AE07C8"/>
    <w:rsid w:val="00AF16DD"/>
    <w:rsid w:val="00AF410B"/>
    <w:rsid w:val="00AF6CC6"/>
    <w:rsid w:val="00B028FF"/>
    <w:rsid w:val="00B02C8C"/>
    <w:rsid w:val="00B07679"/>
    <w:rsid w:val="00B109BD"/>
    <w:rsid w:val="00B11D45"/>
    <w:rsid w:val="00B174B5"/>
    <w:rsid w:val="00B17DAF"/>
    <w:rsid w:val="00B2133C"/>
    <w:rsid w:val="00B25D10"/>
    <w:rsid w:val="00B26E57"/>
    <w:rsid w:val="00B34C9D"/>
    <w:rsid w:val="00B40D7B"/>
    <w:rsid w:val="00B42107"/>
    <w:rsid w:val="00B42763"/>
    <w:rsid w:val="00B43D1A"/>
    <w:rsid w:val="00B445BC"/>
    <w:rsid w:val="00B46B93"/>
    <w:rsid w:val="00B51A01"/>
    <w:rsid w:val="00B55A50"/>
    <w:rsid w:val="00B622AA"/>
    <w:rsid w:val="00B630C8"/>
    <w:rsid w:val="00B6349E"/>
    <w:rsid w:val="00B64136"/>
    <w:rsid w:val="00B66249"/>
    <w:rsid w:val="00B70DF3"/>
    <w:rsid w:val="00B71E1F"/>
    <w:rsid w:val="00B737CD"/>
    <w:rsid w:val="00B73E9D"/>
    <w:rsid w:val="00B7406E"/>
    <w:rsid w:val="00B83ADD"/>
    <w:rsid w:val="00B843C1"/>
    <w:rsid w:val="00B855C5"/>
    <w:rsid w:val="00B9064D"/>
    <w:rsid w:val="00B931AC"/>
    <w:rsid w:val="00B93E4B"/>
    <w:rsid w:val="00B95878"/>
    <w:rsid w:val="00BA2B85"/>
    <w:rsid w:val="00BA59A5"/>
    <w:rsid w:val="00BA6C5A"/>
    <w:rsid w:val="00BA7D9A"/>
    <w:rsid w:val="00BB1E83"/>
    <w:rsid w:val="00BB302E"/>
    <w:rsid w:val="00BB3257"/>
    <w:rsid w:val="00BB3785"/>
    <w:rsid w:val="00BB6A1C"/>
    <w:rsid w:val="00BB6DDF"/>
    <w:rsid w:val="00BC0D84"/>
    <w:rsid w:val="00BC41B6"/>
    <w:rsid w:val="00BC5E36"/>
    <w:rsid w:val="00BC6C56"/>
    <w:rsid w:val="00BD16EF"/>
    <w:rsid w:val="00BD1D1A"/>
    <w:rsid w:val="00BD58CA"/>
    <w:rsid w:val="00BD5921"/>
    <w:rsid w:val="00BE070A"/>
    <w:rsid w:val="00BE0C7C"/>
    <w:rsid w:val="00BF2DCB"/>
    <w:rsid w:val="00BF5046"/>
    <w:rsid w:val="00C014D6"/>
    <w:rsid w:val="00C100B3"/>
    <w:rsid w:val="00C1341C"/>
    <w:rsid w:val="00C169CA"/>
    <w:rsid w:val="00C16FB8"/>
    <w:rsid w:val="00C20007"/>
    <w:rsid w:val="00C23183"/>
    <w:rsid w:val="00C25176"/>
    <w:rsid w:val="00C275D3"/>
    <w:rsid w:val="00C31D85"/>
    <w:rsid w:val="00C32F05"/>
    <w:rsid w:val="00C34478"/>
    <w:rsid w:val="00C36A7F"/>
    <w:rsid w:val="00C43556"/>
    <w:rsid w:val="00C4788F"/>
    <w:rsid w:val="00C55B43"/>
    <w:rsid w:val="00C561DD"/>
    <w:rsid w:val="00C60D8A"/>
    <w:rsid w:val="00C6445F"/>
    <w:rsid w:val="00C65255"/>
    <w:rsid w:val="00C70303"/>
    <w:rsid w:val="00C707C7"/>
    <w:rsid w:val="00C744FA"/>
    <w:rsid w:val="00C77DDE"/>
    <w:rsid w:val="00C8009B"/>
    <w:rsid w:val="00C83A14"/>
    <w:rsid w:val="00C90950"/>
    <w:rsid w:val="00C91DB9"/>
    <w:rsid w:val="00C9281B"/>
    <w:rsid w:val="00C93483"/>
    <w:rsid w:val="00C95484"/>
    <w:rsid w:val="00CA2B6D"/>
    <w:rsid w:val="00CA2F29"/>
    <w:rsid w:val="00CA358D"/>
    <w:rsid w:val="00CC2384"/>
    <w:rsid w:val="00CC7C3B"/>
    <w:rsid w:val="00CD3FF1"/>
    <w:rsid w:val="00CD4503"/>
    <w:rsid w:val="00CD4FDC"/>
    <w:rsid w:val="00CE3B3D"/>
    <w:rsid w:val="00CE632B"/>
    <w:rsid w:val="00CE6B0E"/>
    <w:rsid w:val="00CF03D4"/>
    <w:rsid w:val="00CF38E8"/>
    <w:rsid w:val="00CF5DB1"/>
    <w:rsid w:val="00D00EAA"/>
    <w:rsid w:val="00D02ACC"/>
    <w:rsid w:val="00D03BF2"/>
    <w:rsid w:val="00D13C7C"/>
    <w:rsid w:val="00D14038"/>
    <w:rsid w:val="00D15F23"/>
    <w:rsid w:val="00D16BF6"/>
    <w:rsid w:val="00D22B27"/>
    <w:rsid w:val="00D23B93"/>
    <w:rsid w:val="00D24C76"/>
    <w:rsid w:val="00D277B4"/>
    <w:rsid w:val="00D30F94"/>
    <w:rsid w:val="00D32B47"/>
    <w:rsid w:val="00D335D7"/>
    <w:rsid w:val="00D33A05"/>
    <w:rsid w:val="00D355D1"/>
    <w:rsid w:val="00D377A7"/>
    <w:rsid w:val="00D403E1"/>
    <w:rsid w:val="00D405A0"/>
    <w:rsid w:val="00D416A5"/>
    <w:rsid w:val="00D41719"/>
    <w:rsid w:val="00D42736"/>
    <w:rsid w:val="00D43413"/>
    <w:rsid w:val="00D53A9F"/>
    <w:rsid w:val="00D551D5"/>
    <w:rsid w:val="00D55587"/>
    <w:rsid w:val="00D67A55"/>
    <w:rsid w:val="00D70D7F"/>
    <w:rsid w:val="00D72E16"/>
    <w:rsid w:val="00D73622"/>
    <w:rsid w:val="00D75300"/>
    <w:rsid w:val="00D762DD"/>
    <w:rsid w:val="00D811E5"/>
    <w:rsid w:val="00D8189C"/>
    <w:rsid w:val="00D8278F"/>
    <w:rsid w:val="00D87BB1"/>
    <w:rsid w:val="00D9150B"/>
    <w:rsid w:val="00DA28BA"/>
    <w:rsid w:val="00DA4460"/>
    <w:rsid w:val="00DA4769"/>
    <w:rsid w:val="00DA6CD8"/>
    <w:rsid w:val="00DB2C71"/>
    <w:rsid w:val="00DB7823"/>
    <w:rsid w:val="00DC025D"/>
    <w:rsid w:val="00DC207B"/>
    <w:rsid w:val="00DC55ED"/>
    <w:rsid w:val="00DC6447"/>
    <w:rsid w:val="00DC7DB5"/>
    <w:rsid w:val="00DE0303"/>
    <w:rsid w:val="00DE0DE7"/>
    <w:rsid w:val="00DE22FF"/>
    <w:rsid w:val="00DE6562"/>
    <w:rsid w:val="00DF0367"/>
    <w:rsid w:val="00DF5AD3"/>
    <w:rsid w:val="00E00173"/>
    <w:rsid w:val="00E01739"/>
    <w:rsid w:val="00E05E32"/>
    <w:rsid w:val="00E1048D"/>
    <w:rsid w:val="00E113A0"/>
    <w:rsid w:val="00E1352F"/>
    <w:rsid w:val="00E14049"/>
    <w:rsid w:val="00E275B5"/>
    <w:rsid w:val="00E27B7F"/>
    <w:rsid w:val="00E42E0A"/>
    <w:rsid w:val="00E43793"/>
    <w:rsid w:val="00E45DC3"/>
    <w:rsid w:val="00E46BCA"/>
    <w:rsid w:val="00E50943"/>
    <w:rsid w:val="00E55792"/>
    <w:rsid w:val="00E62876"/>
    <w:rsid w:val="00E63077"/>
    <w:rsid w:val="00E65512"/>
    <w:rsid w:val="00E677F7"/>
    <w:rsid w:val="00E738DE"/>
    <w:rsid w:val="00E77D71"/>
    <w:rsid w:val="00E86CD9"/>
    <w:rsid w:val="00E906A5"/>
    <w:rsid w:val="00E90B21"/>
    <w:rsid w:val="00E9105E"/>
    <w:rsid w:val="00E950D6"/>
    <w:rsid w:val="00E96F23"/>
    <w:rsid w:val="00E9724D"/>
    <w:rsid w:val="00EB2533"/>
    <w:rsid w:val="00EB2705"/>
    <w:rsid w:val="00EB6C06"/>
    <w:rsid w:val="00EC2C52"/>
    <w:rsid w:val="00EC3059"/>
    <w:rsid w:val="00EC5F8B"/>
    <w:rsid w:val="00EC699C"/>
    <w:rsid w:val="00EC7D6B"/>
    <w:rsid w:val="00ED0E09"/>
    <w:rsid w:val="00ED580C"/>
    <w:rsid w:val="00ED5B37"/>
    <w:rsid w:val="00EE095D"/>
    <w:rsid w:val="00EE679C"/>
    <w:rsid w:val="00EE7920"/>
    <w:rsid w:val="00EF662F"/>
    <w:rsid w:val="00EF6DB3"/>
    <w:rsid w:val="00F00FA6"/>
    <w:rsid w:val="00F1334F"/>
    <w:rsid w:val="00F14DA3"/>
    <w:rsid w:val="00F152AE"/>
    <w:rsid w:val="00F16651"/>
    <w:rsid w:val="00F16B4C"/>
    <w:rsid w:val="00F172A7"/>
    <w:rsid w:val="00F26933"/>
    <w:rsid w:val="00F3079E"/>
    <w:rsid w:val="00F32AD7"/>
    <w:rsid w:val="00F32F48"/>
    <w:rsid w:val="00F3649B"/>
    <w:rsid w:val="00F3661C"/>
    <w:rsid w:val="00F41CBF"/>
    <w:rsid w:val="00F424E9"/>
    <w:rsid w:val="00F4345F"/>
    <w:rsid w:val="00F43C9B"/>
    <w:rsid w:val="00F45524"/>
    <w:rsid w:val="00F518BA"/>
    <w:rsid w:val="00F533BD"/>
    <w:rsid w:val="00F5569A"/>
    <w:rsid w:val="00F55EDB"/>
    <w:rsid w:val="00F56339"/>
    <w:rsid w:val="00F567B3"/>
    <w:rsid w:val="00F60DBE"/>
    <w:rsid w:val="00F64739"/>
    <w:rsid w:val="00F65DC1"/>
    <w:rsid w:val="00F71177"/>
    <w:rsid w:val="00F725FB"/>
    <w:rsid w:val="00F84F83"/>
    <w:rsid w:val="00F96E7B"/>
    <w:rsid w:val="00FA0749"/>
    <w:rsid w:val="00FA4776"/>
    <w:rsid w:val="00FA5E42"/>
    <w:rsid w:val="00FA6405"/>
    <w:rsid w:val="00FB15F4"/>
    <w:rsid w:val="00FB2D69"/>
    <w:rsid w:val="00FB2E72"/>
    <w:rsid w:val="00FB2F8D"/>
    <w:rsid w:val="00FB324F"/>
    <w:rsid w:val="00FB4C8E"/>
    <w:rsid w:val="00FC20DF"/>
    <w:rsid w:val="00FC2967"/>
    <w:rsid w:val="00FC2E9A"/>
    <w:rsid w:val="00FC2F09"/>
    <w:rsid w:val="00FD350E"/>
    <w:rsid w:val="00FD48E6"/>
    <w:rsid w:val="00FD748F"/>
    <w:rsid w:val="00FE2F66"/>
    <w:rsid w:val="00FE3D1E"/>
    <w:rsid w:val="00FE3F00"/>
    <w:rsid w:val="00FF2D53"/>
    <w:rsid w:val="00FF31CD"/>
    <w:rsid w:val="00FF4AC4"/>
    <w:rsid w:val="00FF6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11"/>
    <w:rPr>
      <w:rFonts w:ascii="Times New Roman" w:hAnsi="Times New Roman"/>
      <w:sz w:val="24"/>
      <w:szCs w:val="24"/>
    </w:rPr>
  </w:style>
  <w:style w:type="paragraph" w:styleId="Heading1">
    <w:name w:val="heading 1"/>
    <w:basedOn w:val="Normal"/>
    <w:next w:val="Normal"/>
    <w:link w:val="Heading1Char"/>
    <w:uiPriority w:val="99"/>
    <w:qFormat/>
    <w:rsid w:val="00344611"/>
    <w:pPr>
      <w:keepNext/>
      <w:spacing w:before="30" w:line="235" w:lineRule="exact"/>
      <w:outlineLvl w:val="0"/>
    </w:pPr>
    <w:rPr>
      <w:b/>
      <w:bCs/>
    </w:rPr>
  </w:style>
  <w:style w:type="paragraph" w:styleId="Heading2">
    <w:name w:val="heading 2"/>
    <w:basedOn w:val="Normal"/>
    <w:next w:val="Normal"/>
    <w:link w:val="Heading2Char"/>
    <w:uiPriority w:val="99"/>
    <w:qFormat/>
    <w:rsid w:val="00344611"/>
    <w:pPr>
      <w:keepNext/>
      <w:spacing w:line="480" w:lineRule="auto"/>
      <w:ind w:firstLine="720"/>
      <w:jc w:val="center"/>
      <w:outlineLvl w:val="1"/>
    </w:pPr>
    <w:rPr>
      <w:b/>
      <w:bCs/>
    </w:rPr>
  </w:style>
  <w:style w:type="paragraph" w:styleId="Heading3">
    <w:name w:val="heading 3"/>
    <w:basedOn w:val="Normal"/>
    <w:next w:val="Normal"/>
    <w:link w:val="Heading3Char"/>
    <w:uiPriority w:val="99"/>
    <w:qFormat/>
    <w:rsid w:val="00344611"/>
    <w:pPr>
      <w:keepNext/>
      <w:numPr>
        <w:numId w:val="12"/>
      </w:numPr>
      <w:jc w:val="center"/>
      <w:outlineLvl w:val="2"/>
    </w:pPr>
    <w:rPr>
      <w:b/>
      <w:bCs/>
    </w:rPr>
  </w:style>
  <w:style w:type="paragraph" w:styleId="Heading4">
    <w:name w:val="heading 4"/>
    <w:basedOn w:val="Normal"/>
    <w:next w:val="Normal"/>
    <w:link w:val="Heading4Char"/>
    <w:uiPriority w:val="99"/>
    <w:qFormat/>
    <w:rsid w:val="00344611"/>
    <w:pPr>
      <w:keepNext/>
      <w:spacing w:line="480" w:lineRule="auto"/>
      <w:ind w:firstLine="720"/>
      <w:outlineLvl w:val="3"/>
    </w:pPr>
    <w:rPr>
      <w:b/>
      <w:bCs/>
    </w:rPr>
  </w:style>
  <w:style w:type="paragraph" w:styleId="Heading5">
    <w:name w:val="heading 5"/>
    <w:basedOn w:val="Normal"/>
    <w:next w:val="Normal"/>
    <w:link w:val="Heading5Char"/>
    <w:uiPriority w:val="99"/>
    <w:qFormat/>
    <w:rsid w:val="00344611"/>
    <w:pPr>
      <w:keepNext/>
      <w:numPr>
        <w:numId w:val="16"/>
      </w:numPr>
      <w:spacing w:line="480" w:lineRule="auto"/>
      <w:outlineLvl w:val="4"/>
    </w:pPr>
    <w:rPr>
      <w:b/>
      <w:bCs/>
    </w:rPr>
  </w:style>
  <w:style w:type="paragraph" w:styleId="Heading6">
    <w:name w:val="heading 6"/>
    <w:basedOn w:val="Normal"/>
    <w:next w:val="Normal"/>
    <w:link w:val="Heading6Char"/>
    <w:uiPriority w:val="99"/>
    <w:qFormat/>
    <w:rsid w:val="00344611"/>
    <w:pPr>
      <w:keepNext/>
      <w:spacing w:line="480" w:lineRule="auto"/>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4611"/>
    <w:rPr>
      <w:rFonts w:ascii="Cambria" w:hAnsi="Cambria" w:cs="Cambria"/>
      <w:b/>
      <w:bCs/>
      <w:kern w:val="32"/>
      <w:sz w:val="32"/>
      <w:szCs w:val="32"/>
    </w:rPr>
  </w:style>
  <w:style w:type="character" w:customStyle="1" w:styleId="Heading2Char">
    <w:name w:val="Heading 2 Char"/>
    <w:basedOn w:val="DefaultParagraphFont"/>
    <w:link w:val="Heading2"/>
    <w:uiPriority w:val="99"/>
    <w:rsid w:val="00344611"/>
    <w:rPr>
      <w:rFonts w:ascii="Cambria" w:hAnsi="Cambria" w:cs="Cambria"/>
      <w:b/>
      <w:bCs/>
      <w:i/>
      <w:iCs/>
      <w:sz w:val="28"/>
      <w:szCs w:val="28"/>
    </w:rPr>
  </w:style>
  <w:style w:type="character" w:customStyle="1" w:styleId="Heading3Char">
    <w:name w:val="Heading 3 Char"/>
    <w:basedOn w:val="DefaultParagraphFont"/>
    <w:link w:val="Heading3"/>
    <w:uiPriority w:val="99"/>
    <w:rsid w:val="00344611"/>
    <w:rPr>
      <w:rFonts w:ascii="Cambria" w:hAnsi="Cambria" w:cs="Cambria"/>
      <w:b/>
      <w:bCs/>
      <w:sz w:val="26"/>
      <w:szCs w:val="26"/>
    </w:rPr>
  </w:style>
  <w:style w:type="character" w:customStyle="1" w:styleId="Heading4Char">
    <w:name w:val="Heading 4 Char"/>
    <w:basedOn w:val="DefaultParagraphFont"/>
    <w:link w:val="Heading4"/>
    <w:uiPriority w:val="99"/>
    <w:rsid w:val="00344611"/>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34461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344611"/>
    <w:rPr>
      <w:rFonts w:ascii="Times New Roman" w:hAnsi="Times New Roman" w:cs="Times New Roman"/>
      <w:b/>
      <w:bCs/>
    </w:rPr>
  </w:style>
  <w:style w:type="paragraph" w:customStyle="1" w:styleId="Style1">
    <w:name w:val="Style1"/>
    <w:basedOn w:val="Normal"/>
    <w:uiPriority w:val="99"/>
    <w:rsid w:val="00344611"/>
    <w:pPr>
      <w:spacing w:before="28"/>
      <w:ind w:right="90"/>
    </w:pPr>
    <w:rPr>
      <w:sz w:val="19"/>
      <w:szCs w:val="19"/>
    </w:rPr>
  </w:style>
  <w:style w:type="paragraph" w:styleId="FootnoteText">
    <w:name w:val="footnote text"/>
    <w:basedOn w:val="Normal"/>
    <w:link w:val="FootnoteTextChar"/>
    <w:uiPriority w:val="99"/>
    <w:qFormat/>
    <w:rsid w:val="00344611"/>
    <w:rPr>
      <w:sz w:val="20"/>
      <w:szCs w:val="20"/>
    </w:rPr>
  </w:style>
  <w:style w:type="character" w:customStyle="1" w:styleId="FootnoteTextChar">
    <w:name w:val="Footnote Text Char"/>
    <w:basedOn w:val="DefaultParagraphFont"/>
    <w:link w:val="FootnoteText"/>
    <w:uiPriority w:val="99"/>
    <w:rsid w:val="00344611"/>
    <w:rPr>
      <w:rFonts w:ascii="Times New Roman" w:hAnsi="Times New Roman" w:cs="Times New Roman"/>
    </w:rPr>
  </w:style>
  <w:style w:type="character" w:styleId="FootnoteReference">
    <w:name w:val="footnote reference"/>
    <w:basedOn w:val="DefaultParagraphFont"/>
    <w:uiPriority w:val="99"/>
    <w:rsid w:val="00344611"/>
    <w:rPr>
      <w:rFonts w:ascii="Times New Roman" w:hAnsi="Times New Roman" w:cs="Times New Roman"/>
      <w:vertAlign w:val="superscript"/>
    </w:rPr>
  </w:style>
  <w:style w:type="paragraph" w:styleId="Header">
    <w:name w:val="header"/>
    <w:basedOn w:val="Normal"/>
    <w:link w:val="HeaderChar"/>
    <w:uiPriority w:val="99"/>
    <w:rsid w:val="00344611"/>
    <w:pPr>
      <w:tabs>
        <w:tab w:val="center" w:pos="4680"/>
        <w:tab w:val="right" w:pos="9360"/>
      </w:tabs>
    </w:pPr>
  </w:style>
  <w:style w:type="character" w:customStyle="1" w:styleId="HeaderChar">
    <w:name w:val="Header Char"/>
    <w:basedOn w:val="DefaultParagraphFont"/>
    <w:link w:val="Header"/>
    <w:uiPriority w:val="99"/>
    <w:rsid w:val="00344611"/>
    <w:rPr>
      <w:rFonts w:ascii="Times New Roman" w:hAnsi="Times New Roman" w:cs="Times New Roman"/>
      <w:sz w:val="24"/>
      <w:szCs w:val="24"/>
    </w:rPr>
  </w:style>
  <w:style w:type="paragraph" w:styleId="Footer">
    <w:name w:val="footer"/>
    <w:basedOn w:val="Normal"/>
    <w:link w:val="FooterChar"/>
    <w:uiPriority w:val="99"/>
    <w:rsid w:val="00344611"/>
    <w:pPr>
      <w:tabs>
        <w:tab w:val="center" w:pos="4680"/>
        <w:tab w:val="right" w:pos="9360"/>
      </w:tabs>
    </w:pPr>
  </w:style>
  <w:style w:type="character" w:customStyle="1" w:styleId="FooterChar">
    <w:name w:val="Footer Char"/>
    <w:basedOn w:val="DefaultParagraphFont"/>
    <w:link w:val="Footer"/>
    <w:uiPriority w:val="99"/>
    <w:rsid w:val="00344611"/>
    <w:rPr>
      <w:rFonts w:ascii="Times New Roman" w:hAnsi="Times New Roman" w:cs="Times New Roman"/>
      <w:sz w:val="24"/>
      <w:szCs w:val="24"/>
    </w:rPr>
  </w:style>
  <w:style w:type="paragraph" w:styleId="ListParagraph">
    <w:name w:val="List Paragraph"/>
    <w:basedOn w:val="Normal"/>
    <w:uiPriority w:val="34"/>
    <w:qFormat/>
    <w:rsid w:val="00344611"/>
    <w:pPr>
      <w:ind w:left="720"/>
    </w:pPr>
  </w:style>
  <w:style w:type="paragraph" w:styleId="BodyText2">
    <w:name w:val="Body Text 2"/>
    <w:basedOn w:val="Normal"/>
    <w:link w:val="BodyText2Char"/>
    <w:uiPriority w:val="99"/>
    <w:rsid w:val="00344611"/>
    <w:pPr>
      <w:spacing w:line="470" w:lineRule="exact"/>
      <w:ind w:firstLine="720"/>
      <w:jc w:val="both"/>
    </w:pPr>
  </w:style>
  <w:style w:type="character" w:customStyle="1" w:styleId="BodyText2Char">
    <w:name w:val="Body Text 2 Char"/>
    <w:basedOn w:val="DefaultParagraphFont"/>
    <w:link w:val="BodyText2"/>
    <w:uiPriority w:val="99"/>
    <w:rsid w:val="00344611"/>
    <w:rPr>
      <w:rFonts w:ascii="Times New Roman" w:hAnsi="Times New Roman" w:cs="Times New Roman"/>
      <w:sz w:val="24"/>
      <w:szCs w:val="24"/>
    </w:rPr>
  </w:style>
  <w:style w:type="character" w:customStyle="1" w:styleId="BodyTextIndentChar">
    <w:name w:val="Body Text Indent Char"/>
    <w:basedOn w:val="DefaultParagraphFont"/>
    <w:uiPriority w:val="99"/>
    <w:rsid w:val="00344611"/>
    <w:rPr>
      <w:rFonts w:ascii="Times New Roman" w:hAnsi="Times New Roman" w:cs="Times New Roman"/>
      <w:sz w:val="24"/>
      <w:szCs w:val="24"/>
    </w:rPr>
  </w:style>
  <w:style w:type="character" w:customStyle="1" w:styleId="apple-style-span">
    <w:name w:val="apple-style-span"/>
    <w:basedOn w:val="DefaultParagraphFont"/>
    <w:uiPriority w:val="99"/>
    <w:rsid w:val="00344611"/>
    <w:rPr>
      <w:rFonts w:ascii="Times New Roman" w:hAnsi="Times New Roman" w:cs="Times New Roman"/>
    </w:rPr>
  </w:style>
  <w:style w:type="character" w:customStyle="1" w:styleId="apple-converted-space">
    <w:name w:val="apple-converted-space"/>
    <w:basedOn w:val="DefaultParagraphFont"/>
    <w:uiPriority w:val="99"/>
    <w:rsid w:val="00344611"/>
    <w:rPr>
      <w:rFonts w:ascii="Times New Roman" w:hAnsi="Times New Roman" w:cs="Times New Roman"/>
    </w:rPr>
  </w:style>
  <w:style w:type="character" w:styleId="Hyperlink">
    <w:name w:val="Hyperlink"/>
    <w:basedOn w:val="DefaultParagraphFont"/>
    <w:uiPriority w:val="99"/>
    <w:rsid w:val="00344611"/>
    <w:rPr>
      <w:rFonts w:ascii="Times New Roman" w:hAnsi="Times New Roman" w:cs="Times New Roman"/>
      <w:color w:val="0000FF"/>
      <w:u w:val="single"/>
    </w:rPr>
  </w:style>
  <w:style w:type="character" w:customStyle="1" w:styleId="starpage">
    <w:name w:val="starpage"/>
    <w:basedOn w:val="DefaultParagraphFont"/>
    <w:uiPriority w:val="99"/>
    <w:rsid w:val="00344611"/>
    <w:rPr>
      <w:rFonts w:ascii="Times New Roman" w:hAnsi="Times New Roman" w:cs="Times New Roman"/>
    </w:rPr>
  </w:style>
  <w:style w:type="character" w:styleId="FollowedHyperlink">
    <w:name w:val="FollowedHyperlink"/>
    <w:basedOn w:val="DefaultParagraphFont"/>
    <w:uiPriority w:val="99"/>
    <w:rsid w:val="00344611"/>
    <w:rPr>
      <w:rFonts w:ascii="Times New Roman" w:hAnsi="Times New Roman" w:cs="Times New Roman"/>
      <w:color w:val="800080"/>
      <w:u w:val="single"/>
    </w:rPr>
  </w:style>
  <w:style w:type="character" w:customStyle="1" w:styleId="searchterm">
    <w:name w:val="searchterm"/>
    <w:basedOn w:val="DefaultParagraphFont"/>
    <w:uiPriority w:val="99"/>
    <w:rsid w:val="00344611"/>
    <w:rPr>
      <w:rFonts w:ascii="Times New Roman" w:hAnsi="Times New Roman" w:cs="Times New Roman"/>
    </w:rPr>
  </w:style>
  <w:style w:type="paragraph" w:styleId="BodyTextIndent2">
    <w:name w:val="Body Text Indent 2"/>
    <w:basedOn w:val="Normal"/>
    <w:link w:val="BodyTextIndent2Char"/>
    <w:uiPriority w:val="99"/>
    <w:rsid w:val="00344611"/>
    <w:pPr>
      <w:spacing w:after="200"/>
      <w:ind w:firstLine="360"/>
    </w:pPr>
  </w:style>
  <w:style w:type="character" w:customStyle="1" w:styleId="BodyTextIndent2Char">
    <w:name w:val="Body Text Indent 2 Char"/>
    <w:basedOn w:val="DefaultParagraphFont"/>
    <w:link w:val="BodyTextIndent2"/>
    <w:uiPriority w:val="99"/>
    <w:rsid w:val="00344611"/>
    <w:rPr>
      <w:rFonts w:ascii="Times New Roman" w:hAnsi="Times New Roman" w:cs="Times New Roman"/>
      <w:sz w:val="24"/>
      <w:szCs w:val="24"/>
    </w:rPr>
  </w:style>
  <w:style w:type="character" w:customStyle="1" w:styleId="resultsublistitem1">
    <w:name w:val="resultsublistitem1"/>
    <w:basedOn w:val="DefaultParagraphFont"/>
    <w:rsid w:val="00821847"/>
    <w:rPr>
      <w:rFonts w:ascii="Arial" w:hAnsi="Arial" w:cs="Arial" w:hint="default"/>
      <w:sz w:val="16"/>
      <w:szCs w:val="16"/>
    </w:rPr>
  </w:style>
  <w:style w:type="paragraph" w:styleId="BalloonText">
    <w:name w:val="Balloon Text"/>
    <w:basedOn w:val="Normal"/>
    <w:link w:val="BalloonTextChar"/>
    <w:uiPriority w:val="99"/>
    <w:semiHidden/>
    <w:unhideWhenUsed/>
    <w:rsid w:val="007F1DB9"/>
    <w:rPr>
      <w:rFonts w:ascii="Tahoma" w:hAnsi="Tahoma" w:cs="Tahoma"/>
      <w:sz w:val="16"/>
      <w:szCs w:val="16"/>
    </w:rPr>
  </w:style>
  <w:style w:type="character" w:customStyle="1" w:styleId="BalloonTextChar">
    <w:name w:val="Balloon Text Char"/>
    <w:basedOn w:val="DefaultParagraphFont"/>
    <w:link w:val="BalloonText"/>
    <w:uiPriority w:val="99"/>
    <w:semiHidden/>
    <w:rsid w:val="007F1DB9"/>
    <w:rPr>
      <w:rFonts w:ascii="Tahoma" w:hAnsi="Tahoma" w:cs="Tahoma"/>
      <w:sz w:val="16"/>
      <w:szCs w:val="16"/>
    </w:rPr>
  </w:style>
  <w:style w:type="table" w:styleId="TableGrid">
    <w:name w:val="Table Grid"/>
    <w:basedOn w:val="TableNormal"/>
    <w:uiPriority w:val="59"/>
    <w:rsid w:val="000D40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F5046"/>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F5046"/>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46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5FA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734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82E3-05AA-4745-A66D-A0DC6C77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4470</Words>
  <Characters>23860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2012-09-28T18:11:00Z</dcterms:created>
  <dcterms:modified xsi:type="dcterms:W3CDTF">2012-09-28T18:11:00Z</dcterms:modified>
</cp:coreProperties>
</file>