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3555E" w14:textId="5A6BB183" w:rsidR="00832223" w:rsidRPr="00E26B8A" w:rsidRDefault="006B5D84" w:rsidP="00C13F27">
      <w:bookmarkStart w:id="0" w:name="designation"/>
      <w:bookmarkEnd w:id="0"/>
      <w:r>
        <w:t>P</w:t>
      </w:r>
      <w:r w:rsidR="00B5326B">
        <w:t>UBLIC MATTER—DESIGNATED FOR PUBLICATION</w:t>
      </w:r>
    </w:p>
    <w:p w14:paraId="56DEB530" w14:textId="77777777" w:rsidR="00832223" w:rsidRDefault="00832223" w:rsidP="00C13F27"/>
    <w:p w14:paraId="18C8F716" w14:textId="14F873FB" w:rsidR="007C26E8" w:rsidRDefault="005D11AB" w:rsidP="00192F9A">
      <w:pPr>
        <w:contextualSpacing/>
      </w:pPr>
      <w:r>
        <w:tab/>
      </w:r>
      <w:r>
        <w:tab/>
      </w:r>
      <w:r>
        <w:tab/>
      </w:r>
      <w:r>
        <w:tab/>
      </w:r>
      <w:r>
        <w:tab/>
      </w:r>
      <w:r>
        <w:tab/>
      </w:r>
      <w:r>
        <w:tab/>
      </w:r>
      <w:r>
        <w:tab/>
        <w:t>Filed August 26, 2022</w:t>
      </w:r>
    </w:p>
    <w:p w14:paraId="79D2A3F9" w14:textId="77777777" w:rsidR="007A41F1" w:rsidRDefault="007A41F1" w:rsidP="00192F9A">
      <w:pPr>
        <w:contextualSpacing/>
      </w:pPr>
    </w:p>
    <w:p w14:paraId="70BBBD50" w14:textId="77777777" w:rsidR="00B231E1" w:rsidRDefault="00B231E1" w:rsidP="00832966"/>
    <w:p w14:paraId="6D5A9A59" w14:textId="77777777" w:rsidR="00065A44" w:rsidRDefault="00065A44" w:rsidP="00C13F27"/>
    <w:p w14:paraId="3646BA5A" w14:textId="77777777" w:rsidR="00832223" w:rsidRPr="00C11CC8" w:rsidRDefault="00832223" w:rsidP="00C13F27"/>
    <w:p w14:paraId="7880AA8E" w14:textId="77777777" w:rsidR="00832223" w:rsidRPr="00B76F6A" w:rsidRDefault="00832223" w:rsidP="00B76F6A">
      <w:pPr>
        <w:pStyle w:val="OpinionHeading"/>
      </w:pPr>
      <w:r w:rsidRPr="00B76F6A">
        <w:t>STATE BAR COURT OF CALIFORNIA</w:t>
      </w:r>
    </w:p>
    <w:p w14:paraId="7B1C0E6F" w14:textId="77777777" w:rsidR="00832223" w:rsidRPr="00B76F6A" w:rsidRDefault="00832223" w:rsidP="00B76F6A">
      <w:pPr>
        <w:pStyle w:val="OpinionHeading"/>
      </w:pPr>
    </w:p>
    <w:p w14:paraId="7E62AB09" w14:textId="77777777" w:rsidR="00832223" w:rsidRPr="00B76F6A" w:rsidRDefault="00832223" w:rsidP="00B76F6A">
      <w:pPr>
        <w:pStyle w:val="OpinionHeading"/>
      </w:pPr>
      <w:r w:rsidRPr="00B76F6A">
        <w:t>REVIEW DEPARTMENT</w:t>
      </w:r>
    </w:p>
    <w:p w14:paraId="2A487C12" w14:textId="77777777" w:rsidR="00832223" w:rsidRPr="00C11CC8" w:rsidRDefault="00832223" w:rsidP="00832223">
      <w:pPr>
        <w:jc w:val="center"/>
        <w:rPr>
          <w:b/>
        </w:rPr>
      </w:pPr>
    </w:p>
    <w:p w14:paraId="39CC857F"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10"/>
        <w:gridCol w:w="490"/>
        <w:gridCol w:w="4160"/>
      </w:tblGrid>
      <w:tr w:rsidR="00832223" w:rsidRPr="00C11CC8" w14:paraId="5690F07E" w14:textId="77777777" w:rsidTr="00357051">
        <w:tc>
          <w:tcPr>
            <w:tcW w:w="4770" w:type="dxa"/>
            <w:tcBorders>
              <w:top w:val="nil"/>
              <w:left w:val="nil"/>
              <w:right w:val="nil"/>
            </w:tcBorders>
            <w:tcMar>
              <w:left w:w="0" w:type="dxa"/>
              <w:right w:w="0" w:type="dxa"/>
            </w:tcMar>
          </w:tcPr>
          <w:p w14:paraId="762A337F" w14:textId="77777777" w:rsidR="00832223" w:rsidRDefault="00832223" w:rsidP="00357051">
            <w:r>
              <w:t>In the Matter of</w:t>
            </w:r>
          </w:p>
          <w:p w14:paraId="4C069196" w14:textId="77777777" w:rsidR="00832223" w:rsidRDefault="00832223" w:rsidP="00B5326B">
            <w:pPr>
              <w:ind w:firstLine="720"/>
            </w:pPr>
          </w:p>
          <w:bookmarkStart w:id="1" w:name="Respondent"/>
          <w:bookmarkEnd w:id="1"/>
          <w:p w14:paraId="330C0A79" w14:textId="5E944A15" w:rsidR="00832223" w:rsidRPr="008F3169" w:rsidRDefault="00310E53" w:rsidP="00357051">
            <w:sdt>
              <w:sdtPr>
                <w:alias w:val="Enter Respondent's Name"/>
                <w:tag w:val="Enter Respondent's Name"/>
                <w:id w:val="-1392577500"/>
                <w:placeholder>
                  <w:docPart w:val="07C3BA6C43724312A2EA13C0602EDA91"/>
                </w:placeholder>
                <w15:color w:val="FF0000"/>
              </w:sdtPr>
              <w:sdtEndPr/>
              <w:sdtContent>
                <w:r w:rsidR="00B5326B">
                  <w:t>JEFFREY GRAY THOMAS</w:t>
                </w:r>
              </w:sdtContent>
            </w:sdt>
            <w:r w:rsidR="00832223" w:rsidRPr="008F3169">
              <w:t>,</w:t>
            </w:r>
          </w:p>
          <w:p w14:paraId="6FFA9BC5" w14:textId="77777777" w:rsidR="00832223" w:rsidRDefault="00832223" w:rsidP="00357051"/>
          <w:p w14:paraId="7C36D045" w14:textId="0AD2F1B9" w:rsidR="00832223" w:rsidRPr="00C11CC8" w:rsidRDefault="000469FB" w:rsidP="00357051">
            <w:bookmarkStart w:id="2" w:name="type"/>
            <w:bookmarkEnd w:id="2"/>
            <w:r>
              <w:t>State Bar No.</w:t>
            </w:r>
            <w:r w:rsidR="00832223">
              <w:t xml:space="preserve"> </w:t>
            </w:r>
            <w:bookmarkStart w:id="3" w:name="memno"/>
            <w:bookmarkStart w:id="4" w:name="MemberNo"/>
            <w:bookmarkEnd w:id="3"/>
            <w:bookmarkEnd w:id="4"/>
            <w:sdt>
              <w:sdtPr>
                <w:alias w:val="Enter State Bar No."/>
                <w:tag w:val="Enter State Bar No."/>
                <w:id w:val="-1539580479"/>
                <w:placeholder>
                  <w:docPart w:val="4415EF9075DB4CE5BEE4D1757FC37CDA"/>
                </w:placeholder>
                <w15:color w:val="FF0000"/>
              </w:sdtPr>
              <w:sdtEndPr/>
              <w:sdtContent>
                <w:r w:rsidR="00B5326B">
                  <w:t>83076</w:t>
                </w:r>
              </w:sdtContent>
            </w:sdt>
            <w:r w:rsidR="00D8287E">
              <w:t>.</w:t>
            </w:r>
          </w:p>
        </w:tc>
        <w:tc>
          <w:tcPr>
            <w:tcW w:w="497" w:type="dxa"/>
            <w:tcBorders>
              <w:top w:val="nil"/>
              <w:left w:val="nil"/>
              <w:bottom w:val="nil"/>
              <w:right w:val="nil"/>
            </w:tcBorders>
            <w:tcMar>
              <w:left w:w="0" w:type="dxa"/>
              <w:right w:w="0" w:type="dxa"/>
            </w:tcMar>
          </w:tcPr>
          <w:p w14:paraId="5DE0E312" w14:textId="77777777" w:rsidR="00832223" w:rsidRPr="004D32E9" w:rsidRDefault="00832223" w:rsidP="00357051">
            <w:r w:rsidRPr="004D32E9">
              <w:t>)</w:t>
            </w:r>
          </w:p>
          <w:p w14:paraId="17741B0F"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bookmarkStart w:id="5" w:name="caseno" w:displacedByCustomXml="next"/>
          <w:bookmarkEnd w:id="5" w:displacedByCustomXml="next"/>
          <w:bookmarkStart w:id="6" w:name="_Hlk110851753" w:displacedByCustomXml="next"/>
          <w:sdt>
            <w:sdtPr>
              <w:alias w:val="Enter Case No."/>
              <w:tag w:val="Enter Case No."/>
              <w:id w:val="1364322504"/>
              <w:placeholder>
                <w:docPart w:val="BD9F7473B99B42B78B9CB42578545A8D"/>
              </w:placeholder>
              <w15:color w:val="FF0000"/>
            </w:sdtPr>
            <w:sdtEndPr/>
            <w:sdtContent>
              <w:p w14:paraId="5C3EC90B" w14:textId="5FED3BDE" w:rsidR="00832223" w:rsidRPr="00353B3F" w:rsidRDefault="00310E53" w:rsidP="00357051">
                <w:sdt>
                  <w:sdtPr>
                    <w:alias w:val="Enter Case No."/>
                    <w:tag w:val="Enter Case No."/>
                    <w:id w:val="84730607"/>
                    <w:placeholder>
                      <w:docPart w:val="B5AC1C9005594B59A0ACC7D42F644889"/>
                    </w:placeholder>
                    <w15:color w:val="FF0000"/>
                  </w:sdtPr>
                  <w:sdtEndPr/>
                  <w:sdtContent>
                    <w:r w:rsidR="00B5326B" w:rsidRPr="00353B3F">
                      <w:t>15-O-14870; SBC-20-</w:t>
                    </w:r>
                    <w:r w:rsidR="00D8271E" w:rsidRPr="00353B3F">
                      <w:t>O-</w:t>
                    </w:r>
                    <w:r w:rsidR="00B5326B" w:rsidRPr="00353B3F">
                      <w:t>00029 (C</w:t>
                    </w:r>
                  </w:sdtContent>
                </w:sdt>
                <w:r w:rsidR="00B5326B" w:rsidRPr="00353B3F">
                  <w:t>onsolidated)</w:t>
                </w:r>
              </w:p>
            </w:sdtContent>
          </w:sdt>
          <w:bookmarkEnd w:id="6"/>
          <w:p w14:paraId="6FB3867B" w14:textId="77777777" w:rsidR="00832223" w:rsidRPr="00353B3F" w:rsidRDefault="00832223" w:rsidP="00357051"/>
          <w:bookmarkStart w:id="7" w:name="title" w:displacedByCustomXml="next"/>
          <w:bookmarkEnd w:id="7" w:displacedByCustomXml="next"/>
          <w:sdt>
            <w:sdtPr>
              <w:alias w:val="Select Title"/>
              <w:tag w:val="Select Title"/>
              <w:id w:val="2093728980"/>
              <w:placeholder>
                <w:docPart w:val="77255EBEB9BA44B58EA77B8CA408D172"/>
              </w:placeholder>
              <w15:color w:val="FF0000"/>
              <w:dropDownList>
                <w:listItem w:displayText="OPINION" w:value="OPINION"/>
                <w:listItem w:displayText="OPINION AND ORDER" w:value="OPINION AND ORDER"/>
              </w:dropDownList>
            </w:sdtPr>
            <w:sdtEndPr/>
            <w:sdtContent>
              <w:p w14:paraId="553B1491" w14:textId="1536BF30" w:rsidR="00832223" w:rsidRPr="00D90643" w:rsidRDefault="006B07C5" w:rsidP="00357051">
                <w:r>
                  <w:t>OPINION AND ORDER</w:t>
                </w:r>
              </w:p>
            </w:sdtContent>
          </w:sdt>
        </w:tc>
      </w:tr>
    </w:tbl>
    <w:p w14:paraId="1166E83E" w14:textId="77777777" w:rsidR="00832223" w:rsidRDefault="00832223" w:rsidP="00832223"/>
    <w:p w14:paraId="75D8DF12" w14:textId="63CFE1FF" w:rsidR="00B5326B" w:rsidRDefault="00B5326B" w:rsidP="00B5326B">
      <w:pPr>
        <w:spacing w:line="480" w:lineRule="auto"/>
        <w:ind w:firstLine="720"/>
        <w:rPr>
          <w:szCs w:val="24"/>
        </w:rPr>
      </w:pPr>
      <w:bookmarkStart w:id="8" w:name="start"/>
      <w:bookmarkEnd w:id="8"/>
      <w:r>
        <w:rPr>
          <w:szCs w:val="24"/>
        </w:rPr>
        <w:t xml:space="preserve">Jeffrey Gray </w:t>
      </w:r>
      <w:r w:rsidRPr="001C33DA">
        <w:rPr>
          <w:szCs w:val="24"/>
        </w:rPr>
        <w:t xml:space="preserve">Thomas </w:t>
      </w:r>
      <w:r>
        <w:rPr>
          <w:szCs w:val="24"/>
        </w:rPr>
        <w:t>was</w:t>
      </w:r>
      <w:r w:rsidRPr="001C33DA">
        <w:rPr>
          <w:szCs w:val="24"/>
        </w:rPr>
        <w:t xml:space="preserve"> charged with ethical violations </w:t>
      </w:r>
      <w:r>
        <w:rPr>
          <w:szCs w:val="24"/>
        </w:rPr>
        <w:t xml:space="preserve">relating to his pursuit of unjust and frivolous actions </w:t>
      </w:r>
      <w:r w:rsidR="006B5D84">
        <w:rPr>
          <w:szCs w:val="24"/>
        </w:rPr>
        <w:t xml:space="preserve">in </w:t>
      </w:r>
      <w:r>
        <w:rPr>
          <w:szCs w:val="24"/>
        </w:rPr>
        <w:t xml:space="preserve">two </w:t>
      </w:r>
      <w:r w:rsidR="006B5D84">
        <w:rPr>
          <w:szCs w:val="24"/>
        </w:rPr>
        <w:t>s</w:t>
      </w:r>
      <w:r>
        <w:rPr>
          <w:szCs w:val="24"/>
        </w:rPr>
        <w:t>uperior court</w:t>
      </w:r>
      <w:r w:rsidR="006B5D84">
        <w:rPr>
          <w:szCs w:val="24"/>
        </w:rPr>
        <w:t xml:space="preserve"> matters</w:t>
      </w:r>
      <w:r>
        <w:rPr>
          <w:szCs w:val="24"/>
        </w:rPr>
        <w:t>.  A hearing judge found Thomas culpable o</w:t>
      </w:r>
      <w:r w:rsidR="003A57CC">
        <w:rPr>
          <w:szCs w:val="24"/>
        </w:rPr>
        <w:t>n</w:t>
      </w:r>
      <w:r>
        <w:rPr>
          <w:szCs w:val="24"/>
        </w:rPr>
        <w:t xml:space="preserve"> five counts of misconduct, including fai</w:t>
      </w:r>
      <w:r w:rsidR="006B5D84">
        <w:rPr>
          <w:szCs w:val="24"/>
        </w:rPr>
        <w:t>li</w:t>
      </w:r>
      <w:r>
        <w:rPr>
          <w:szCs w:val="24"/>
        </w:rPr>
        <w:t xml:space="preserve">ng to obey a court order (two counts), failing to report judicial sanctions, threatening charges to gain an advantage in a civil suit, and maintaining unjust actions.  </w:t>
      </w:r>
      <w:r w:rsidR="00C64BCA" w:rsidRPr="00C64BCA">
        <w:rPr>
          <w:szCs w:val="24"/>
        </w:rPr>
        <w:t>The judge recommended Thomas be disbarred.</w:t>
      </w:r>
      <w:r w:rsidR="00C64BCA">
        <w:rPr>
          <w:szCs w:val="24"/>
        </w:rPr>
        <w:t xml:space="preserve">  </w:t>
      </w:r>
      <w:r>
        <w:rPr>
          <w:szCs w:val="24"/>
        </w:rPr>
        <w:t xml:space="preserve">Thomas appeals, asserting this matter should be dismissed due to constitutional violations and other errors by the judge.  The Office of Chief Trial Counsel of the State Bar (OCTC) supports the judge’s decision.  </w:t>
      </w:r>
    </w:p>
    <w:p w14:paraId="1BF2A63C" w14:textId="6E335DAA" w:rsidR="00B5326B" w:rsidRDefault="00B5326B" w:rsidP="00B5326B">
      <w:pPr>
        <w:spacing w:line="480" w:lineRule="auto"/>
        <w:ind w:firstLine="720"/>
      </w:pPr>
      <w:r w:rsidRPr="00096744">
        <w:t>Upon independent review of the record (Cal. Rules of Court, rule 9.12), we</w:t>
      </w:r>
      <w:r>
        <w:t xml:space="preserve"> affirm the hearing judge’s culpability determinations and reject Thomas’s various constitutional arguments and collateral attacks.  We also agree with the judge on discipline and recommend that Thomas be disbarred due to the seriousness of his multiple violations, the harm caused, and his inability to recognize the wrongfulness of his misconduct.  </w:t>
      </w:r>
    </w:p>
    <w:p w14:paraId="40FEBCCA" w14:textId="77777777" w:rsidR="007D031D" w:rsidRDefault="007D031D" w:rsidP="00832966">
      <w:pPr>
        <w:spacing w:line="480" w:lineRule="auto"/>
      </w:pPr>
    </w:p>
    <w:p w14:paraId="279EC422" w14:textId="71432E5A" w:rsidR="007A41F1" w:rsidRDefault="007A41F1">
      <w:r>
        <w:br w:type="page"/>
      </w:r>
    </w:p>
    <w:p w14:paraId="1B64E5B0" w14:textId="77777777" w:rsidR="00B5326B" w:rsidRPr="007A7CE4" w:rsidRDefault="00B5326B" w:rsidP="00B5326B">
      <w:pPr>
        <w:spacing w:line="480" w:lineRule="auto"/>
        <w:jc w:val="center"/>
        <w:rPr>
          <w:b/>
          <w:bCs/>
        </w:rPr>
      </w:pPr>
      <w:r w:rsidRPr="007A7CE4">
        <w:rPr>
          <w:b/>
          <w:bCs/>
        </w:rPr>
        <w:lastRenderedPageBreak/>
        <w:t>I.  PROCEDURAL BACKGROUND</w:t>
      </w:r>
    </w:p>
    <w:p w14:paraId="08CC5E58" w14:textId="3BCE46BF" w:rsidR="00B5326B" w:rsidRDefault="00B5326B" w:rsidP="00832966">
      <w:pPr>
        <w:spacing w:line="480" w:lineRule="auto"/>
        <w:ind w:firstLine="720"/>
      </w:pPr>
      <w:bookmarkStart w:id="9" w:name="_Hlk110847637"/>
      <w:r>
        <w:t xml:space="preserve">On September 2, 2016, OCTC filed a notice of disciplinary charges in </w:t>
      </w:r>
      <w:r w:rsidR="00832966">
        <w:t xml:space="preserve">State Bar Court No. </w:t>
      </w:r>
      <w:r>
        <w:t>15-O-14870 (First NDC).  Th</w:t>
      </w:r>
      <w:r w:rsidR="009260D0">
        <w:t>at notice</w:t>
      </w:r>
      <w:r>
        <w:t xml:space="preserve"> charged Thomas with (1)</w:t>
      </w:r>
      <w:r w:rsidR="00283144">
        <w:t> </w:t>
      </w:r>
      <w:r>
        <w:t>failure to obey a court order, in violation of Business and Professions Code section 6103,</w:t>
      </w:r>
      <w:r w:rsidR="005F450C" w:rsidRPr="00EE5B52">
        <w:rPr>
          <w:rStyle w:val="FootnoteReference"/>
        </w:rPr>
        <w:footnoteReference w:id="2"/>
      </w:r>
      <w:r>
        <w:t xml:space="preserve"> and (2)</w:t>
      </w:r>
      <w:r w:rsidR="00283144">
        <w:t> </w:t>
      </w:r>
      <w:r>
        <w:t>failure to report judicial sanctions, in violation of section</w:t>
      </w:r>
      <w:r w:rsidR="00283144">
        <w:t> </w:t>
      </w:r>
      <w:r>
        <w:t>6068, subdivision</w:t>
      </w:r>
      <w:r w:rsidR="00283144">
        <w:t> </w:t>
      </w:r>
      <w:r>
        <w:t xml:space="preserve">(o)(3).  The matter was abated </w:t>
      </w:r>
      <w:r w:rsidR="003A57CC">
        <w:t xml:space="preserve">shortly thereafter </w:t>
      </w:r>
      <w:r>
        <w:t>while related civil proceedings</w:t>
      </w:r>
      <w:r w:rsidR="003A57CC">
        <w:t xml:space="preserve"> </w:t>
      </w:r>
      <w:r w:rsidR="004F1419">
        <w:t>ensu</w:t>
      </w:r>
      <w:r w:rsidR="009E21EA">
        <w:t>ed</w:t>
      </w:r>
      <w:r>
        <w:t>.</w:t>
      </w:r>
    </w:p>
    <w:p w14:paraId="234BFB6F" w14:textId="0A023D35" w:rsidR="00B5326B" w:rsidRDefault="00B5326B" w:rsidP="00832966">
      <w:pPr>
        <w:spacing w:line="480" w:lineRule="auto"/>
        <w:ind w:firstLine="720"/>
      </w:pPr>
      <w:r>
        <w:t>On January</w:t>
      </w:r>
      <w:r w:rsidR="004F1419">
        <w:t> </w:t>
      </w:r>
      <w:r>
        <w:t>21, 2020, OCTC filed a notice of disciplinary charges in SBC-20-O-00029 (Second NDC).  Th</w:t>
      </w:r>
      <w:r w:rsidR="00F241F6">
        <w:t>at</w:t>
      </w:r>
      <w:r>
        <w:t xml:space="preserve"> </w:t>
      </w:r>
      <w:r w:rsidR="001C6530">
        <w:t>notice</w:t>
      </w:r>
      <w:r>
        <w:t xml:space="preserve"> charged Thomas with (1) threatening charges to gain an advantage in a civil suit, in violation of the former Rules of Professional Conduct,</w:t>
      </w:r>
      <w:r w:rsidR="000C4373">
        <w:t xml:space="preserve"> </w:t>
      </w:r>
      <w:r>
        <w:t>rule 5-100(A);</w:t>
      </w:r>
      <w:r>
        <w:rPr>
          <w:rStyle w:val="FootnoteReference"/>
        </w:rPr>
        <w:footnoteReference w:id="3"/>
      </w:r>
      <w:r>
        <w:t xml:space="preserve"> (2) maintaining an unjust action, in violation of section 6068, subdivision (c); and (3)</w:t>
      </w:r>
      <w:r w:rsidR="008B1B51">
        <w:t> </w:t>
      </w:r>
      <w:r>
        <w:t>failure to obey a court order, in violation of section 6103.</w:t>
      </w:r>
      <w:r>
        <w:rPr>
          <w:rStyle w:val="FootnoteReference"/>
        </w:rPr>
        <w:footnoteReference w:id="4"/>
      </w:r>
      <w:r>
        <w:t xml:space="preserve">  </w:t>
      </w:r>
    </w:p>
    <w:bookmarkEnd w:id="9"/>
    <w:p w14:paraId="34F9A445" w14:textId="348EE461" w:rsidR="00B5326B" w:rsidRDefault="00B5326B" w:rsidP="00B5326B">
      <w:pPr>
        <w:spacing w:line="480" w:lineRule="auto"/>
        <w:ind w:firstLine="720"/>
      </w:pPr>
      <w:r>
        <w:t xml:space="preserve">On February 24, 2020, the abatement was terminated in </w:t>
      </w:r>
      <w:r w:rsidR="00832966">
        <w:t xml:space="preserve">State Bar Court </w:t>
      </w:r>
      <w:r w:rsidR="00330868">
        <w:t>No.</w:t>
      </w:r>
      <w:r>
        <w:t xml:space="preserve"> 15-O-14870.  Both matters were abated in March </w:t>
      </w:r>
      <w:r w:rsidR="003A57CC">
        <w:t xml:space="preserve">and continued through </w:t>
      </w:r>
      <w:r>
        <w:t xml:space="preserve">June 29, 2020, due to the COVID-19 pandemic.  On August 28, the matters were consolidated.  </w:t>
      </w:r>
    </w:p>
    <w:p w14:paraId="681FC7D3" w14:textId="7C51D27A" w:rsidR="00B5326B" w:rsidRDefault="00B5326B" w:rsidP="00B5326B">
      <w:pPr>
        <w:spacing w:line="480" w:lineRule="auto"/>
        <w:ind w:firstLine="720"/>
      </w:pPr>
      <w:r>
        <w:t>A three-day trial was held February 24 through 26, 2021</w:t>
      </w:r>
      <w:r w:rsidR="003A57CC">
        <w:t>.</w:t>
      </w:r>
      <w:r w:rsidR="003A57CC">
        <w:rPr>
          <w:rStyle w:val="FootnoteReference"/>
        </w:rPr>
        <w:footnoteReference w:id="5"/>
      </w:r>
      <w:r>
        <w:t xml:space="preserve">  The parties filed closing briefs on March 15</w:t>
      </w:r>
      <w:r w:rsidR="003A57CC">
        <w:t>, and t</w:t>
      </w:r>
      <w:r>
        <w:t xml:space="preserve">he hearing judge issued her decision on May 25.  Thomas’s request for review was filed on </w:t>
      </w:r>
      <w:r w:rsidR="004671F3">
        <w:t>October 15</w:t>
      </w:r>
      <w:r>
        <w:t>.</w:t>
      </w:r>
      <w:r w:rsidR="004671F3">
        <w:rPr>
          <w:rStyle w:val="FootnoteReference"/>
        </w:rPr>
        <w:footnoteReference w:id="6"/>
      </w:r>
      <w:r>
        <w:t xml:space="preserve">  </w:t>
      </w:r>
      <w:r w:rsidR="00F8266A">
        <w:t xml:space="preserve">We heard oral </w:t>
      </w:r>
      <w:r>
        <w:t>argument on June 8, 2022.</w:t>
      </w:r>
    </w:p>
    <w:p w14:paraId="48F790C4" w14:textId="77777777" w:rsidR="00B5326B" w:rsidRPr="007A7CE4" w:rsidRDefault="00B5326B" w:rsidP="00B5326B">
      <w:pPr>
        <w:spacing w:line="480" w:lineRule="auto"/>
        <w:jc w:val="center"/>
        <w:rPr>
          <w:b/>
          <w:bCs/>
        </w:rPr>
      </w:pPr>
      <w:r w:rsidRPr="007A7CE4">
        <w:rPr>
          <w:b/>
          <w:bCs/>
        </w:rPr>
        <w:lastRenderedPageBreak/>
        <w:t>II.  FACTUAL BACKGROUND</w:t>
      </w:r>
      <w:r>
        <w:rPr>
          <w:rStyle w:val="FootnoteReference"/>
          <w:b/>
          <w:bCs/>
        </w:rPr>
        <w:footnoteReference w:id="7"/>
      </w:r>
    </w:p>
    <w:p w14:paraId="152345DC" w14:textId="4DC52C2B" w:rsidR="00777E9F" w:rsidRPr="00777E9F" w:rsidRDefault="00777E9F" w:rsidP="00777E9F">
      <w:pPr>
        <w:spacing w:line="480" w:lineRule="auto"/>
        <w:rPr>
          <w:b/>
          <w:bCs/>
        </w:rPr>
      </w:pPr>
      <w:r w:rsidRPr="00777E9F">
        <w:rPr>
          <w:b/>
          <w:bCs/>
        </w:rPr>
        <w:t>A.</w:t>
      </w:r>
      <w:r>
        <w:rPr>
          <w:b/>
          <w:bCs/>
        </w:rPr>
        <w:tab/>
        <w:t>General Background</w:t>
      </w:r>
    </w:p>
    <w:p w14:paraId="3DFE377F" w14:textId="38C22C63" w:rsidR="00B5326B" w:rsidRPr="001C33DA" w:rsidRDefault="00B5326B" w:rsidP="00777E9F">
      <w:pPr>
        <w:spacing w:line="480" w:lineRule="auto"/>
        <w:ind w:firstLine="720"/>
        <w:rPr>
          <w:szCs w:val="24"/>
        </w:rPr>
      </w:pPr>
      <w:r>
        <w:t xml:space="preserve">Thomas was admitted to practice law in California </w:t>
      </w:r>
      <w:r w:rsidRPr="001C33DA">
        <w:rPr>
          <w:szCs w:val="24"/>
        </w:rPr>
        <w:t>on November</w:t>
      </w:r>
      <w:r>
        <w:rPr>
          <w:szCs w:val="24"/>
        </w:rPr>
        <w:t> </w:t>
      </w:r>
      <w:r w:rsidRPr="001C33DA">
        <w:rPr>
          <w:szCs w:val="24"/>
        </w:rPr>
        <w:t xml:space="preserve">29, 1978, and has been a licensed attorney at all times </w:t>
      </w:r>
      <w:r w:rsidR="00774A46">
        <w:rPr>
          <w:szCs w:val="24"/>
        </w:rPr>
        <w:t>thereafter</w:t>
      </w:r>
      <w:r w:rsidRPr="001C33DA">
        <w:rPr>
          <w:szCs w:val="24"/>
        </w:rPr>
        <w:t>.</w:t>
      </w:r>
      <w:r w:rsidR="00777E9F">
        <w:rPr>
          <w:szCs w:val="24"/>
        </w:rPr>
        <w:t xml:space="preserve">  </w:t>
      </w:r>
      <w:r>
        <w:rPr>
          <w:szCs w:val="24"/>
        </w:rPr>
        <w:t>The facts in this matter relate to litigation disput</w:t>
      </w:r>
      <w:r w:rsidR="00B74EE2">
        <w:rPr>
          <w:szCs w:val="24"/>
        </w:rPr>
        <w:t>ing</w:t>
      </w:r>
      <w:r>
        <w:rPr>
          <w:szCs w:val="24"/>
        </w:rPr>
        <w:t xml:space="preserve"> the </w:t>
      </w:r>
      <w:r w:rsidRPr="001C33DA">
        <w:rPr>
          <w:szCs w:val="24"/>
        </w:rPr>
        <w:t>ownership of property at 1130 South Hope St</w:t>
      </w:r>
      <w:r>
        <w:rPr>
          <w:szCs w:val="24"/>
        </w:rPr>
        <w:t>reet</w:t>
      </w:r>
      <w:r w:rsidRPr="001C33DA">
        <w:rPr>
          <w:szCs w:val="24"/>
        </w:rPr>
        <w:t xml:space="preserve"> in Los Angeles (Property).</w:t>
      </w:r>
      <w:r>
        <w:rPr>
          <w:szCs w:val="24"/>
        </w:rPr>
        <w:t xml:space="preserve">  Litigation concerning the Property began in 2003</w:t>
      </w:r>
      <w:r w:rsidR="00777E9F">
        <w:rPr>
          <w:szCs w:val="24"/>
        </w:rPr>
        <w:t xml:space="preserve"> when</w:t>
      </w:r>
      <w:r>
        <w:rPr>
          <w:szCs w:val="24"/>
        </w:rPr>
        <w:t xml:space="preserve"> 1130 Hope Street Investment Associates, LLC (Hope Street) sued True Harmony</w:t>
      </w:r>
      <w:r w:rsidR="00777E9F">
        <w:rPr>
          <w:szCs w:val="24"/>
        </w:rPr>
        <w:t>, Inc. (True Harmony)</w:t>
      </w:r>
      <w:r>
        <w:rPr>
          <w:szCs w:val="24"/>
        </w:rPr>
        <w:t xml:space="preserve"> to quiet title.  In a 2009 judgment, a trial court found in favor of Hope Street and determined </w:t>
      </w:r>
      <w:r w:rsidR="005C39B4">
        <w:rPr>
          <w:szCs w:val="24"/>
        </w:rPr>
        <w:t>it was</w:t>
      </w:r>
      <w:r>
        <w:rPr>
          <w:szCs w:val="24"/>
        </w:rPr>
        <w:t xml:space="preserve"> the “sole owner” of the Property.  The judgment stated that</w:t>
      </w:r>
      <w:r w:rsidR="002B58F7">
        <w:rPr>
          <w:szCs w:val="24"/>
        </w:rPr>
        <w:t>,</w:t>
      </w:r>
      <w:r>
        <w:rPr>
          <w:szCs w:val="24"/>
        </w:rPr>
        <w:t xml:space="preserve"> “True Harmony has not had any interest in the Property that could be transferred or encumbered since October 9, 2003.”  True Harmony was enjoined from representing</w:t>
      </w:r>
      <w:r w:rsidR="00271A95">
        <w:rPr>
          <w:szCs w:val="24"/>
        </w:rPr>
        <w:t xml:space="preserve"> that</w:t>
      </w:r>
      <w:r>
        <w:rPr>
          <w:szCs w:val="24"/>
        </w:rPr>
        <w:t xml:space="preserve"> it was the owner of the Property.  In addition, the judgment stated that </w:t>
      </w:r>
      <w:r w:rsidR="00777E9F">
        <w:rPr>
          <w:szCs w:val="24"/>
        </w:rPr>
        <w:t xml:space="preserve">Ray </w:t>
      </w:r>
      <w:r>
        <w:rPr>
          <w:szCs w:val="24"/>
        </w:rPr>
        <w:t>Haiem</w:t>
      </w:r>
      <w:r w:rsidR="00777E9F">
        <w:rPr>
          <w:szCs w:val="24"/>
        </w:rPr>
        <w:t>, a donor to True Harmony,</w:t>
      </w:r>
      <w:r>
        <w:rPr>
          <w:szCs w:val="24"/>
        </w:rPr>
        <w:t xml:space="preserve"> never had authority to act on Hope Street</w:t>
      </w:r>
      <w:r w:rsidR="000D5B63">
        <w:rPr>
          <w:szCs w:val="24"/>
        </w:rPr>
        <w:t>’s behalf.</w:t>
      </w:r>
      <w:r>
        <w:rPr>
          <w:szCs w:val="24"/>
        </w:rPr>
        <w:t xml:space="preserve"> </w:t>
      </w:r>
      <w:r w:rsidR="003B4895">
        <w:rPr>
          <w:szCs w:val="24"/>
        </w:rPr>
        <w:t xml:space="preserve"> I</w:t>
      </w:r>
      <w:r>
        <w:rPr>
          <w:szCs w:val="24"/>
        </w:rPr>
        <w:t xml:space="preserve">nstruments purporting to transfer interest in the Property to Haiem were void and </w:t>
      </w:r>
      <w:r w:rsidR="00AA5A93">
        <w:rPr>
          <w:szCs w:val="24"/>
        </w:rPr>
        <w:t>had</w:t>
      </w:r>
      <w:r>
        <w:rPr>
          <w:szCs w:val="24"/>
        </w:rPr>
        <w:t xml:space="preserve"> no effect.  Subsequently, the Property was sold.</w:t>
      </w:r>
    </w:p>
    <w:p w14:paraId="5CA3D123" w14:textId="35ECA501" w:rsidR="00B5326B" w:rsidRPr="001C33DA" w:rsidRDefault="00FE3D7D" w:rsidP="00B5326B">
      <w:pPr>
        <w:pStyle w:val="NoSpacing"/>
        <w:ind w:left="720" w:hanging="720"/>
        <w:rPr>
          <w:b/>
          <w:bCs/>
          <w:szCs w:val="24"/>
        </w:rPr>
      </w:pPr>
      <w:r>
        <w:rPr>
          <w:b/>
          <w:bCs/>
          <w:szCs w:val="24"/>
        </w:rPr>
        <w:t>B</w:t>
      </w:r>
      <w:r w:rsidR="00B5326B" w:rsidRPr="001C33DA">
        <w:rPr>
          <w:b/>
          <w:bCs/>
          <w:szCs w:val="24"/>
        </w:rPr>
        <w:t>.</w:t>
      </w:r>
      <w:r w:rsidR="00B5326B" w:rsidRPr="001C33DA">
        <w:rPr>
          <w:b/>
          <w:bCs/>
          <w:szCs w:val="24"/>
        </w:rPr>
        <w:tab/>
      </w:r>
      <w:r w:rsidR="00B2294D">
        <w:rPr>
          <w:b/>
          <w:bCs/>
          <w:szCs w:val="24"/>
        </w:rPr>
        <w:t>Thomas Begins His Representation of Haiem</w:t>
      </w:r>
      <w:r w:rsidR="00B5326B">
        <w:rPr>
          <w:b/>
          <w:bCs/>
          <w:szCs w:val="24"/>
        </w:rPr>
        <w:t xml:space="preserve"> </w:t>
      </w:r>
    </w:p>
    <w:p w14:paraId="139B08EE" w14:textId="77777777" w:rsidR="00B5326B" w:rsidRPr="001C33DA" w:rsidRDefault="00B5326B" w:rsidP="00B5326B">
      <w:pPr>
        <w:pStyle w:val="NoSpacing"/>
        <w:ind w:hanging="720"/>
        <w:rPr>
          <w:szCs w:val="24"/>
        </w:rPr>
      </w:pPr>
    </w:p>
    <w:p w14:paraId="3DE432E9" w14:textId="0D155012" w:rsidR="007C6F5C" w:rsidRDefault="00B5326B" w:rsidP="00B5326B">
      <w:pPr>
        <w:spacing w:line="480" w:lineRule="auto"/>
        <w:ind w:firstLine="720"/>
        <w:rPr>
          <w:szCs w:val="24"/>
        </w:rPr>
      </w:pPr>
      <w:r>
        <w:rPr>
          <w:szCs w:val="24"/>
        </w:rPr>
        <w:t>On July 28, 2011, Hope Street filed an interpleader action against Solomon; Hope Park Lofts, LLC (HPL); True Harmony; Haiem; Perry; and others.</w:t>
      </w:r>
      <w:r>
        <w:rPr>
          <w:rStyle w:val="FootnoteReference"/>
          <w:szCs w:val="24"/>
        </w:rPr>
        <w:footnoteReference w:id="8"/>
      </w:r>
      <w:r>
        <w:rPr>
          <w:szCs w:val="24"/>
        </w:rPr>
        <w:t xml:space="preserve">  (</w:t>
      </w:r>
      <w:r w:rsidRPr="00CC3F42">
        <w:rPr>
          <w:i/>
          <w:iCs/>
          <w:szCs w:val="24"/>
        </w:rPr>
        <w:t>Hope Street v. Solomon et al.</w:t>
      </w:r>
      <w:r>
        <w:rPr>
          <w:szCs w:val="24"/>
        </w:rPr>
        <w:t xml:space="preserve"> (Super. Ct. Los Angeles County, No. BC466413).)  On October 6, Haiem filed a cross-complaint in propria persona, but did not serve the cross-defendants</w:t>
      </w:r>
      <w:r w:rsidR="00A221C8">
        <w:rPr>
          <w:szCs w:val="24"/>
        </w:rPr>
        <w:t xml:space="preserve">.  </w:t>
      </w:r>
      <w:r w:rsidR="00BD27E0">
        <w:rPr>
          <w:szCs w:val="24"/>
        </w:rPr>
        <w:t>That cross-complaint</w:t>
      </w:r>
      <w:r w:rsidR="007C6F5C">
        <w:rPr>
          <w:szCs w:val="24"/>
        </w:rPr>
        <w:t xml:space="preserve"> was later struck because Haiem did not serve it</w:t>
      </w:r>
      <w:r w:rsidR="00A221C8">
        <w:rPr>
          <w:szCs w:val="24"/>
        </w:rPr>
        <w:t xml:space="preserve">, despite several warnings </w:t>
      </w:r>
      <w:r w:rsidR="002A4D6D">
        <w:rPr>
          <w:szCs w:val="24"/>
        </w:rPr>
        <w:t xml:space="preserve">he received </w:t>
      </w:r>
      <w:r w:rsidR="00A221C8">
        <w:rPr>
          <w:szCs w:val="24"/>
        </w:rPr>
        <w:t>from the court</w:t>
      </w:r>
      <w:r>
        <w:rPr>
          <w:szCs w:val="24"/>
        </w:rPr>
        <w:t xml:space="preserve">.  </w:t>
      </w:r>
    </w:p>
    <w:p w14:paraId="3BD4CA93" w14:textId="37762FEF" w:rsidR="0072143A" w:rsidRDefault="00B5326B" w:rsidP="009119E7">
      <w:pPr>
        <w:spacing w:line="480" w:lineRule="auto"/>
        <w:ind w:firstLine="720"/>
        <w:rPr>
          <w:szCs w:val="24"/>
        </w:rPr>
      </w:pPr>
      <w:r>
        <w:rPr>
          <w:szCs w:val="24"/>
        </w:rPr>
        <w:lastRenderedPageBreak/>
        <w:t xml:space="preserve">In October 2012, Thomas </w:t>
      </w:r>
      <w:r w:rsidRPr="001C33DA">
        <w:rPr>
          <w:szCs w:val="24"/>
        </w:rPr>
        <w:t>substituted in</w:t>
      </w:r>
      <w:r>
        <w:rPr>
          <w:szCs w:val="24"/>
        </w:rPr>
        <w:t>to the case</w:t>
      </w:r>
      <w:r w:rsidRPr="001C33DA">
        <w:rPr>
          <w:szCs w:val="24"/>
        </w:rPr>
        <w:t xml:space="preserve"> as counsel for Haiem</w:t>
      </w:r>
      <w:r>
        <w:rPr>
          <w:szCs w:val="24"/>
        </w:rPr>
        <w:t>.</w:t>
      </w:r>
      <w:r w:rsidR="0073411C">
        <w:rPr>
          <w:szCs w:val="24"/>
        </w:rPr>
        <w:t xml:space="preserve"> </w:t>
      </w:r>
      <w:r>
        <w:rPr>
          <w:szCs w:val="24"/>
        </w:rPr>
        <w:t xml:space="preserve"> </w:t>
      </w:r>
      <w:r w:rsidR="00A34E25">
        <w:rPr>
          <w:szCs w:val="24"/>
        </w:rPr>
        <w:t>Despite</w:t>
      </w:r>
      <w:r w:rsidR="00077EA5">
        <w:rPr>
          <w:szCs w:val="24"/>
        </w:rPr>
        <w:t xml:space="preserve"> the court striking </w:t>
      </w:r>
      <w:r w:rsidR="00A221C8">
        <w:rPr>
          <w:szCs w:val="24"/>
        </w:rPr>
        <w:t xml:space="preserve">the </w:t>
      </w:r>
      <w:r w:rsidR="00077EA5">
        <w:rPr>
          <w:szCs w:val="24"/>
        </w:rPr>
        <w:t>cross-complain</w:t>
      </w:r>
      <w:r w:rsidR="00A221C8">
        <w:rPr>
          <w:szCs w:val="24"/>
        </w:rPr>
        <w:t>t</w:t>
      </w:r>
      <w:r w:rsidR="00077EA5">
        <w:rPr>
          <w:szCs w:val="24"/>
        </w:rPr>
        <w:t xml:space="preserve">, </w:t>
      </w:r>
      <w:r w:rsidRPr="001C33DA">
        <w:rPr>
          <w:szCs w:val="24"/>
        </w:rPr>
        <w:t xml:space="preserve">Thomas </w:t>
      </w:r>
      <w:r w:rsidR="00320A11">
        <w:rPr>
          <w:szCs w:val="24"/>
        </w:rPr>
        <w:t xml:space="preserve">filed </w:t>
      </w:r>
      <w:r w:rsidR="004978CF">
        <w:rPr>
          <w:szCs w:val="24"/>
        </w:rPr>
        <w:t xml:space="preserve">a </w:t>
      </w:r>
      <w:r w:rsidRPr="001C33DA">
        <w:rPr>
          <w:szCs w:val="24"/>
        </w:rPr>
        <w:t>motion</w:t>
      </w:r>
      <w:r w:rsidR="004978CF">
        <w:rPr>
          <w:szCs w:val="24"/>
        </w:rPr>
        <w:t xml:space="preserve"> </w:t>
      </w:r>
      <w:r w:rsidR="00320A11">
        <w:rPr>
          <w:szCs w:val="24"/>
        </w:rPr>
        <w:t xml:space="preserve">on November </w:t>
      </w:r>
      <w:r w:rsidR="009119E7">
        <w:rPr>
          <w:szCs w:val="24"/>
        </w:rPr>
        <w:t xml:space="preserve">15 attempting </w:t>
      </w:r>
      <w:r w:rsidRPr="001C33DA">
        <w:rPr>
          <w:szCs w:val="24"/>
        </w:rPr>
        <w:t>to amend the stricken cross-complaint.</w:t>
      </w:r>
      <w:r w:rsidR="004978CF">
        <w:rPr>
          <w:rStyle w:val="FootnoteReference"/>
          <w:szCs w:val="24"/>
        </w:rPr>
        <w:footnoteReference w:id="9"/>
      </w:r>
      <w:r w:rsidRPr="001C33DA">
        <w:rPr>
          <w:szCs w:val="24"/>
        </w:rPr>
        <w:t xml:space="preserve">  </w:t>
      </w:r>
      <w:r w:rsidR="008E4474">
        <w:rPr>
          <w:szCs w:val="24"/>
        </w:rPr>
        <w:t>On February 1, 2013, t</w:t>
      </w:r>
      <w:r w:rsidRPr="001C33DA">
        <w:rPr>
          <w:szCs w:val="24"/>
        </w:rPr>
        <w:t xml:space="preserve">he court denied the motion as procedurally improper and legally baseless, as no cross-complaint existed. </w:t>
      </w:r>
      <w:r>
        <w:rPr>
          <w:szCs w:val="24"/>
        </w:rPr>
        <w:t xml:space="preserve"> To the extent that Thomas’s</w:t>
      </w:r>
      <w:r w:rsidR="00115B95">
        <w:rPr>
          <w:szCs w:val="24"/>
        </w:rPr>
        <w:t xml:space="preserve"> </w:t>
      </w:r>
      <w:r>
        <w:rPr>
          <w:szCs w:val="24"/>
        </w:rPr>
        <w:t xml:space="preserve">motion could be construed as seeking to file an initial cross-complaint, the court denied </w:t>
      </w:r>
      <w:r w:rsidR="008E4474">
        <w:rPr>
          <w:szCs w:val="24"/>
        </w:rPr>
        <w:t xml:space="preserve">it </w:t>
      </w:r>
      <w:r>
        <w:rPr>
          <w:szCs w:val="24"/>
        </w:rPr>
        <w:t xml:space="preserve">as the claims were barred by issue preclusion—the court had previously determined that Haiem had “no right to, interest in, or lien in the [P]roperty at all.”  The court noted Thomas’s arguments were unsupported and “based solely on conjecture.” </w:t>
      </w:r>
      <w:r w:rsidR="0072143A">
        <w:rPr>
          <w:szCs w:val="24"/>
        </w:rPr>
        <w:t xml:space="preserve"> On March 29, the court denied Thomas’s motion for reconsideration of the February 1 order.</w:t>
      </w:r>
      <w:r>
        <w:rPr>
          <w:szCs w:val="24"/>
        </w:rPr>
        <w:t xml:space="preserve"> </w:t>
      </w:r>
    </w:p>
    <w:p w14:paraId="24FF6080" w14:textId="1D077C05" w:rsidR="00B5326B" w:rsidRDefault="00B5326B" w:rsidP="00B5326B">
      <w:pPr>
        <w:spacing w:line="480" w:lineRule="auto"/>
        <w:ind w:firstLine="720"/>
        <w:rPr>
          <w:szCs w:val="24"/>
        </w:rPr>
      </w:pPr>
      <w:r>
        <w:rPr>
          <w:szCs w:val="24"/>
        </w:rPr>
        <w:t xml:space="preserve">In February 2013, Haiem was dismissed from the interpleader action.  On May 22, the court entered an order directing that the Property sale proceeds be distributed to HPL and </w:t>
      </w:r>
      <w:r w:rsidRPr="00AC07CB">
        <w:rPr>
          <w:szCs w:val="24"/>
        </w:rPr>
        <w:t>Perry</w:t>
      </w:r>
      <w:r>
        <w:rPr>
          <w:szCs w:val="24"/>
        </w:rPr>
        <w:t xml:space="preserve">.  </w:t>
      </w:r>
    </w:p>
    <w:p w14:paraId="5A81D889" w14:textId="4D3A36CF" w:rsidR="00371DC0" w:rsidRDefault="00B5326B" w:rsidP="00D462E5">
      <w:pPr>
        <w:spacing w:line="480" w:lineRule="auto"/>
        <w:ind w:firstLine="720"/>
        <w:rPr>
          <w:szCs w:val="24"/>
        </w:rPr>
      </w:pPr>
      <w:r>
        <w:rPr>
          <w:szCs w:val="24"/>
        </w:rPr>
        <w:t xml:space="preserve">Meanwhile, on May 14, 2013, </w:t>
      </w:r>
      <w:r w:rsidRPr="001C33DA">
        <w:rPr>
          <w:szCs w:val="24"/>
        </w:rPr>
        <w:t xml:space="preserve">Thomas </w:t>
      </w:r>
      <w:r>
        <w:rPr>
          <w:szCs w:val="24"/>
        </w:rPr>
        <w:t xml:space="preserve">had </w:t>
      </w:r>
      <w:r w:rsidRPr="001C33DA">
        <w:rPr>
          <w:szCs w:val="24"/>
        </w:rPr>
        <w:t xml:space="preserve">filed a motion to vacate </w:t>
      </w:r>
      <w:r>
        <w:rPr>
          <w:szCs w:val="24"/>
        </w:rPr>
        <w:t xml:space="preserve">the stricken cross-complaint—over six months after it had been stricken.  </w:t>
      </w:r>
      <w:r w:rsidRPr="001C33DA">
        <w:rPr>
          <w:szCs w:val="24"/>
        </w:rPr>
        <w:t>Hugh Gibson</w:t>
      </w:r>
      <w:r>
        <w:rPr>
          <w:szCs w:val="24"/>
        </w:rPr>
        <w:t>, opposing counsel for HPL and Solomon,</w:t>
      </w:r>
      <w:r w:rsidRPr="001C33DA">
        <w:rPr>
          <w:szCs w:val="24"/>
        </w:rPr>
        <w:t xml:space="preserve"> wrote to Thomas pointing out the motion’s deficiencies as well as the court’s lack of jurisdiction to hear </w:t>
      </w:r>
      <w:r w:rsidR="00D134B7">
        <w:rPr>
          <w:szCs w:val="24"/>
        </w:rPr>
        <w:t>it</w:t>
      </w:r>
      <w:r w:rsidRPr="001C33DA">
        <w:rPr>
          <w:szCs w:val="24"/>
        </w:rPr>
        <w:t xml:space="preserve">. </w:t>
      </w:r>
      <w:r>
        <w:rPr>
          <w:szCs w:val="24"/>
        </w:rPr>
        <w:t xml:space="preserve"> </w:t>
      </w:r>
      <w:r w:rsidRPr="001C33DA">
        <w:rPr>
          <w:szCs w:val="24"/>
        </w:rPr>
        <w:t xml:space="preserve">Thomas received </w:t>
      </w:r>
      <w:r>
        <w:rPr>
          <w:szCs w:val="24"/>
        </w:rPr>
        <w:t xml:space="preserve">Gibson’s </w:t>
      </w:r>
      <w:r w:rsidR="00EC4BC1">
        <w:rPr>
          <w:szCs w:val="24"/>
        </w:rPr>
        <w:t>letter</w:t>
      </w:r>
      <w:r w:rsidR="00EC4BC1" w:rsidRPr="001C33DA">
        <w:rPr>
          <w:szCs w:val="24"/>
        </w:rPr>
        <w:t xml:space="preserve"> but</w:t>
      </w:r>
      <w:r w:rsidRPr="001C33DA">
        <w:rPr>
          <w:szCs w:val="24"/>
        </w:rPr>
        <w:t xml:space="preserve"> did not withdraw his motion. </w:t>
      </w:r>
      <w:r>
        <w:rPr>
          <w:szCs w:val="24"/>
        </w:rPr>
        <w:t xml:space="preserve"> Gibson filed a motion for sanctions in August 2013.  The motion for sanctions was put on hold pending Thomas’s appeal</w:t>
      </w:r>
      <w:r w:rsidR="0072143A">
        <w:rPr>
          <w:szCs w:val="24"/>
        </w:rPr>
        <w:t xml:space="preserve"> of the May 22 order</w:t>
      </w:r>
      <w:r>
        <w:rPr>
          <w:szCs w:val="24"/>
        </w:rPr>
        <w:t xml:space="preserve">, detailed </w:t>
      </w:r>
      <w:r>
        <w:rPr>
          <w:i/>
          <w:iCs/>
          <w:szCs w:val="24"/>
        </w:rPr>
        <w:t>post</w:t>
      </w:r>
      <w:r>
        <w:rPr>
          <w:szCs w:val="24"/>
        </w:rPr>
        <w:t>.</w:t>
      </w:r>
      <w:r>
        <w:rPr>
          <w:rStyle w:val="FootnoteReference"/>
          <w:szCs w:val="24"/>
        </w:rPr>
        <w:footnoteReference w:id="10"/>
      </w:r>
      <w:r>
        <w:rPr>
          <w:szCs w:val="24"/>
        </w:rPr>
        <w:t xml:space="preserve">  </w:t>
      </w:r>
      <w:r w:rsidRPr="001C33DA">
        <w:rPr>
          <w:szCs w:val="24"/>
        </w:rPr>
        <w:t>On December</w:t>
      </w:r>
      <w:r>
        <w:rPr>
          <w:szCs w:val="24"/>
        </w:rPr>
        <w:t> </w:t>
      </w:r>
      <w:r w:rsidRPr="001C33DA">
        <w:rPr>
          <w:szCs w:val="24"/>
        </w:rPr>
        <w:t xml:space="preserve">4, 2013, the superior court </w:t>
      </w:r>
      <w:r>
        <w:rPr>
          <w:szCs w:val="24"/>
        </w:rPr>
        <w:t>denied</w:t>
      </w:r>
      <w:r w:rsidRPr="001C33DA">
        <w:rPr>
          <w:szCs w:val="24"/>
        </w:rPr>
        <w:t xml:space="preserve"> Thomas’s motion to vacate</w:t>
      </w:r>
      <w:r>
        <w:rPr>
          <w:szCs w:val="24"/>
        </w:rPr>
        <w:t xml:space="preserve"> as untimely</w:t>
      </w:r>
      <w:r w:rsidR="00AA18DB">
        <w:rPr>
          <w:szCs w:val="24"/>
        </w:rPr>
        <w:t>.</w:t>
      </w:r>
    </w:p>
    <w:p w14:paraId="6A750420" w14:textId="0546B6BE" w:rsidR="00B5326B" w:rsidRPr="00797F13" w:rsidRDefault="00FE3D7D" w:rsidP="00B5326B">
      <w:pPr>
        <w:pStyle w:val="NoSpacing"/>
        <w:spacing w:line="480" w:lineRule="auto"/>
        <w:ind w:left="720" w:hanging="720"/>
        <w:rPr>
          <w:b/>
          <w:bCs/>
          <w:szCs w:val="24"/>
        </w:rPr>
      </w:pPr>
      <w:r>
        <w:rPr>
          <w:b/>
          <w:bCs/>
          <w:szCs w:val="24"/>
        </w:rPr>
        <w:t>C</w:t>
      </w:r>
      <w:r w:rsidR="00B5326B" w:rsidRPr="001C33DA">
        <w:rPr>
          <w:b/>
          <w:bCs/>
          <w:szCs w:val="24"/>
        </w:rPr>
        <w:t>.</w:t>
      </w:r>
      <w:r w:rsidR="00B5326B" w:rsidRPr="001C33DA">
        <w:rPr>
          <w:b/>
          <w:bCs/>
          <w:szCs w:val="24"/>
        </w:rPr>
        <w:tab/>
      </w:r>
      <w:r w:rsidR="00B5326B">
        <w:rPr>
          <w:b/>
          <w:bCs/>
          <w:szCs w:val="24"/>
        </w:rPr>
        <w:t>Thomas Appeals</w:t>
      </w:r>
      <w:r w:rsidR="00B5326B" w:rsidRPr="001C33DA">
        <w:rPr>
          <w:b/>
          <w:bCs/>
          <w:szCs w:val="24"/>
        </w:rPr>
        <w:t xml:space="preserve"> Interpleader </w:t>
      </w:r>
      <w:r w:rsidR="00B5326B">
        <w:rPr>
          <w:b/>
          <w:bCs/>
          <w:szCs w:val="24"/>
        </w:rPr>
        <w:t>Action</w:t>
      </w:r>
    </w:p>
    <w:p w14:paraId="262C23F5" w14:textId="44668718" w:rsidR="00B5326B" w:rsidRDefault="00B5326B" w:rsidP="00B5326B">
      <w:pPr>
        <w:spacing w:line="480" w:lineRule="auto"/>
        <w:ind w:firstLine="720"/>
        <w:rPr>
          <w:szCs w:val="24"/>
        </w:rPr>
      </w:pPr>
      <w:r>
        <w:rPr>
          <w:szCs w:val="24"/>
        </w:rPr>
        <w:t xml:space="preserve">On July 22, 2013, Thomas filed a notice of appeal seeking review of the May 22 order directing distribution of the Property sale proceeds.  At the time of the order, Haiem was no </w:t>
      </w:r>
      <w:r>
        <w:rPr>
          <w:szCs w:val="24"/>
        </w:rPr>
        <w:lastRenderedPageBreak/>
        <w:t>longer a party to the interpleader action.  Therefore, on December 16, the appellate court dismissed the appeal for lack of standing.</w:t>
      </w:r>
      <w:r>
        <w:rPr>
          <w:rStyle w:val="FootnoteReference"/>
          <w:szCs w:val="24"/>
        </w:rPr>
        <w:footnoteReference w:id="11"/>
      </w:r>
    </w:p>
    <w:p w14:paraId="066C29CD" w14:textId="155D857F" w:rsidR="00B5326B" w:rsidRDefault="00B5326B" w:rsidP="00B5326B">
      <w:pPr>
        <w:spacing w:line="480" w:lineRule="auto"/>
        <w:ind w:firstLine="720"/>
        <w:rPr>
          <w:szCs w:val="24"/>
        </w:rPr>
      </w:pPr>
      <w:r w:rsidRPr="001C33DA">
        <w:rPr>
          <w:szCs w:val="24"/>
        </w:rPr>
        <w:t>On January</w:t>
      </w:r>
      <w:r>
        <w:rPr>
          <w:szCs w:val="24"/>
        </w:rPr>
        <w:t> </w:t>
      </w:r>
      <w:r w:rsidRPr="001C33DA">
        <w:rPr>
          <w:szCs w:val="24"/>
        </w:rPr>
        <w:t>31, 2014, Thomas</w:t>
      </w:r>
      <w:r>
        <w:rPr>
          <w:szCs w:val="24"/>
        </w:rPr>
        <w:t xml:space="preserve"> filed another notice of appeal in the interpleader action</w:t>
      </w:r>
      <w:r w:rsidR="00434087">
        <w:rPr>
          <w:szCs w:val="24"/>
        </w:rPr>
        <w:t xml:space="preserve"> seeking</w:t>
      </w:r>
      <w:r>
        <w:rPr>
          <w:szCs w:val="24"/>
        </w:rPr>
        <w:t xml:space="preserve"> to appeal the February 1, March 29, May 22, and December 4, </w:t>
      </w:r>
      <w:r w:rsidR="00EC4BC1">
        <w:rPr>
          <w:szCs w:val="24"/>
        </w:rPr>
        <w:t>2013</w:t>
      </w:r>
      <w:r>
        <w:rPr>
          <w:szCs w:val="24"/>
        </w:rPr>
        <w:t xml:space="preserve"> orders.  </w:t>
      </w:r>
      <w:r w:rsidRPr="001C33DA">
        <w:rPr>
          <w:szCs w:val="24"/>
        </w:rPr>
        <w:t xml:space="preserve">Gibson tried to convince Thomas to </w:t>
      </w:r>
      <w:r w:rsidR="00DF79B9">
        <w:rPr>
          <w:szCs w:val="24"/>
        </w:rPr>
        <w:t>restrict</w:t>
      </w:r>
      <w:r w:rsidRPr="001C33DA">
        <w:rPr>
          <w:szCs w:val="24"/>
        </w:rPr>
        <w:t xml:space="preserve"> his appeal to </w:t>
      </w:r>
      <w:r>
        <w:rPr>
          <w:szCs w:val="24"/>
        </w:rPr>
        <w:t xml:space="preserve">only </w:t>
      </w:r>
      <w:r w:rsidRPr="001C33DA">
        <w:rPr>
          <w:szCs w:val="24"/>
        </w:rPr>
        <w:t>the December</w:t>
      </w:r>
      <w:r>
        <w:rPr>
          <w:szCs w:val="24"/>
        </w:rPr>
        <w:t> </w:t>
      </w:r>
      <w:r w:rsidRPr="001C33DA">
        <w:rPr>
          <w:szCs w:val="24"/>
        </w:rPr>
        <w:t>4</w:t>
      </w:r>
      <w:r>
        <w:rPr>
          <w:szCs w:val="24"/>
        </w:rPr>
        <w:t xml:space="preserve"> </w:t>
      </w:r>
      <w:r w:rsidRPr="001C33DA">
        <w:rPr>
          <w:szCs w:val="24"/>
        </w:rPr>
        <w:t>order, as the others were untimely or duplicative of previous</w:t>
      </w:r>
      <w:r w:rsidR="00A75748">
        <w:rPr>
          <w:szCs w:val="24"/>
        </w:rPr>
        <w:t>ly</w:t>
      </w:r>
      <w:r w:rsidRPr="001C33DA">
        <w:rPr>
          <w:szCs w:val="24"/>
        </w:rPr>
        <w:t xml:space="preserve"> dismissed appeal</w:t>
      </w:r>
      <w:r w:rsidR="00A75748">
        <w:rPr>
          <w:szCs w:val="24"/>
        </w:rPr>
        <w:t>s</w:t>
      </w:r>
      <w:r>
        <w:rPr>
          <w:szCs w:val="24"/>
        </w:rPr>
        <w:t>.</w:t>
      </w:r>
      <w:r w:rsidRPr="001C33DA">
        <w:rPr>
          <w:szCs w:val="24"/>
        </w:rPr>
        <w:t xml:space="preserve"> </w:t>
      </w:r>
      <w:r>
        <w:rPr>
          <w:szCs w:val="24"/>
        </w:rPr>
        <w:t xml:space="preserve"> </w:t>
      </w:r>
      <w:r w:rsidRPr="001C33DA">
        <w:rPr>
          <w:szCs w:val="24"/>
        </w:rPr>
        <w:t xml:space="preserve">Thomas received </w:t>
      </w:r>
      <w:r>
        <w:rPr>
          <w:szCs w:val="24"/>
        </w:rPr>
        <w:t>Gibson’s letters</w:t>
      </w:r>
      <w:r w:rsidRPr="001C33DA">
        <w:rPr>
          <w:szCs w:val="24"/>
        </w:rPr>
        <w:t xml:space="preserve">, but declined to limit his appeal. </w:t>
      </w:r>
      <w:r>
        <w:rPr>
          <w:szCs w:val="24"/>
        </w:rPr>
        <w:t xml:space="preserve"> </w:t>
      </w:r>
      <w:r w:rsidRPr="001C33DA">
        <w:rPr>
          <w:szCs w:val="24"/>
        </w:rPr>
        <w:t>Thereafter, Gibson filed a motion to dismiss the appeal of the February</w:t>
      </w:r>
      <w:r>
        <w:rPr>
          <w:szCs w:val="24"/>
        </w:rPr>
        <w:t> </w:t>
      </w:r>
      <w:r w:rsidRPr="001C33DA">
        <w:rPr>
          <w:szCs w:val="24"/>
        </w:rPr>
        <w:t>1 and May</w:t>
      </w:r>
      <w:r>
        <w:rPr>
          <w:szCs w:val="24"/>
        </w:rPr>
        <w:t> </w:t>
      </w:r>
      <w:r w:rsidRPr="001C33DA">
        <w:rPr>
          <w:szCs w:val="24"/>
        </w:rPr>
        <w:t>22</w:t>
      </w:r>
      <w:r>
        <w:rPr>
          <w:szCs w:val="24"/>
        </w:rPr>
        <w:t xml:space="preserve"> </w:t>
      </w:r>
      <w:r w:rsidRPr="001C33DA">
        <w:rPr>
          <w:szCs w:val="24"/>
        </w:rPr>
        <w:t>orders</w:t>
      </w:r>
      <w:r>
        <w:rPr>
          <w:szCs w:val="24"/>
        </w:rPr>
        <w:t>,</w:t>
      </w:r>
      <w:r>
        <w:rPr>
          <w:rStyle w:val="FootnoteReference"/>
          <w:szCs w:val="24"/>
        </w:rPr>
        <w:footnoteReference w:id="12"/>
      </w:r>
      <w:r>
        <w:rPr>
          <w:szCs w:val="24"/>
        </w:rPr>
        <w:t xml:space="preserve"> which was granted on August 28, 2014.</w:t>
      </w:r>
      <w:r w:rsidR="00ED7E0F">
        <w:rPr>
          <w:rStyle w:val="FootnoteReference"/>
          <w:szCs w:val="24"/>
        </w:rPr>
        <w:footnoteReference w:id="13"/>
      </w:r>
      <w:r>
        <w:rPr>
          <w:szCs w:val="24"/>
        </w:rPr>
        <w:t xml:space="preserve">  (</w:t>
      </w:r>
      <w:r>
        <w:rPr>
          <w:i/>
          <w:iCs/>
          <w:szCs w:val="24"/>
        </w:rPr>
        <w:t>Hope Street v. Solomon et al.</w:t>
      </w:r>
      <w:r>
        <w:rPr>
          <w:szCs w:val="24"/>
        </w:rPr>
        <w:t xml:space="preserve"> (Court of Appeal, Second Appellate District, No. B254143).)  The appeal of the December 4, </w:t>
      </w:r>
      <w:r w:rsidR="00EC4BC1">
        <w:rPr>
          <w:szCs w:val="24"/>
        </w:rPr>
        <w:t>2013</w:t>
      </w:r>
      <w:r>
        <w:rPr>
          <w:szCs w:val="24"/>
        </w:rPr>
        <w:t xml:space="preserve"> order continued.  Gibson also filed a motion for sanctions against Thomas and Haiem to recover his client’s expenses </w:t>
      </w:r>
      <w:r w:rsidR="007A1310">
        <w:rPr>
          <w:szCs w:val="24"/>
        </w:rPr>
        <w:t>incurred</w:t>
      </w:r>
      <w:r w:rsidR="002F3945">
        <w:rPr>
          <w:szCs w:val="24"/>
        </w:rPr>
        <w:t xml:space="preserve"> in</w:t>
      </w:r>
      <w:r>
        <w:rPr>
          <w:szCs w:val="24"/>
        </w:rPr>
        <w:t xml:space="preserve"> the appeal. </w:t>
      </w:r>
    </w:p>
    <w:p w14:paraId="7E8C4EFF" w14:textId="3170A5A4" w:rsidR="00B5326B" w:rsidRDefault="00B5326B" w:rsidP="00B5326B">
      <w:pPr>
        <w:spacing w:line="480" w:lineRule="auto"/>
        <w:rPr>
          <w:szCs w:val="24"/>
        </w:rPr>
      </w:pPr>
      <w:r w:rsidRPr="001C33DA">
        <w:rPr>
          <w:szCs w:val="24"/>
        </w:rPr>
        <w:tab/>
        <w:t>On April</w:t>
      </w:r>
      <w:r>
        <w:rPr>
          <w:szCs w:val="24"/>
        </w:rPr>
        <w:t> </w:t>
      </w:r>
      <w:r w:rsidRPr="001C33DA">
        <w:rPr>
          <w:szCs w:val="24"/>
        </w:rPr>
        <w:t xml:space="preserve">27, 2015, the </w:t>
      </w:r>
      <w:r>
        <w:rPr>
          <w:szCs w:val="24"/>
        </w:rPr>
        <w:t>appellate court</w:t>
      </w:r>
      <w:r w:rsidRPr="001C33DA">
        <w:rPr>
          <w:szCs w:val="24"/>
        </w:rPr>
        <w:t xml:space="preserve"> affirmed the trial court’s December</w:t>
      </w:r>
      <w:r>
        <w:rPr>
          <w:szCs w:val="24"/>
        </w:rPr>
        <w:t> </w:t>
      </w:r>
      <w:r w:rsidRPr="001C33DA">
        <w:rPr>
          <w:szCs w:val="24"/>
        </w:rPr>
        <w:t xml:space="preserve">4, </w:t>
      </w:r>
      <w:r w:rsidR="00EC4BC1" w:rsidRPr="001C33DA">
        <w:rPr>
          <w:szCs w:val="24"/>
        </w:rPr>
        <w:t>2013</w:t>
      </w:r>
      <w:r w:rsidRPr="001C33DA">
        <w:rPr>
          <w:szCs w:val="24"/>
        </w:rPr>
        <w:t xml:space="preserve"> ruling denying the motion to vacate</w:t>
      </w:r>
      <w:r w:rsidR="00F177D7">
        <w:rPr>
          <w:szCs w:val="24"/>
        </w:rPr>
        <w:t xml:space="preserve">.  </w:t>
      </w:r>
      <w:r w:rsidR="009979EE">
        <w:rPr>
          <w:szCs w:val="24"/>
        </w:rPr>
        <w:t>It also</w:t>
      </w:r>
      <w:r>
        <w:rPr>
          <w:szCs w:val="24"/>
        </w:rPr>
        <w:t xml:space="preserve"> imposed sanctions against Thomas for filing a frivolous appeal</w:t>
      </w:r>
      <w:r w:rsidRPr="001C33DA">
        <w:rPr>
          <w:szCs w:val="24"/>
        </w:rPr>
        <w:t>.</w:t>
      </w:r>
      <w:r>
        <w:rPr>
          <w:szCs w:val="24"/>
        </w:rPr>
        <w:t xml:space="preserve"> </w:t>
      </w:r>
      <w:r w:rsidRPr="001C33DA">
        <w:rPr>
          <w:szCs w:val="24"/>
        </w:rPr>
        <w:t xml:space="preserve"> </w:t>
      </w:r>
      <w:r>
        <w:rPr>
          <w:szCs w:val="24"/>
        </w:rPr>
        <w:t xml:space="preserve">The appellate court found that </w:t>
      </w:r>
      <w:r w:rsidR="00F82913">
        <w:rPr>
          <w:szCs w:val="24"/>
        </w:rPr>
        <w:t xml:space="preserve">Thomas’s </w:t>
      </w:r>
      <w:r w:rsidR="002E3AB0">
        <w:rPr>
          <w:szCs w:val="24"/>
        </w:rPr>
        <w:t>motion</w:t>
      </w:r>
      <w:r>
        <w:rPr>
          <w:szCs w:val="24"/>
        </w:rPr>
        <w:t xml:space="preserve"> to vacate the dismissal of the cross-complaint was </w:t>
      </w:r>
      <w:r w:rsidR="002B364D">
        <w:rPr>
          <w:szCs w:val="24"/>
        </w:rPr>
        <w:t>un</w:t>
      </w:r>
      <w:r>
        <w:rPr>
          <w:szCs w:val="24"/>
        </w:rPr>
        <w:t xml:space="preserve">timely.  The court stated the </w:t>
      </w:r>
      <w:r w:rsidR="006756AC">
        <w:rPr>
          <w:szCs w:val="24"/>
        </w:rPr>
        <w:t xml:space="preserve">time </w:t>
      </w:r>
      <w:r>
        <w:rPr>
          <w:szCs w:val="24"/>
        </w:rPr>
        <w:t xml:space="preserve">period for filing a motion to vacate was jurisdictional, noting Thomas failed “to cite even a single case to the contrary.”  The court also dismissed Thomas’s argument that the </w:t>
      </w:r>
      <w:r w:rsidR="002B253C">
        <w:rPr>
          <w:szCs w:val="24"/>
        </w:rPr>
        <w:t>deadline</w:t>
      </w:r>
      <w:r>
        <w:rPr>
          <w:szCs w:val="24"/>
        </w:rPr>
        <w:t xml:space="preserve"> should have been extended by five days</w:t>
      </w:r>
      <w:r w:rsidR="002B364D">
        <w:rPr>
          <w:szCs w:val="24"/>
        </w:rPr>
        <w:t xml:space="preserve"> and</w:t>
      </w:r>
      <w:r w:rsidR="006205B3">
        <w:rPr>
          <w:szCs w:val="24"/>
        </w:rPr>
        <w:t xml:space="preserve"> noted</w:t>
      </w:r>
      <w:r>
        <w:rPr>
          <w:szCs w:val="24"/>
        </w:rPr>
        <w:t xml:space="preserve"> </w:t>
      </w:r>
      <w:r w:rsidR="006205B3">
        <w:rPr>
          <w:szCs w:val="24"/>
        </w:rPr>
        <w:t>Thomas</w:t>
      </w:r>
      <w:r>
        <w:rPr>
          <w:szCs w:val="24"/>
        </w:rPr>
        <w:t xml:space="preserve"> did not present a colorable </w:t>
      </w:r>
      <w:r w:rsidR="00B27775">
        <w:rPr>
          <w:szCs w:val="24"/>
        </w:rPr>
        <w:t xml:space="preserve">supporting </w:t>
      </w:r>
      <w:r>
        <w:rPr>
          <w:szCs w:val="24"/>
        </w:rPr>
        <w:t xml:space="preserve">argument. </w:t>
      </w:r>
    </w:p>
    <w:p w14:paraId="67BF8F4F" w14:textId="1F2FAC87" w:rsidR="00B5326B" w:rsidRDefault="00B5326B" w:rsidP="00B5326B">
      <w:pPr>
        <w:spacing w:line="480" w:lineRule="auto"/>
        <w:ind w:firstLine="720"/>
        <w:rPr>
          <w:szCs w:val="24"/>
        </w:rPr>
      </w:pPr>
      <w:r>
        <w:rPr>
          <w:szCs w:val="24"/>
        </w:rPr>
        <w:t xml:space="preserve">Further, the court found Thomas’s appeal was frivolous and intended to harass HPL and </w:t>
      </w:r>
      <w:r w:rsidR="00931D57">
        <w:rPr>
          <w:szCs w:val="24"/>
        </w:rPr>
        <w:t>increase its</w:t>
      </w:r>
      <w:r>
        <w:rPr>
          <w:szCs w:val="24"/>
        </w:rPr>
        <w:t xml:space="preserve"> litigation costs, describing </w:t>
      </w:r>
      <w:r w:rsidR="007A3D47">
        <w:rPr>
          <w:szCs w:val="24"/>
        </w:rPr>
        <w:t>Thomas’s</w:t>
      </w:r>
      <w:r>
        <w:rPr>
          <w:szCs w:val="24"/>
        </w:rPr>
        <w:t xml:space="preserve"> conduct as “unprofessional and at times </w:t>
      </w:r>
      <w:r>
        <w:rPr>
          <w:szCs w:val="24"/>
        </w:rPr>
        <w:lastRenderedPageBreak/>
        <w:t>outrageous.”  The court described Thomas’s communications with Gibson as “gratuitous and unprofessional.”</w:t>
      </w:r>
      <w:r>
        <w:rPr>
          <w:rStyle w:val="FootnoteReference"/>
          <w:szCs w:val="24"/>
        </w:rPr>
        <w:footnoteReference w:id="14"/>
      </w:r>
      <w:r>
        <w:rPr>
          <w:szCs w:val="24"/>
        </w:rPr>
        <w:t xml:space="preserve">  </w:t>
      </w:r>
      <w:r w:rsidR="005A488B">
        <w:rPr>
          <w:szCs w:val="24"/>
        </w:rPr>
        <w:t>T</w:t>
      </w:r>
      <w:r>
        <w:rPr>
          <w:szCs w:val="24"/>
        </w:rPr>
        <w:t xml:space="preserve">he court found Thomas’s conduct “even more egregious” </w:t>
      </w:r>
      <w:r w:rsidR="00BA215D">
        <w:rPr>
          <w:szCs w:val="24"/>
        </w:rPr>
        <w:t>as the appeal proc</w:t>
      </w:r>
      <w:r w:rsidR="005A488B">
        <w:rPr>
          <w:szCs w:val="24"/>
        </w:rPr>
        <w:t>eeded</w:t>
      </w:r>
      <w:r w:rsidR="00E941C9">
        <w:rPr>
          <w:szCs w:val="24"/>
        </w:rPr>
        <w:t xml:space="preserve">. </w:t>
      </w:r>
      <w:r>
        <w:rPr>
          <w:szCs w:val="24"/>
        </w:rPr>
        <w:t xml:space="preserve"> Gibson tried to prepare an adequate record on appeal, but Thomas resisted, </w:t>
      </w:r>
      <w:r w:rsidR="000F4BD9">
        <w:rPr>
          <w:szCs w:val="24"/>
        </w:rPr>
        <w:t>asserting</w:t>
      </w:r>
      <w:r>
        <w:rPr>
          <w:szCs w:val="24"/>
        </w:rPr>
        <w:t xml:space="preserve"> he was not obligated to send an appendix and call</w:t>
      </w:r>
      <w:r w:rsidR="000F4BD9">
        <w:rPr>
          <w:szCs w:val="24"/>
        </w:rPr>
        <w:t>ing</w:t>
      </w:r>
      <w:r>
        <w:rPr>
          <w:szCs w:val="24"/>
        </w:rPr>
        <w:t xml:space="preserve"> Gibson’s clients “crooks, thieves[,] charlatans and should be behind bars for the rest of their lives.”  Thomas sent another email </w:t>
      </w:r>
      <w:r w:rsidR="00873AF6">
        <w:rPr>
          <w:szCs w:val="24"/>
        </w:rPr>
        <w:t>depicting</w:t>
      </w:r>
      <w:r>
        <w:rPr>
          <w:szCs w:val="24"/>
        </w:rPr>
        <w:t xml:space="preserve"> Gibson’s “skills as an attorney at law to be noncompensable” based on a recent appellate court opinion</w:t>
      </w:r>
      <w:r w:rsidR="00FE3D7D">
        <w:rPr>
          <w:szCs w:val="24"/>
        </w:rPr>
        <w:t xml:space="preserve">.  </w:t>
      </w:r>
      <w:r>
        <w:rPr>
          <w:szCs w:val="24"/>
        </w:rPr>
        <w:t xml:space="preserve">He stated, “Enjoy yourself, Mr. Gibson and don’t get in a family way before midnight.”  (Capitalization omitted.)  After Gibson pleaded with Thomas to keep his emotions </w:t>
      </w:r>
      <w:r w:rsidR="002C3C51">
        <w:rPr>
          <w:szCs w:val="24"/>
        </w:rPr>
        <w:t>in check</w:t>
      </w:r>
      <w:r>
        <w:rPr>
          <w:szCs w:val="24"/>
        </w:rPr>
        <w:t>, Thomas told Gibson that the work on this case was very difficult and “beyond your capabilities.”  He added that he would “consider this request but you can rest assured that it will be given the proper priority not the rush doctors waiting room shrink wrapped in southern [C]alifornia plastic attention that you give to pleadings in this case.  [¶]  You really ought to see a psychiatrist immediately.”  The appellate court found</w:t>
      </w:r>
      <w:r w:rsidR="00CD1FBE">
        <w:rPr>
          <w:szCs w:val="24"/>
        </w:rPr>
        <w:t>,</w:t>
      </w:r>
      <w:r>
        <w:rPr>
          <w:szCs w:val="24"/>
        </w:rPr>
        <w:t xml:space="preserve"> </w:t>
      </w:r>
    </w:p>
    <w:p w14:paraId="3AE9C183" w14:textId="363C2B81" w:rsidR="00B5326B" w:rsidRDefault="00B5326B" w:rsidP="00B5326B">
      <w:pPr>
        <w:ind w:left="720" w:right="720"/>
        <w:rPr>
          <w:szCs w:val="24"/>
        </w:rPr>
      </w:pPr>
      <w:r>
        <w:rPr>
          <w:szCs w:val="24"/>
        </w:rPr>
        <w:t xml:space="preserve">Thomas’s conduct, including his refusal to limit the scope of the appeal, his resistance to Gibson’s effort to prepare an adequate record on appeal, his threat to communicate to Gibson’s clients regarding alleged malpractice in a prior case, and his repeated gratuitous and unprofessional comments highlight the improper motives in prosecuting this appeal.  Indeed, Thomas’s comments that he will only respond to a </w:t>
      </w:r>
      <w:r w:rsidR="009616DD">
        <w:rPr>
          <w:szCs w:val="24"/>
        </w:rPr>
        <w:t>“</w:t>
      </w:r>
      <w:r>
        <w:rPr>
          <w:szCs w:val="24"/>
        </w:rPr>
        <w:t>settlement offer</w:t>
      </w:r>
      <w:r w:rsidR="009616DD">
        <w:rPr>
          <w:szCs w:val="24"/>
        </w:rPr>
        <w:t>”</w:t>
      </w:r>
      <w:r>
        <w:rPr>
          <w:szCs w:val="24"/>
        </w:rPr>
        <w:t xml:space="preserve"> and that work on the case </w:t>
      </w:r>
      <w:r w:rsidR="009616DD">
        <w:rPr>
          <w:szCs w:val="24"/>
        </w:rPr>
        <w:t>“</w:t>
      </w:r>
      <w:r>
        <w:rPr>
          <w:szCs w:val="24"/>
        </w:rPr>
        <w:t>will increase exponentially</w:t>
      </w:r>
      <w:r w:rsidR="009616DD">
        <w:rPr>
          <w:szCs w:val="24"/>
        </w:rPr>
        <w:t>”</w:t>
      </w:r>
      <w:r>
        <w:rPr>
          <w:szCs w:val="24"/>
        </w:rPr>
        <w:t xml:space="preserve"> over time reveal Thomas’s intent to harass [HPL] and drive up its litigation costs in the hope of a settlement.</w:t>
      </w:r>
    </w:p>
    <w:p w14:paraId="34B18313" w14:textId="77777777" w:rsidR="00B5326B" w:rsidRDefault="00B5326B" w:rsidP="00B5326B">
      <w:pPr>
        <w:ind w:left="720" w:right="720"/>
        <w:rPr>
          <w:szCs w:val="24"/>
        </w:rPr>
      </w:pPr>
    </w:p>
    <w:p w14:paraId="18FE4A7E" w14:textId="6BDC1638" w:rsidR="00B5326B" w:rsidRDefault="00B5326B" w:rsidP="00B5326B">
      <w:pPr>
        <w:spacing w:line="480" w:lineRule="auto"/>
        <w:rPr>
          <w:szCs w:val="24"/>
        </w:rPr>
      </w:pPr>
      <w:r>
        <w:rPr>
          <w:szCs w:val="24"/>
        </w:rPr>
        <w:t xml:space="preserve">Finally, the appellate court stated Thomas’s appeal “indisputably has no merit.”  The court found </w:t>
      </w:r>
      <w:r w:rsidR="005264E3">
        <w:rPr>
          <w:szCs w:val="24"/>
        </w:rPr>
        <w:t xml:space="preserve">that </w:t>
      </w:r>
      <w:r w:rsidRPr="001C33DA">
        <w:rPr>
          <w:szCs w:val="24"/>
        </w:rPr>
        <w:t>Thomas failed to “cite even a single authority” support</w:t>
      </w:r>
      <w:r w:rsidR="00B75918">
        <w:rPr>
          <w:szCs w:val="24"/>
        </w:rPr>
        <w:t>ing</w:t>
      </w:r>
      <w:r>
        <w:rPr>
          <w:szCs w:val="24"/>
        </w:rPr>
        <w:t xml:space="preserve"> his positions and the cases he did cite “do not stand for the propositions he argues.”  The court concluded the appeal was “frivolous both because it is objectively devoid of merit and because it is subjectively prosecuted for an improper motive—to harass [HPL] and increase its litigation costs.”  </w:t>
      </w:r>
    </w:p>
    <w:p w14:paraId="6E7C8E66" w14:textId="1AE6ADFD" w:rsidR="00B5326B" w:rsidRDefault="00B5326B" w:rsidP="00B5326B">
      <w:pPr>
        <w:spacing w:line="480" w:lineRule="auto"/>
        <w:ind w:firstLine="720"/>
        <w:rPr>
          <w:szCs w:val="24"/>
        </w:rPr>
      </w:pPr>
      <w:r>
        <w:rPr>
          <w:szCs w:val="24"/>
        </w:rPr>
        <w:t xml:space="preserve">Accordingly, the appellate court found significant sanctions were appropriate for the frivolous appeal.  The court found a high “degree of objective frivolousness” and that </w:t>
      </w:r>
      <w:r w:rsidR="00FE3D7D">
        <w:rPr>
          <w:szCs w:val="24"/>
        </w:rPr>
        <w:t xml:space="preserve">the </w:t>
      </w:r>
      <w:r>
        <w:rPr>
          <w:szCs w:val="24"/>
        </w:rPr>
        <w:t xml:space="preserve">hours </w:t>
      </w:r>
      <w:r w:rsidR="00FE3D7D">
        <w:rPr>
          <w:szCs w:val="24"/>
        </w:rPr>
        <w:t xml:space="preserve">Gibson </w:t>
      </w:r>
      <w:r>
        <w:rPr>
          <w:szCs w:val="24"/>
        </w:rPr>
        <w:t xml:space="preserve">worked were “caused in large part by Thomas’s obstructive conduct.”  The court ordered Thomas </w:t>
      </w:r>
      <w:r w:rsidRPr="001C33DA">
        <w:rPr>
          <w:szCs w:val="24"/>
        </w:rPr>
        <w:t>to pay $58,650</w:t>
      </w:r>
      <w:r>
        <w:rPr>
          <w:szCs w:val="24"/>
        </w:rPr>
        <w:t xml:space="preserve"> </w:t>
      </w:r>
      <w:r w:rsidRPr="001C33DA">
        <w:rPr>
          <w:szCs w:val="24"/>
        </w:rPr>
        <w:t>in sanctions</w:t>
      </w:r>
      <w:r>
        <w:rPr>
          <w:szCs w:val="24"/>
        </w:rPr>
        <w:t>, individually,</w:t>
      </w:r>
      <w:r w:rsidRPr="001C33DA">
        <w:rPr>
          <w:szCs w:val="24"/>
        </w:rPr>
        <w:t xml:space="preserve"> within 30 days from the date of the remittitur</w:t>
      </w:r>
      <w:r>
        <w:rPr>
          <w:szCs w:val="24"/>
        </w:rPr>
        <w:t>, which included $48,650 for HPL’s attorney fees and $10,000 to “discourage the type of inappropriate conduct displayed by Haiem and Thomas in this appeal.”</w:t>
      </w:r>
    </w:p>
    <w:p w14:paraId="3FC4201D" w14:textId="1B98BD6E" w:rsidR="00AC07CB" w:rsidRDefault="00B5326B" w:rsidP="00ED7E0F">
      <w:pPr>
        <w:spacing w:line="480" w:lineRule="auto"/>
        <w:ind w:firstLine="720"/>
        <w:rPr>
          <w:szCs w:val="24"/>
        </w:rPr>
      </w:pPr>
      <w:r>
        <w:rPr>
          <w:szCs w:val="24"/>
        </w:rPr>
        <w:t xml:space="preserve">On May 12, 2015, Thomas filed a petition for rehearing, which was denied.  The court then issued the remittitur on August 21.  On October 30, Thomas filed a motion to recall the remittitur, which was denied on November 2.  Thomas then unsuccessfully attempted to petition the California Supreme Court and the Supreme Court of the United States for review.  </w:t>
      </w:r>
      <w:r w:rsidR="006235C0">
        <w:rPr>
          <w:szCs w:val="24"/>
        </w:rPr>
        <w:t>He</w:t>
      </w:r>
      <w:r>
        <w:rPr>
          <w:szCs w:val="24"/>
        </w:rPr>
        <w:t xml:space="preserve"> did not pay the sanctions and did not report them to the State Bar.  </w:t>
      </w:r>
    </w:p>
    <w:p w14:paraId="4D563E6A" w14:textId="621BF8B0" w:rsidR="00B5326B" w:rsidRPr="00EA073F" w:rsidRDefault="00FE3D7D" w:rsidP="00B5326B">
      <w:pPr>
        <w:spacing w:line="480" w:lineRule="auto"/>
        <w:rPr>
          <w:b/>
          <w:bCs/>
          <w:szCs w:val="24"/>
        </w:rPr>
      </w:pPr>
      <w:r>
        <w:rPr>
          <w:b/>
          <w:bCs/>
          <w:szCs w:val="24"/>
        </w:rPr>
        <w:t>D</w:t>
      </w:r>
      <w:r w:rsidR="00B5326B" w:rsidRPr="00EA073F">
        <w:rPr>
          <w:b/>
          <w:bCs/>
          <w:szCs w:val="24"/>
        </w:rPr>
        <w:t>.</w:t>
      </w:r>
      <w:r w:rsidR="00B5326B" w:rsidRPr="00EA073F">
        <w:rPr>
          <w:b/>
          <w:bCs/>
          <w:szCs w:val="24"/>
        </w:rPr>
        <w:tab/>
        <w:t>Superior Court</w:t>
      </w:r>
      <w:r w:rsidR="00B5326B">
        <w:rPr>
          <w:b/>
          <w:bCs/>
          <w:szCs w:val="24"/>
        </w:rPr>
        <w:t xml:space="preserve"> Orders Sanctions in Interpleader Action</w:t>
      </w:r>
    </w:p>
    <w:p w14:paraId="00A53E61" w14:textId="2A3F8A21" w:rsidR="00B5326B" w:rsidRDefault="00B5326B" w:rsidP="00B5326B">
      <w:pPr>
        <w:spacing w:line="480" w:lineRule="auto"/>
        <w:ind w:firstLine="720"/>
        <w:rPr>
          <w:szCs w:val="24"/>
        </w:rPr>
      </w:pPr>
      <w:r>
        <w:rPr>
          <w:szCs w:val="24"/>
        </w:rPr>
        <w:t xml:space="preserve">Because the remittitur had been issued, the superior court could now rule on Gibson’s motion for sanctions filed in </w:t>
      </w:r>
      <w:r w:rsidR="00FE3D7D">
        <w:rPr>
          <w:szCs w:val="24"/>
        </w:rPr>
        <w:t xml:space="preserve">August </w:t>
      </w:r>
      <w:r>
        <w:rPr>
          <w:szCs w:val="24"/>
        </w:rPr>
        <w:t xml:space="preserve">2013.  On August 24, 2016, the superior court granted </w:t>
      </w:r>
      <w:r w:rsidR="009D3D4A">
        <w:rPr>
          <w:szCs w:val="24"/>
        </w:rPr>
        <w:t>that</w:t>
      </w:r>
      <w:r>
        <w:rPr>
          <w:szCs w:val="24"/>
        </w:rPr>
        <w:t xml:space="preserve"> motion.  (</w:t>
      </w:r>
      <w:r w:rsidRPr="00CC3F42">
        <w:rPr>
          <w:i/>
          <w:iCs/>
          <w:szCs w:val="24"/>
        </w:rPr>
        <w:t>Hope Street v. Solomon et al.</w:t>
      </w:r>
      <w:r>
        <w:rPr>
          <w:szCs w:val="24"/>
        </w:rPr>
        <w:t xml:space="preserve"> (Super. Ct. Los Angeles County, No.</w:t>
      </w:r>
      <w:r w:rsidR="001B33CE">
        <w:rPr>
          <w:szCs w:val="24"/>
        </w:rPr>
        <w:t> </w:t>
      </w:r>
      <w:r>
        <w:rPr>
          <w:szCs w:val="24"/>
        </w:rPr>
        <w:t>BC466413).)  The court found that Thomas’s motion to vacate the dismissal of the cross-complaint was untimely and, when informed of this fact, Thomas refused to withdraw the motion, which justified sanctions under section 128.7 of the Code of Civil Procedure.  The court stated</w:t>
      </w:r>
      <w:r w:rsidR="005264E3">
        <w:rPr>
          <w:szCs w:val="24"/>
        </w:rPr>
        <w:t>,</w:t>
      </w:r>
      <w:r>
        <w:rPr>
          <w:szCs w:val="24"/>
        </w:rPr>
        <w:t xml:space="preserve"> </w:t>
      </w:r>
    </w:p>
    <w:p w14:paraId="5E56C8DB" w14:textId="11CA8123" w:rsidR="00B5326B" w:rsidRDefault="00B5326B" w:rsidP="00B5326B">
      <w:pPr>
        <w:ind w:left="720" w:right="720"/>
        <w:contextualSpacing/>
        <w:rPr>
          <w:szCs w:val="24"/>
        </w:rPr>
      </w:pPr>
      <w:r>
        <w:rPr>
          <w:szCs w:val="24"/>
        </w:rPr>
        <w:t xml:space="preserve">[I]t is clear beyond a doubt that Mr. Thomas not only delayed far beyond a </w:t>
      </w:r>
      <w:r w:rsidR="00944932">
        <w:rPr>
          <w:szCs w:val="24"/>
        </w:rPr>
        <w:br/>
        <w:t>“</w:t>
      </w:r>
      <w:r>
        <w:rPr>
          <w:szCs w:val="24"/>
        </w:rPr>
        <w:t>reasonable time</w:t>
      </w:r>
      <w:r w:rsidR="00944932">
        <w:rPr>
          <w:szCs w:val="24"/>
        </w:rPr>
        <w:t>”</w:t>
      </w:r>
      <w:r>
        <w:rPr>
          <w:szCs w:val="24"/>
        </w:rPr>
        <w:t xml:space="preserve"> in making his application for relief, not only pushed to the six month limit, but actually then pushed five days beyond that and now wants the court to rescue him and grant him [Code of Civil Procedure section] 473 relief even though more than the statutory six months have elapsed from the time of the order he now seeks to challenge.  Mr. Thomas’s strategy of delay has backfired on him.</w:t>
      </w:r>
    </w:p>
    <w:p w14:paraId="42646D8D" w14:textId="77777777" w:rsidR="00B5326B" w:rsidRDefault="00B5326B" w:rsidP="00B5326B">
      <w:pPr>
        <w:ind w:left="720" w:right="720"/>
        <w:contextualSpacing/>
        <w:rPr>
          <w:szCs w:val="24"/>
        </w:rPr>
      </w:pPr>
    </w:p>
    <w:p w14:paraId="21CB800F" w14:textId="6E73A58A" w:rsidR="00B5326B" w:rsidRDefault="00B5326B" w:rsidP="00B5326B">
      <w:pPr>
        <w:spacing w:line="480" w:lineRule="auto"/>
        <w:rPr>
          <w:szCs w:val="24"/>
        </w:rPr>
      </w:pPr>
      <w:r>
        <w:rPr>
          <w:szCs w:val="24"/>
        </w:rPr>
        <w:t xml:space="preserve">The court </w:t>
      </w:r>
      <w:r w:rsidR="00944932">
        <w:rPr>
          <w:szCs w:val="24"/>
        </w:rPr>
        <w:t xml:space="preserve">further </w:t>
      </w:r>
      <w:r>
        <w:rPr>
          <w:szCs w:val="24"/>
        </w:rPr>
        <w:t>found that Thomas’s arguments were “without any legal or factual basis,” that he pursued the motion</w:t>
      </w:r>
      <w:r w:rsidRPr="001C33DA">
        <w:rPr>
          <w:szCs w:val="24"/>
        </w:rPr>
        <w:t xml:space="preserve"> “after having been expressly warned that said motion was without merit and should be dismissed,” and, that he did so “for the purpose of harassing [HPL] and needlessly driving up the costs of this litigation.”</w:t>
      </w:r>
      <w:r>
        <w:rPr>
          <w:szCs w:val="24"/>
        </w:rPr>
        <w:t xml:space="preserve">  T</w:t>
      </w:r>
      <w:r w:rsidRPr="001C33DA">
        <w:rPr>
          <w:szCs w:val="24"/>
        </w:rPr>
        <w:t>he court imposed sanctions against Thomas, individually, in the amount of $40,870</w:t>
      </w:r>
      <w:r>
        <w:rPr>
          <w:szCs w:val="24"/>
        </w:rPr>
        <w:t>, which included $22,810 for HPL’s attorney fees and $18,060 under Code of Civil Procedure section 128.7.</w:t>
      </w:r>
    </w:p>
    <w:p w14:paraId="0FB508ED" w14:textId="234338DA" w:rsidR="0021590C" w:rsidRPr="001C33DA" w:rsidRDefault="00B5326B" w:rsidP="00CF1C02">
      <w:pPr>
        <w:spacing w:line="480" w:lineRule="auto"/>
        <w:ind w:firstLine="720"/>
        <w:rPr>
          <w:szCs w:val="24"/>
        </w:rPr>
      </w:pPr>
      <w:r>
        <w:rPr>
          <w:szCs w:val="24"/>
        </w:rPr>
        <w:t xml:space="preserve">Over three months after the sanctions order was filed, </w:t>
      </w:r>
      <w:r w:rsidRPr="001C33DA">
        <w:rPr>
          <w:szCs w:val="24"/>
        </w:rPr>
        <w:t>Thomas filed a motion for clarification and relief from the sanction</w:t>
      </w:r>
      <w:r>
        <w:rPr>
          <w:szCs w:val="24"/>
        </w:rPr>
        <w:t>s</w:t>
      </w:r>
      <w:r w:rsidRPr="001C33DA">
        <w:rPr>
          <w:szCs w:val="24"/>
        </w:rPr>
        <w:t xml:space="preserve"> order</w:t>
      </w:r>
      <w:r>
        <w:rPr>
          <w:szCs w:val="24"/>
        </w:rPr>
        <w:t xml:space="preserve"> on December 5, 2016.  </w:t>
      </w:r>
      <w:r w:rsidRPr="001C33DA">
        <w:rPr>
          <w:szCs w:val="24"/>
        </w:rPr>
        <w:t>In this motion, Thomas acknowledge</w:t>
      </w:r>
      <w:r w:rsidR="00FE3D7D">
        <w:rPr>
          <w:szCs w:val="24"/>
        </w:rPr>
        <w:t>d</w:t>
      </w:r>
      <w:r w:rsidRPr="001C33DA">
        <w:rPr>
          <w:szCs w:val="24"/>
        </w:rPr>
        <w:t xml:space="preserve"> the sanction</w:t>
      </w:r>
      <w:r>
        <w:rPr>
          <w:szCs w:val="24"/>
        </w:rPr>
        <w:t>s</w:t>
      </w:r>
      <w:r w:rsidRPr="001C33DA">
        <w:rPr>
          <w:szCs w:val="24"/>
        </w:rPr>
        <w:t xml:space="preserve"> order entered on August</w:t>
      </w:r>
      <w:r>
        <w:rPr>
          <w:szCs w:val="24"/>
        </w:rPr>
        <w:t> </w:t>
      </w:r>
      <w:r w:rsidRPr="001C33DA">
        <w:rPr>
          <w:szCs w:val="24"/>
        </w:rPr>
        <w:t>24,</w:t>
      </w:r>
      <w:r>
        <w:rPr>
          <w:szCs w:val="24"/>
        </w:rPr>
        <w:t xml:space="preserve"> </w:t>
      </w:r>
      <w:r w:rsidRPr="001C33DA">
        <w:rPr>
          <w:szCs w:val="24"/>
        </w:rPr>
        <w:t>but claim</w:t>
      </w:r>
      <w:r w:rsidR="00FE3D7D">
        <w:rPr>
          <w:szCs w:val="24"/>
        </w:rPr>
        <w:t>ed</w:t>
      </w:r>
      <w:r w:rsidRPr="001C33DA">
        <w:rPr>
          <w:szCs w:val="24"/>
        </w:rPr>
        <w:t xml:space="preserve"> he never received “communication of any kind directly from the court regarding the reserved decision on the motion for sanctions.”</w:t>
      </w:r>
      <w:r>
        <w:rPr>
          <w:szCs w:val="24"/>
        </w:rPr>
        <w:t xml:space="preserve">  In his </w:t>
      </w:r>
      <w:r w:rsidR="00097210">
        <w:rPr>
          <w:szCs w:val="24"/>
        </w:rPr>
        <w:t>supporting</w:t>
      </w:r>
      <w:r w:rsidR="00C2485F">
        <w:rPr>
          <w:szCs w:val="24"/>
        </w:rPr>
        <w:t xml:space="preserve"> </w:t>
      </w:r>
      <w:r>
        <w:rPr>
          <w:szCs w:val="24"/>
        </w:rPr>
        <w:t xml:space="preserve">declaration, </w:t>
      </w:r>
      <w:r w:rsidR="00C2485F">
        <w:rPr>
          <w:szCs w:val="24"/>
        </w:rPr>
        <w:t>Thomas</w:t>
      </w:r>
      <w:r>
        <w:rPr>
          <w:szCs w:val="24"/>
        </w:rPr>
        <w:t xml:space="preserve"> </w:t>
      </w:r>
      <w:r w:rsidR="00C2485F">
        <w:rPr>
          <w:szCs w:val="24"/>
        </w:rPr>
        <w:t>acknowledged</w:t>
      </w:r>
      <w:r>
        <w:rPr>
          <w:szCs w:val="24"/>
        </w:rPr>
        <w:t xml:space="preserve"> he received a letter from the State Bar in October 2016 regarding the sanctions.  However, </w:t>
      </w:r>
      <w:r w:rsidR="00942229">
        <w:rPr>
          <w:szCs w:val="24"/>
        </w:rPr>
        <w:t>he</w:t>
      </w:r>
      <w:r w:rsidRPr="001C33DA">
        <w:rPr>
          <w:szCs w:val="24"/>
        </w:rPr>
        <w:t xml:space="preserve"> testified</w:t>
      </w:r>
      <w:r>
        <w:rPr>
          <w:szCs w:val="24"/>
        </w:rPr>
        <w:t xml:space="preserve"> that</w:t>
      </w:r>
      <w:r w:rsidRPr="001C33DA">
        <w:rPr>
          <w:szCs w:val="24"/>
        </w:rPr>
        <w:t xml:space="preserve"> he was never “served” with a copy of this order until receiving it from</w:t>
      </w:r>
      <w:r>
        <w:rPr>
          <w:szCs w:val="24"/>
        </w:rPr>
        <w:t xml:space="preserve"> OCTC</w:t>
      </w:r>
      <w:r w:rsidRPr="001C33DA">
        <w:rPr>
          <w:szCs w:val="24"/>
        </w:rPr>
        <w:t xml:space="preserve"> in 2020.</w:t>
      </w:r>
      <w:r>
        <w:rPr>
          <w:szCs w:val="24"/>
        </w:rPr>
        <w:t xml:space="preserve">  Thomas did not pay the sanctions.  </w:t>
      </w:r>
    </w:p>
    <w:p w14:paraId="6F7B2CA0" w14:textId="527717A8" w:rsidR="00B5326B" w:rsidRPr="001C33DA" w:rsidRDefault="00FE3D7D" w:rsidP="00B5326B">
      <w:pPr>
        <w:pStyle w:val="NoSpacing"/>
        <w:ind w:left="720" w:hanging="720"/>
        <w:rPr>
          <w:b/>
          <w:bCs/>
          <w:szCs w:val="24"/>
        </w:rPr>
      </w:pPr>
      <w:r>
        <w:rPr>
          <w:b/>
          <w:bCs/>
          <w:szCs w:val="24"/>
        </w:rPr>
        <w:t>E</w:t>
      </w:r>
      <w:r w:rsidR="00B5326B" w:rsidRPr="001C33DA">
        <w:rPr>
          <w:b/>
          <w:bCs/>
          <w:szCs w:val="24"/>
        </w:rPr>
        <w:t>.</w:t>
      </w:r>
      <w:r w:rsidR="00B5326B" w:rsidRPr="001C33DA">
        <w:rPr>
          <w:b/>
          <w:bCs/>
          <w:szCs w:val="24"/>
        </w:rPr>
        <w:tab/>
        <w:t>T</w:t>
      </w:r>
      <w:r w:rsidR="003E6405">
        <w:rPr>
          <w:b/>
          <w:bCs/>
          <w:szCs w:val="24"/>
        </w:rPr>
        <w:t xml:space="preserve">homas Files Lawsuit </w:t>
      </w:r>
      <w:r w:rsidR="0078386C">
        <w:rPr>
          <w:b/>
          <w:bCs/>
          <w:szCs w:val="24"/>
        </w:rPr>
        <w:t xml:space="preserve">in Superior Court </w:t>
      </w:r>
      <w:r w:rsidR="003E6405">
        <w:rPr>
          <w:b/>
          <w:bCs/>
          <w:szCs w:val="24"/>
        </w:rPr>
        <w:t>on Behalf of True Harmony</w:t>
      </w:r>
      <w:r w:rsidR="00B5326B" w:rsidRPr="001C33DA">
        <w:rPr>
          <w:b/>
          <w:bCs/>
          <w:szCs w:val="24"/>
        </w:rPr>
        <w:t xml:space="preserve"> </w:t>
      </w:r>
    </w:p>
    <w:p w14:paraId="636BF9C6" w14:textId="77777777" w:rsidR="00B5326B" w:rsidRPr="001C33DA" w:rsidRDefault="00B5326B" w:rsidP="00B5326B">
      <w:pPr>
        <w:pStyle w:val="NoSpacing"/>
        <w:rPr>
          <w:szCs w:val="24"/>
        </w:rPr>
      </w:pPr>
    </w:p>
    <w:p w14:paraId="405A0050" w14:textId="01B9AAFC" w:rsidR="00B5326B" w:rsidRDefault="00B5326B" w:rsidP="00B5326B">
      <w:pPr>
        <w:spacing w:line="480" w:lineRule="auto"/>
        <w:rPr>
          <w:szCs w:val="24"/>
        </w:rPr>
      </w:pPr>
      <w:r w:rsidRPr="001C33DA">
        <w:rPr>
          <w:szCs w:val="24"/>
        </w:rPr>
        <w:tab/>
        <w:t>In May</w:t>
      </w:r>
      <w:r>
        <w:rPr>
          <w:szCs w:val="24"/>
        </w:rPr>
        <w:t> </w:t>
      </w:r>
      <w:r w:rsidRPr="001C33DA">
        <w:rPr>
          <w:szCs w:val="24"/>
        </w:rPr>
        <w:t>2014</w:t>
      </w:r>
      <w:r>
        <w:rPr>
          <w:szCs w:val="24"/>
        </w:rPr>
        <w:t>,</w:t>
      </w:r>
      <w:r w:rsidRPr="001C33DA">
        <w:rPr>
          <w:szCs w:val="24"/>
        </w:rPr>
        <w:t xml:space="preserve"> Thomas filed a separate lawsuit on behalf True Harmony</w:t>
      </w:r>
      <w:r>
        <w:rPr>
          <w:szCs w:val="24"/>
        </w:rPr>
        <w:t xml:space="preserve"> against Perry, Solomon, and HPL (True Harmony matter).  (</w:t>
      </w:r>
      <w:r>
        <w:rPr>
          <w:i/>
          <w:iCs/>
          <w:szCs w:val="24"/>
        </w:rPr>
        <w:t>True Harmony v. Perry et al.</w:t>
      </w:r>
      <w:r>
        <w:rPr>
          <w:szCs w:val="24"/>
        </w:rPr>
        <w:t xml:space="preserve"> (Super. Ct. Los</w:t>
      </w:r>
      <w:r w:rsidR="001B33CE">
        <w:rPr>
          <w:szCs w:val="24"/>
        </w:rPr>
        <w:t> </w:t>
      </w:r>
      <w:r>
        <w:rPr>
          <w:szCs w:val="24"/>
        </w:rPr>
        <w:t xml:space="preserve">Angeles County, No. BC546574.)  Perry </w:t>
      </w:r>
      <w:r w:rsidR="00817CD5">
        <w:rPr>
          <w:szCs w:val="24"/>
        </w:rPr>
        <w:t xml:space="preserve">filed </w:t>
      </w:r>
      <w:r w:rsidR="00D9748E">
        <w:rPr>
          <w:szCs w:val="24"/>
        </w:rPr>
        <w:t>a demurrer</w:t>
      </w:r>
      <w:r>
        <w:rPr>
          <w:szCs w:val="24"/>
        </w:rPr>
        <w:t xml:space="preserve">.  </w:t>
      </w:r>
      <w:r w:rsidR="00BF6A10">
        <w:rPr>
          <w:szCs w:val="24"/>
        </w:rPr>
        <w:t xml:space="preserve">In response, </w:t>
      </w:r>
      <w:r w:rsidRPr="001C33DA">
        <w:rPr>
          <w:szCs w:val="24"/>
        </w:rPr>
        <w:t>Thomas sent a letter</w:t>
      </w:r>
      <w:r>
        <w:rPr>
          <w:szCs w:val="24"/>
        </w:rPr>
        <w:t xml:space="preserve"> to Perry’s attorneys, Gibson and Lisa Howard,</w:t>
      </w:r>
      <w:r w:rsidRPr="001C33DA">
        <w:rPr>
          <w:szCs w:val="24"/>
        </w:rPr>
        <w:t xml:space="preserve"> dated August</w:t>
      </w:r>
      <w:r>
        <w:rPr>
          <w:szCs w:val="24"/>
        </w:rPr>
        <w:t> </w:t>
      </w:r>
      <w:r w:rsidRPr="001C33DA">
        <w:rPr>
          <w:szCs w:val="24"/>
        </w:rPr>
        <w:t>26, 2016</w:t>
      </w:r>
      <w:r>
        <w:rPr>
          <w:szCs w:val="24"/>
        </w:rPr>
        <w:t>, which provided, in part</w:t>
      </w:r>
      <w:r w:rsidR="003247B9">
        <w:rPr>
          <w:szCs w:val="24"/>
        </w:rPr>
        <w:t>,</w:t>
      </w:r>
    </w:p>
    <w:p w14:paraId="57CADFAB" w14:textId="3D5DD0ED" w:rsidR="00B5326B" w:rsidRDefault="00B5326B" w:rsidP="00B5326B">
      <w:pPr>
        <w:ind w:left="720" w:right="720"/>
        <w:rPr>
          <w:szCs w:val="24"/>
        </w:rPr>
      </w:pPr>
      <w:r w:rsidRPr="001C33DA">
        <w:rPr>
          <w:szCs w:val="24"/>
        </w:rPr>
        <w:t>Please be advised that YOU are guilty of mail fraud in violation of 18 U.S.C. §</w:t>
      </w:r>
      <w:r>
        <w:rPr>
          <w:szCs w:val="24"/>
        </w:rPr>
        <w:t> </w:t>
      </w:r>
      <w:r w:rsidRPr="001C33DA">
        <w:rPr>
          <w:szCs w:val="24"/>
        </w:rPr>
        <w:t>1341 because YOU have not corrected the misrepresentation created by YOUR prior written notices for the dates of hearings on said motions by filing and serving written notices of the hearing dates that YOU have selected that are different from the dates that YOU have chosen.</w:t>
      </w:r>
      <w:r>
        <w:rPr>
          <w:szCs w:val="24"/>
        </w:rPr>
        <w:t xml:space="preserve">  [¶]  </w:t>
      </w:r>
      <w:r w:rsidRPr="001C33DA">
        <w:rPr>
          <w:szCs w:val="24"/>
        </w:rPr>
        <w:t>Please be advised that YOU will be indicted, found guilty and sentenced to five years in the federal penitentiary for the mail fraud if YOU do not correct YOUR violations of the Code of Civil Procedure.</w:t>
      </w:r>
      <w:r>
        <w:rPr>
          <w:szCs w:val="24"/>
        </w:rPr>
        <w:t xml:space="preserve">  [¶]  . . . [¶]  Please be advised that YOUR illegalities described herein may be referred to the Attorney General of California for collection of civil penalties per day for every day that YOUR violations of the mail fraud statute, </w:t>
      </w:r>
      <w:r w:rsidRPr="001C33DA">
        <w:rPr>
          <w:szCs w:val="24"/>
        </w:rPr>
        <w:t>18 U.S.C. §</w:t>
      </w:r>
      <w:r>
        <w:rPr>
          <w:szCs w:val="24"/>
        </w:rPr>
        <w:t> </w:t>
      </w:r>
      <w:r w:rsidRPr="001C33DA">
        <w:rPr>
          <w:szCs w:val="24"/>
        </w:rPr>
        <w:t>1341</w:t>
      </w:r>
      <w:r>
        <w:rPr>
          <w:szCs w:val="24"/>
        </w:rPr>
        <w:t xml:space="preserve">, continue . . . .  [¶]  . . . [¶]  Please be advised that YOU have committed criminal violations of my civil rights under </w:t>
      </w:r>
      <w:r w:rsidRPr="001C33DA">
        <w:rPr>
          <w:szCs w:val="24"/>
        </w:rPr>
        <w:t>18 U.S.C. §</w:t>
      </w:r>
      <w:r>
        <w:rPr>
          <w:szCs w:val="24"/>
        </w:rPr>
        <w:t> 241 and</w:t>
      </w:r>
      <w:r w:rsidRPr="001C33DA">
        <w:rPr>
          <w:szCs w:val="24"/>
        </w:rPr>
        <w:t xml:space="preserve"> §</w:t>
      </w:r>
      <w:r>
        <w:rPr>
          <w:szCs w:val="24"/>
        </w:rPr>
        <w:t xml:space="preserve"> 242 by permitting the illegal appellate sanctions in case #B254143 to continue to persist without requesting the second court of appeals to remit them.  [¶]  Please be advised that YOU may be tried, convicted and sent to prison for the remainder of YOUR lives for the criminal violations of </w:t>
      </w:r>
      <w:r w:rsidRPr="001C33DA">
        <w:rPr>
          <w:szCs w:val="24"/>
        </w:rPr>
        <w:t>18 U.S.C. §</w:t>
      </w:r>
      <w:r>
        <w:rPr>
          <w:szCs w:val="24"/>
        </w:rPr>
        <w:t> 241 and</w:t>
      </w:r>
      <w:r w:rsidRPr="001C33DA">
        <w:rPr>
          <w:szCs w:val="24"/>
        </w:rPr>
        <w:t xml:space="preserve"> §</w:t>
      </w:r>
      <w:r>
        <w:rPr>
          <w:szCs w:val="24"/>
        </w:rPr>
        <w:t> 242 that YOU have committed.</w:t>
      </w:r>
    </w:p>
    <w:p w14:paraId="1CF37E76" w14:textId="77777777" w:rsidR="00B5326B" w:rsidRPr="001C33DA" w:rsidRDefault="00B5326B" w:rsidP="00B5326B">
      <w:pPr>
        <w:ind w:left="720" w:right="720"/>
        <w:rPr>
          <w:szCs w:val="24"/>
        </w:rPr>
      </w:pPr>
    </w:p>
    <w:p w14:paraId="44473874" w14:textId="62E14852" w:rsidR="00B5326B" w:rsidRPr="001C33DA" w:rsidRDefault="00B5326B" w:rsidP="00B5326B">
      <w:pPr>
        <w:spacing w:line="480" w:lineRule="auto"/>
        <w:rPr>
          <w:szCs w:val="24"/>
        </w:rPr>
      </w:pPr>
      <w:r w:rsidRPr="001C33DA">
        <w:rPr>
          <w:szCs w:val="24"/>
        </w:rPr>
        <w:t xml:space="preserve">Gibson </w:t>
      </w:r>
      <w:r>
        <w:rPr>
          <w:szCs w:val="24"/>
        </w:rPr>
        <w:t>was concerned he would have to deal with various authorities to address these unfounded charges.</w:t>
      </w:r>
      <w:r>
        <w:rPr>
          <w:rStyle w:val="FootnoteReference"/>
          <w:szCs w:val="24"/>
        </w:rPr>
        <w:footnoteReference w:id="15"/>
      </w:r>
      <w:r>
        <w:rPr>
          <w:szCs w:val="24"/>
        </w:rPr>
        <w:t xml:space="preserve">  He </w:t>
      </w:r>
      <w:r w:rsidR="00DF1919">
        <w:rPr>
          <w:szCs w:val="24"/>
        </w:rPr>
        <w:t>viewed</w:t>
      </w:r>
      <w:r>
        <w:rPr>
          <w:szCs w:val="24"/>
        </w:rPr>
        <w:t xml:space="preserve"> the letter as a credible threat that Thomas would make the reports and feared he would have to expend significant time and effort to defend against them.  </w:t>
      </w:r>
      <w:r w:rsidRPr="001C33DA">
        <w:rPr>
          <w:szCs w:val="24"/>
        </w:rPr>
        <w:t>Thomas testified it was probably “not the wisest letter to write</w:t>
      </w:r>
      <w:r>
        <w:rPr>
          <w:szCs w:val="24"/>
        </w:rPr>
        <w:t>,</w:t>
      </w:r>
      <w:r w:rsidRPr="001C33DA">
        <w:rPr>
          <w:szCs w:val="24"/>
        </w:rPr>
        <w:t xml:space="preserve">” but it was an expression of his frustration. </w:t>
      </w:r>
    </w:p>
    <w:p w14:paraId="7B4D8DD5" w14:textId="6DD6A29F" w:rsidR="00B5326B" w:rsidRDefault="00B5326B" w:rsidP="00B5326B">
      <w:pPr>
        <w:spacing w:line="480" w:lineRule="auto"/>
        <w:rPr>
          <w:szCs w:val="24"/>
        </w:rPr>
      </w:pPr>
      <w:r w:rsidRPr="001C33DA">
        <w:rPr>
          <w:szCs w:val="24"/>
        </w:rPr>
        <w:tab/>
        <w:t>In January</w:t>
      </w:r>
      <w:r>
        <w:rPr>
          <w:szCs w:val="24"/>
        </w:rPr>
        <w:t> </w:t>
      </w:r>
      <w:r w:rsidRPr="001C33DA">
        <w:rPr>
          <w:szCs w:val="24"/>
        </w:rPr>
        <w:t xml:space="preserve">2017, </w:t>
      </w:r>
      <w:r w:rsidR="00AC11E2">
        <w:rPr>
          <w:szCs w:val="24"/>
        </w:rPr>
        <w:t xml:space="preserve">over two years later, </w:t>
      </w:r>
      <w:r w:rsidRPr="001C33DA">
        <w:rPr>
          <w:szCs w:val="24"/>
        </w:rPr>
        <w:t>Thomas filed a second amended complaint</w:t>
      </w:r>
      <w:r w:rsidR="00AC11E2">
        <w:rPr>
          <w:szCs w:val="24"/>
        </w:rPr>
        <w:t xml:space="preserve">, seeking to void the trial court’s prior judgment and declare True Harmony as the owner of the Property.  </w:t>
      </w:r>
      <w:r>
        <w:rPr>
          <w:szCs w:val="24"/>
        </w:rPr>
        <w:t>The defendants filed demurrers, which the court sustained without leave to amend</w:t>
      </w:r>
      <w:r w:rsidR="00564891">
        <w:rPr>
          <w:szCs w:val="24"/>
        </w:rPr>
        <w:t xml:space="preserve"> on April 7</w:t>
      </w:r>
      <w:r>
        <w:rPr>
          <w:szCs w:val="24"/>
        </w:rPr>
        <w:t xml:space="preserve">, finding one failed to state a claim and the rest were barred by res judicata.  </w:t>
      </w:r>
      <w:r w:rsidR="00716F49">
        <w:rPr>
          <w:szCs w:val="24"/>
        </w:rPr>
        <w:t>Accordingly</w:t>
      </w:r>
      <w:r>
        <w:rPr>
          <w:szCs w:val="24"/>
        </w:rPr>
        <w:t>, the court entered judgment in favor of the defendants</w:t>
      </w:r>
      <w:r w:rsidR="00A0535C">
        <w:rPr>
          <w:szCs w:val="24"/>
        </w:rPr>
        <w:t xml:space="preserve"> on April 7</w:t>
      </w:r>
      <w:r>
        <w:rPr>
          <w:szCs w:val="24"/>
        </w:rPr>
        <w:t xml:space="preserve">.  </w:t>
      </w:r>
    </w:p>
    <w:p w14:paraId="69472075" w14:textId="4983A3BA" w:rsidR="00B5326B" w:rsidRPr="001C33DA" w:rsidRDefault="00B5326B" w:rsidP="00B5326B">
      <w:pPr>
        <w:spacing w:line="480" w:lineRule="auto"/>
        <w:ind w:firstLine="720"/>
        <w:rPr>
          <w:szCs w:val="24"/>
        </w:rPr>
      </w:pPr>
      <w:r w:rsidRPr="001C33DA">
        <w:rPr>
          <w:szCs w:val="24"/>
        </w:rPr>
        <w:t xml:space="preserve">Thomas did not appeal the judgment, and instead </w:t>
      </w:r>
      <w:r>
        <w:rPr>
          <w:szCs w:val="24"/>
        </w:rPr>
        <w:t>filed a motion for</w:t>
      </w:r>
      <w:r w:rsidRPr="001C33DA">
        <w:rPr>
          <w:szCs w:val="24"/>
        </w:rPr>
        <w:t xml:space="preserve"> reconsideration of the court’s ruling sustaining the demurrers</w:t>
      </w:r>
      <w:r>
        <w:rPr>
          <w:szCs w:val="24"/>
        </w:rPr>
        <w:t xml:space="preserve"> on April 17, 2017</w:t>
      </w:r>
      <w:r w:rsidRPr="001C33DA">
        <w:rPr>
          <w:szCs w:val="24"/>
        </w:rPr>
        <w:t>.</w:t>
      </w:r>
      <w:r>
        <w:rPr>
          <w:rStyle w:val="FootnoteReference"/>
          <w:szCs w:val="24"/>
        </w:rPr>
        <w:footnoteReference w:id="16"/>
      </w:r>
      <w:r>
        <w:rPr>
          <w:szCs w:val="24"/>
        </w:rPr>
        <w:t xml:space="preserve">  </w:t>
      </w:r>
      <w:r w:rsidRPr="001C33DA">
        <w:rPr>
          <w:szCs w:val="24"/>
        </w:rPr>
        <w:t>Gibson again tried to convince Thomas to withdraw his motion due to lack of jurisdiction, providing statutory and case authority in his letters</w:t>
      </w:r>
      <w:r>
        <w:rPr>
          <w:szCs w:val="24"/>
        </w:rPr>
        <w:t xml:space="preserve">.  </w:t>
      </w:r>
      <w:r w:rsidRPr="001C33DA">
        <w:rPr>
          <w:szCs w:val="24"/>
        </w:rPr>
        <w:t>Thomas read the letters and case authority, but nonetheless refused to withdraw his motion.</w:t>
      </w:r>
      <w:r>
        <w:rPr>
          <w:szCs w:val="24"/>
        </w:rPr>
        <w:t xml:space="preserve">  </w:t>
      </w:r>
      <w:r w:rsidRPr="001C33DA">
        <w:rPr>
          <w:szCs w:val="24"/>
        </w:rPr>
        <w:t xml:space="preserve">The court denied Thomas’s motion on </w:t>
      </w:r>
      <w:r w:rsidRPr="007C35AC">
        <w:rPr>
          <w:szCs w:val="24"/>
        </w:rPr>
        <w:t>October 17, 2017,</w:t>
      </w:r>
      <w:r w:rsidRPr="001C33DA">
        <w:rPr>
          <w:szCs w:val="24"/>
        </w:rPr>
        <w:t xml:space="preserve"> </w:t>
      </w:r>
      <w:r>
        <w:rPr>
          <w:szCs w:val="24"/>
        </w:rPr>
        <w:t>using</w:t>
      </w:r>
      <w:r w:rsidRPr="001C33DA">
        <w:rPr>
          <w:szCs w:val="24"/>
        </w:rPr>
        <w:t xml:space="preserve"> </w:t>
      </w:r>
      <w:r>
        <w:rPr>
          <w:szCs w:val="24"/>
        </w:rPr>
        <w:t>citations</w:t>
      </w:r>
      <w:r w:rsidRPr="001C33DA">
        <w:rPr>
          <w:szCs w:val="24"/>
        </w:rPr>
        <w:t xml:space="preserve"> </w:t>
      </w:r>
      <w:r>
        <w:rPr>
          <w:szCs w:val="24"/>
        </w:rPr>
        <w:t>raised</w:t>
      </w:r>
      <w:r w:rsidRPr="001C33DA">
        <w:rPr>
          <w:szCs w:val="24"/>
        </w:rPr>
        <w:t xml:space="preserve"> by Gibson</w:t>
      </w:r>
      <w:r>
        <w:rPr>
          <w:szCs w:val="24"/>
        </w:rPr>
        <w:t xml:space="preserve"> in his letter to Thomas.  The court found it did not have jurisdiction to grant a motion for reconsideration because judgment had been entered</w:t>
      </w:r>
      <w:r w:rsidR="00A0535C">
        <w:rPr>
          <w:szCs w:val="24"/>
        </w:rPr>
        <w:t xml:space="preserve"> on April 7,</w:t>
      </w:r>
      <w:r w:rsidR="008A1F93">
        <w:rPr>
          <w:szCs w:val="24"/>
        </w:rPr>
        <w:t xml:space="preserve"> and Thomas filed for reconsideration after that date—on April 17</w:t>
      </w:r>
      <w:r>
        <w:rPr>
          <w:szCs w:val="24"/>
        </w:rPr>
        <w:t xml:space="preserve">.  </w:t>
      </w:r>
    </w:p>
    <w:p w14:paraId="68B520E9" w14:textId="7B1F01F3" w:rsidR="00B5326B" w:rsidRDefault="00B5326B" w:rsidP="00B5326B">
      <w:pPr>
        <w:spacing w:line="480" w:lineRule="auto"/>
        <w:rPr>
          <w:szCs w:val="24"/>
        </w:rPr>
      </w:pPr>
      <w:r w:rsidRPr="001C33DA">
        <w:rPr>
          <w:szCs w:val="24"/>
        </w:rPr>
        <w:tab/>
        <w:t xml:space="preserve">Once again, Gibson filed a motion for sanctions on </w:t>
      </w:r>
      <w:r w:rsidRPr="007C35AC">
        <w:rPr>
          <w:szCs w:val="24"/>
        </w:rPr>
        <w:t>October 17, 2017</w:t>
      </w:r>
      <w:r w:rsidR="00A6146C">
        <w:rPr>
          <w:szCs w:val="24"/>
        </w:rPr>
        <w:t xml:space="preserve">, which </w:t>
      </w:r>
      <w:r w:rsidRPr="001C33DA">
        <w:rPr>
          <w:szCs w:val="24"/>
        </w:rPr>
        <w:t>was granted.</w:t>
      </w:r>
      <w:r>
        <w:rPr>
          <w:szCs w:val="24"/>
        </w:rPr>
        <w:t xml:space="preserve">  </w:t>
      </w:r>
      <w:r w:rsidRPr="001C33DA">
        <w:rPr>
          <w:szCs w:val="24"/>
        </w:rPr>
        <w:t xml:space="preserve">The </w:t>
      </w:r>
      <w:r>
        <w:rPr>
          <w:szCs w:val="24"/>
        </w:rPr>
        <w:t xml:space="preserve">court found in its November 30 order that </w:t>
      </w:r>
      <w:r w:rsidRPr="001C33DA">
        <w:rPr>
          <w:szCs w:val="24"/>
        </w:rPr>
        <w:t xml:space="preserve">Thomas’s motion for reconsideration “had no basis in law at the time it was filed,” and was not supported by existing law. </w:t>
      </w:r>
      <w:r>
        <w:rPr>
          <w:szCs w:val="24"/>
        </w:rPr>
        <w:t xml:space="preserve"> Further, the court described Thomas’s arguments as contrary to “clear and unambiguous authority” and “undisputed fact,” lacking in “substantive merit,” “irrelevant,” “inapplicable,” procedurally “improper,” and “without merit.”  </w:t>
      </w:r>
      <w:r w:rsidRPr="001C33DA">
        <w:rPr>
          <w:szCs w:val="24"/>
        </w:rPr>
        <w:t>The court ordered Thomas to pay sanctions of $23,</w:t>
      </w:r>
      <w:r>
        <w:rPr>
          <w:szCs w:val="24"/>
        </w:rPr>
        <w:t>3</w:t>
      </w:r>
      <w:r w:rsidRPr="001C33DA">
        <w:rPr>
          <w:szCs w:val="24"/>
        </w:rPr>
        <w:t>50</w:t>
      </w:r>
      <w:r>
        <w:rPr>
          <w:szCs w:val="24"/>
        </w:rPr>
        <w:t xml:space="preserve"> for Solomon’s attorney fees</w:t>
      </w:r>
      <w:r w:rsidR="00A6146C">
        <w:rPr>
          <w:szCs w:val="24"/>
        </w:rPr>
        <w:t>, which</w:t>
      </w:r>
      <w:r w:rsidRPr="001C33DA">
        <w:rPr>
          <w:szCs w:val="24"/>
        </w:rPr>
        <w:t xml:space="preserve"> Thomas has not </w:t>
      </w:r>
      <w:r w:rsidR="006432FA">
        <w:rPr>
          <w:szCs w:val="24"/>
        </w:rPr>
        <w:t>done.</w:t>
      </w:r>
    </w:p>
    <w:p w14:paraId="07BC86E1" w14:textId="1339B7A0" w:rsidR="00B5326B" w:rsidRPr="001C33DA" w:rsidRDefault="00225A2F" w:rsidP="00B5326B">
      <w:pPr>
        <w:ind w:left="720" w:hanging="720"/>
        <w:rPr>
          <w:b/>
          <w:bCs/>
          <w:szCs w:val="24"/>
        </w:rPr>
      </w:pPr>
      <w:r>
        <w:rPr>
          <w:b/>
          <w:bCs/>
          <w:szCs w:val="24"/>
        </w:rPr>
        <w:t>F</w:t>
      </w:r>
      <w:r w:rsidR="00B5326B" w:rsidRPr="001C33DA">
        <w:rPr>
          <w:b/>
          <w:bCs/>
          <w:szCs w:val="24"/>
        </w:rPr>
        <w:t>.</w:t>
      </w:r>
      <w:r w:rsidR="00B5326B" w:rsidRPr="001C33DA">
        <w:rPr>
          <w:b/>
          <w:bCs/>
          <w:szCs w:val="24"/>
        </w:rPr>
        <w:tab/>
      </w:r>
      <w:r w:rsidR="003E6405">
        <w:rPr>
          <w:b/>
          <w:bCs/>
          <w:szCs w:val="24"/>
        </w:rPr>
        <w:t xml:space="preserve">Thomas Appeals </w:t>
      </w:r>
      <w:r w:rsidR="00B5326B" w:rsidRPr="001C33DA">
        <w:rPr>
          <w:b/>
          <w:bCs/>
          <w:szCs w:val="24"/>
        </w:rPr>
        <w:t>True Harmony Matter</w:t>
      </w:r>
    </w:p>
    <w:p w14:paraId="668F1F5B" w14:textId="77777777" w:rsidR="00B5326B" w:rsidRPr="001C33DA" w:rsidRDefault="00B5326B" w:rsidP="00B5326B">
      <w:pPr>
        <w:rPr>
          <w:szCs w:val="24"/>
        </w:rPr>
      </w:pPr>
    </w:p>
    <w:p w14:paraId="1BB2DA0D" w14:textId="799D1BAE" w:rsidR="00B5326B" w:rsidRDefault="00B5326B" w:rsidP="00B5326B">
      <w:pPr>
        <w:spacing w:line="480" w:lineRule="auto"/>
        <w:rPr>
          <w:szCs w:val="24"/>
        </w:rPr>
      </w:pPr>
      <w:r w:rsidRPr="001C33DA">
        <w:rPr>
          <w:szCs w:val="24"/>
        </w:rPr>
        <w:tab/>
        <w:t>On December</w:t>
      </w:r>
      <w:r>
        <w:rPr>
          <w:szCs w:val="24"/>
        </w:rPr>
        <w:t> </w:t>
      </w:r>
      <w:r w:rsidRPr="001C33DA">
        <w:rPr>
          <w:szCs w:val="24"/>
        </w:rPr>
        <w:t>18, 2017, Thomas filed two appeals: one on behalf of himself and the other on behalf of True Harmony</w:t>
      </w:r>
      <w:r w:rsidR="003E6405">
        <w:rPr>
          <w:szCs w:val="24"/>
        </w:rPr>
        <w:t>.  The appeals sought</w:t>
      </w:r>
      <w:r w:rsidRPr="001C33DA">
        <w:rPr>
          <w:szCs w:val="24"/>
        </w:rPr>
        <w:t xml:space="preserve"> review of three </w:t>
      </w:r>
      <w:r>
        <w:rPr>
          <w:szCs w:val="24"/>
        </w:rPr>
        <w:t xml:space="preserve">trial court </w:t>
      </w:r>
      <w:r w:rsidRPr="001C33DA">
        <w:rPr>
          <w:szCs w:val="24"/>
        </w:rPr>
        <w:t>orders</w:t>
      </w:r>
      <w:r>
        <w:rPr>
          <w:szCs w:val="24"/>
        </w:rPr>
        <w:t xml:space="preserve">: </w:t>
      </w:r>
      <w:r w:rsidRPr="00145730">
        <w:rPr>
          <w:szCs w:val="24"/>
        </w:rPr>
        <w:t>(1)</w:t>
      </w:r>
      <w:r>
        <w:rPr>
          <w:szCs w:val="24"/>
        </w:rPr>
        <w:t> </w:t>
      </w:r>
      <w:r w:rsidRPr="00145730">
        <w:rPr>
          <w:szCs w:val="24"/>
        </w:rPr>
        <w:t>an October</w:t>
      </w:r>
      <w:r>
        <w:rPr>
          <w:szCs w:val="24"/>
        </w:rPr>
        <w:t> </w:t>
      </w:r>
      <w:r w:rsidRPr="00145730">
        <w:rPr>
          <w:szCs w:val="24"/>
        </w:rPr>
        <w:t>10, 2017 order denying True Harmony’s application to file a supplemental memorandum of law; (2)</w:t>
      </w:r>
      <w:r>
        <w:rPr>
          <w:szCs w:val="24"/>
        </w:rPr>
        <w:t> </w:t>
      </w:r>
      <w:r w:rsidRPr="00145730">
        <w:rPr>
          <w:szCs w:val="24"/>
        </w:rPr>
        <w:t>the October</w:t>
      </w:r>
      <w:r>
        <w:rPr>
          <w:szCs w:val="24"/>
        </w:rPr>
        <w:t> </w:t>
      </w:r>
      <w:r w:rsidRPr="00145730">
        <w:rPr>
          <w:szCs w:val="24"/>
        </w:rPr>
        <w:t>17, 2017 order denying True Harmony’s motion to reconsider the decision entering judgment for the defendants; and (3)</w:t>
      </w:r>
      <w:r>
        <w:rPr>
          <w:szCs w:val="24"/>
        </w:rPr>
        <w:t> </w:t>
      </w:r>
      <w:r w:rsidRPr="00145730">
        <w:rPr>
          <w:szCs w:val="24"/>
        </w:rPr>
        <w:t>the November</w:t>
      </w:r>
      <w:r>
        <w:rPr>
          <w:szCs w:val="24"/>
        </w:rPr>
        <w:t> </w:t>
      </w:r>
      <w:r w:rsidRPr="00145730">
        <w:rPr>
          <w:szCs w:val="24"/>
        </w:rPr>
        <w:t>30, 2017 order granting Solomon’s motion for sanctions.</w:t>
      </w:r>
      <w:r>
        <w:rPr>
          <w:szCs w:val="24"/>
        </w:rPr>
        <w:t xml:space="preserve">  (</w:t>
      </w:r>
      <w:r>
        <w:rPr>
          <w:i/>
          <w:iCs/>
          <w:szCs w:val="24"/>
        </w:rPr>
        <w:t>True Harmony et al. v. Perry et al.</w:t>
      </w:r>
      <w:r>
        <w:rPr>
          <w:szCs w:val="24"/>
        </w:rPr>
        <w:t xml:space="preserve"> (</w:t>
      </w:r>
      <w:r w:rsidRPr="0079700D">
        <w:rPr>
          <w:szCs w:val="24"/>
        </w:rPr>
        <w:t>Court of Appeal, Second Appellate District, No. B2</w:t>
      </w:r>
      <w:r>
        <w:rPr>
          <w:szCs w:val="24"/>
        </w:rPr>
        <w:t xml:space="preserve">87017.)  </w:t>
      </w:r>
      <w:r w:rsidRPr="001C33DA">
        <w:rPr>
          <w:szCs w:val="24"/>
        </w:rPr>
        <w:t>Once again, Gibson wrote to Thomas that his appeals were untimely and jurisdictionally improper, with the exception of Thomas’s personal request for review of the November</w:t>
      </w:r>
      <w:r>
        <w:rPr>
          <w:szCs w:val="24"/>
        </w:rPr>
        <w:t> 3</w:t>
      </w:r>
      <w:r w:rsidRPr="001C33DA">
        <w:rPr>
          <w:szCs w:val="24"/>
        </w:rPr>
        <w:t>0</w:t>
      </w:r>
      <w:r>
        <w:rPr>
          <w:szCs w:val="24"/>
        </w:rPr>
        <w:t xml:space="preserve"> </w:t>
      </w:r>
      <w:r w:rsidRPr="001C33DA">
        <w:rPr>
          <w:szCs w:val="24"/>
        </w:rPr>
        <w:t>sanction</w:t>
      </w:r>
      <w:r>
        <w:rPr>
          <w:szCs w:val="24"/>
        </w:rPr>
        <w:t>s</w:t>
      </w:r>
      <w:r w:rsidRPr="001C33DA">
        <w:rPr>
          <w:szCs w:val="24"/>
        </w:rPr>
        <w:t xml:space="preserve"> order.</w:t>
      </w:r>
      <w:r>
        <w:rPr>
          <w:szCs w:val="24"/>
        </w:rPr>
        <w:t xml:space="preserve">  </w:t>
      </w:r>
      <w:r w:rsidRPr="001C33DA">
        <w:rPr>
          <w:szCs w:val="24"/>
        </w:rPr>
        <w:t>Gibson urged Thomas to withdraw</w:t>
      </w:r>
      <w:r w:rsidR="003E6405">
        <w:rPr>
          <w:szCs w:val="24"/>
        </w:rPr>
        <w:t>, but</w:t>
      </w:r>
      <w:r w:rsidRPr="001C33DA">
        <w:rPr>
          <w:szCs w:val="24"/>
        </w:rPr>
        <w:t xml:space="preserve"> Thomas declined to withdraw or limit his appeals.  In April</w:t>
      </w:r>
      <w:r>
        <w:rPr>
          <w:szCs w:val="24"/>
        </w:rPr>
        <w:t> </w:t>
      </w:r>
      <w:r w:rsidRPr="001C33DA">
        <w:rPr>
          <w:szCs w:val="24"/>
        </w:rPr>
        <w:t>2018</w:t>
      </w:r>
      <w:r>
        <w:rPr>
          <w:szCs w:val="24"/>
        </w:rPr>
        <w:t>,</w:t>
      </w:r>
      <w:r w:rsidRPr="001C33DA">
        <w:rPr>
          <w:szCs w:val="24"/>
        </w:rPr>
        <w:t xml:space="preserve"> Gibson </w:t>
      </w:r>
      <w:r>
        <w:rPr>
          <w:szCs w:val="24"/>
        </w:rPr>
        <w:t>filed</w:t>
      </w:r>
      <w:r w:rsidRPr="001C33DA">
        <w:rPr>
          <w:szCs w:val="24"/>
        </w:rPr>
        <w:t xml:space="preserve"> </w:t>
      </w:r>
      <w:r>
        <w:rPr>
          <w:szCs w:val="24"/>
        </w:rPr>
        <w:t>a</w:t>
      </w:r>
      <w:r w:rsidRPr="001C33DA">
        <w:rPr>
          <w:szCs w:val="24"/>
        </w:rPr>
        <w:t xml:space="preserve"> motion to dismiss the</w:t>
      </w:r>
      <w:r>
        <w:rPr>
          <w:szCs w:val="24"/>
        </w:rPr>
        <w:t xml:space="preserve"> True Harmony</w:t>
      </w:r>
      <w:r w:rsidRPr="001C33DA">
        <w:rPr>
          <w:szCs w:val="24"/>
        </w:rPr>
        <w:t xml:space="preserve"> appeal and Thomas’s appeal </w:t>
      </w:r>
      <w:r>
        <w:rPr>
          <w:szCs w:val="24"/>
        </w:rPr>
        <w:t>of the October 10 and October 17 orders</w:t>
      </w:r>
      <w:r w:rsidRPr="001C33DA">
        <w:rPr>
          <w:szCs w:val="24"/>
        </w:rPr>
        <w:t>.</w:t>
      </w:r>
    </w:p>
    <w:p w14:paraId="3763DF18" w14:textId="68116E82" w:rsidR="00B5326B" w:rsidRDefault="00B5326B" w:rsidP="00B5326B">
      <w:pPr>
        <w:spacing w:line="480" w:lineRule="auto"/>
        <w:ind w:firstLine="720"/>
        <w:rPr>
          <w:szCs w:val="24"/>
        </w:rPr>
      </w:pPr>
      <w:r w:rsidRPr="001C33DA">
        <w:rPr>
          <w:szCs w:val="24"/>
        </w:rPr>
        <w:t>The court granted Gibson’s motion on May</w:t>
      </w:r>
      <w:r>
        <w:rPr>
          <w:szCs w:val="24"/>
        </w:rPr>
        <w:t> </w:t>
      </w:r>
      <w:r w:rsidRPr="001C33DA">
        <w:rPr>
          <w:szCs w:val="24"/>
        </w:rPr>
        <w:t>4, 2018.</w:t>
      </w:r>
      <w:r>
        <w:rPr>
          <w:szCs w:val="24"/>
        </w:rPr>
        <w:t xml:space="preserve">  </w:t>
      </w:r>
      <w:r w:rsidR="007827FD">
        <w:rPr>
          <w:szCs w:val="24"/>
        </w:rPr>
        <w:t>It</w:t>
      </w:r>
      <w:r>
        <w:rPr>
          <w:szCs w:val="24"/>
        </w:rPr>
        <w:t xml:space="preserve"> held that True Harmony lacked standing to appeal the November 30</w:t>
      </w:r>
      <w:r w:rsidR="00225A2F">
        <w:rPr>
          <w:szCs w:val="24"/>
        </w:rPr>
        <w:t xml:space="preserve">, </w:t>
      </w:r>
      <w:r w:rsidR="00BA22AD">
        <w:rPr>
          <w:szCs w:val="24"/>
        </w:rPr>
        <w:t>2017</w:t>
      </w:r>
      <w:r>
        <w:rPr>
          <w:szCs w:val="24"/>
        </w:rPr>
        <w:t xml:space="preserve"> sanctions order because the sanctions were only issued against Thomas.  Thomas’s individual appeal of the sanctions order was not dismissed.  The court found </w:t>
      </w:r>
      <w:r w:rsidR="003A19EC">
        <w:rPr>
          <w:szCs w:val="24"/>
        </w:rPr>
        <w:t xml:space="preserve">that </w:t>
      </w:r>
      <w:r>
        <w:rPr>
          <w:szCs w:val="24"/>
        </w:rPr>
        <w:t xml:space="preserve">Thomas and True Harmony could not appeal the October 10 and October 17 orders because they were </w:t>
      </w:r>
      <w:r w:rsidR="007051C7">
        <w:rPr>
          <w:szCs w:val="24"/>
        </w:rPr>
        <w:t>linked</w:t>
      </w:r>
      <w:r>
        <w:rPr>
          <w:szCs w:val="24"/>
        </w:rPr>
        <w:t xml:space="preserve"> to a motion for reconsideration, which is not appealable.</w:t>
      </w:r>
      <w:r>
        <w:rPr>
          <w:rStyle w:val="FootnoteReference"/>
          <w:szCs w:val="24"/>
        </w:rPr>
        <w:footnoteReference w:id="17"/>
      </w:r>
      <w:r>
        <w:rPr>
          <w:szCs w:val="24"/>
        </w:rPr>
        <w:t xml:space="preserve">  The court stated Thomas failed to offer “any reason or authority” for his argument that the motion for reconsideration should be treated as a motion to vacate judgment.  </w:t>
      </w:r>
    </w:p>
    <w:p w14:paraId="0D72624E" w14:textId="3F924E56" w:rsidR="00B5326B" w:rsidRDefault="00B5326B" w:rsidP="00B5326B">
      <w:pPr>
        <w:spacing w:line="480" w:lineRule="auto"/>
        <w:rPr>
          <w:szCs w:val="24"/>
        </w:rPr>
      </w:pPr>
      <w:r w:rsidRPr="001C33DA">
        <w:rPr>
          <w:szCs w:val="24"/>
        </w:rPr>
        <w:tab/>
        <w:t>On October</w:t>
      </w:r>
      <w:r>
        <w:rPr>
          <w:szCs w:val="24"/>
        </w:rPr>
        <w:t> </w:t>
      </w:r>
      <w:r w:rsidRPr="001C33DA">
        <w:rPr>
          <w:szCs w:val="24"/>
        </w:rPr>
        <w:t xml:space="preserve">12, 2018, Gibson filed his third motion for sanctions, which was granted </w:t>
      </w:r>
      <w:r>
        <w:rPr>
          <w:szCs w:val="24"/>
        </w:rPr>
        <w:t>on December 13</w:t>
      </w:r>
      <w:r w:rsidRPr="001C33DA">
        <w:rPr>
          <w:szCs w:val="24"/>
        </w:rPr>
        <w:t>.</w:t>
      </w:r>
      <w:r w:rsidRPr="005D656F">
        <w:rPr>
          <w:szCs w:val="24"/>
        </w:rPr>
        <w:t xml:space="preserve"> </w:t>
      </w:r>
      <w:r>
        <w:rPr>
          <w:szCs w:val="24"/>
        </w:rPr>
        <w:t xml:space="preserve"> </w:t>
      </w:r>
      <w:r w:rsidRPr="001C33DA">
        <w:rPr>
          <w:szCs w:val="24"/>
        </w:rPr>
        <w:t xml:space="preserve">The </w:t>
      </w:r>
      <w:r>
        <w:rPr>
          <w:szCs w:val="24"/>
        </w:rPr>
        <w:t>appellate court affirmed the November 30</w:t>
      </w:r>
      <w:r w:rsidR="00225A2F">
        <w:rPr>
          <w:szCs w:val="24"/>
        </w:rPr>
        <w:t>, 2017</w:t>
      </w:r>
      <w:r>
        <w:rPr>
          <w:szCs w:val="24"/>
        </w:rPr>
        <w:t xml:space="preserve"> order imposing sanctions on Thomas.  Thomas failed to support his arguments with citations to the record or to applicable legal authority.  The court held Thomas’s “unclean hands” argument was “merely an attempt to relitigate the underlying complaint and True Harmony’s claims of fraud.  In making this frivolous argument, Thomas has violated our court order specifically limiting his appeal to the sanctions motion.” </w:t>
      </w:r>
    </w:p>
    <w:p w14:paraId="783201DB" w14:textId="4808D395" w:rsidR="00B5326B" w:rsidRDefault="00225A2F" w:rsidP="00B5326B">
      <w:pPr>
        <w:spacing w:line="480" w:lineRule="auto"/>
        <w:ind w:firstLine="720"/>
        <w:rPr>
          <w:szCs w:val="24"/>
        </w:rPr>
      </w:pPr>
      <w:r>
        <w:rPr>
          <w:szCs w:val="24"/>
        </w:rPr>
        <w:t>T</w:t>
      </w:r>
      <w:r w:rsidR="00B5326B">
        <w:rPr>
          <w:szCs w:val="24"/>
        </w:rPr>
        <w:t xml:space="preserve">he court </w:t>
      </w:r>
      <w:r>
        <w:rPr>
          <w:szCs w:val="24"/>
        </w:rPr>
        <w:t xml:space="preserve">further </w:t>
      </w:r>
      <w:r w:rsidR="00B5326B">
        <w:rPr>
          <w:szCs w:val="24"/>
        </w:rPr>
        <w:t xml:space="preserve">found that Thomas’s conduct on appeal warranted sanctions because his “appellate filings were largely frivolous and done in violation of court orders and rules.”  The court held that Thomas “sought to prosecute an appeal on behalf of a party that clearly lacked </w:t>
      </w:r>
      <w:r w:rsidR="00BA22AD">
        <w:rPr>
          <w:szCs w:val="24"/>
        </w:rPr>
        <w:t>standing and</w:t>
      </w:r>
      <w:r w:rsidR="00B5326B">
        <w:rPr>
          <w:szCs w:val="24"/>
        </w:rPr>
        <w:t xml:space="preserve"> attack a judgment that had long become final.”  Even though only Thomas could properly appeal the sanctions order, he filed it on behalf of himself and True Harmony, and attempted to appeal two other orders that were not appealable.  </w:t>
      </w:r>
      <w:r w:rsidR="005231E8">
        <w:rPr>
          <w:szCs w:val="24"/>
        </w:rPr>
        <w:t>He</w:t>
      </w:r>
      <w:r w:rsidR="00B5326B">
        <w:rPr>
          <w:szCs w:val="24"/>
        </w:rPr>
        <w:t xml:space="preserve"> refused to limit his appeal as Gibson asked, and Solomon “unnecessarily incurred costs in filing a successful motion to dismiss the improper appeals.”  Thomas then filed an improper brief on behalf of True Harmony and refused to withdraw it, causing Solomon to incur further costs bringing a successful motion to strike the opening brief.  The court </w:t>
      </w:r>
      <w:r>
        <w:rPr>
          <w:szCs w:val="24"/>
        </w:rPr>
        <w:t xml:space="preserve">summed up Thomas’s actions by </w:t>
      </w:r>
      <w:r w:rsidR="00B5326B">
        <w:rPr>
          <w:szCs w:val="24"/>
        </w:rPr>
        <w:t>stat</w:t>
      </w:r>
      <w:r>
        <w:rPr>
          <w:szCs w:val="24"/>
        </w:rPr>
        <w:t>ing</w:t>
      </w:r>
      <w:r w:rsidR="00B5326B">
        <w:rPr>
          <w:szCs w:val="24"/>
        </w:rPr>
        <w:t xml:space="preserve">, “It is evident from Thomas’s pursuit of improper appeals and plain disobedience of our court orders that his briefing and motions are frivolous and intended to harass Solomon.  Such improper briefing generated unnecessary and substantial costs for Solomon.”  Accordingly, the court found considerable sanctions were appropriate.  Thomas was ordered to pay </w:t>
      </w:r>
      <w:r w:rsidR="00B5326B" w:rsidRPr="001C33DA">
        <w:rPr>
          <w:szCs w:val="24"/>
        </w:rPr>
        <w:t>$65,480.64</w:t>
      </w:r>
      <w:r w:rsidR="00B5326B">
        <w:rPr>
          <w:szCs w:val="24"/>
        </w:rPr>
        <w:t xml:space="preserve"> in sanctions within 90 days of the date of remittitur—</w:t>
      </w:r>
      <w:r w:rsidR="00B5326B" w:rsidRPr="00364C9A">
        <w:rPr>
          <w:szCs w:val="24"/>
        </w:rPr>
        <w:t>$56,980.6</w:t>
      </w:r>
      <w:r w:rsidR="00B5326B">
        <w:rPr>
          <w:szCs w:val="24"/>
        </w:rPr>
        <w:t xml:space="preserve">4 </w:t>
      </w:r>
      <w:r w:rsidR="00B5326B" w:rsidRPr="00364C9A">
        <w:rPr>
          <w:szCs w:val="24"/>
        </w:rPr>
        <w:t>in attorney</w:t>
      </w:r>
      <w:r w:rsidR="00B5326B">
        <w:rPr>
          <w:szCs w:val="24"/>
        </w:rPr>
        <w:t xml:space="preserve"> </w:t>
      </w:r>
      <w:r w:rsidR="00B5326B" w:rsidRPr="00364C9A">
        <w:rPr>
          <w:szCs w:val="24"/>
        </w:rPr>
        <w:t>fee</w:t>
      </w:r>
      <w:r w:rsidR="00B5326B">
        <w:rPr>
          <w:szCs w:val="24"/>
        </w:rPr>
        <w:t>s</w:t>
      </w:r>
      <w:r w:rsidR="00B5326B" w:rsidRPr="00364C9A">
        <w:rPr>
          <w:szCs w:val="24"/>
        </w:rPr>
        <w:t xml:space="preserve"> for Solomon and $8,500 to be paid directly to the clerk of the </w:t>
      </w:r>
      <w:r w:rsidR="00B5326B">
        <w:rPr>
          <w:szCs w:val="24"/>
        </w:rPr>
        <w:t>appellate court</w:t>
      </w:r>
      <w:r w:rsidR="00B5326B" w:rsidRPr="00364C9A">
        <w:rPr>
          <w:szCs w:val="24"/>
        </w:rPr>
        <w:t xml:space="preserve">.  </w:t>
      </w:r>
      <w:r w:rsidR="00B5326B">
        <w:rPr>
          <w:szCs w:val="24"/>
        </w:rPr>
        <w:t>Thomas did not pay the sanctions.</w:t>
      </w:r>
    </w:p>
    <w:p w14:paraId="317E1F41" w14:textId="46945CD5" w:rsidR="00B5326B" w:rsidRPr="001C33DA" w:rsidRDefault="00B5326B" w:rsidP="00B5326B">
      <w:pPr>
        <w:spacing w:line="480" w:lineRule="auto"/>
        <w:ind w:firstLine="720"/>
        <w:rPr>
          <w:szCs w:val="24"/>
        </w:rPr>
      </w:pPr>
      <w:r>
        <w:rPr>
          <w:szCs w:val="24"/>
        </w:rPr>
        <w:t xml:space="preserve">On December 27, 2018, Thomas filed a petition for rehearing of the appellate court order, which was denied.  He then filed successive petitions for review in the </w:t>
      </w:r>
      <w:r w:rsidRPr="001C33DA">
        <w:rPr>
          <w:szCs w:val="24"/>
        </w:rPr>
        <w:t xml:space="preserve">California </w:t>
      </w:r>
      <w:r>
        <w:rPr>
          <w:szCs w:val="24"/>
        </w:rPr>
        <w:t xml:space="preserve">Supreme Court </w:t>
      </w:r>
      <w:r w:rsidRPr="001C33DA">
        <w:rPr>
          <w:szCs w:val="24"/>
        </w:rPr>
        <w:t xml:space="preserve">and </w:t>
      </w:r>
      <w:r>
        <w:rPr>
          <w:szCs w:val="24"/>
        </w:rPr>
        <w:t>the Supreme Court of the United States, which were also denied</w:t>
      </w:r>
      <w:r w:rsidRPr="001C33DA">
        <w:rPr>
          <w:szCs w:val="24"/>
        </w:rPr>
        <w:t xml:space="preserve">. </w:t>
      </w:r>
    </w:p>
    <w:p w14:paraId="4E81BB48" w14:textId="29538DCE" w:rsidR="00B5326B" w:rsidRPr="00353B3F" w:rsidRDefault="00225A2F" w:rsidP="00B5326B">
      <w:pPr>
        <w:spacing w:line="480" w:lineRule="auto"/>
        <w:ind w:left="720" w:hanging="720"/>
        <w:rPr>
          <w:b/>
          <w:bCs/>
          <w:szCs w:val="24"/>
        </w:rPr>
      </w:pPr>
      <w:r w:rsidRPr="00353B3F">
        <w:rPr>
          <w:b/>
          <w:bCs/>
          <w:szCs w:val="24"/>
        </w:rPr>
        <w:t>G</w:t>
      </w:r>
      <w:r w:rsidR="00B5326B" w:rsidRPr="00353B3F">
        <w:rPr>
          <w:b/>
          <w:bCs/>
          <w:szCs w:val="24"/>
        </w:rPr>
        <w:t>.</w:t>
      </w:r>
      <w:r w:rsidR="00B5326B" w:rsidRPr="00353B3F">
        <w:rPr>
          <w:b/>
          <w:bCs/>
          <w:szCs w:val="24"/>
        </w:rPr>
        <w:tab/>
      </w:r>
      <w:r w:rsidR="00B5326B" w:rsidRPr="00353B3F">
        <w:rPr>
          <w:b/>
          <w:bCs/>
          <w:i/>
          <w:iCs/>
          <w:szCs w:val="24"/>
        </w:rPr>
        <w:t>Thomas v. Zelon et al.</w:t>
      </w:r>
    </w:p>
    <w:p w14:paraId="61FA9B9C" w14:textId="6A72C06C" w:rsidR="00B5326B" w:rsidRDefault="00B5326B" w:rsidP="00B5326B">
      <w:pPr>
        <w:spacing w:line="480" w:lineRule="auto"/>
        <w:rPr>
          <w:szCs w:val="24"/>
        </w:rPr>
      </w:pPr>
      <w:r w:rsidRPr="00353B3F">
        <w:rPr>
          <w:szCs w:val="24"/>
        </w:rPr>
        <w:tab/>
      </w:r>
      <w:r w:rsidRPr="001C33DA">
        <w:rPr>
          <w:szCs w:val="24"/>
        </w:rPr>
        <w:t>In August</w:t>
      </w:r>
      <w:r>
        <w:rPr>
          <w:szCs w:val="24"/>
        </w:rPr>
        <w:t> </w:t>
      </w:r>
      <w:r w:rsidRPr="001C33DA">
        <w:rPr>
          <w:szCs w:val="24"/>
        </w:rPr>
        <w:t>2016, Thomas filed a complaint</w:t>
      </w:r>
      <w:r>
        <w:rPr>
          <w:szCs w:val="24"/>
        </w:rPr>
        <w:t xml:space="preserve"> on behalf of himself</w:t>
      </w:r>
      <w:r w:rsidRPr="001C33DA">
        <w:rPr>
          <w:szCs w:val="24"/>
        </w:rPr>
        <w:t xml:space="preserve"> in federal court alleging civil rights violations against two </w:t>
      </w:r>
      <w:r>
        <w:rPr>
          <w:szCs w:val="24"/>
        </w:rPr>
        <w:t>appellate court</w:t>
      </w:r>
      <w:r w:rsidRPr="001C33DA">
        <w:rPr>
          <w:szCs w:val="24"/>
        </w:rPr>
        <w:t xml:space="preserve"> </w:t>
      </w:r>
      <w:r>
        <w:rPr>
          <w:szCs w:val="24"/>
        </w:rPr>
        <w:t>j</w:t>
      </w:r>
      <w:r w:rsidRPr="001C33DA">
        <w:rPr>
          <w:szCs w:val="24"/>
        </w:rPr>
        <w:t xml:space="preserve">ustices who decided the </w:t>
      </w:r>
      <w:r>
        <w:rPr>
          <w:szCs w:val="24"/>
        </w:rPr>
        <w:t>i</w:t>
      </w:r>
      <w:r w:rsidRPr="001C33DA">
        <w:rPr>
          <w:szCs w:val="24"/>
        </w:rPr>
        <w:t>nterpleader appeal, as well as Solomon, Perry, HPL, Gibson</w:t>
      </w:r>
      <w:r w:rsidR="00621029">
        <w:rPr>
          <w:szCs w:val="24"/>
        </w:rPr>
        <w:t>,</w:t>
      </w:r>
      <w:r w:rsidRPr="001C33DA">
        <w:rPr>
          <w:szCs w:val="24"/>
        </w:rPr>
        <w:t xml:space="preserve"> and others</w:t>
      </w:r>
      <w:r>
        <w:rPr>
          <w:szCs w:val="24"/>
        </w:rPr>
        <w:t xml:space="preserve">.  </w:t>
      </w:r>
      <w:r w:rsidRPr="00353B3F">
        <w:rPr>
          <w:szCs w:val="24"/>
        </w:rPr>
        <w:t>(</w:t>
      </w:r>
      <w:r w:rsidRPr="00353B3F">
        <w:rPr>
          <w:i/>
          <w:iCs/>
          <w:szCs w:val="24"/>
        </w:rPr>
        <w:t>Thomas v. Zelon et al.</w:t>
      </w:r>
      <w:r w:rsidRPr="00353B3F">
        <w:rPr>
          <w:szCs w:val="24"/>
        </w:rPr>
        <w:t xml:space="preserve"> (C.D.Cal., No. 16-cv-06544).)  </w:t>
      </w:r>
      <w:r w:rsidRPr="001C33DA">
        <w:rPr>
          <w:szCs w:val="24"/>
        </w:rPr>
        <w:t>The defendants filed a motion to dismiss</w:t>
      </w:r>
      <w:r>
        <w:rPr>
          <w:szCs w:val="24"/>
        </w:rPr>
        <w:t xml:space="preserve">, which was granted in February 2017.  The court dismissed Thomas’s complaint without leave to amend.  </w:t>
      </w:r>
      <w:r w:rsidR="00B638A4">
        <w:rPr>
          <w:szCs w:val="24"/>
        </w:rPr>
        <w:t>It</w:t>
      </w:r>
      <w:r>
        <w:rPr>
          <w:szCs w:val="24"/>
        </w:rPr>
        <w:t xml:space="preserve"> found Thomas’s federal claims were barred by the </w:t>
      </w:r>
      <w:r w:rsidRPr="001C33DA">
        <w:rPr>
          <w:i/>
          <w:iCs/>
          <w:szCs w:val="24"/>
        </w:rPr>
        <w:t>Rooker-Feldman</w:t>
      </w:r>
      <w:r>
        <w:rPr>
          <w:szCs w:val="24"/>
        </w:rPr>
        <w:t xml:space="preserve"> doctrine, which precludes federal adjudication of a claim that “amounts to </w:t>
      </w:r>
      <w:r w:rsidRPr="001C33DA">
        <w:rPr>
          <w:szCs w:val="24"/>
        </w:rPr>
        <w:t>nothing more than an impermissible collateral attack on prior state court decisions.”  (</w:t>
      </w:r>
      <w:r w:rsidRPr="001C33DA">
        <w:rPr>
          <w:i/>
          <w:iCs/>
          <w:szCs w:val="24"/>
        </w:rPr>
        <w:t xml:space="preserve">Ignacio v. Judges of U.S. Court of Appeals </w:t>
      </w:r>
      <w:r w:rsidRPr="001C33DA">
        <w:rPr>
          <w:szCs w:val="24"/>
        </w:rPr>
        <w:t>(9th</w:t>
      </w:r>
      <w:r w:rsidR="001B33CE">
        <w:rPr>
          <w:szCs w:val="24"/>
        </w:rPr>
        <w:t> </w:t>
      </w:r>
      <w:r w:rsidRPr="001C33DA">
        <w:rPr>
          <w:szCs w:val="24"/>
        </w:rPr>
        <w:t xml:space="preserve">Cir. 2006) 453 F.3d 1160, 1165 [explaining </w:t>
      </w:r>
      <w:r w:rsidRPr="001C33DA">
        <w:rPr>
          <w:i/>
          <w:iCs/>
          <w:szCs w:val="24"/>
        </w:rPr>
        <w:t xml:space="preserve">Rooker-Feldman </w:t>
      </w:r>
      <w:r w:rsidRPr="001C33DA">
        <w:rPr>
          <w:szCs w:val="24"/>
        </w:rPr>
        <w:t>doctrine</w:t>
      </w:r>
      <w:r w:rsidRPr="00F368A4">
        <w:rPr>
          <w:szCs w:val="24"/>
        </w:rPr>
        <w:t>].</w:t>
      </w:r>
      <w:r>
        <w:rPr>
          <w:szCs w:val="24"/>
        </w:rPr>
        <w:t>)</w:t>
      </w:r>
      <w:r w:rsidRPr="00F368A4">
        <w:rPr>
          <w:szCs w:val="24"/>
        </w:rPr>
        <w:t xml:space="preserve">  </w:t>
      </w:r>
      <w:r>
        <w:rPr>
          <w:szCs w:val="24"/>
        </w:rPr>
        <w:t xml:space="preserve">Accordingly, Thomas could not pursue his additional state law claims in federal court under supplemental jurisdiction.  </w:t>
      </w:r>
    </w:p>
    <w:p w14:paraId="6630A36F" w14:textId="1650AAD5" w:rsidR="00B5326B" w:rsidRPr="00873167" w:rsidRDefault="00B5326B" w:rsidP="00B5326B">
      <w:pPr>
        <w:spacing w:line="480" w:lineRule="auto"/>
        <w:rPr>
          <w:szCs w:val="24"/>
        </w:rPr>
      </w:pPr>
      <w:r>
        <w:rPr>
          <w:szCs w:val="24"/>
        </w:rPr>
        <w:tab/>
        <w:t>Thomas appealed the district court’s decision.  In March 2018, t</w:t>
      </w:r>
      <w:r w:rsidRPr="001C33DA">
        <w:rPr>
          <w:szCs w:val="24"/>
        </w:rPr>
        <w:t xml:space="preserve">he United States Court of Appeals </w:t>
      </w:r>
      <w:r>
        <w:rPr>
          <w:szCs w:val="24"/>
        </w:rPr>
        <w:t xml:space="preserve">for the Ninth Circuit </w:t>
      </w:r>
      <w:r w:rsidRPr="001C33DA">
        <w:rPr>
          <w:szCs w:val="24"/>
        </w:rPr>
        <w:t>affirmed the district court’s dismissal.</w:t>
      </w:r>
      <w:r>
        <w:rPr>
          <w:szCs w:val="24"/>
        </w:rPr>
        <w:t xml:space="preserve">  The court held</w:t>
      </w:r>
      <w:r w:rsidR="00AA2BBA">
        <w:rPr>
          <w:szCs w:val="24"/>
        </w:rPr>
        <w:t>,</w:t>
      </w:r>
      <w:r>
        <w:rPr>
          <w:szCs w:val="24"/>
        </w:rPr>
        <w:t xml:space="preserve"> “The district court properly dismissed Thomas’s action as barred by the </w:t>
      </w:r>
      <w:r>
        <w:rPr>
          <w:i/>
          <w:iCs/>
          <w:szCs w:val="24"/>
        </w:rPr>
        <w:t>Rooker-Feldman</w:t>
      </w:r>
      <w:r>
        <w:rPr>
          <w:szCs w:val="24"/>
        </w:rPr>
        <w:t xml:space="preserve"> doctrine because Thomas’s claims stemming from the prior state court action constitute a ‘de facto appeal’ of prior state court judgments, or are ‘inextricably intertwined’ with those judgments.  [Citations].”  </w:t>
      </w:r>
    </w:p>
    <w:p w14:paraId="72FACB83" w14:textId="5A07F7B7" w:rsidR="00B5326B" w:rsidRDefault="009C6648" w:rsidP="00B5326B">
      <w:pPr>
        <w:spacing w:line="480" w:lineRule="auto"/>
        <w:ind w:left="720" w:hanging="720"/>
        <w:rPr>
          <w:b/>
          <w:bCs/>
          <w:szCs w:val="24"/>
        </w:rPr>
      </w:pPr>
      <w:r>
        <w:rPr>
          <w:b/>
          <w:bCs/>
          <w:szCs w:val="24"/>
        </w:rPr>
        <w:t>H</w:t>
      </w:r>
      <w:r w:rsidR="00B5326B" w:rsidRPr="001C33DA">
        <w:rPr>
          <w:b/>
          <w:bCs/>
          <w:szCs w:val="24"/>
        </w:rPr>
        <w:t>.</w:t>
      </w:r>
      <w:r w:rsidR="00B5326B" w:rsidRPr="001C33DA">
        <w:rPr>
          <w:b/>
          <w:bCs/>
          <w:szCs w:val="24"/>
        </w:rPr>
        <w:tab/>
      </w:r>
      <w:r w:rsidR="00B5326B" w:rsidRPr="001C33DA">
        <w:rPr>
          <w:b/>
          <w:bCs/>
          <w:i/>
          <w:iCs/>
          <w:szCs w:val="24"/>
        </w:rPr>
        <w:t>True Harmony et al. v. Department of Justice of the State of California et a</w:t>
      </w:r>
      <w:r w:rsidR="00B5326B">
        <w:rPr>
          <w:b/>
          <w:bCs/>
          <w:i/>
          <w:iCs/>
          <w:szCs w:val="24"/>
        </w:rPr>
        <w:t>l.</w:t>
      </w:r>
    </w:p>
    <w:p w14:paraId="1A5E59E7" w14:textId="18A69D2E" w:rsidR="00B5326B" w:rsidRDefault="00B5326B" w:rsidP="00B5326B">
      <w:pPr>
        <w:spacing w:line="480" w:lineRule="auto"/>
        <w:ind w:firstLine="720"/>
        <w:rPr>
          <w:szCs w:val="24"/>
        </w:rPr>
      </w:pPr>
      <w:r>
        <w:rPr>
          <w:szCs w:val="24"/>
        </w:rPr>
        <w:t>In January 2020, Thomas filed a federal lawsuit on behalf of himself, True Harmony, and Haiem, suing the California Department of Justice, Perry, Solomon, Gibson, HPL, Hope Street, and others.  (</w:t>
      </w:r>
      <w:r>
        <w:rPr>
          <w:i/>
          <w:iCs/>
          <w:szCs w:val="24"/>
        </w:rPr>
        <w:t>True Harmony et al. v. Dept. of J. of Cal. et al.</w:t>
      </w:r>
      <w:r>
        <w:rPr>
          <w:szCs w:val="24"/>
        </w:rPr>
        <w:t xml:space="preserve"> (C.D.Cal., No. 20-cv-00170).)  This action again attempted</w:t>
      </w:r>
      <w:r w:rsidRPr="001C33DA">
        <w:rPr>
          <w:szCs w:val="24"/>
        </w:rPr>
        <w:t xml:space="preserve"> to relitigate claims relating to the Property and previous legal actions.</w:t>
      </w:r>
      <w:r>
        <w:rPr>
          <w:szCs w:val="24"/>
        </w:rPr>
        <w:t xml:space="preserve">  The district court dismissed Thomas’s lawsuit with prejudice in May 2021.  The court held that</w:t>
      </w:r>
      <w:r w:rsidR="00787214">
        <w:rPr>
          <w:szCs w:val="24"/>
        </w:rPr>
        <w:t xml:space="preserve"> </w:t>
      </w:r>
      <w:r w:rsidR="00624F16">
        <w:rPr>
          <w:szCs w:val="24"/>
        </w:rPr>
        <w:t>it did not have subject matter jurisdiction over some of the causes of action due to lack of standing</w:t>
      </w:r>
      <w:r w:rsidR="00AE694E">
        <w:rPr>
          <w:szCs w:val="24"/>
        </w:rPr>
        <w:t xml:space="preserve">, some were barred by the </w:t>
      </w:r>
      <w:r w:rsidR="00AE694E">
        <w:rPr>
          <w:i/>
          <w:iCs/>
          <w:szCs w:val="24"/>
        </w:rPr>
        <w:t>Rooker-Feldman</w:t>
      </w:r>
      <w:r w:rsidR="00AE694E">
        <w:rPr>
          <w:szCs w:val="24"/>
        </w:rPr>
        <w:t xml:space="preserve"> doctrine</w:t>
      </w:r>
      <w:r w:rsidR="00F45C79">
        <w:rPr>
          <w:szCs w:val="24"/>
        </w:rPr>
        <w:t>, other</w:t>
      </w:r>
      <w:r w:rsidR="00702B9D">
        <w:rPr>
          <w:szCs w:val="24"/>
        </w:rPr>
        <w:t xml:space="preserve">s </w:t>
      </w:r>
      <w:r w:rsidR="00F45C79">
        <w:rPr>
          <w:szCs w:val="24"/>
        </w:rPr>
        <w:t xml:space="preserve">were </w:t>
      </w:r>
      <w:r w:rsidR="0033324D">
        <w:rPr>
          <w:szCs w:val="24"/>
        </w:rPr>
        <w:t>barred by res</w:t>
      </w:r>
      <w:r w:rsidR="00E265E5">
        <w:rPr>
          <w:szCs w:val="24"/>
        </w:rPr>
        <w:t xml:space="preserve"> </w:t>
      </w:r>
      <w:r w:rsidR="0033324D">
        <w:rPr>
          <w:szCs w:val="24"/>
        </w:rPr>
        <w:t>judicata</w:t>
      </w:r>
      <w:r w:rsidR="008459F3">
        <w:rPr>
          <w:szCs w:val="24"/>
        </w:rPr>
        <w:t>, and some failed to state a claim</w:t>
      </w:r>
      <w:r w:rsidR="006537F1">
        <w:rPr>
          <w:szCs w:val="24"/>
        </w:rPr>
        <w:t xml:space="preserve">.  </w:t>
      </w:r>
      <w:r>
        <w:rPr>
          <w:szCs w:val="24"/>
        </w:rPr>
        <w:t xml:space="preserve">The court </w:t>
      </w:r>
      <w:r w:rsidR="003B00AB">
        <w:rPr>
          <w:szCs w:val="24"/>
        </w:rPr>
        <w:t>determined</w:t>
      </w:r>
      <w:r>
        <w:rPr>
          <w:szCs w:val="24"/>
        </w:rPr>
        <w:t xml:space="preserve"> that the claims brought were </w:t>
      </w:r>
      <w:r w:rsidR="006537F1">
        <w:rPr>
          <w:szCs w:val="24"/>
        </w:rPr>
        <w:t>“</w:t>
      </w:r>
      <w:r>
        <w:rPr>
          <w:szCs w:val="24"/>
        </w:rPr>
        <w:t>nearly identical</w:t>
      </w:r>
      <w:r w:rsidR="006537F1">
        <w:rPr>
          <w:szCs w:val="24"/>
        </w:rPr>
        <w:t>”</w:t>
      </w:r>
      <w:r>
        <w:rPr>
          <w:szCs w:val="24"/>
        </w:rPr>
        <w:t xml:space="preserve"> to those in </w:t>
      </w:r>
      <w:r>
        <w:rPr>
          <w:i/>
          <w:iCs/>
          <w:szCs w:val="24"/>
        </w:rPr>
        <w:t>Thomas v. Zelon et al.</w:t>
      </w:r>
      <w:r>
        <w:rPr>
          <w:szCs w:val="24"/>
        </w:rPr>
        <w:t xml:space="preserve"> and Thomas </w:t>
      </w:r>
      <w:r w:rsidR="008B684F">
        <w:rPr>
          <w:szCs w:val="24"/>
        </w:rPr>
        <w:t xml:space="preserve">was </w:t>
      </w:r>
      <w:r w:rsidR="00694145">
        <w:rPr>
          <w:szCs w:val="24"/>
        </w:rPr>
        <w:t>seeking</w:t>
      </w:r>
      <w:r>
        <w:rPr>
          <w:szCs w:val="24"/>
        </w:rPr>
        <w:t xml:space="preserve"> to relitigate previous dismissals.  </w:t>
      </w:r>
    </w:p>
    <w:p w14:paraId="0FA102A1" w14:textId="4878BC80" w:rsidR="00940505" w:rsidRDefault="00B5326B" w:rsidP="00B5326B">
      <w:pPr>
        <w:spacing w:line="480" w:lineRule="auto"/>
        <w:ind w:firstLine="720"/>
        <w:rPr>
          <w:szCs w:val="24"/>
        </w:rPr>
      </w:pPr>
      <w:r>
        <w:rPr>
          <w:szCs w:val="24"/>
        </w:rPr>
        <w:t xml:space="preserve">In June 2021, Thomas filed a notice of appeal.  Because Thomas was no longer eligible to practice law, in November, the Ninth Circuit dismissed the appeal as to True Harmony and </w:t>
      </w:r>
      <w:r w:rsidR="008837E0">
        <w:rPr>
          <w:szCs w:val="24"/>
        </w:rPr>
        <w:t xml:space="preserve">Haiem </w:t>
      </w:r>
      <w:r>
        <w:rPr>
          <w:szCs w:val="24"/>
        </w:rPr>
        <w:t>as they were not represented by counsel.  Thomas appealed this decision to the Supreme Court of the United States</w:t>
      </w:r>
      <w:r w:rsidR="00CF009F">
        <w:rPr>
          <w:szCs w:val="24"/>
        </w:rPr>
        <w:t xml:space="preserve">.  </w:t>
      </w:r>
      <w:r>
        <w:rPr>
          <w:szCs w:val="24"/>
        </w:rPr>
        <w:t>At oral argument</w:t>
      </w:r>
      <w:r w:rsidR="00AA2BBA">
        <w:rPr>
          <w:szCs w:val="24"/>
        </w:rPr>
        <w:t xml:space="preserve"> before us</w:t>
      </w:r>
      <w:r>
        <w:rPr>
          <w:szCs w:val="24"/>
        </w:rPr>
        <w:t xml:space="preserve">, </w:t>
      </w:r>
      <w:r w:rsidR="00560933">
        <w:rPr>
          <w:szCs w:val="24"/>
        </w:rPr>
        <w:t>he</w:t>
      </w:r>
      <w:r>
        <w:rPr>
          <w:szCs w:val="24"/>
        </w:rPr>
        <w:t xml:space="preserve"> stated his individual appeal was still pending in the Ninth Circuit. </w:t>
      </w:r>
    </w:p>
    <w:p w14:paraId="30ABA964" w14:textId="3EA65F40" w:rsidR="00B5326B" w:rsidRDefault="00B5326B" w:rsidP="00B5326B">
      <w:pPr>
        <w:spacing w:line="480" w:lineRule="auto"/>
        <w:ind w:firstLine="720"/>
        <w:rPr>
          <w:szCs w:val="24"/>
        </w:rPr>
      </w:pPr>
      <w:r>
        <w:rPr>
          <w:szCs w:val="24"/>
        </w:rPr>
        <w:t xml:space="preserve"> </w:t>
      </w:r>
    </w:p>
    <w:p w14:paraId="0F1B8E02" w14:textId="77777777" w:rsidR="00444535" w:rsidRDefault="00444535">
      <w:pPr>
        <w:rPr>
          <w:b/>
          <w:bCs/>
          <w:szCs w:val="24"/>
        </w:rPr>
      </w:pPr>
      <w:r>
        <w:rPr>
          <w:b/>
          <w:bCs/>
          <w:szCs w:val="24"/>
        </w:rPr>
        <w:br w:type="page"/>
      </w:r>
    </w:p>
    <w:p w14:paraId="0DAE8036" w14:textId="5672D9D4" w:rsidR="00C84A98" w:rsidRDefault="00B5326B" w:rsidP="00B5326B">
      <w:pPr>
        <w:jc w:val="center"/>
        <w:rPr>
          <w:b/>
          <w:bCs/>
          <w:szCs w:val="24"/>
        </w:rPr>
      </w:pPr>
      <w:r w:rsidRPr="00FF2581">
        <w:rPr>
          <w:b/>
          <w:bCs/>
          <w:szCs w:val="24"/>
        </w:rPr>
        <w:t xml:space="preserve">III.  THOMAS’S </w:t>
      </w:r>
      <w:r>
        <w:rPr>
          <w:b/>
          <w:bCs/>
          <w:szCs w:val="24"/>
        </w:rPr>
        <w:t>VARIOUS CHALLENGES TO THE</w:t>
      </w:r>
    </w:p>
    <w:p w14:paraId="448E3D31" w14:textId="211C354F" w:rsidR="00B5326B" w:rsidRDefault="00B5326B" w:rsidP="00B5326B">
      <w:pPr>
        <w:jc w:val="center"/>
        <w:rPr>
          <w:b/>
          <w:bCs/>
          <w:szCs w:val="24"/>
        </w:rPr>
      </w:pPr>
      <w:r>
        <w:rPr>
          <w:b/>
          <w:bCs/>
          <w:szCs w:val="24"/>
        </w:rPr>
        <w:t>HEARING JUDGE’S DECISION</w:t>
      </w:r>
      <w:r w:rsidRPr="00FF2581">
        <w:rPr>
          <w:b/>
          <w:bCs/>
          <w:szCs w:val="24"/>
        </w:rPr>
        <w:t xml:space="preserve"> HAVE NO MERIT</w:t>
      </w:r>
    </w:p>
    <w:p w14:paraId="1FCE4ECE" w14:textId="77777777" w:rsidR="00B5326B" w:rsidRPr="00FF2581" w:rsidRDefault="00B5326B" w:rsidP="00B5326B">
      <w:pPr>
        <w:jc w:val="center"/>
        <w:rPr>
          <w:b/>
          <w:bCs/>
          <w:szCs w:val="24"/>
        </w:rPr>
      </w:pPr>
    </w:p>
    <w:p w14:paraId="6CAB70EA" w14:textId="12DC1EEC" w:rsidR="00B5326B" w:rsidRPr="00E61660" w:rsidRDefault="00B5326B" w:rsidP="00CF009F">
      <w:pPr>
        <w:spacing w:line="480" w:lineRule="auto"/>
        <w:ind w:firstLine="720"/>
        <w:rPr>
          <w:szCs w:val="24"/>
        </w:rPr>
      </w:pPr>
      <w:r>
        <w:rPr>
          <w:szCs w:val="24"/>
        </w:rPr>
        <w:t xml:space="preserve">Thomas makes several constitutional and jurisdictional arguments on review, all of which we have carefully considered.  We note </w:t>
      </w:r>
      <w:r w:rsidR="00C84A98">
        <w:rPr>
          <w:szCs w:val="24"/>
        </w:rPr>
        <w:t>his</w:t>
      </w:r>
      <w:r>
        <w:rPr>
          <w:szCs w:val="24"/>
        </w:rPr>
        <w:t xml:space="preserve"> arguments are</w:t>
      </w:r>
      <w:r w:rsidR="002F3E44">
        <w:rPr>
          <w:szCs w:val="24"/>
        </w:rPr>
        <w:t xml:space="preserve"> largely</w:t>
      </w:r>
      <w:r>
        <w:rPr>
          <w:szCs w:val="24"/>
        </w:rPr>
        <w:t xml:space="preserve"> unsupported and his briefing on review is difficult to understand, particularly as to the relevance of points he asserts in defense of these proceedings.  We have independently reviewed all of his arguments; any not specifically addressed here have been considered and rejected without merit.  </w:t>
      </w:r>
    </w:p>
    <w:p w14:paraId="0817A0C5" w14:textId="77777777" w:rsidR="00B5326B" w:rsidRPr="00764B43" w:rsidRDefault="00B5326B" w:rsidP="00B5326B">
      <w:pPr>
        <w:spacing w:line="480" w:lineRule="auto"/>
        <w:rPr>
          <w:b/>
          <w:bCs/>
          <w:szCs w:val="24"/>
        </w:rPr>
      </w:pPr>
      <w:r w:rsidRPr="00764B43">
        <w:rPr>
          <w:b/>
          <w:bCs/>
          <w:szCs w:val="24"/>
        </w:rPr>
        <w:t>A.</w:t>
      </w:r>
      <w:r w:rsidRPr="00764B43">
        <w:rPr>
          <w:b/>
          <w:bCs/>
          <w:szCs w:val="24"/>
        </w:rPr>
        <w:tab/>
        <w:t>Collateral Attacks</w:t>
      </w:r>
    </w:p>
    <w:p w14:paraId="0D7F5E71" w14:textId="77777777" w:rsidR="00B5326B" w:rsidRDefault="00B5326B" w:rsidP="00B5326B">
      <w:pPr>
        <w:spacing w:line="480" w:lineRule="auto"/>
        <w:ind w:firstLine="720"/>
        <w:rPr>
          <w:szCs w:val="24"/>
        </w:rPr>
      </w:pPr>
      <w:r>
        <w:rPr>
          <w:szCs w:val="24"/>
        </w:rPr>
        <w:t xml:space="preserve">An action by a court or judge is presumed valid and made within the lawful exercise of jurisdiction.  (Evid. Code, </w:t>
      </w:r>
      <w:r w:rsidRPr="00791131">
        <w:t>§</w:t>
      </w:r>
      <w:r>
        <w:t> </w:t>
      </w:r>
      <w:r w:rsidRPr="00791131">
        <w:t>666.)</w:t>
      </w:r>
      <w:r>
        <w:rPr>
          <w:szCs w:val="24"/>
        </w:rPr>
        <w:t xml:space="preserve">  Final judgments are subject to collateral attack only on the following grounds: (1) lack of subject matter jurisdiction, (2) lack of personal jurisdiction, or (3) actions in excess of jurisdiction.  (</w:t>
      </w:r>
      <w:r>
        <w:rPr>
          <w:i/>
          <w:szCs w:val="24"/>
        </w:rPr>
        <w:t>In the Matter of Pyle</w:t>
      </w:r>
      <w:r>
        <w:rPr>
          <w:szCs w:val="24"/>
        </w:rPr>
        <w:t xml:space="preserve"> (Review Dept. 1998) 3 Cal. State Bar Ct. Rptr. 929, 933.)  To succeed on collateral attack, Thomas must prove a jurisdictional defect from the face of the record.  (</w:t>
      </w:r>
      <w:r>
        <w:rPr>
          <w:i/>
          <w:iCs/>
          <w:szCs w:val="24"/>
        </w:rPr>
        <w:t>Ibid</w:t>
      </w:r>
      <w:r>
        <w:rPr>
          <w:szCs w:val="24"/>
        </w:rPr>
        <w:t>.)</w:t>
      </w:r>
    </w:p>
    <w:p w14:paraId="6A56C35B" w14:textId="185B02A0" w:rsidR="00B5326B" w:rsidRPr="006A0E13" w:rsidRDefault="00B5326B" w:rsidP="00B5326B">
      <w:pPr>
        <w:spacing w:line="480" w:lineRule="auto"/>
        <w:ind w:firstLine="720"/>
        <w:rPr>
          <w:b/>
          <w:bCs/>
          <w:szCs w:val="24"/>
        </w:rPr>
      </w:pPr>
      <w:r w:rsidRPr="006A0E13">
        <w:rPr>
          <w:b/>
          <w:bCs/>
          <w:szCs w:val="24"/>
        </w:rPr>
        <w:t>1.  Challenges to Court Decisions in Civil Litigation</w:t>
      </w:r>
    </w:p>
    <w:p w14:paraId="1D915DA4" w14:textId="0ADC989B" w:rsidR="00B5326B" w:rsidRPr="00E75375" w:rsidRDefault="00B5326B" w:rsidP="00B5326B">
      <w:pPr>
        <w:spacing w:line="480" w:lineRule="auto"/>
        <w:ind w:firstLine="720"/>
        <w:rPr>
          <w:szCs w:val="24"/>
        </w:rPr>
      </w:pPr>
      <w:r>
        <w:rPr>
          <w:szCs w:val="24"/>
        </w:rPr>
        <w:t>In the decision, the hearing judge stated Thomas was given the opportunity to present evidence to contradict, temper, or explain all admitted records from the various civil actions.  After considering the evidence, the judge determined that the</w:t>
      </w:r>
      <w:r w:rsidR="00075182">
        <w:rPr>
          <w:szCs w:val="24"/>
        </w:rPr>
        <w:t xml:space="preserve"> civil litigation</w:t>
      </w:r>
      <w:r>
        <w:rPr>
          <w:szCs w:val="24"/>
        </w:rPr>
        <w:t xml:space="preserve"> findings were supported by substantial evidence and, therefore, adopted the</w:t>
      </w:r>
      <w:r w:rsidR="002C0ED2">
        <w:rPr>
          <w:szCs w:val="24"/>
        </w:rPr>
        <w:t>m</w:t>
      </w:r>
      <w:r>
        <w:rPr>
          <w:szCs w:val="24"/>
        </w:rPr>
        <w:t xml:space="preserve">.  (See </w:t>
      </w:r>
      <w:r>
        <w:rPr>
          <w:i/>
          <w:szCs w:val="24"/>
        </w:rPr>
        <w:t>Maltaman v. State Bar</w:t>
      </w:r>
      <w:r>
        <w:rPr>
          <w:szCs w:val="24"/>
        </w:rPr>
        <w:t xml:space="preserve"> (1987) 43 Cal.3d 924; </w:t>
      </w:r>
      <w:r>
        <w:rPr>
          <w:i/>
          <w:szCs w:val="24"/>
        </w:rPr>
        <w:t>In the Matter of Kittrell</w:t>
      </w:r>
      <w:r>
        <w:rPr>
          <w:szCs w:val="24"/>
        </w:rPr>
        <w:t xml:space="preserve"> (Review Dept. 2000) 4 Cal. State Bar Ct. Rptr. 195; </w:t>
      </w:r>
      <w:r>
        <w:rPr>
          <w:i/>
          <w:szCs w:val="24"/>
        </w:rPr>
        <w:t>In the Matter of Kinney</w:t>
      </w:r>
      <w:r>
        <w:rPr>
          <w:szCs w:val="24"/>
        </w:rPr>
        <w:t xml:space="preserve"> (Review Dept. 2014) 5 Cal. State Bar Ct. Rptr. 360.)</w:t>
      </w:r>
    </w:p>
    <w:p w14:paraId="6CC21F69" w14:textId="77777777" w:rsidR="00B5326B" w:rsidRDefault="00B5326B" w:rsidP="00B5326B">
      <w:pPr>
        <w:spacing w:line="480" w:lineRule="auto"/>
        <w:ind w:firstLine="720"/>
        <w:rPr>
          <w:szCs w:val="24"/>
        </w:rPr>
      </w:pPr>
      <w:r>
        <w:rPr>
          <w:szCs w:val="24"/>
        </w:rPr>
        <w:t>Throughout his opening brief, Thomas challenges several court decisions and arguments made by his opponents there.  He claims the decisions in the interpleader action and the appeal of the interpleader action were “frauds on the court” and the court lacked “all basis in jurisdiction.”  Thomas alleges the hearing judge erred by ignoring his evidence relating to jurisdiction in the civil litigation.</w:t>
      </w:r>
    </w:p>
    <w:p w14:paraId="6E3C003E" w14:textId="682F7048" w:rsidR="00B5326B" w:rsidRDefault="00B5326B" w:rsidP="00B5326B">
      <w:pPr>
        <w:spacing w:line="480" w:lineRule="auto"/>
        <w:ind w:firstLine="720"/>
        <w:rPr>
          <w:szCs w:val="24"/>
        </w:rPr>
      </w:pPr>
      <w:r>
        <w:rPr>
          <w:szCs w:val="24"/>
        </w:rPr>
        <w:t>Thomas claims OCTC and witness testimony w</w:t>
      </w:r>
      <w:r w:rsidR="00BE0686">
        <w:rPr>
          <w:szCs w:val="24"/>
        </w:rPr>
        <w:t>ere</w:t>
      </w:r>
      <w:r>
        <w:rPr>
          <w:szCs w:val="24"/>
        </w:rPr>
        <w:t xml:space="preserve"> not produced </w:t>
      </w:r>
      <w:r w:rsidR="00BE0686">
        <w:rPr>
          <w:szCs w:val="24"/>
        </w:rPr>
        <w:t>to</w:t>
      </w:r>
      <w:r>
        <w:rPr>
          <w:szCs w:val="24"/>
        </w:rPr>
        <w:t xml:space="preserve"> establish jurisdiction for the court decisions he now attacks.  However, it is Thomas’s burden to prove the jurisdictional defect </w:t>
      </w:r>
      <w:r w:rsidR="00BE0686">
        <w:rPr>
          <w:szCs w:val="24"/>
        </w:rPr>
        <w:t>since</w:t>
      </w:r>
      <w:r>
        <w:rPr>
          <w:szCs w:val="24"/>
        </w:rPr>
        <w:t xml:space="preserve"> court actions are presumed valid.  </w:t>
      </w:r>
      <w:r w:rsidR="009F69F6">
        <w:rPr>
          <w:szCs w:val="24"/>
        </w:rPr>
        <w:t>(</w:t>
      </w:r>
      <w:r w:rsidR="009F69F6">
        <w:rPr>
          <w:i/>
          <w:szCs w:val="24"/>
        </w:rPr>
        <w:t>In the Matter of Pyle</w:t>
      </w:r>
      <w:r w:rsidR="006E5395">
        <w:rPr>
          <w:iCs/>
          <w:szCs w:val="24"/>
        </w:rPr>
        <w:t xml:space="preserve">, </w:t>
      </w:r>
      <w:r w:rsidR="006E5395">
        <w:rPr>
          <w:i/>
          <w:szCs w:val="24"/>
        </w:rPr>
        <w:t>supra</w:t>
      </w:r>
      <w:r w:rsidR="006E5395">
        <w:rPr>
          <w:iCs/>
          <w:szCs w:val="24"/>
        </w:rPr>
        <w:t>,</w:t>
      </w:r>
      <w:r w:rsidR="009F69F6">
        <w:rPr>
          <w:szCs w:val="24"/>
        </w:rPr>
        <w:t xml:space="preserve">  3 Cal. State Bar Ct. Rptr. </w:t>
      </w:r>
      <w:r w:rsidR="00BD2834">
        <w:rPr>
          <w:szCs w:val="24"/>
        </w:rPr>
        <w:t>at p.</w:t>
      </w:r>
      <w:r w:rsidR="009F69F6">
        <w:rPr>
          <w:szCs w:val="24"/>
        </w:rPr>
        <w:t xml:space="preserve"> 933.)</w:t>
      </w:r>
      <w:r w:rsidR="006E5395">
        <w:rPr>
          <w:szCs w:val="24"/>
        </w:rPr>
        <w:t xml:space="preserve">  </w:t>
      </w:r>
      <w:r>
        <w:rPr>
          <w:szCs w:val="24"/>
        </w:rPr>
        <w:t xml:space="preserve">Because </w:t>
      </w:r>
      <w:r w:rsidR="00D879CB">
        <w:rPr>
          <w:szCs w:val="24"/>
        </w:rPr>
        <w:t>he</w:t>
      </w:r>
      <w:r>
        <w:rPr>
          <w:szCs w:val="24"/>
        </w:rPr>
        <w:t xml:space="preserve"> has not established any jurisdictional defect, we must view the court decisions as valid, as the hearing judge did.  Accordingly, we reject </w:t>
      </w:r>
      <w:r w:rsidR="00BE0686">
        <w:rPr>
          <w:szCs w:val="24"/>
        </w:rPr>
        <w:t>T</w:t>
      </w:r>
      <w:r w:rsidR="000B138A">
        <w:rPr>
          <w:szCs w:val="24"/>
        </w:rPr>
        <w:t>homas’s</w:t>
      </w:r>
      <w:r>
        <w:rPr>
          <w:szCs w:val="24"/>
        </w:rPr>
        <w:t xml:space="preserve"> collateral attacks on these decisions.  Further, Thomas has already challenged certain court orders in the courts of record.  He may not continue to do so here as the orders are final and binding for disciplinary purposes.  (See </w:t>
      </w:r>
      <w:r>
        <w:rPr>
          <w:i/>
          <w:szCs w:val="24"/>
        </w:rPr>
        <w:t>In the Matter of Collins</w:t>
      </w:r>
      <w:r>
        <w:rPr>
          <w:szCs w:val="24"/>
        </w:rPr>
        <w:t xml:space="preserve"> (Review Dept. 2018) 5 Cal. State Bar Ct. Rptr. 551, 559; </w:t>
      </w:r>
      <w:r>
        <w:rPr>
          <w:i/>
          <w:szCs w:val="24"/>
        </w:rPr>
        <w:t>In the Matter of Boyne</w:t>
      </w:r>
      <w:r>
        <w:rPr>
          <w:szCs w:val="24"/>
        </w:rPr>
        <w:t xml:space="preserve"> (Review Dept. 1993) 2 Cal. State Bar Ct. Rptr. 389, 403-404.)  “There can be no plausible belief in the right to ignore final, unchallengeable orders one personally considers invalid.”  (</w:t>
      </w:r>
      <w:r>
        <w:rPr>
          <w:i/>
          <w:szCs w:val="24"/>
        </w:rPr>
        <w:t>Maltaman v. State Bar</w:t>
      </w:r>
      <w:r>
        <w:rPr>
          <w:szCs w:val="24"/>
        </w:rPr>
        <w:t xml:space="preserve">, </w:t>
      </w:r>
      <w:r>
        <w:rPr>
          <w:i/>
          <w:iCs/>
          <w:szCs w:val="24"/>
        </w:rPr>
        <w:t>supra</w:t>
      </w:r>
      <w:r>
        <w:rPr>
          <w:szCs w:val="24"/>
        </w:rPr>
        <w:t>, 43 Cal.3d at p. 952.)</w:t>
      </w:r>
    </w:p>
    <w:p w14:paraId="0EE24988" w14:textId="77777777" w:rsidR="00B5326B" w:rsidRPr="00E74CD4" w:rsidRDefault="00B5326B" w:rsidP="00B5326B">
      <w:pPr>
        <w:spacing w:line="480" w:lineRule="auto"/>
        <w:ind w:firstLine="720"/>
        <w:rPr>
          <w:b/>
          <w:bCs/>
          <w:szCs w:val="24"/>
        </w:rPr>
      </w:pPr>
      <w:r w:rsidRPr="00E74CD4">
        <w:rPr>
          <w:b/>
          <w:bCs/>
          <w:szCs w:val="24"/>
        </w:rPr>
        <w:t>2.  Challenge to Involuntary Inactive Enrollment</w:t>
      </w:r>
    </w:p>
    <w:p w14:paraId="1A2B9564" w14:textId="70112762" w:rsidR="00B5326B" w:rsidRDefault="00B5326B" w:rsidP="00B5326B">
      <w:pPr>
        <w:spacing w:line="480" w:lineRule="auto"/>
        <w:ind w:firstLine="720"/>
        <w:rPr>
          <w:szCs w:val="24"/>
        </w:rPr>
      </w:pPr>
      <w:r>
        <w:rPr>
          <w:szCs w:val="24"/>
        </w:rPr>
        <w:t>Thomas’s briefs on review make several challenges to the TE case where he was placed on involuntary inactive enrollment.</w:t>
      </w:r>
      <w:r w:rsidR="00AD2BB1">
        <w:rPr>
          <w:rStyle w:val="FootnoteReference"/>
          <w:szCs w:val="24"/>
        </w:rPr>
        <w:footnoteReference w:id="18"/>
      </w:r>
      <w:r>
        <w:rPr>
          <w:szCs w:val="24"/>
        </w:rPr>
        <w:t xml:space="preserve">  He argues that the hearing judge lacked personal and subject matter jurisdiction over him in that matter.  </w:t>
      </w:r>
      <w:r w:rsidR="005C3125">
        <w:rPr>
          <w:szCs w:val="24"/>
        </w:rPr>
        <w:t>As with</w:t>
      </w:r>
      <w:r>
        <w:rPr>
          <w:szCs w:val="24"/>
        </w:rPr>
        <w:t xml:space="preserve"> his other collateral attacks</w:t>
      </w:r>
      <w:r w:rsidR="005C3125">
        <w:rPr>
          <w:szCs w:val="24"/>
        </w:rPr>
        <w:t>,</w:t>
      </w:r>
      <w:r>
        <w:rPr>
          <w:szCs w:val="24"/>
        </w:rPr>
        <w:t xml:space="preserve"> discussed </w:t>
      </w:r>
      <w:r>
        <w:rPr>
          <w:i/>
          <w:iCs/>
          <w:szCs w:val="24"/>
        </w:rPr>
        <w:t>ante</w:t>
      </w:r>
      <w:r>
        <w:rPr>
          <w:szCs w:val="24"/>
        </w:rPr>
        <w:t xml:space="preserve">, Thomas has failed to prove any jurisdictional defect in the TE case.  Also, that case is final and closed.  He has not provided any support for our ability to review </w:t>
      </w:r>
      <w:r w:rsidR="006A6D28">
        <w:rPr>
          <w:szCs w:val="24"/>
        </w:rPr>
        <w:t>it</w:t>
      </w:r>
      <w:r w:rsidR="00AD2BB1">
        <w:rPr>
          <w:szCs w:val="24"/>
        </w:rPr>
        <w:t xml:space="preserve"> long after it became final</w:t>
      </w:r>
      <w:r>
        <w:rPr>
          <w:szCs w:val="24"/>
        </w:rPr>
        <w:t xml:space="preserve">.  </w:t>
      </w:r>
    </w:p>
    <w:p w14:paraId="5F2A9065" w14:textId="77777777" w:rsidR="00F2229F" w:rsidRDefault="00F2229F">
      <w:pPr>
        <w:rPr>
          <w:b/>
          <w:bCs/>
          <w:szCs w:val="24"/>
        </w:rPr>
      </w:pPr>
      <w:r>
        <w:rPr>
          <w:b/>
          <w:bCs/>
          <w:szCs w:val="24"/>
        </w:rPr>
        <w:br w:type="page"/>
      </w:r>
    </w:p>
    <w:p w14:paraId="150ECC89" w14:textId="5A5738CA" w:rsidR="00B5326B" w:rsidRPr="00186F19" w:rsidRDefault="00B5326B" w:rsidP="00B5326B">
      <w:pPr>
        <w:spacing w:line="480" w:lineRule="auto"/>
        <w:rPr>
          <w:b/>
          <w:bCs/>
          <w:szCs w:val="24"/>
        </w:rPr>
      </w:pPr>
      <w:r w:rsidRPr="00186F19">
        <w:rPr>
          <w:b/>
          <w:bCs/>
          <w:szCs w:val="24"/>
        </w:rPr>
        <w:t>B.</w:t>
      </w:r>
      <w:r w:rsidRPr="00186F19">
        <w:rPr>
          <w:b/>
          <w:bCs/>
          <w:szCs w:val="24"/>
        </w:rPr>
        <w:tab/>
        <w:t xml:space="preserve">Constitutional </w:t>
      </w:r>
      <w:r>
        <w:rPr>
          <w:b/>
          <w:bCs/>
          <w:szCs w:val="24"/>
        </w:rPr>
        <w:t>Arguments</w:t>
      </w:r>
    </w:p>
    <w:p w14:paraId="73C967E0" w14:textId="67A9D7DB" w:rsidR="00B5326B" w:rsidRDefault="00B5326B" w:rsidP="00B5326B">
      <w:pPr>
        <w:spacing w:line="480" w:lineRule="auto"/>
        <w:ind w:firstLine="720"/>
        <w:rPr>
          <w:szCs w:val="24"/>
        </w:rPr>
      </w:pPr>
      <w:r>
        <w:rPr>
          <w:szCs w:val="24"/>
        </w:rPr>
        <w:t>Thomas makes several constitutional objections regarding the hearing judge’s decision, the constitutionality of sections 6103 and 6068, subdivision (c),</w:t>
      </w:r>
      <w:r w:rsidRPr="00EE5B52">
        <w:rPr>
          <w:szCs w:val="24"/>
        </w:rPr>
        <w:t xml:space="preserve"> </w:t>
      </w:r>
      <w:r>
        <w:rPr>
          <w:szCs w:val="24"/>
        </w:rPr>
        <w:t xml:space="preserve">and the sanctions orders.  However, none of these arguments are supported by fact or law.  After review of the record, we do not find any violation of Thomas’s constitutional rights in this disciplinary matter.  </w:t>
      </w:r>
    </w:p>
    <w:p w14:paraId="10A300DA" w14:textId="79AA6F3E" w:rsidR="00B5326B" w:rsidRPr="00DA4DD3" w:rsidRDefault="00B5326B" w:rsidP="00B5326B">
      <w:pPr>
        <w:spacing w:line="480" w:lineRule="auto"/>
        <w:rPr>
          <w:b/>
          <w:bCs/>
          <w:szCs w:val="24"/>
        </w:rPr>
      </w:pPr>
      <w:r w:rsidRPr="00DA4DD3">
        <w:rPr>
          <w:b/>
          <w:bCs/>
          <w:szCs w:val="24"/>
        </w:rPr>
        <w:t>C.</w:t>
      </w:r>
      <w:r w:rsidRPr="00DA4DD3">
        <w:rPr>
          <w:b/>
          <w:bCs/>
          <w:szCs w:val="24"/>
        </w:rPr>
        <w:tab/>
        <w:t>Unclean Hands</w:t>
      </w:r>
      <w:r>
        <w:rPr>
          <w:b/>
          <w:bCs/>
          <w:szCs w:val="24"/>
        </w:rPr>
        <w:t xml:space="preserve"> Defense and Other Alleged Hearing Judge Error</w:t>
      </w:r>
      <w:r w:rsidR="00440D64">
        <w:rPr>
          <w:b/>
          <w:bCs/>
          <w:szCs w:val="24"/>
        </w:rPr>
        <w:t>s</w:t>
      </w:r>
    </w:p>
    <w:p w14:paraId="58646411" w14:textId="1717D842" w:rsidR="00B5326B" w:rsidRDefault="00B5326B" w:rsidP="00B5326B">
      <w:pPr>
        <w:spacing w:line="480" w:lineRule="auto"/>
        <w:ind w:firstLine="720"/>
        <w:rPr>
          <w:szCs w:val="24"/>
        </w:rPr>
      </w:pPr>
      <w:r>
        <w:rPr>
          <w:szCs w:val="24"/>
        </w:rPr>
        <w:t xml:space="preserve">Thomas argues the hearing judge erred by rejecting his affirmative defense of unclean hands.  He asserts OCTC has unclean hands because it has never properly investigated Thomas’s claims that Perry, Gibson, and Solomon committed moral turpitude and other misconduct.  Thomas’s unclean hands argument is unsupported.  His allegations against others </w:t>
      </w:r>
      <w:r w:rsidR="00AD2BB1">
        <w:rPr>
          <w:szCs w:val="24"/>
        </w:rPr>
        <w:t xml:space="preserve">are irrelevant and </w:t>
      </w:r>
      <w:r>
        <w:rPr>
          <w:szCs w:val="24"/>
        </w:rPr>
        <w:t xml:space="preserve">have no effect on our findings of culpability for his own misconduct.  </w:t>
      </w:r>
    </w:p>
    <w:p w14:paraId="1E5FB4D9" w14:textId="16B0BF93" w:rsidR="00B5326B" w:rsidRDefault="00B5326B" w:rsidP="00B5326B">
      <w:pPr>
        <w:spacing w:line="480" w:lineRule="auto"/>
        <w:ind w:firstLine="720"/>
        <w:rPr>
          <w:bCs/>
        </w:rPr>
      </w:pPr>
      <w:r>
        <w:rPr>
          <w:szCs w:val="24"/>
        </w:rPr>
        <w:t xml:space="preserve">He also asserts OCTC presented irrelevant, inflammatory, and prejudicial evidence of other pleadings filed by him.  However, he fails to identify the specific evidence to which he </w:t>
      </w:r>
      <w:r w:rsidR="00EA03DD">
        <w:rPr>
          <w:szCs w:val="24"/>
        </w:rPr>
        <w:t>objects</w:t>
      </w:r>
      <w:r>
        <w:rPr>
          <w:szCs w:val="24"/>
        </w:rPr>
        <w:t xml:space="preserve">.  </w:t>
      </w:r>
      <w:r>
        <w:rPr>
          <w:bCs/>
        </w:rPr>
        <w:t>The standard of review we apply to procedural rulings is abuse of discretion or error of law.  (</w:t>
      </w:r>
      <w:r>
        <w:rPr>
          <w:bCs/>
          <w:i/>
        </w:rPr>
        <w:t>In the Matter of Respondent L</w:t>
      </w:r>
      <w:r>
        <w:rPr>
          <w:bCs/>
        </w:rPr>
        <w:t xml:space="preserve"> (Review Dept. 1993) 2 Cal. State Bar Ct. Rptr. 454, 461.)  Thomas failed to establish the </w:t>
      </w:r>
      <w:r w:rsidR="00EE5B52">
        <w:rPr>
          <w:bCs/>
        </w:rPr>
        <w:t xml:space="preserve">hearing </w:t>
      </w:r>
      <w:r>
        <w:rPr>
          <w:bCs/>
        </w:rPr>
        <w:t xml:space="preserve">judge abused her discretion or erred by admitting OCTC’s evidence.  </w:t>
      </w:r>
      <w:r>
        <w:t xml:space="preserve">Further, he did not </w:t>
      </w:r>
      <w:r>
        <w:rPr>
          <w:bCs/>
        </w:rPr>
        <w:t>specify how the judge’s decisions prejudiced his case.  (</w:t>
      </w:r>
      <w:r>
        <w:rPr>
          <w:bCs/>
          <w:i/>
        </w:rPr>
        <w:t>In the Matter of Hertz</w:t>
      </w:r>
      <w:r>
        <w:rPr>
          <w:bCs/>
        </w:rPr>
        <w:t xml:space="preserve"> (Review Dept. 1991) 1 Cal. State Bar Ct. Rptr. 456, 469 [attorney must show specific prejudicial effect].)  Therefore, we reject his evidentiary arguments.  </w:t>
      </w:r>
    </w:p>
    <w:p w14:paraId="37C0F209" w14:textId="57800D29" w:rsidR="00B5326B" w:rsidRDefault="00B5326B" w:rsidP="00D707AD">
      <w:pPr>
        <w:spacing w:line="480" w:lineRule="auto"/>
        <w:ind w:firstLine="720"/>
        <w:rPr>
          <w:szCs w:val="24"/>
        </w:rPr>
      </w:pPr>
      <w:r>
        <w:rPr>
          <w:bCs/>
        </w:rPr>
        <w:t xml:space="preserve">In addition, Thomas argues </w:t>
      </w:r>
      <w:r>
        <w:rPr>
          <w:szCs w:val="24"/>
        </w:rPr>
        <w:t>the hearing judge improperly dismissed his “judicial estoppel” defense.  He asserts the judge ignored his arguments and evidence that his motions were not frivolous.  He also believes some actions taken in the civil litigation were “approved” by the court.  Any proper actions he took in the civil litigation do not negate his multiple acts of misconduct</w:t>
      </w:r>
      <w:r w:rsidR="007D239D">
        <w:rPr>
          <w:szCs w:val="24"/>
        </w:rPr>
        <w:t>,</w:t>
      </w:r>
      <w:r>
        <w:rPr>
          <w:szCs w:val="24"/>
        </w:rPr>
        <w:t xml:space="preserve"> discussed </w:t>
      </w:r>
      <w:r>
        <w:rPr>
          <w:i/>
          <w:iCs/>
          <w:szCs w:val="24"/>
        </w:rPr>
        <w:t>post</w:t>
      </w:r>
      <w:r>
        <w:rPr>
          <w:szCs w:val="24"/>
        </w:rPr>
        <w:t>.  Thomas failed to provide support for his various arguments or to explain how the judge’s decisions prejudiced him.  The judge’s culpability determinations are supported by the record.  Therefore,</w:t>
      </w:r>
      <w:r w:rsidR="00DB3F94">
        <w:rPr>
          <w:szCs w:val="24"/>
        </w:rPr>
        <w:t xml:space="preserve"> Thomas’s</w:t>
      </w:r>
      <w:r>
        <w:rPr>
          <w:szCs w:val="24"/>
        </w:rPr>
        <w:t xml:space="preserve"> various evidentiary and culpability arguments must be rejected.  </w:t>
      </w:r>
    </w:p>
    <w:p w14:paraId="001211E0" w14:textId="77777777" w:rsidR="00B5326B" w:rsidRPr="00C34F32" w:rsidRDefault="00B5326B" w:rsidP="00B5326B">
      <w:pPr>
        <w:spacing w:line="480" w:lineRule="auto"/>
        <w:jc w:val="center"/>
        <w:rPr>
          <w:b/>
          <w:bCs/>
          <w:szCs w:val="24"/>
        </w:rPr>
      </w:pPr>
      <w:r w:rsidRPr="00C34F32">
        <w:rPr>
          <w:b/>
          <w:bCs/>
          <w:szCs w:val="24"/>
        </w:rPr>
        <w:t>I</w:t>
      </w:r>
      <w:r>
        <w:rPr>
          <w:b/>
          <w:bCs/>
          <w:szCs w:val="24"/>
        </w:rPr>
        <w:t>V</w:t>
      </w:r>
      <w:r w:rsidRPr="00C34F32">
        <w:rPr>
          <w:b/>
          <w:bCs/>
          <w:szCs w:val="24"/>
        </w:rPr>
        <w:t>.  CULPABILITY</w:t>
      </w:r>
      <w:r>
        <w:rPr>
          <w:rStyle w:val="FootnoteReference"/>
          <w:b/>
          <w:bCs/>
          <w:szCs w:val="24"/>
        </w:rPr>
        <w:footnoteReference w:id="19"/>
      </w:r>
    </w:p>
    <w:p w14:paraId="5044603E" w14:textId="5B6C26C0" w:rsidR="00B5326B" w:rsidRPr="00C34F32" w:rsidRDefault="00B5326B" w:rsidP="00B5326B">
      <w:pPr>
        <w:ind w:left="720" w:hanging="720"/>
        <w:rPr>
          <w:b/>
          <w:bCs/>
        </w:rPr>
      </w:pPr>
      <w:r w:rsidRPr="00C34F32">
        <w:rPr>
          <w:b/>
          <w:bCs/>
          <w:szCs w:val="24"/>
        </w:rPr>
        <w:t>A.</w:t>
      </w:r>
      <w:r w:rsidRPr="00C34F32">
        <w:rPr>
          <w:b/>
          <w:bCs/>
          <w:szCs w:val="24"/>
        </w:rPr>
        <w:tab/>
        <w:t xml:space="preserve">Count One of </w:t>
      </w:r>
      <w:r w:rsidR="005C6155">
        <w:rPr>
          <w:b/>
          <w:bCs/>
          <w:szCs w:val="24"/>
        </w:rPr>
        <w:t>State Bar Court</w:t>
      </w:r>
      <w:r w:rsidRPr="00C34F32">
        <w:rPr>
          <w:b/>
          <w:bCs/>
          <w:szCs w:val="24"/>
        </w:rPr>
        <w:t xml:space="preserve"> No. 15-O-14870: Failure to Obey Court Order</w:t>
      </w:r>
      <w:r w:rsidR="005C6155">
        <w:rPr>
          <w:b/>
          <w:bCs/>
          <w:szCs w:val="24"/>
        </w:rPr>
        <w:t xml:space="preserve"> </w:t>
      </w:r>
      <w:r w:rsidRPr="00C34F32">
        <w:rPr>
          <w:b/>
          <w:bCs/>
        </w:rPr>
        <w:t>(§ 6103)</w:t>
      </w:r>
    </w:p>
    <w:p w14:paraId="6A2D0842" w14:textId="77777777" w:rsidR="00B5326B" w:rsidRPr="00C34F32" w:rsidRDefault="00B5326B" w:rsidP="00B5326B">
      <w:pPr>
        <w:rPr>
          <w:b/>
          <w:bCs/>
        </w:rPr>
      </w:pPr>
    </w:p>
    <w:p w14:paraId="5CA2BC5E" w14:textId="510C7E2C" w:rsidR="00B5326B" w:rsidRDefault="00B5326B" w:rsidP="00B5326B">
      <w:pPr>
        <w:spacing w:line="480" w:lineRule="auto"/>
        <w:ind w:firstLine="720"/>
      </w:pPr>
      <w:r>
        <w:t>Count one of the First NDC alleged Thomas violated section 6103 by failing to comply with the April 27, 2015 court order for sanctions of $58,650 in the appeal of the interpleader action.  (</w:t>
      </w:r>
      <w:r w:rsidRPr="0079700D">
        <w:rPr>
          <w:i/>
          <w:iCs/>
          <w:szCs w:val="24"/>
        </w:rPr>
        <w:t>Hope Street v. Solomon et al.</w:t>
      </w:r>
      <w:r w:rsidRPr="0079700D">
        <w:rPr>
          <w:szCs w:val="24"/>
        </w:rPr>
        <w:t xml:space="preserve"> (Court of Appeal, Second Appellate District, No.</w:t>
      </w:r>
      <w:r>
        <w:rPr>
          <w:szCs w:val="24"/>
        </w:rPr>
        <w:t> </w:t>
      </w:r>
      <w:r w:rsidRPr="0079700D">
        <w:rPr>
          <w:szCs w:val="24"/>
        </w:rPr>
        <w:t>B254143</w:t>
      </w:r>
      <w:r>
        <w:rPr>
          <w:szCs w:val="24"/>
        </w:rPr>
        <w:t>).</w:t>
      </w:r>
      <w:r w:rsidR="00230614">
        <w:rPr>
          <w:szCs w:val="24"/>
        </w:rPr>
        <w:t>)</w:t>
      </w:r>
      <w:r>
        <w:t xml:space="preserve">  Section 6103 provides, in pertinent part, that a willful disobedience or violation of a court order requiring an attorney to do or forbear an act connected with or in the course of the attorney’s profession, which the attorney ought in good faith do or forbear, constitutes cause for suspension or disbarment.  An attorney willfully violates section 6103 when, despite being aware of a final, binding court order, he or she knowingly chooses to violate the order.  (</w:t>
      </w:r>
      <w:r>
        <w:rPr>
          <w:i/>
        </w:rPr>
        <w:t>In the Matter of Maloney and Virsik</w:t>
      </w:r>
      <w:r>
        <w:t xml:space="preserve"> (Review Dept. 2005) 4 Cal. State Bar Ct. Rptr. 774, 787.)  The hearing judge found Thomas had actual knowledge of the order, the order was final and binding, and he did not comply with </w:t>
      </w:r>
      <w:r w:rsidR="00DE4D29">
        <w:t>it</w:t>
      </w:r>
      <w:r>
        <w:t xml:space="preserve"> </w:t>
      </w:r>
      <w:r w:rsidR="00DE4D29">
        <w:t>since</w:t>
      </w:r>
      <w:r>
        <w:t xml:space="preserve"> he did not pay the sanctions within 30 days as ordered.  The judge found a willful violation of section 6103.</w:t>
      </w:r>
    </w:p>
    <w:p w14:paraId="6A214DAB" w14:textId="661FD181" w:rsidR="00B5326B" w:rsidRDefault="00B5326B" w:rsidP="00B5326B">
      <w:pPr>
        <w:spacing w:line="480" w:lineRule="auto"/>
        <w:ind w:firstLine="720"/>
      </w:pPr>
      <w:r>
        <w:t>Thomas argues that the sanctions ordered in the interpleader action and the True Harmony matter were “grossly erroneously decided.”</w:t>
      </w:r>
      <w:r>
        <w:rPr>
          <w:rStyle w:val="FootnoteReference"/>
        </w:rPr>
        <w:footnoteReference w:id="20"/>
      </w:r>
      <w:r>
        <w:t xml:space="preserve">  As discussed </w:t>
      </w:r>
      <w:r>
        <w:rPr>
          <w:i/>
          <w:iCs/>
        </w:rPr>
        <w:t>ante</w:t>
      </w:r>
      <w:r>
        <w:t xml:space="preserve">, his collateral attacks of the court orders in the civil litigation fail.  </w:t>
      </w:r>
    </w:p>
    <w:p w14:paraId="1AAD8C10" w14:textId="0AF49524" w:rsidR="00B5326B" w:rsidRDefault="00B5326B" w:rsidP="00B5326B">
      <w:pPr>
        <w:spacing w:line="480" w:lineRule="auto"/>
        <w:ind w:firstLine="720"/>
      </w:pPr>
      <w:r>
        <w:t xml:space="preserve">Thomas also asserts OCTC failed to introduce evidence that his disobedience of court orders caused harm to the administration of justice.  This is not relevant to a defense for misconduct under section 6103.  </w:t>
      </w:r>
    </w:p>
    <w:p w14:paraId="0EE30DB8" w14:textId="22A61C91" w:rsidR="00B5326B" w:rsidRPr="00C62E6B" w:rsidRDefault="00910FF4" w:rsidP="00B5326B">
      <w:pPr>
        <w:spacing w:line="480" w:lineRule="auto"/>
        <w:ind w:firstLine="720"/>
        <w:rPr>
          <w:szCs w:val="24"/>
        </w:rPr>
      </w:pPr>
      <w:r>
        <w:rPr>
          <w:szCs w:val="24"/>
        </w:rPr>
        <w:t>Thomas</w:t>
      </w:r>
      <w:r w:rsidR="00B5326B">
        <w:rPr>
          <w:szCs w:val="24"/>
        </w:rPr>
        <w:t xml:space="preserve"> argues the hearing judge improperly found he acted willfully based on the state court sanctions orders that his motions and appeals were frivolous.  Thomas believes the judge could not infer that he acted willfully as “negligence is never willfulness.”  He asserts the testimony of Perry, Gibson, and Solomon concerning willfulness was cumulative.  We reject these arguments.  Thomas </w:t>
      </w:r>
      <w:r>
        <w:rPr>
          <w:szCs w:val="24"/>
        </w:rPr>
        <w:t>wa</w:t>
      </w:r>
      <w:r w:rsidR="00B5326B">
        <w:rPr>
          <w:szCs w:val="24"/>
        </w:rPr>
        <w:t>s aware of the orders, admits he has not complied with the</w:t>
      </w:r>
      <w:r w:rsidR="001357D3">
        <w:rPr>
          <w:szCs w:val="24"/>
        </w:rPr>
        <w:t xml:space="preserve">m, </w:t>
      </w:r>
      <w:r w:rsidR="00B5326B">
        <w:rPr>
          <w:szCs w:val="24"/>
        </w:rPr>
        <w:t>and has made no effort to comply.  No evidence suggests this was “negligence.”  We agree with the judge that Thomas acted willfully and find culpability as charged.</w:t>
      </w:r>
    </w:p>
    <w:p w14:paraId="14F4B102" w14:textId="69E90497" w:rsidR="00901F94" w:rsidRDefault="00B5326B" w:rsidP="00B5326B">
      <w:pPr>
        <w:ind w:left="720" w:hanging="720"/>
        <w:rPr>
          <w:b/>
          <w:bCs/>
          <w:szCs w:val="24"/>
        </w:rPr>
      </w:pPr>
      <w:r w:rsidRPr="006322AD">
        <w:rPr>
          <w:b/>
          <w:bCs/>
        </w:rPr>
        <w:t>B.</w:t>
      </w:r>
      <w:r w:rsidRPr="006322AD">
        <w:rPr>
          <w:b/>
          <w:bCs/>
        </w:rPr>
        <w:tab/>
        <w:t xml:space="preserve">Count Two of </w:t>
      </w:r>
      <w:r w:rsidR="005C6155">
        <w:rPr>
          <w:b/>
          <w:bCs/>
        </w:rPr>
        <w:t xml:space="preserve">State Bar Court </w:t>
      </w:r>
      <w:r w:rsidRPr="006322AD">
        <w:rPr>
          <w:b/>
          <w:bCs/>
          <w:szCs w:val="24"/>
        </w:rPr>
        <w:t>No. 15-O-14870: Failure to Report Judicial Sanctions</w:t>
      </w:r>
    </w:p>
    <w:p w14:paraId="3791FF65" w14:textId="684354CC" w:rsidR="00B5326B" w:rsidRDefault="00B5326B" w:rsidP="005C6155">
      <w:pPr>
        <w:ind w:left="720"/>
        <w:rPr>
          <w:b/>
          <w:bCs/>
        </w:rPr>
      </w:pPr>
      <w:r w:rsidRPr="006322AD">
        <w:rPr>
          <w:b/>
          <w:bCs/>
          <w:szCs w:val="24"/>
        </w:rPr>
        <w:t>(</w:t>
      </w:r>
      <w:r w:rsidRPr="006322AD">
        <w:rPr>
          <w:b/>
          <w:bCs/>
        </w:rPr>
        <w:t>§ 6068, subd. (o)(3))</w:t>
      </w:r>
    </w:p>
    <w:p w14:paraId="76FF9E54" w14:textId="77777777" w:rsidR="00B5326B" w:rsidRPr="006322AD" w:rsidRDefault="00B5326B" w:rsidP="00B5326B">
      <w:pPr>
        <w:rPr>
          <w:b/>
          <w:bCs/>
        </w:rPr>
      </w:pPr>
    </w:p>
    <w:p w14:paraId="4769F826" w14:textId="1F364AA6" w:rsidR="00B5326B" w:rsidRPr="004161C6" w:rsidRDefault="00B5326B" w:rsidP="005C6155">
      <w:pPr>
        <w:spacing w:line="480" w:lineRule="auto"/>
        <w:ind w:firstLine="720"/>
        <w:rPr>
          <w:szCs w:val="24"/>
        </w:rPr>
      </w:pPr>
      <w:r>
        <w:t>Count two of the First NDC alleged Thomas violated section 6068, subdivision (o)(3)</w:t>
      </w:r>
      <w:r w:rsidR="00336F2B">
        <w:t>,</w:t>
      </w:r>
      <w:r>
        <w:t xml:space="preserve"> by failing to report to the State Bar within 30 days the April 27, 2015 sanctions order in the appeal of the interpleader action.  </w:t>
      </w:r>
      <w:r w:rsidRPr="0079700D">
        <w:rPr>
          <w:szCs w:val="24"/>
        </w:rPr>
        <w:t>(</w:t>
      </w:r>
      <w:r w:rsidRPr="0079700D">
        <w:rPr>
          <w:i/>
          <w:iCs/>
          <w:szCs w:val="24"/>
        </w:rPr>
        <w:t>Hope Street v. Solomon et al.</w:t>
      </w:r>
      <w:r w:rsidRPr="0079700D">
        <w:rPr>
          <w:szCs w:val="24"/>
        </w:rPr>
        <w:t xml:space="preserve"> (Court of Appeal, Second Appellate District, No.</w:t>
      </w:r>
      <w:r>
        <w:rPr>
          <w:szCs w:val="24"/>
        </w:rPr>
        <w:t> </w:t>
      </w:r>
      <w:r w:rsidRPr="0079700D">
        <w:rPr>
          <w:szCs w:val="24"/>
        </w:rPr>
        <w:t xml:space="preserve">B254143).)  </w:t>
      </w:r>
      <w:r w:rsidRPr="00EC4DFD">
        <w:t>Section</w:t>
      </w:r>
      <w:r>
        <w:t> </w:t>
      </w:r>
      <w:r w:rsidRPr="00EC4DFD">
        <w:t>6068, subdivision</w:t>
      </w:r>
      <w:r>
        <w:t> </w:t>
      </w:r>
      <w:r w:rsidRPr="00EC4DFD">
        <w:t xml:space="preserve">(o)(3), </w:t>
      </w:r>
      <w:r>
        <w:t xml:space="preserve">requires attorneys to report to the State Bar, in writing, within 30 days of knowledge of “[t]he imposition of judicial sanctions against the attorney, except for sanctions for failure to </w:t>
      </w:r>
      <w:r w:rsidRPr="008312AC">
        <w:t>make</w:t>
      </w:r>
      <w:r>
        <w:t xml:space="preserve"> discovery or monetary sanctions of less than one thousand dollars ($1,000).”  The hearing judge found that, at the latest, Thomas knew of the sanctions order on May 12, 2015—the date of his petition for rehearing seeking review of the sanctions order.  He did not report th</w:t>
      </w:r>
      <w:r w:rsidR="006E4196">
        <w:t>e</w:t>
      </w:r>
      <w:r>
        <w:t xml:space="preserve"> order</w:t>
      </w:r>
      <w:r w:rsidR="003A60F9">
        <w:t>, and</w:t>
      </w:r>
      <w:r w:rsidR="009815ED">
        <w:t xml:space="preserve"> t</w:t>
      </w:r>
      <w:r>
        <w:t xml:space="preserve">he judge found culpability as charged.  </w:t>
      </w:r>
    </w:p>
    <w:p w14:paraId="4761988E" w14:textId="1756DBF5" w:rsidR="00B5326B" w:rsidRDefault="00B5326B" w:rsidP="00B5326B">
      <w:pPr>
        <w:spacing w:line="480" w:lineRule="auto"/>
        <w:ind w:firstLine="720"/>
      </w:pPr>
      <w:r>
        <w:t xml:space="preserve">Thomas makes no specific argument on review as to </w:t>
      </w:r>
      <w:r w:rsidR="009815ED">
        <w:t>his lack of culpability</w:t>
      </w:r>
      <w:r>
        <w:t xml:space="preserve"> of misconduct for his failure to report the April 27, 2015 sanctions order.  Based on our review of the record, we affirm the hearing judge’s culpability finding.  </w:t>
      </w:r>
    </w:p>
    <w:p w14:paraId="062655C2" w14:textId="5935DB2D" w:rsidR="00B5326B" w:rsidRPr="00FB14D4" w:rsidRDefault="00B5326B" w:rsidP="00B5326B">
      <w:pPr>
        <w:ind w:left="720" w:hanging="720"/>
        <w:rPr>
          <w:b/>
          <w:bCs/>
        </w:rPr>
      </w:pPr>
      <w:r w:rsidRPr="00FB14D4">
        <w:rPr>
          <w:b/>
          <w:bCs/>
        </w:rPr>
        <w:t>C.</w:t>
      </w:r>
      <w:r w:rsidRPr="00FB14D4">
        <w:rPr>
          <w:b/>
          <w:bCs/>
        </w:rPr>
        <w:tab/>
        <w:t>Count One of SBC-20-O-00029: Threatening</w:t>
      </w:r>
      <w:r w:rsidR="0038496D">
        <w:rPr>
          <w:b/>
          <w:bCs/>
        </w:rPr>
        <w:t xml:space="preserve"> </w:t>
      </w:r>
      <w:r w:rsidRPr="00FB14D4">
        <w:rPr>
          <w:b/>
          <w:bCs/>
        </w:rPr>
        <w:t>Charges to Gain Advantage in Civil Suit (rule</w:t>
      </w:r>
      <w:r>
        <w:rPr>
          <w:b/>
          <w:bCs/>
        </w:rPr>
        <w:t> </w:t>
      </w:r>
      <w:r w:rsidRPr="00FB14D4">
        <w:rPr>
          <w:b/>
          <w:bCs/>
        </w:rPr>
        <w:t>5-100(A))</w:t>
      </w:r>
    </w:p>
    <w:p w14:paraId="07B4A29C" w14:textId="77777777" w:rsidR="00B5326B" w:rsidRDefault="00B5326B" w:rsidP="00B5326B"/>
    <w:p w14:paraId="37CEF7D0" w14:textId="1E0F3483" w:rsidR="00B5326B" w:rsidRDefault="00B5326B" w:rsidP="00B5326B">
      <w:pPr>
        <w:spacing w:line="480" w:lineRule="auto"/>
        <w:ind w:firstLine="720"/>
      </w:pPr>
      <w:r>
        <w:t>Count one of the Second NDC alleged Thomas violated rule 5-100(A) when he stated</w:t>
      </w:r>
      <w:r w:rsidR="003C250E">
        <w:t>,</w:t>
      </w:r>
      <w:r>
        <w:t xml:space="preserve"> in his August 26, 2016 letter to Gibson and Howard</w:t>
      </w:r>
      <w:r w:rsidR="003C250E">
        <w:t>,</w:t>
      </w:r>
      <w:r>
        <w:t xml:space="preserve"> that they would be convicted of mail fraud and sentenced to five years in the federal penitentiary if they did not correct their violations of the Code of Civil Procedure and that they would be convicted</w:t>
      </w:r>
      <w:r w:rsidR="00C52387">
        <w:t xml:space="preserve"> of</w:t>
      </w:r>
      <w:r>
        <w:t xml:space="preserve"> violating title 18 United States Code sections 241 and 242 and </w:t>
      </w:r>
      <w:r w:rsidR="00C52387">
        <w:t xml:space="preserve">would </w:t>
      </w:r>
      <w:r>
        <w:t xml:space="preserve">be sent to prison for the remainder of their lives.  The allegation stated Thomas </w:t>
      </w:r>
      <w:r w:rsidR="00F23BF1">
        <w:t xml:space="preserve">made these </w:t>
      </w:r>
      <w:r w:rsidR="00FF54C6">
        <w:t>charges</w:t>
      </w:r>
      <w:r>
        <w:t xml:space="preserve"> to gain an advantage in the True Harmony matter, by hampering and delaying Perry’s attorneys, increasing litigation costs, and harassing Perry.  Rule 5-100(A) provides, “A member shall not threaten to present criminal, administrative, or disciplinary charges to obtain an advantage in a civil dispute.”  The hearing judge found culpability as charged.  In the letter, Thomas expressly threatened the recipients that they would be criminally indicted, found guilty, sentenced, and sent to prison if they did not take specific actions regarding their demurrers to the complaint in the True Harmony matter.  The judge </w:t>
      </w:r>
      <w:r w:rsidR="00D5062C">
        <w:t>concluded</w:t>
      </w:r>
      <w:r>
        <w:t xml:space="preserve"> the letter conveyed the message that Thomas would report Gibson and Howard for alleged criminal violations and that </w:t>
      </w:r>
      <w:r w:rsidR="00A93030">
        <w:t>the letter</w:t>
      </w:r>
      <w:r>
        <w:t xml:space="preserve"> was sent to intimidate and harass opposing counsel to gain an advantage in the True Harmony litigation.  </w:t>
      </w:r>
    </w:p>
    <w:p w14:paraId="4EF43147" w14:textId="596AF381" w:rsidR="001C6967" w:rsidRDefault="00F83AAC" w:rsidP="00B5326B">
      <w:pPr>
        <w:spacing w:line="480" w:lineRule="auto"/>
        <w:ind w:firstLine="720"/>
      </w:pPr>
      <w:r>
        <w:t xml:space="preserve">Again, </w:t>
      </w:r>
      <w:r w:rsidR="00B5326B">
        <w:t xml:space="preserve">Thomas makes no specific argument on review as to </w:t>
      </w:r>
      <w:r w:rsidR="007920EF">
        <w:t xml:space="preserve">his culpability </w:t>
      </w:r>
      <w:r w:rsidR="00B5326B">
        <w:t>of a rule 5-100(A) violation.  Based on our review of</w:t>
      </w:r>
      <w:r w:rsidR="000F7FF8">
        <w:t xml:space="preserve"> Thomas’s statements to opposing counsel</w:t>
      </w:r>
      <w:r w:rsidR="00804793">
        <w:t xml:space="preserve"> threatening criminal charges</w:t>
      </w:r>
      <w:r w:rsidR="00B5326B">
        <w:t>, we affirm the hearing judge’s culpability finding.</w:t>
      </w:r>
      <w:r w:rsidR="001C6967">
        <w:t xml:space="preserve">  (</w:t>
      </w:r>
      <w:r w:rsidR="001C6967">
        <w:rPr>
          <w:i/>
        </w:rPr>
        <w:t>In the Matter of Malek-Yonan</w:t>
      </w:r>
      <w:r w:rsidR="001C6967">
        <w:t xml:space="preserve"> (Review Dept. 2003) 4</w:t>
      </w:r>
      <w:r w:rsidR="00606383">
        <w:t> </w:t>
      </w:r>
      <w:r w:rsidR="001C6967">
        <w:t>Cal. State Bar Ct. Rptr. 627</w:t>
      </w:r>
      <w:r w:rsidR="00657F43">
        <w:t>, 637</w:t>
      </w:r>
      <w:r w:rsidR="00762BEF">
        <w:t xml:space="preserve"> [</w:t>
      </w:r>
      <w:r w:rsidR="00A30A5A">
        <w:t xml:space="preserve">violation of </w:t>
      </w:r>
      <w:r w:rsidR="002009A8">
        <w:t xml:space="preserve">rule </w:t>
      </w:r>
      <w:r w:rsidR="00A30A5A">
        <w:t xml:space="preserve">5-100 by sending letter </w:t>
      </w:r>
      <w:r w:rsidR="0091654B">
        <w:t>threatening criminal investigation]</w:t>
      </w:r>
      <w:r w:rsidR="00657F43">
        <w:t>.)</w:t>
      </w:r>
    </w:p>
    <w:p w14:paraId="40A75EDE" w14:textId="6FEF3C51" w:rsidR="005C6155" w:rsidRDefault="005C6155" w:rsidP="00B5326B">
      <w:pPr>
        <w:spacing w:line="480" w:lineRule="auto"/>
        <w:ind w:firstLine="720"/>
      </w:pPr>
    </w:p>
    <w:p w14:paraId="47E9EF2E" w14:textId="74898602" w:rsidR="005C6155" w:rsidRDefault="005C6155" w:rsidP="00B5326B">
      <w:pPr>
        <w:spacing w:line="480" w:lineRule="auto"/>
        <w:ind w:firstLine="720"/>
      </w:pPr>
    </w:p>
    <w:p w14:paraId="5AE6F3CF" w14:textId="77777777" w:rsidR="005C6155" w:rsidRDefault="005C6155" w:rsidP="00B5326B">
      <w:pPr>
        <w:spacing w:line="480" w:lineRule="auto"/>
        <w:ind w:firstLine="720"/>
      </w:pPr>
    </w:p>
    <w:p w14:paraId="6AF4F29A" w14:textId="684CA622" w:rsidR="00B5326B" w:rsidRPr="00FB14D4" w:rsidRDefault="00B5326B" w:rsidP="005C6155">
      <w:pPr>
        <w:ind w:left="720" w:hanging="720"/>
        <w:rPr>
          <w:b/>
          <w:bCs/>
        </w:rPr>
      </w:pPr>
      <w:r>
        <w:rPr>
          <w:b/>
          <w:bCs/>
        </w:rPr>
        <w:t>D</w:t>
      </w:r>
      <w:r w:rsidRPr="00FB14D4">
        <w:rPr>
          <w:b/>
          <w:bCs/>
        </w:rPr>
        <w:t>.</w:t>
      </w:r>
      <w:r w:rsidRPr="00FB14D4">
        <w:rPr>
          <w:b/>
          <w:bCs/>
        </w:rPr>
        <w:tab/>
        <w:t xml:space="preserve">Count </w:t>
      </w:r>
      <w:r>
        <w:rPr>
          <w:b/>
          <w:bCs/>
        </w:rPr>
        <w:t>Three</w:t>
      </w:r>
      <w:r w:rsidRPr="00FB14D4">
        <w:rPr>
          <w:b/>
          <w:bCs/>
        </w:rPr>
        <w:t xml:space="preserve"> of SBC-20-O-00029: </w:t>
      </w:r>
      <w:r>
        <w:rPr>
          <w:b/>
          <w:bCs/>
        </w:rPr>
        <w:t>Maintaining an Unjust Action</w:t>
      </w:r>
      <w:r w:rsidRPr="00FB14D4">
        <w:rPr>
          <w:b/>
          <w:bCs/>
        </w:rPr>
        <w:t xml:space="preserve"> (</w:t>
      </w:r>
      <w:r w:rsidRPr="006322AD">
        <w:rPr>
          <w:b/>
          <w:bCs/>
        </w:rPr>
        <w:t>§ 6068, subd. (</w:t>
      </w:r>
      <w:r>
        <w:rPr>
          <w:b/>
          <w:bCs/>
        </w:rPr>
        <w:t>c</w:t>
      </w:r>
      <w:r w:rsidRPr="00FB14D4">
        <w:rPr>
          <w:b/>
          <w:bCs/>
        </w:rPr>
        <w:t>)</w:t>
      </w:r>
      <w:r w:rsidR="0089567A">
        <w:rPr>
          <w:b/>
          <w:bCs/>
        </w:rPr>
        <w:t>)</w:t>
      </w:r>
    </w:p>
    <w:p w14:paraId="520BFC80" w14:textId="77777777" w:rsidR="00B5326B" w:rsidRDefault="00B5326B" w:rsidP="00B5326B"/>
    <w:p w14:paraId="30E28C66" w14:textId="03F2647E" w:rsidR="00B5326B" w:rsidRDefault="00B5326B" w:rsidP="00B5326B">
      <w:pPr>
        <w:spacing w:line="480" w:lineRule="auto"/>
        <w:ind w:firstLine="720"/>
      </w:pPr>
      <w:r w:rsidRPr="002A6BC0">
        <w:t>Section 6068, subdivision (c), provides that it is an attorney’s duty “[t]o counsel or maintain those actions, proceedings, or defenses only as appear to him or her legal or just, except the defense of a person charged with a public offense.”  Count three of the Second NDC alleged Thomas violated section 6068, subdivision (c)</w:t>
      </w:r>
      <w:r w:rsidR="0089567A" w:rsidRPr="002A6BC0">
        <w:t>,</w:t>
      </w:r>
      <w:r w:rsidRPr="002A6BC0">
        <w:t xml:space="preserve"> by (1) making multiple claims and arguments </w:t>
      </w:r>
      <w:r w:rsidR="000B65A0" w:rsidRPr="002A6BC0">
        <w:t>lacking</w:t>
      </w:r>
      <w:r w:rsidRPr="002A6BC0">
        <w:t xml:space="preserve"> any legal or factual basis and filing and pursuing an untimely motion (despite being </w:t>
      </w:r>
      <w:r w:rsidR="00D956E0" w:rsidRPr="002A6BC0">
        <w:t>fore</w:t>
      </w:r>
      <w:r w:rsidRPr="002A6BC0">
        <w:t>warned that the motion was without merit and should be dismissed) in the interpleader action; (2) filing a frivolous appeal of the interpleader action, which lacked any merit and was prosecuted for the improper purpose to harass and increase litigation</w:t>
      </w:r>
      <w:r w:rsidR="00606383">
        <w:t xml:space="preserve"> costs</w:t>
      </w:r>
      <w:r w:rsidRPr="002A6BC0">
        <w:t>; (3) filing a motion for reconsideration in the True Harmony matter, which had no basis in law and unnecessarily increased the costs of litigation; and (4) repeatedly pursuing improper appeals and filing frivolous and harassing briefs and/or motions, which unnecessarily increased the costs of litigation in the appeal of the True Harmony matter.  The</w:t>
      </w:r>
      <w:r w:rsidR="000F7FF8" w:rsidRPr="002A6BC0">
        <w:t xml:space="preserve"> hearing</w:t>
      </w:r>
      <w:r w:rsidRPr="002A6BC0">
        <w:t xml:space="preserve"> judge found culpability under section 6068, subdivision (c)</w:t>
      </w:r>
      <w:r w:rsidR="00DF0E8A" w:rsidRPr="002A6BC0">
        <w:t>,</w:t>
      </w:r>
      <w:r w:rsidRPr="002A6BC0">
        <w:t xml:space="preserve"> for Thomas’s use of abusive litigation tactics where he initiated and maintained multiple claims and defenses, at the trial and appellate levels, </w:t>
      </w:r>
      <w:r w:rsidR="002D2E51">
        <w:t xml:space="preserve">which </w:t>
      </w:r>
      <w:r w:rsidRPr="002A6BC0">
        <w:t>were foreclosed by legal authority.</w:t>
      </w:r>
      <w:r>
        <w:t xml:space="preserve"> </w:t>
      </w:r>
    </w:p>
    <w:p w14:paraId="04C2E235" w14:textId="6F928733" w:rsidR="00766C56" w:rsidRDefault="00B5326B" w:rsidP="00B5326B">
      <w:pPr>
        <w:spacing w:line="480" w:lineRule="auto"/>
        <w:ind w:firstLine="720"/>
        <w:rPr>
          <w:szCs w:val="24"/>
        </w:rPr>
      </w:pPr>
      <w:r>
        <w:t xml:space="preserve">Thomas argues, without any support, that the notices of appeal, briefs, and motions he filed do not qualify as “actions” under section 6068, subdivision (c).  We reject </w:t>
      </w:r>
      <w:r w:rsidR="007A35AF">
        <w:t>his</w:t>
      </w:r>
      <w:r>
        <w:t xml:space="preserve"> claim as meritless and </w:t>
      </w:r>
      <w:r w:rsidR="009D1484">
        <w:t xml:space="preserve">we </w:t>
      </w:r>
      <w:r>
        <w:t>affirm the hearing judge’s culpability finding.</w:t>
      </w:r>
      <w:r w:rsidR="00766C56">
        <w:t xml:space="preserve">  (See </w:t>
      </w:r>
      <w:r w:rsidR="00766C56">
        <w:rPr>
          <w:i/>
          <w:szCs w:val="24"/>
        </w:rPr>
        <w:t>In the Matter of Kinney</w:t>
      </w:r>
      <w:r w:rsidR="00762BEF">
        <w:rPr>
          <w:szCs w:val="24"/>
        </w:rPr>
        <w:t xml:space="preserve">, </w:t>
      </w:r>
      <w:r w:rsidR="00762BEF" w:rsidRPr="00762BEF">
        <w:rPr>
          <w:i/>
          <w:iCs/>
          <w:szCs w:val="24"/>
        </w:rPr>
        <w:t>supra</w:t>
      </w:r>
      <w:r w:rsidR="00762BEF">
        <w:rPr>
          <w:szCs w:val="24"/>
        </w:rPr>
        <w:t xml:space="preserve">, </w:t>
      </w:r>
      <w:r w:rsidR="00766C56">
        <w:rPr>
          <w:szCs w:val="24"/>
        </w:rPr>
        <w:t xml:space="preserve">5 Cal. State Bar Ct. Rptr. at p. 365 </w:t>
      </w:r>
      <w:r w:rsidR="00BD3EED">
        <w:rPr>
          <w:szCs w:val="24"/>
        </w:rPr>
        <w:t>[attorney who unreasonably pursued lawsuits “after unqualified losses at trial and on appeal” culpable under § 6068, subd. (c)</w:t>
      </w:r>
      <w:r w:rsidR="00762BEF">
        <w:rPr>
          <w:szCs w:val="24"/>
        </w:rPr>
        <w:t>].)</w:t>
      </w:r>
    </w:p>
    <w:p w14:paraId="5DD733D0" w14:textId="77777777" w:rsidR="0091654B" w:rsidRDefault="0091654B" w:rsidP="00B5326B">
      <w:pPr>
        <w:spacing w:line="480" w:lineRule="auto"/>
        <w:ind w:firstLine="720"/>
        <w:rPr>
          <w:szCs w:val="24"/>
        </w:rPr>
      </w:pPr>
    </w:p>
    <w:p w14:paraId="23EBAB93" w14:textId="635999EC" w:rsidR="0091654B" w:rsidRDefault="0091654B" w:rsidP="00B5326B">
      <w:pPr>
        <w:spacing w:line="480" w:lineRule="auto"/>
        <w:ind w:firstLine="720"/>
      </w:pPr>
    </w:p>
    <w:p w14:paraId="7F72F03C" w14:textId="77777777" w:rsidR="005C6155" w:rsidRDefault="005C6155" w:rsidP="00B5326B">
      <w:pPr>
        <w:spacing w:line="480" w:lineRule="auto"/>
        <w:ind w:firstLine="720"/>
      </w:pPr>
    </w:p>
    <w:p w14:paraId="360067C6" w14:textId="7128FAF5" w:rsidR="00B5326B" w:rsidRPr="005C6155" w:rsidRDefault="00B5326B" w:rsidP="00F26321">
      <w:pPr>
        <w:ind w:left="720" w:hanging="720"/>
        <w:rPr>
          <w:b/>
          <w:bCs/>
          <w:szCs w:val="24"/>
        </w:rPr>
      </w:pPr>
      <w:r>
        <w:rPr>
          <w:b/>
          <w:bCs/>
        </w:rPr>
        <w:t>E</w:t>
      </w:r>
      <w:r w:rsidRPr="00FB14D4">
        <w:rPr>
          <w:b/>
          <w:bCs/>
        </w:rPr>
        <w:t>.</w:t>
      </w:r>
      <w:r w:rsidRPr="00FB14D4">
        <w:rPr>
          <w:b/>
          <w:bCs/>
        </w:rPr>
        <w:tab/>
        <w:t xml:space="preserve">Count </w:t>
      </w:r>
      <w:r>
        <w:rPr>
          <w:b/>
          <w:bCs/>
        </w:rPr>
        <w:t>Four</w:t>
      </w:r>
      <w:r w:rsidRPr="00FB14D4">
        <w:rPr>
          <w:b/>
          <w:bCs/>
        </w:rPr>
        <w:t xml:space="preserve"> of Case No. SBC-20-O-00029: </w:t>
      </w:r>
      <w:r w:rsidRPr="00C34F32">
        <w:rPr>
          <w:b/>
          <w:bCs/>
          <w:szCs w:val="24"/>
        </w:rPr>
        <w:t xml:space="preserve">Failure to Obey a Court Order </w:t>
      </w:r>
      <w:r w:rsidRPr="00C34F32">
        <w:rPr>
          <w:b/>
          <w:bCs/>
        </w:rPr>
        <w:t>(§ 6103</w:t>
      </w:r>
      <w:r>
        <w:rPr>
          <w:b/>
          <w:bCs/>
        </w:rPr>
        <w:t>)</w:t>
      </w:r>
    </w:p>
    <w:p w14:paraId="4899E3E1" w14:textId="77777777" w:rsidR="00B5326B" w:rsidRDefault="00B5326B" w:rsidP="00B5326B">
      <w:pPr>
        <w:ind w:left="720" w:hanging="720"/>
      </w:pPr>
    </w:p>
    <w:p w14:paraId="52C81D7B" w14:textId="388F370B" w:rsidR="00B5326B" w:rsidRDefault="00B5326B" w:rsidP="00B5326B">
      <w:pPr>
        <w:spacing w:line="480" w:lineRule="auto"/>
        <w:ind w:firstLine="720"/>
      </w:pPr>
      <w:r>
        <w:t>Count four of the Second NDC alleged Thomas failed to comply with three court orders: (1) the August 24, 2016 order requiring him to pay sanctions of $18,060 and attorney fees of $22,810 in the interpleader action; (2) the November 30, 2017 order requiring him to pay $23,350 in sanctions in the True Harmony matter; and (3) the December 13, 2018 order requiring him to pay $65,480.64 in sanctions, including $8,500 to the clerk of court, in the appeal of the True Harmony matter.  The hearing judge found culpability as charged.  Thomas admitted he has not paid the ordered sanctions.</w:t>
      </w:r>
    </w:p>
    <w:p w14:paraId="1FB5AC35" w14:textId="2F7D6361" w:rsidR="008541DD" w:rsidRDefault="00B5326B" w:rsidP="00B5326B">
      <w:pPr>
        <w:spacing w:line="480" w:lineRule="auto"/>
        <w:ind w:firstLine="720"/>
      </w:pPr>
      <w:r>
        <w:t xml:space="preserve">Thomas’s arguments on review involve collateral attacks on these sanctions orders.  As discussed </w:t>
      </w:r>
      <w:r w:rsidRPr="00881B0A">
        <w:rPr>
          <w:i/>
          <w:iCs/>
        </w:rPr>
        <w:t>ante</w:t>
      </w:r>
      <w:r>
        <w:t xml:space="preserve">, we find the orders are valid.  </w:t>
      </w:r>
      <w:r w:rsidR="0024066D">
        <w:t>Thomas</w:t>
      </w:r>
      <w:r>
        <w:t xml:space="preserve"> advances no other arguments concerning culpability under section 6103.  Based on our review of the record, we affirm the hearing judge’s culpability finding. </w:t>
      </w:r>
      <w:r w:rsidR="008541DD">
        <w:t xml:space="preserve"> </w:t>
      </w:r>
      <w:r w:rsidR="008541DD">
        <w:rPr>
          <w:rStyle w:val="normaltextrun"/>
          <w:color w:val="000000"/>
          <w:shd w:val="clear" w:color="auto" w:fill="FFFFFF"/>
        </w:rPr>
        <w:t>(</w:t>
      </w:r>
      <w:r w:rsidR="008541DD">
        <w:rPr>
          <w:rStyle w:val="normaltextrun"/>
          <w:i/>
          <w:iCs/>
          <w:color w:val="000000"/>
          <w:shd w:val="clear" w:color="auto" w:fill="FFFFFF"/>
        </w:rPr>
        <w:t>In the Matter of Respondent X</w:t>
      </w:r>
      <w:r w:rsidR="008541DD">
        <w:rPr>
          <w:rStyle w:val="normaltextrun"/>
          <w:color w:val="000000"/>
          <w:shd w:val="clear" w:color="auto" w:fill="FFFFFF"/>
        </w:rPr>
        <w:t xml:space="preserve"> (Review Dept. 1997) 3 Cal. State Bar Ct. </w:t>
      </w:r>
      <w:r w:rsidR="008541DD">
        <w:rPr>
          <w:rStyle w:val="spellingerror"/>
          <w:color w:val="000000"/>
          <w:shd w:val="clear" w:color="auto" w:fill="FFFFFF"/>
        </w:rPr>
        <w:t>Rptr</w:t>
      </w:r>
      <w:r w:rsidR="008541DD">
        <w:rPr>
          <w:rStyle w:val="normaltextrun"/>
          <w:color w:val="000000"/>
          <w:shd w:val="clear" w:color="auto" w:fill="FFFFFF"/>
        </w:rPr>
        <w:t>. 592, 603 [elements of § 6103 violation]</w:t>
      </w:r>
      <w:r w:rsidR="00285341">
        <w:rPr>
          <w:rStyle w:val="normaltextrun"/>
          <w:color w:val="000000"/>
          <w:shd w:val="clear" w:color="auto" w:fill="FFFFFF"/>
        </w:rPr>
        <w:t>.)</w:t>
      </w:r>
    </w:p>
    <w:p w14:paraId="7C61F492" w14:textId="77777777" w:rsidR="00B5326B" w:rsidRPr="00817F86" w:rsidRDefault="00B5326B" w:rsidP="00285341">
      <w:pPr>
        <w:spacing w:line="480" w:lineRule="auto"/>
        <w:jc w:val="center"/>
        <w:rPr>
          <w:b/>
          <w:bCs/>
        </w:rPr>
      </w:pPr>
      <w:r w:rsidRPr="00817F86">
        <w:rPr>
          <w:b/>
          <w:bCs/>
        </w:rPr>
        <w:t>V.  AGGRAVATION AND MITIGATION</w:t>
      </w:r>
    </w:p>
    <w:p w14:paraId="54F06F10" w14:textId="77777777" w:rsidR="00B5326B" w:rsidRPr="008B2FE6" w:rsidRDefault="00B5326B" w:rsidP="00B5326B">
      <w:pPr>
        <w:spacing w:line="480" w:lineRule="auto"/>
        <w:ind w:firstLine="720"/>
      </w:pPr>
      <w:r w:rsidRPr="00801B35">
        <w:t>Standard</w:t>
      </w:r>
      <w:r>
        <w:t> </w:t>
      </w:r>
      <w:r w:rsidRPr="00801B35">
        <w:t xml:space="preserve">1.5 </w:t>
      </w:r>
      <w:r>
        <w:t>of the Rules of Procedure of the State Bar, title IV, Standards for Attorney Sanctions for Professional Misconduct</w:t>
      </w:r>
      <w:r>
        <w:rPr>
          <w:rStyle w:val="FootnoteReference"/>
        </w:rPr>
        <w:footnoteReference w:id="21"/>
      </w:r>
      <w:r>
        <w:t xml:space="preserve"> </w:t>
      </w:r>
      <w:r w:rsidRPr="00801B35">
        <w:t>requires OCTC to establish aggravating circumstances by clear and convincing evidence</w:t>
      </w:r>
      <w:r>
        <w:t>.  S</w:t>
      </w:r>
      <w:r w:rsidRPr="00801B35">
        <w:t>tandard</w:t>
      </w:r>
      <w:r>
        <w:t> </w:t>
      </w:r>
      <w:r w:rsidRPr="00801B35">
        <w:t xml:space="preserve">1.6 requires </w:t>
      </w:r>
      <w:r>
        <w:t xml:space="preserve">Thomas </w:t>
      </w:r>
      <w:r w:rsidRPr="00801B35">
        <w:t>to meet the sa</w:t>
      </w:r>
      <w:r>
        <w:t>me burden to prove mitigation.</w:t>
      </w:r>
    </w:p>
    <w:p w14:paraId="26E1938D" w14:textId="77777777" w:rsidR="00B5326B" w:rsidRPr="00143D03" w:rsidRDefault="00B5326B" w:rsidP="00B5326B">
      <w:pPr>
        <w:spacing w:line="480" w:lineRule="auto"/>
        <w:rPr>
          <w:b/>
          <w:bCs/>
          <w:szCs w:val="24"/>
        </w:rPr>
      </w:pPr>
      <w:r w:rsidRPr="00143D03">
        <w:rPr>
          <w:b/>
          <w:bCs/>
          <w:szCs w:val="24"/>
        </w:rPr>
        <w:t>A.</w:t>
      </w:r>
      <w:r w:rsidRPr="00143D03">
        <w:rPr>
          <w:b/>
          <w:bCs/>
          <w:szCs w:val="24"/>
        </w:rPr>
        <w:tab/>
        <w:t>Aggravation</w:t>
      </w:r>
    </w:p>
    <w:p w14:paraId="36E660CA" w14:textId="77777777" w:rsidR="00B5326B" w:rsidRDefault="00B5326B" w:rsidP="00B5326B">
      <w:pPr>
        <w:ind w:left="720"/>
        <w:rPr>
          <w:b/>
          <w:bCs/>
          <w:szCs w:val="24"/>
        </w:rPr>
      </w:pPr>
      <w:r w:rsidRPr="00143D03">
        <w:rPr>
          <w:b/>
          <w:bCs/>
          <w:szCs w:val="24"/>
        </w:rPr>
        <w:t>1.  Multiple Acts of Wrongdoing (Std.</w:t>
      </w:r>
      <w:r>
        <w:rPr>
          <w:b/>
          <w:bCs/>
          <w:szCs w:val="24"/>
        </w:rPr>
        <w:t> </w:t>
      </w:r>
      <w:r w:rsidRPr="00143D03">
        <w:rPr>
          <w:b/>
          <w:bCs/>
          <w:szCs w:val="24"/>
        </w:rPr>
        <w:t>1.5(b))</w:t>
      </w:r>
      <w:r>
        <w:rPr>
          <w:b/>
          <w:bCs/>
          <w:szCs w:val="24"/>
        </w:rPr>
        <w:t xml:space="preserve"> and Pattern of Wrongdoing</w:t>
      </w:r>
    </w:p>
    <w:p w14:paraId="3F1BF3AF" w14:textId="77777777" w:rsidR="00B5326B" w:rsidRDefault="00B5326B" w:rsidP="00B5326B">
      <w:pPr>
        <w:ind w:left="720"/>
        <w:rPr>
          <w:b/>
          <w:bCs/>
          <w:szCs w:val="24"/>
        </w:rPr>
      </w:pPr>
      <w:r>
        <w:rPr>
          <w:b/>
          <w:bCs/>
          <w:szCs w:val="24"/>
        </w:rPr>
        <w:t xml:space="preserve">     (Std. 1.5(c))</w:t>
      </w:r>
    </w:p>
    <w:p w14:paraId="2E60534C" w14:textId="77777777" w:rsidR="00B5326B" w:rsidRPr="00143D03" w:rsidRDefault="00B5326B" w:rsidP="00B5326B">
      <w:pPr>
        <w:ind w:left="720"/>
        <w:rPr>
          <w:b/>
          <w:bCs/>
          <w:szCs w:val="24"/>
        </w:rPr>
      </w:pPr>
    </w:p>
    <w:p w14:paraId="40685277" w14:textId="2FA23FEB" w:rsidR="00B5326B" w:rsidRDefault="00B5326B" w:rsidP="00B5326B">
      <w:pPr>
        <w:spacing w:line="480" w:lineRule="auto"/>
        <w:ind w:firstLine="720"/>
        <w:rPr>
          <w:rFonts w:eastAsia="Times New Roman"/>
          <w:szCs w:val="24"/>
        </w:rPr>
      </w:pPr>
      <w:r>
        <w:rPr>
          <w:szCs w:val="24"/>
        </w:rPr>
        <w:t xml:space="preserve">The hearing judge found Thomas committed multiple acts of misconduct by repeatedly pursuing unsupported legal claims in multiple legal proceedings, making improper threats, disobeying four court orders, and failing to report the sanctions order in the </w:t>
      </w:r>
      <w:r w:rsidR="000456BC">
        <w:rPr>
          <w:szCs w:val="24"/>
        </w:rPr>
        <w:t xml:space="preserve">interpleader </w:t>
      </w:r>
      <w:r>
        <w:rPr>
          <w:szCs w:val="24"/>
        </w:rPr>
        <w:t>appeal.  We agree these acts sufficiently establish multiple acts of misconduct under standard 1.5(b)</w:t>
      </w:r>
      <w:r w:rsidR="007D50C1">
        <w:rPr>
          <w:szCs w:val="24"/>
        </w:rPr>
        <w:t>.</w:t>
      </w:r>
      <w:r>
        <w:rPr>
          <w:szCs w:val="24"/>
        </w:rPr>
        <w:t xml:space="preserve">  </w:t>
      </w:r>
      <w:r>
        <w:t>(</w:t>
      </w:r>
      <w:r>
        <w:rPr>
          <w:i/>
        </w:rPr>
        <w:t>In the Matter of Bach</w:t>
      </w:r>
      <w:r>
        <w:t xml:space="preserve"> (Review Dept. 1991) 1 Cal. State Bar Ct. Rptr.</w:t>
      </w:r>
      <w:r w:rsidR="001B33CE">
        <w:t> </w:t>
      </w:r>
      <w:r>
        <w:t xml:space="preserve">631, </w:t>
      </w:r>
      <w:r w:rsidRPr="004072CB">
        <w:rPr>
          <w:rFonts w:eastAsia="Times New Roman"/>
          <w:szCs w:val="24"/>
        </w:rPr>
        <w:t>646</w:t>
      </w:r>
      <w:r w:rsidR="00606383">
        <w:rPr>
          <w:szCs w:val="24"/>
        </w:rPr>
        <w:t>-</w:t>
      </w:r>
      <w:r w:rsidRPr="004072CB">
        <w:rPr>
          <w:rFonts w:eastAsia="Times New Roman"/>
          <w:szCs w:val="24"/>
        </w:rPr>
        <w:t>647 [three instances of misconduct considered multiple acts].)</w:t>
      </w:r>
      <w:r>
        <w:rPr>
          <w:rFonts w:eastAsia="Times New Roman"/>
          <w:szCs w:val="24"/>
        </w:rPr>
        <w:t xml:space="preserve">  </w:t>
      </w:r>
    </w:p>
    <w:p w14:paraId="7D30807C" w14:textId="5701BD16" w:rsidR="00B5326B" w:rsidRDefault="00B5326B" w:rsidP="00B5326B">
      <w:pPr>
        <w:spacing w:line="480" w:lineRule="auto"/>
        <w:ind w:firstLine="720"/>
        <w:rPr>
          <w:szCs w:val="24"/>
        </w:rPr>
      </w:pPr>
      <w:r>
        <w:rPr>
          <w:szCs w:val="24"/>
        </w:rPr>
        <w:t xml:space="preserve">The </w:t>
      </w:r>
      <w:r w:rsidR="00AA2B2F">
        <w:rPr>
          <w:szCs w:val="24"/>
        </w:rPr>
        <w:t xml:space="preserve">hearing </w:t>
      </w:r>
      <w:r>
        <w:rPr>
          <w:szCs w:val="24"/>
        </w:rPr>
        <w:t>judge also found Thomas’s misconduct demonstrated a pattern</w:t>
      </w:r>
      <w:r w:rsidR="00BF1AE9">
        <w:rPr>
          <w:szCs w:val="24"/>
        </w:rPr>
        <w:t>.</w:t>
      </w:r>
      <w:r>
        <w:rPr>
          <w:szCs w:val="24"/>
        </w:rPr>
        <w:t xml:space="preserve">  </w:t>
      </w:r>
      <w:r w:rsidR="002523C2">
        <w:rPr>
          <w:szCs w:val="24"/>
        </w:rPr>
        <w:t>H</w:t>
      </w:r>
      <w:r>
        <w:rPr>
          <w:szCs w:val="24"/>
        </w:rPr>
        <w:t xml:space="preserve">e </w:t>
      </w:r>
      <w:r w:rsidR="00B169DC">
        <w:rPr>
          <w:szCs w:val="24"/>
        </w:rPr>
        <w:t>continually</w:t>
      </w:r>
      <w:r>
        <w:rPr>
          <w:szCs w:val="24"/>
        </w:rPr>
        <w:t xml:space="preserve"> maintained frivolous legal positions in various proceedings, from 2013 to the time of the disciplinary trial, which was an abuse of the justice system</w:t>
      </w:r>
      <w:r w:rsidR="001F6D5E">
        <w:rPr>
          <w:szCs w:val="24"/>
        </w:rPr>
        <w:t>.</w:t>
      </w:r>
      <w:r>
        <w:rPr>
          <w:szCs w:val="24"/>
        </w:rPr>
        <w:t xml:space="preserve"> </w:t>
      </w:r>
      <w:r w:rsidR="00B76F80">
        <w:rPr>
          <w:szCs w:val="24"/>
        </w:rPr>
        <w:t xml:space="preserve"> </w:t>
      </w:r>
      <w:r w:rsidR="00564E4A">
        <w:rPr>
          <w:szCs w:val="24"/>
        </w:rPr>
        <w:t xml:space="preserve">In addition, </w:t>
      </w:r>
      <w:r w:rsidR="00F40714">
        <w:rPr>
          <w:szCs w:val="24"/>
        </w:rPr>
        <w:t>Thomas</w:t>
      </w:r>
      <w:r>
        <w:rPr>
          <w:szCs w:val="24"/>
        </w:rPr>
        <w:t xml:space="preserve"> disregarded numerous court orders </w:t>
      </w:r>
      <w:r w:rsidR="00F40714">
        <w:rPr>
          <w:szCs w:val="24"/>
        </w:rPr>
        <w:t>intended to curb</w:t>
      </w:r>
      <w:r>
        <w:rPr>
          <w:szCs w:val="24"/>
        </w:rPr>
        <w:t xml:space="preserve"> his improper conduct.  (Std. 1.5(c); </w:t>
      </w:r>
      <w:r>
        <w:rPr>
          <w:i/>
          <w:szCs w:val="24"/>
        </w:rPr>
        <w:t>In the Matter of Kinney</w:t>
      </w:r>
      <w:r>
        <w:rPr>
          <w:szCs w:val="24"/>
        </w:rPr>
        <w:t xml:space="preserve">, </w:t>
      </w:r>
      <w:r w:rsidRPr="0089653C">
        <w:rPr>
          <w:i/>
          <w:iCs/>
          <w:szCs w:val="24"/>
        </w:rPr>
        <w:t>supra</w:t>
      </w:r>
      <w:r>
        <w:rPr>
          <w:szCs w:val="24"/>
        </w:rPr>
        <w:t xml:space="preserve">, 5 Cal. State Bar Ct. Rptr. at p. 368 [multiple acts and pattern where attorney repeatedly pursued vexatious litigation over more than six years]; </w:t>
      </w:r>
      <w:r>
        <w:rPr>
          <w:rFonts w:eastAsia="Times New Roman"/>
          <w:i/>
          <w:szCs w:val="24"/>
        </w:rPr>
        <w:t>In the Matter of Valinoti</w:t>
      </w:r>
      <w:r>
        <w:rPr>
          <w:rFonts w:eastAsia="Times New Roman"/>
          <w:szCs w:val="24"/>
        </w:rPr>
        <w:t xml:space="preserve"> (Review Dept. 2002) 4 Cal. State Bar Ct. Rptr. 498, 555 [pattern must involve serious misconduct spanning extended time period].)  </w:t>
      </w:r>
      <w:r>
        <w:rPr>
          <w:szCs w:val="24"/>
        </w:rPr>
        <w:t xml:space="preserve">The judge assigned substantial aggravation, collectively, under standards 1.5(b) and (c).  </w:t>
      </w:r>
    </w:p>
    <w:p w14:paraId="63E11EE5" w14:textId="29CB70CE" w:rsidR="00E33E33" w:rsidRPr="00E82584" w:rsidRDefault="00B5326B" w:rsidP="007D50C1">
      <w:pPr>
        <w:spacing w:line="480" w:lineRule="auto"/>
        <w:ind w:firstLine="720"/>
        <w:rPr>
          <w:szCs w:val="24"/>
        </w:rPr>
      </w:pPr>
      <w:r>
        <w:rPr>
          <w:szCs w:val="24"/>
        </w:rPr>
        <w:t>Thomas argues the hearing judge’s finding had no foundation in the record and did not satisfy the hearsay evidence exception</w:t>
      </w:r>
      <w:r w:rsidR="00667A74">
        <w:rPr>
          <w:szCs w:val="24"/>
        </w:rPr>
        <w:t xml:space="preserve"> for “custom or practice</w:t>
      </w:r>
      <w:r>
        <w:rPr>
          <w:szCs w:val="24"/>
        </w:rPr>
        <w:t>.</w:t>
      </w:r>
      <w:r w:rsidR="00667A74">
        <w:rPr>
          <w:szCs w:val="24"/>
        </w:rPr>
        <w:t>”</w:t>
      </w:r>
      <w:r>
        <w:rPr>
          <w:szCs w:val="24"/>
        </w:rPr>
        <w:t xml:space="preserve">  These arguments are unsupported.  Thomas was told by the courts that he was wrong and his pleadings were frivolous and harassing.  Yet, he did not stop repeatedly advanc</w:t>
      </w:r>
      <w:r w:rsidR="001F4591">
        <w:rPr>
          <w:szCs w:val="24"/>
        </w:rPr>
        <w:t>ing</w:t>
      </w:r>
      <w:r>
        <w:rPr>
          <w:szCs w:val="24"/>
        </w:rPr>
        <w:t xml:space="preserve"> arguments without a legal basis.  </w:t>
      </w:r>
      <w:r w:rsidR="00AA79B8">
        <w:rPr>
          <w:szCs w:val="24"/>
        </w:rPr>
        <w:t>He</w:t>
      </w:r>
      <w:r>
        <w:rPr>
          <w:szCs w:val="24"/>
        </w:rPr>
        <w:t xml:space="preserve"> began </w:t>
      </w:r>
      <w:r w:rsidR="0025465E">
        <w:rPr>
          <w:szCs w:val="24"/>
        </w:rPr>
        <w:t>putting forth</w:t>
      </w:r>
      <w:r>
        <w:rPr>
          <w:szCs w:val="24"/>
        </w:rPr>
        <w:t xml:space="preserve"> frivolous arguments in 2013 in the interpleader action and has done so in the appeal of th</w:t>
      </w:r>
      <w:r w:rsidR="00512F66">
        <w:rPr>
          <w:szCs w:val="24"/>
        </w:rPr>
        <w:t>at</w:t>
      </w:r>
      <w:r>
        <w:rPr>
          <w:szCs w:val="24"/>
        </w:rPr>
        <w:t xml:space="preserve"> action, the True Harmony matter, and the appeal of the True Harmony matter.  He has also done so twice in federal court.  In 2020, he filed a second federal lawsuit, which was dismissed </w:t>
      </w:r>
      <w:r w:rsidR="008B593F">
        <w:rPr>
          <w:szCs w:val="24"/>
        </w:rPr>
        <w:t>because</w:t>
      </w:r>
      <w:r>
        <w:rPr>
          <w:szCs w:val="24"/>
        </w:rPr>
        <w:t xml:space="preserve"> the claims were nearly identical to the federal lawsuit dismissed by the district court in 2017 and affirmed by the Ninth Circuit in 2018.  His appeal in the second federal lawsuit is still pending.  We agree with the judge that aggravation is warranted under standard 1.5(c) for Thomas’s pattern of misconduct.  The misconduct was serious and spanned several years (with evidence that Thomas continues to pursue these claims even now).  We assign substantial aggravation under standards 1.5(b) and (c). </w:t>
      </w:r>
    </w:p>
    <w:p w14:paraId="3DEED942" w14:textId="77777777" w:rsidR="00B5326B" w:rsidRPr="00526830" w:rsidRDefault="00B5326B" w:rsidP="00B5326B">
      <w:pPr>
        <w:spacing w:line="480" w:lineRule="auto"/>
        <w:ind w:firstLine="720"/>
        <w:rPr>
          <w:rFonts w:eastAsia="Times New Roman"/>
          <w:b/>
          <w:bCs/>
          <w:szCs w:val="24"/>
        </w:rPr>
      </w:pPr>
      <w:r w:rsidRPr="00526830">
        <w:rPr>
          <w:rFonts w:eastAsia="Times New Roman"/>
          <w:b/>
          <w:bCs/>
          <w:szCs w:val="24"/>
        </w:rPr>
        <w:t>2.  Significant Harm (Std.</w:t>
      </w:r>
      <w:r>
        <w:rPr>
          <w:rFonts w:eastAsia="Times New Roman"/>
          <w:b/>
          <w:bCs/>
          <w:szCs w:val="24"/>
        </w:rPr>
        <w:t> </w:t>
      </w:r>
      <w:r w:rsidRPr="00526830">
        <w:rPr>
          <w:rFonts w:eastAsia="Times New Roman"/>
          <w:b/>
          <w:bCs/>
          <w:szCs w:val="24"/>
        </w:rPr>
        <w:t>1.5(j))</w:t>
      </w:r>
    </w:p>
    <w:p w14:paraId="2F5717D1" w14:textId="4B4CB84D" w:rsidR="00B5326B" w:rsidRDefault="00B5326B" w:rsidP="00E33E33">
      <w:pPr>
        <w:spacing w:line="480" w:lineRule="auto"/>
        <w:ind w:firstLine="720"/>
        <w:rPr>
          <w:rFonts w:eastAsia="Times New Roman"/>
          <w:szCs w:val="24"/>
        </w:rPr>
      </w:pPr>
      <w:r>
        <w:rPr>
          <w:rFonts w:eastAsia="Times New Roman"/>
          <w:szCs w:val="24"/>
        </w:rPr>
        <w:t xml:space="preserve">The hearing judge found Thomas’s misconduct caused significant harm to the public and the administration of justice, warranting substantial aggravation under standard 1.5(j).  We agree </w:t>
      </w:r>
      <w:r w:rsidR="009636A0">
        <w:rPr>
          <w:rFonts w:eastAsia="Times New Roman"/>
          <w:szCs w:val="24"/>
        </w:rPr>
        <w:t xml:space="preserve">with the judge’s findings </w:t>
      </w:r>
      <w:r>
        <w:rPr>
          <w:rFonts w:eastAsia="Times New Roman"/>
          <w:szCs w:val="24"/>
        </w:rPr>
        <w:t>and reject Thomas’s argument that OCTC did not prove harm</w:t>
      </w:r>
      <w:r w:rsidR="00287C84">
        <w:rPr>
          <w:rFonts w:eastAsia="Times New Roman"/>
          <w:szCs w:val="24"/>
        </w:rPr>
        <w:t xml:space="preserve"> to</w:t>
      </w:r>
      <w:r>
        <w:rPr>
          <w:rFonts w:eastAsia="Times New Roman"/>
          <w:szCs w:val="24"/>
        </w:rPr>
        <w:t xml:space="preserve"> the administration of justice.  </w:t>
      </w:r>
    </w:p>
    <w:p w14:paraId="3B39729C" w14:textId="59474FBE" w:rsidR="00B5326B" w:rsidRPr="00F448FB" w:rsidRDefault="00B5326B" w:rsidP="00B5326B">
      <w:pPr>
        <w:spacing w:line="480" w:lineRule="auto"/>
        <w:ind w:firstLine="720"/>
        <w:rPr>
          <w:rFonts w:eastAsia="Times New Roman"/>
          <w:szCs w:val="24"/>
        </w:rPr>
      </w:pPr>
      <w:r>
        <w:rPr>
          <w:rFonts w:eastAsia="Times New Roman"/>
          <w:szCs w:val="24"/>
        </w:rPr>
        <w:t xml:space="preserve">Thomas’s relentless litigation campaign caused the courts and the parties to expend excessive time and money, </w:t>
      </w:r>
      <w:r w:rsidR="00287C84">
        <w:rPr>
          <w:rFonts w:eastAsia="Times New Roman"/>
          <w:szCs w:val="24"/>
        </w:rPr>
        <w:t>as</w:t>
      </w:r>
      <w:r>
        <w:rPr>
          <w:rFonts w:eastAsia="Times New Roman"/>
          <w:szCs w:val="24"/>
        </w:rPr>
        <w:t xml:space="preserve"> illustrated by the $188,350.64 in sanctions against him, including $8,500 for reimbursement to the court of appeal for administrative costs he generated.  His frivolous litigation caused the courts to consider and rule on his meritless motions, which was a waste of judicial resources.  (</w:t>
      </w:r>
      <w:r>
        <w:rPr>
          <w:rFonts w:eastAsia="Times New Roman"/>
          <w:i/>
          <w:szCs w:val="24"/>
        </w:rPr>
        <w:t>In the Matter of Reiss</w:t>
      </w:r>
      <w:r>
        <w:rPr>
          <w:rFonts w:eastAsia="Times New Roman"/>
          <w:szCs w:val="24"/>
        </w:rPr>
        <w:t xml:space="preserve"> (Review Dept. 2012) 5 Cal. State Bar Ct. Rptr. 206, 217 [acts wasting judicial time and resources constitute significant harm].)</w:t>
      </w:r>
    </w:p>
    <w:p w14:paraId="25EEA1AA" w14:textId="01F40568" w:rsidR="00B5326B" w:rsidRDefault="00B5326B" w:rsidP="00B5326B">
      <w:pPr>
        <w:spacing w:line="480" w:lineRule="auto"/>
        <w:ind w:firstLine="720"/>
        <w:rPr>
          <w:rFonts w:eastAsia="Times New Roman"/>
          <w:szCs w:val="24"/>
        </w:rPr>
      </w:pPr>
      <w:r>
        <w:rPr>
          <w:rFonts w:eastAsia="Times New Roman"/>
          <w:szCs w:val="24"/>
        </w:rPr>
        <w:t xml:space="preserve">In addition, Thomas’s misconduct caused stress and emotional harm to Solomon, Perry, and Gibson, which was established by their testimony at trial.  They were repeatedly forced to defend against Thomas’s meritless claims and appeals.  Solomon testified he </w:t>
      </w:r>
      <w:r w:rsidR="007E6A94">
        <w:rPr>
          <w:rFonts w:eastAsia="Times New Roman"/>
          <w:szCs w:val="24"/>
        </w:rPr>
        <w:t>in</w:t>
      </w:r>
      <w:r>
        <w:rPr>
          <w:rFonts w:eastAsia="Times New Roman"/>
          <w:szCs w:val="24"/>
        </w:rPr>
        <w:t xml:space="preserve">curred over $700,000 in legal fees owed to Gibson </w:t>
      </w:r>
      <w:r w:rsidR="00CB7599">
        <w:rPr>
          <w:rFonts w:eastAsia="Times New Roman"/>
          <w:szCs w:val="24"/>
        </w:rPr>
        <w:t>for</w:t>
      </w:r>
      <w:r w:rsidR="00B37CDC">
        <w:rPr>
          <w:rFonts w:eastAsia="Times New Roman"/>
          <w:szCs w:val="24"/>
        </w:rPr>
        <w:t xml:space="preserve"> </w:t>
      </w:r>
      <w:r>
        <w:rPr>
          <w:rFonts w:eastAsia="Times New Roman"/>
          <w:szCs w:val="24"/>
        </w:rPr>
        <w:t>dealing with Thomas’s frivolous litigation.</w:t>
      </w:r>
      <w:r>
        <w:rPr>
          <w:rStyle w:val="FootnoteReference"/>
          <w:rFonts w:eastAsia="Times New Roman"/>
          <w:szCs w:val="24"/>
        </w:rPr>
        <w:footnoteReference w:id="22"/>
      </w:r>
      <w:r>
        <w:rPr>
          <w:rFonts w:eastAsia="Times New Roman"/>
          <w:szCs w:val="24"/>
        </w:rPr>
        <w:t xml:space="preserve">  Additionally, Thomas has not paid any of the ordered sanctions to Solomon and HPL.  Solomon also testified </w:t>
      </w:r>
      <w:r w:rsidR="00B847AB">
        <w:rPr>
          <w:rFonts w:eastAsia="Times New Roman"/>
          <w:szCs w:val="24"/>
        </w:rPr>
        <w:t xml:space="preserve">that </w:t>
      </w:r>
      <w:r>
        <w:rPr>
          <w:rFonts w:eastAsia="Times New Roman"/>
          <w:szCs w:val="24"/>
        </w:rPr>
        <w:t xml:space="preserve">the litigation </w:t>
      </w:r>
      <w:r w:rsidR="00A41B56">
        <w:rPr>
          <w:rFonts w:eastAsia="Times New Roman"/>
          <w:szCs w:val="24"/>
        </w:rPr>
        <w:t>took</w:t>
      </w:r>
      <w:r>
        <w:rPr>
          <w:rFonts w:eastAsia="Times New Roman"/>
          <w:szCs w:val="24"/>
        </w:rPr>
        <w:t xml:space="preserve"> time away from his business and that he must disclose the litigation each time he applies for a loan.  Perry testified that Thomas’s actions have caused him a great deal of stress and that he has spent hundreds of hours </w:t>
      </w:r>
      <w:r w:rsidR="00115AF4">
        <w:rPr>
          <w:rFonts w:eastAsia="Times New Roman"/>
          <w:szCs w:val="24"/>
        </w:rPr>
        <w:t>involved</w:t>
      </w:r>
      <w:r>
        <w:rPr>
          <w:rFonts w:eastAsia="Times New Roman"/>
          <w:szCs w:val="24"/>
        </w:rPr>
        <w:t xml:space="preserve"> with this litigation.  </w:t>
      </w:r>
      <w:r w:rsidRPr="00AA07E9">
        <w:rPr>
          <w:rFonts w:eastAsia="Times New Roman"/>
          <w:szCs w:val="24"/>
        </w:rPr>
        <w:t>Gibson testified</w:t>
      </w:r>
      <w:r>
        <w:rPr>
          <w:rFonts w:eastAsia="Times New Roman"/>
          <w:szCs w:val="24"/>
        </w:rPr>
        <w:t xml:space="preserve"> he has had stressful interactions with opposing counsel </w:t>
      </w:r>
      <w:r w:rsidR="007E2802">
        <w:rPr>
          <w:rFonts w:eastAsia="Times New Roman"/>
          <w:szCs w:val="24"/>
        </w:rPr>
        <w:t>during</w:t>
      </w:r>
      <w:r w:rsidR="00F02F9C">
        <w:rPr>
          <w:rFonts w:eastAsia="Times New Roman"/>
          <w:szCs w:val="24"/>
        </w:rPr>
        <w:t xml:space="preserve"> his five decades of litigation</w:t>
      </w:r>
      <w:r w:rsidR="0061073E">
        <w:rPr>
          <w:rFonts w:eastAsia="Times New Roman"/>
          <w:szCs w:val="24"/>
        </w:rPr>
        <w:t>,</w:t>
      </w:r>
      <w:r>
        <w:rPr>
          <w:rFonts w:eastAsia="Times New Roman"/>
          <w:szCs w:val="24"/>
        </w:rPr>
        <w:t xml:space="preserve"> but never like the ones he </w:t>
      </w:r>
      <w:r w:rsidR="0061073E">
        <w:rPr>
          <w:rFonts w:eastAsia="Times New Roman"/>
          <w:szCs w:val="24"/>
        </w:rPr>
        <w:t>experienced</w:t>
      </w:r>
      <w:r>
        <w:rPr>
          <w:rFonts w:eastAsia="Times New Roman"/>
          <w:szCs w:val="24"/>
        </w:rPr>
        <w:t xml:space="preserve"> with Thomas.  He also stated that</w:t>
      </w:r>
      <w:r w:rsidR="007E6A94">
        <w:rPr>
          <w:rFonts w:eastAsia="Times New Roman"/>
          <w:szCs w:val="24"/>
        </w:rPr>
        <w:t>,</w:t>
      </w:r>
      <w:r>
        <w:rPr>
          <w:rFonts w:eastAsia="Times New Roman"/>
          <w:szCs w:val="24"/>
        </w:rPr>
        <w:t xml:space="preserve"> </w:t>
      </w:r>
      <w:r w:rsidR="0033509A">
        <w:rPr>
          <w:rFonts w:eastAsia="Times New Roman"/>
          <w:szCs w:val="24"/>
        </w:rPr>
        <w:t>prior to</w:t>
      </w:r>
      <w:r>
        <w:rPr>
          <w:rFonts w:eastAsia="Times New Roman"/>
          <w:szCs w:val="24"/>
        </w:rPr>
        <w:t xml:space="preserve"> filing motions for sanctions against Thomas, he had filed</w:t>
      </w:r>
      <w:r w:rsidR="002B476D">
        <w:rPr>
          <w:rFonts w:eastAsia="Times New Roman"/>
          <w:szCs w:val="24"/>
        </w:rPr>
        <w:t>, at most,</w:t>
      </w:r>
      <w:r>
        <w:rPr>
          <w:rFonts w:eastAsia="Times New Roman"/>
          <w:szCs w:val="24"/>
        </w:rPr>
        <w:t xml:space="preserve"> one or two motions for discovery sanctions.  He testified he spent approximately </w:t>
      </w:r>
      <w:r w:rsidR="009636A0">
        <w:rPr>
          <w:rFonts w:eastAsia="Times New Roman"/>
          <w:szCs w:val="24"/>
        </w:rPr>
        <w:t>2,000</w:t>
      </w:r>
      <w:r>
        <w:rPr>
          <w:rFonts w:eastAsia="Times New Roman"/>
          <w:szCs w:val="24"/>
        </w:rPr>
        <w:t xml:space="preserve"> hours working on this litigation. </w:t>
      </w:r>
      <w:r w:rsidR="00826382">
        <w:rPr>
          <w:rFonts w:eastAsia="Times New Roman"/>
          <w:szCs w:val="24"/>
        </w:rPr>
        <w:t xml:space="preserve"> </w:t>
      </w:r>
      <w:r>
        <w:rPr>
          <w:rFonts w:eastAsia="Times New Roman"/>
          <w:szCs w:val="24"/>
        </w:rPr>
        <w:t xml:space="preserve">Gibson also stated he paid $5,000 to his malpractice insurer for his defense of the federal lawsuits Thomas filed against him. </w:t>
      </w:r>
    </w:p>
    <w:p w14:paraId="3BF1B6E2" w14:textId="77777777" w:rsidR="00B5326B" w:rsidRPr="002C6C75" w:rsidRDefault="00B5326B" w:rsidP="00B5326B">
      <w:pPr>
        <w:spacing w:line="480" w:lineRule="auto"/>
        <w:ind w:firstLine="720"/>
        <w:rPr>
          <w:rFonts w:eastAsia="Times New Roman"/>
          <w:b/>
          <w:bCs/>
          <w:szCs w:val="24"/>
        </w:rPr>
      </w:pPr>
      <w:r w:rsidRPr="002C6C75">
        <w:rPr>
          <w:rFonts w:eastAsia="Times New Roman"/>
          <w:b/>
          <w:bCs/>
          <w:szCs w:val="24"/>
        </w:rPr>
        <w:t>3.  Indifference (Std.</w:t>
      </w:r>
      <w:r>
        <w:rPr>
          <w:rFonts w:eastAsia="Times New Roman"/>
          <w:b/>
          <w:bCs/>
          <w:szCs w:val="24"/>
        </w:rPr>
        <w:t> </w:t>
      </w:r>
      <w:r w:rsidRPr="002C6C75">
        <w:rPr>
          <w:rFonts w:eastAsia="Times New Roman"/>
          <w:b/>
          <w:bCs/>
          <w:szCs w:val="24"/>
        </w:rPr>
        <w:t>1.5(k))</w:t>
      </w:r>
    </w:p>
    <w:p w14:paraId="4301E274" w14:textId="3E3BDBA1" w:rsidR="00B5326B" w:rsidRDefault="00B5326B" w:rsidP="00B5326B">
      <w:pPr>
        <w:spacing w:line="480" w:lineRule="auto"/>
        <w:ind w:firstLine="720"/>
      </w:pPr>
      <w:r>
        <w:t xml:space="preserve">Standard 1.5(k) provides that an aggravating circumstance may include “indifference toward rectification or atonement for the consequences of the misconduct.”  The hearing judge </w:t>
      </w:r>
      <w:r w:rsidR="00901C42">
        <w:t xml:space="preserve">assigned substantial </w:t>
      </w:r>
      <w:r w:rsidR="00185B4B">
        <w:t>weight in aggravation for</w:t>
      </w:r>
      <w:r>
        <w:t xml:space="preserve"> Thomas</w:t>
      </w:r>
      <w:r w:rsidR="00185B4B">
        <w:t>’s</w:t>
      </w:r>
      <w:r>
        <w:t xml:space="preserve"> fail</w:t>
      </w:r>
      <w:r w:rsidR="00185B4B">
        <w:t>ure</w:t>
      </w:r>
      <w:r>
        <w:t xml:space="preserve"> to accept responsibility for his actions and </w:t>
      </w:r>
      <w:r w:rsidR="00E40811">
        <w:t>to</w:t>
      </w:r>
      <w:r w:rsidR="00DD2CDE">
        <w:t xml:space="preserve"> </w:t>
      </w:r>
      <w:r>
        <w:t xml:space="preserve">atone for the resulting harm.  </w:t>
      </w:r>
      <w:r w:rsidR="00E7657F">
        <w:t>Thomas</w:t>
      </w:r>
      <w:r>
        <w:t xml:space="preserve"> made no specific arguments on review concerning this aggravation finding.  </w:t>
      </w:r>
    </w:p>
    <w:p w14:paraId="3A595AA0" w14:textId="6D2A8876" w:rsidR="00B5326B" w:rsidRDefault="00B5326B" w:rsidP="00B5326B">
      <w:pPr>
        <w:spacing w:line="480" w:lineRule="auto"/>
        <w:ind w:firstLine="720"/>
      </w:pPr>
      <w:r>
        <w:t xml:space="preserve">Thomas has blamed others, testified his conduct was moral and correct, and characterized himself as the victim.  For example, he stated the appellate court in the interpleader action was wrong and “roasted” him with a “gross error.”  He complained he was “at the butt end of a litigation machine juggernaut” and believed the sanctions orders were unfair.  Further, he has made no payments towards the court-ordered sanctions.  </w:t>
      </w:r>
      <w:r w:rsidR="00627915">
        <w:t>Thomas</w:t>
      </w:r>
      <w:r>
        <w:t xml:space="preserve"> </w:t>
      </w:r>
      <w:r w:rsidR="00CD5690">
        <w:t>asserted</w:t>
      </w:r>
      <w:r>
        <w:t xml:space="preserve"> he does not understand why OCTC brought the charges and he intends to continue to pursue litigation related to the underlying misconduct.  In </w:t>
      </w:r>
      <w:r w:rsidR="00DA1CF3">
        <w:t xml:space="preserve">his </w:t>
      </w:r>
      <w:r>
        <w:t>closing argument at trial, he said he was “going to stick by my guns,” which he has</w:t>
      </w:r>
      <w:r w:rsidR="000749B1">
        <w:t>.</w:t>
      </w:r>
      <w:r>
        <w:t xml:space="preserve"> </w:t>
      </w:r>
      <w:r w:rsidR="004E14ED">
        <w:t xml:space="preserve"> </w:t>
      </w:r>
      <w:r w:rsidR="00C308AB">
        <w:t>He anno</w:t>
      </w:r>
      <w:r w:rsidR="00BE68DB">
        <w:t xml:space="preserve">unced </w:t>
      </w:r>
      <w:r>
        <w:t xml:space="preserve">later at oral argument </w:t>
      </w:r>
      <w:r w:rsidR="00FA4015">
        <w:t xml:space="preserve">before us </w:t>
      </w:r>
      <w:r w:rsidR="00FA116B">
        <w:t xml:space="preserve">that </w:t>
      </w:r>
      <w:r>
        <w:t xml:space="preserve">he would appeal to the Supreme Court if his discipline was not overturned and he is continuing to pursue the second federal lawsuit. </w:t>
      </w:r>
    </w:p>
    <w:p w14:paraId="10F687D7" w14:textId="1EBF539A" w:rsidR="00B5326B" w:rsidRPr="00557261" w:rsidRDefault="00B5326B" w:rsidP="00B5326B">
      <w:pPr>
        <w:tabs>
          <w:tab w:val="left" w:pos="720"/>
        </w:tabs>
        <w:spacing w:line="480" w:lineRule="auto"/>
        <w:ind w:firstLine="720"/>
        <w:rPr>
          <w:rFonts w:eastAsia="Times New Roman"/>
          <w:szCs w:val="24"/>
        </w:rPr>
      </w:pPr>
      <w:r>
        <w:t>Thomas has the right to defend himself vigorously</w:t>
      </w:r>
      <w:r w:rsidR="00475230">
        <w:t>;</w:t>
      </w:r>
      <w:r>
        <w:t xml:space="preserve"> however, his arguments “went beyond tenacity to truculence.”  (</w:t>
      </w:r>
      <w:r>
        <w:rPr>
          <w:i/>
        </w:rPr>
        <w:t>In re Morse</w:t>
      </w:r>
      <w:r>
        <w:t xml:space="preserve"> (1995) 11 Cal.4th 184, 209.)  We agree with the hearing judge that his gross lack of insight into the wrongfulness of his actions merits substantial aggravation.  (</w:t>
      </w:r>
      <w:r>
        <w:rPr>
          <w:i/>
        </w:rPr>
        <w:t>In the Matter of Katz</w:t>
      </w:r>
      <w:r>
        <w:t xml:space="preserve"> (Review Dept. 1991) 1 Cal. State Bar Ct. Rptr. 502, 511 [law does not require false penitence, but does require attorney to accept responsibility for his or her wrongful acts and show some understanding of culpability]; </w:t>
      </w:r>
      <w:r>
        <w:rPr>
          <w:i/>
        </w:rPr>
        <w:t>In re Morse</w:t>
      </w:r>
      <w:r w:rsidR="00147FF5">
        <w:t xml:space="preserve">, </w:t>
      </w:r>
      <w:r w:rsidR="00147FF5" w:rsidRPr="00147FF5">
        <w:rPr>
          <w:i/>
          <w:iCs/>
        </w:rPr>
        <w:t>supra</w:t>
      </w:r>
      <w:r w:rsidR="00147FF5">
        <w:t>,</w:t>
      </w:r>
      <w:r>
        <w:t xml:space="preserve"> 11 Cal.4th 184</w:t>
      </w:r>
      <w:r w:rsidR="00147FF5">
        <w:t xml:space="preserve"> at p.</w:t>
      </w:r>
      <w:r>
        <w:t xml:space="preserve"> 209 [unwillingness to consider appropriateness of legal challenge or acknowledge lack of merit is aggravating factor].)  Thomas has refused to acknowledge he was wrong and that his actions have harmed the courts and others.  He continues to raise the same unsuccessful arguments </w:t>
      </w:r>
      <w:r w:rsidR="00FB17A1">
        <w:t>already</w:t>
      </w:r>
      <w:r>
        <w:t xml:space="preserve"> struck down by several courts.  </w:t>
      </w:r>
      <w:r>
        <w:rPr>
          <w:rFonts w:eastAsia="Times New Roman"/>
          <w:szCs w:val="24"/>
        </w:rPr>
        <w:t>His failure to accept responsibility is a substantial aggravating factor.  (</w:t>
      </w:r>
      <w:r>
        <w:rPr>
          <w:rFonts w:eastAsia="Times New Roman"/>
          <w:i/>
          <w:szCs w:val="24"/>
        </w:rPr>
        <w:t>Carter v. State Bar</w:t>
      </w:r>
      <w:r>
        <w:rPr>
          <w:rFonts w:eastAsia="Times New Roman"/>
          <w:szCs w:val="24"/>
        </w:rPr>
        <w:t xml:space="preserve"> (1988) 44 Cal.3d 1091, 1100</w:t>
      </w:r>
      <w:r w:rsidR="00606383">
        <w:rPr>
          <w:rFonts w:eastAsia="Times New Roman"/>
          <w:szCs w:val="24"/>
        </w:rPr>
        <w:t>-</w:t>
      </w:r>
      <w:r>
        <w:rPr>
          <w:rFonts w:eastAsia="Times New Roman"/>
          <w:szCs w:val="24"/>
        </w:rPr>
        <w:t>1101 [blanket refusal to acknowledge wrongful conduct constitutes indifference].)</w:t>
      </w:r>
    </w:p>
    <w:p w14:paraId="5CC6032B" w14:textId="77777777" w:rsidR="00B5326B" w:rsidRPr="00157E21" w:rsidRDefault="00B5326B" w:rsidP="00B5326B">
      <w:pPr>
        <w:spacing w:line="480" w:lineRule="auto"/>
        <w:rPr>
          <w:b/>
          <w:bCs/>
        </w:rPr>
      </w:pPr>
      <w:r w:rsidRPr="009B5EE8">
        <w:rPr>
          <w:b/>
          <w:bCs/>
        </w:rPr>
        <w:t>B.</w:t>
      </w:r>
      <w:r w:rsidRPr="009B5EE8">
        <w:rPr>
          <w:b/>
          <w:bCs/>
        </w:rPr>
        <w:tab/>
        <w:t>Mitigation</w:t>
      </w:r>
    </w:p>
    <w:p w14:paraId="33746E13" w14:textId="77777777" w:rsidR="00B5326B" w:rsidRPr="00157E21" w:rsidRDefault="00B5326B" w:rsidP="00B5326B">
      <w:pPr>
        <w:spacing w:line="480" w:lineRule="auto"/>
        <w:ind w:firstLine="720"/>
        <w:rPr>
          <w:b/>
          <w:bCs/>
        </w:rPr>
      </w:pPr>
      <w:r w:rsidRPr="00157E21">
        <w:rPr>
          <w:b/>
          <w:bCs/>
        </w:rPr>
        <w:t>1.  No Prior Record of Discipline (Std.</w:t>
      </w:r>
      <w:r>
        <w:rPr>
          <w:b/>
          <w:bCs/>
        </w:rPr>
        <w:t> </w:t>
      </w:r>
      <w:r w:rsidRPr="00157E21">
        <w:rPr>
          <w:b/>
          <w:bCs/>
        </w:rPr>
        <w:t>1.6(a))</w:t>
      </w:r>
    </w:p>
    <w:p w14:paraId="14AFA67F" w14:textId="03FF40D3" w:rsidR="00B5326B" w:rsidRDefault="00B5326B" w:rsidP="00B5326B">
      <w:pPr>
        <w:tabs>
          <w:tab w:val="left" w:pos="720"/>
        </w:tabs>
        <w:spacing w:line="480" w:lineRule="auto"/>
        <w:ind w:right="-144" w:firstLine="720"/>
        <w:rPr>
          <w:szCs w:val="24"/>
        </w:rPr>
      </w:pPr>
      <w:r w:rsidRPr="00D55103">
        <w:rPr>
          <w:szCs w:val="24"/>
        </w:rPr>
        <w:t xml:space="preserve">Mitigation </w:t>
      </w:r>
      <w:r>
        <w:rPr>
          <w:szCs w:val="24"/>
        </w:rPr>
        <w:t xml:space="preserve">includes “absence of any prior record of discipline over many years coupled with present misconduct, which is not likely to recur.” </w:t>
      </w:r>
      <w:r w:rsidRPr="00D55103">
        <w:rPr>
          <w:szCs w:val="24"/>
        </w:rPr>
        <w:t xml:space="preserve"> (Std.</w:t>
      </w:r>
      <w:r>
        <w:rPr>
          <w:szCs w:val="24"/>
        </w:rPr>
        <w:t> </w:t>
      </w:r>
      <w:r w:rsidRPr="00D55103">
        <w:rPr>
          <w:szCs w:val="24"/>
        </w:rPr>
        <w:t>1.6(a).)</w:t>
      </w:r>
      <w:r>
        <w:rPr>
          <w:szCs w:val="24"/>
        </w:rPr>
        <w:t xml:space="preserve">  Thomas practiced for nearly 35 years without discipline before the misconduct in this matter</w:t>
      </w:r>
      <w:r w:rsidR="00242F46">
        <w:rPr>
          <w:szCs w:val="24"/>
        </w:rPr>
        <w:t xml:space="preserve"> started</w:t>
      </w:r>
      <w:r>
        <w:rPr>
          <w:szCs w:val="24"/>
        </w:rPr>
        <w:t xml:space="preserve">.  The hearing judge assigned minimal mitigation because Thomas stated at trial that he will not cease litigation related to legal claims </w:t>
      </w:r>
      <w:r w:rsidR="005E6814">
        <w:rPr>
          <w:szCs w:val="24"/>
        </w:rPr>
        <w:t>that</w:t>
      </w:r>
      <w:r>
        <w:rPr>
          <w:szCs w:val="24"/>
        </w:rPr>
        <w:t xml:space="preserve"> have already been rejected.  Accordingly, Thomas has failed to establish his misconduct is </w:t>
      </w:r>
      <w:r w:rsidR="007E6A94">
        <w:rPr>
          <w:szCs w:val="24"/>
        </w:rPr>
        <w:t xml:space="preserve">aberrational and </w:t>
      </w:r>
      <w:r>
        <w:rPr>
          <w:szCs w:val="24"/>
        </w:rPr>
        <w:t xml:space="preserve">not likely to recur.  </w:t>
      </w:r>
      <w:r>
        <w:t>(</w:t>
      </w:r>
      <w:r>
        <w:rPr>
          <w:szCs w:val="24"/>
        </w:rPr>
        <w:t xml:space="preserve">See </w:t>
      </w:r>
      <w:r w:rsidRPr="003E29C5">
        <w:rPr>
          <w:i/>
          <w:szCs w:val="24"/>
        </w:rPr>
        <w:t>Cooper v. State Bar</w:t>
      </w:r>
      <w:r w:rsidRPr="003E29C5">
        <w:rPr>
          <w:szCs w:val="24"/>
        </w:rPr>
        <w:t xml:space="preserve"> (1987) 43 Cal. 3d 1016, 1029 [when misconduct is serious, long record without discipline is most relevant when misconduct</w:t>
      </w:r>
      <w:r>
        <w:rPr>
          <w:szCs w:val="24"/>
        </w:rPr>
        <w:t xml:space="preserve"> is aberrational].)  Given his complete lack of insight into misconduct, we assign only nominal weight in mitigation for his absence of a prior record of discipline.  </w:t>
      </w:r>
    </w:p>
    <w:p w14:paraId="31931694" w14:textId="77777777" w:rsidR="00B5326B" w:rsidRPr="00963C60" w:rsidRDefault="00B5326B" w:rsidP="00B5326B">
      <w:pPr>
        <w:spacing w:line="480" w:lineRule="auto"/>
        <w:ind w:firstLine="720"/>
        <w:rPr>
          <w:b/>
          <w:bCs/>
          <w:szCs w:val="24"/>
        </w:rPr>
      </w:pPr>
      <w:r w:rsidRPr="00963C60">
        <w:rPr>
          <w:b/>
          <w:bCs/>
          <w:szCs w:val="24"/>
        </w:rPr>
        <w:t>2.  Extraordinary Good Character (Std.</w:t>
      </w:r>
      <w:r>
        <w:rPr>
          <w:b/>
          <w:bCs/>
          <w:szCs w:val="24"/>
        </w:rPr>
        <w:t> </w:t>
      </w:r>
      <w:r w:rsidRPr="00963C60">
        <w:rPr>
          <w:b/>
          <w:bCs/>
          <w:szCs w:val="24"/>
        </w:rPr>
        <w:t>1.6(f))</w:t>
      </w:r>
    </w:p>
    <w:p w14:paraId="4D8ADAD7" w14:textId="01176EDE" w:rsidR="00475230" w:rsidRDefault="00B5326B" w:rsidP="00B5326B">
      <w:pPr>
        <w:spacing w:line="480" w:lineRule="auto"/>
        <w:ind w:firstLine="720"/>
      </w:pPr>
      <w:r>
        <w:t xml:space="preserve">Thomas may obtain mitigation for “extraordinary good character attested to by a wide range of references in the legal and general communities, who are aware of the full extent of the misconduct.”  (Std. 1.6(f).)  Thomas’s character evidence consisted of four witnesses who testified at trial (two of whom also submitted character letters) and two additional character letters.  The witnesses have known Thomas for many years and reported he is honest, of good moral character, and dedicated to his clients.  The hearing judge found the witnesses did not represent a wide range as they were all current or former clients.  (See </w:t>
      </w:r>
      <w:r>
        <w:rPr>
          <w:i/>
        </w:rPr>
        <w:t>In the Matter of Myrdall</w:t>
      </w:r>
      <w:r>
        <w:t xml:space="preserve"> (Review Dept. 1995) 3 Cal. State Bar Ct. Rptr. 363, 387 [three attorneys and three clients did not constitute wide range of references].)  In addition, the witnesses were unaware of the full extent of the misconduct.  (See </w:t>
      </w:r>
      <w:r>
        <w:rPr>
          <w:i/>
        </w:rPr>
        <w:t>In re Aquino</w:t>
      </w:r>
      <w:r>
        <w:t xml:space="preserve"> (1989) 49 Cal.3d 1122, 1131 [testimony of witnesses unfamiliar with details of misconduct not significant in determining mitigation].)  Finally, one witness </w:t>
      </w:r>
      <w:r w:rsidR="001153CC">
        <w:t xml:space="preserve">revealed </w:t>
      </w:r>
      <w:r w:rsidR="00CD7368">
        <w:t>limitations</w:t>
      </w:r>
      <w:r>
        <w:t xml:space="preserve"> as to Thomas’s interpersonal and legal skills, </w:t>
      </w:r>
      <w:r w:rsidR="001153CC">
        <w:t>disclosing</w:t>
      </w:r>
      <w:r>
        <w:t xml:space="preserve"> that </w:t>
      </w:r>
      <w:r w:rsidR="00D34F55">
        <w:t>Thomas</w:t>
      </w:r>
      <w:r>
        <w:t xml:space="preserve"> sometimes does not get along with others and the quality of his work is inconsistent.  For these reasons, the judge did not assign mitigation credit under standard 1.6(f).</w:t>
      </w:r>
    </w:p>
    <w:p w14:paraId="72D5E755" w14:textId="6F7B5CA4" w:rsidR="00B5326B" w:rsidRDefault="00475230" w:rsidP="00B5326B">
      <w:pPr>
        <w:spacing w:line="480" w:lineRule="auto"/>
        <w:ind w:firstLine="720"/>
      </w:pPr>
      <w:r>
        <w:t xml:space="preserve">On review, Thomas failed to assert any specific arguments regarding the hearing judge’s finding.  </w:t>
      </w:r>
      <w:r w:rsidR="00B5326B">
        <w:t xml:space="preserve">We agree </w:t>
      </w:r>
      <w:r>
        <w:t xml:space="preserve">with the judge </w:t>
      </w:r>
      <w:r w:rsidR="00B5326B">
        <w:t xml:space="preserve">that Thomas has failed to establish mitigation for extraordinary good character.  </w:t>
      </w:r>
    </w:p>
    <w:p w14:paraId="1318913B" w14:textId="77777777" w:rsidR="00B5326B" w:rsidRPr="008A29E3" w:rsidRDefault="00B5326B" w:rsidP="00B5326B">
      <w:pPr>
        <w:spacing w:line="480" w:lineRule="auto"/>
        <w:jc w:val="center"/>
        <w:rPr>
          <w:b/>
          <w:bCs/>
        </w:rPr>
      </w:pPr>
      <w:r w:rsidRPr="008A29E3">
        <w:rPr>
          <w:b/>
          <w:bCs/>
        </w:rPr>
        <w:t>V</w:t>
      </w:r>
      <w:r>
        <w:rPr>
          <w:b/>
          <w:bCs/>
        </w:rPr>
        <w:t>I</w:t>
      </w:r>
      <w:r w:rsidRPr="008A29E3">
        <w:rPr>
          <w:b/>
          <w:bCs/>
        </w:rPr>
        <w:t>.  DIS</w:t>
      </w:r>
      <w:r>
        <w:rPr>
          <w:b/>
          <w:bCs/>
        </w:rPr>
        <w:t>BARMENT IS THE APPROPRIATE DISCIPLINE</w:t>
      </w:r>
    </w:p>
    <w:p w14:paraId="308846E5" w14:textId="216F96F0" w:rsidR="00B5326B" w:rsidRDefault="00B5326B" w:rsidP="00B5326B">
      <w:pPr>
        <w:spacing w:line="480" w:lineRule="auto"/>
        <w:ind w:firstLine="720"/>
        <w:rPr>
          <w:szCs w:val="24"/>
        </w:rPr>
      </w:pPr>
      <w:r w:rsidRPr="0073476E">
        <w:t>The purpose of attorney discipline is not to punish the attorney, but to protect the public, the courts, and the legal profession</w:t>
      </w:r>
      <w:r>
        <w:t>;</w:t>
      </w:r>
      <w:r w:rsidRPr="0073476E">
        <w:t xml:space="preserve"> to preserve public confidence in the profession</w:t>
      </w:r>
      <w:r>
        <w:t>;</w:t>
      </w:r>
      <w:r w:rsidRPr="0073476E">
        <w:t xml:space="preserve"> and to maintain high professional standards for attorney</w:t>
      </w:r>
      <w:r>
        <w:t xml:space="preserve">s.  (Std. 1.1.)  </w:t>
      </w:r>
      <w:r w:rsidRPr="001223A2">
        <w:rPr>
          <w:rFonts w:eastAsia="Times New Roman"/>
          <w:szCs w:val="24"/>
        </w:rPr>
        <w:t>Our disciplinary analysis begins with the standards.  While they are guidelines for discipline and are not mandatory, we give them great weight to promote consistency.  (</w:t>
      </w:r>
      <w:r w:rsidRPr="001223A2">
        <w:rPr>
          <w:rFonts w:eastAsia="Times New Roman"/>
          <w:i/>
          <w:szCs w:val="24"/>
        </w:rPr>
        <w:t>In re Silverton</w:t>
      </w:r>
      <w:r w:rsidRPr="001223A2">
        <w:rPr>
          <w:rFonts w:eastAsia="Times New Roman"/>
          <w:szCs w:val="24"/>
        </w:rPr>
        <w:t xml:space="preserve"> (2005) 36</w:t>
      </w:r>
      <w:r>
        <w:rPr>
          <w:rFonts w:eastAsia="Times New Roman"/>
          <w:szCs w:val="24"/>
        </w:rPr>
        <w:t> </w:t>
      </w:r>
      <w:r w:rsidRPr="001223A2">
        <w:rPr>
          <w:rFonts w:eastAsia="Times New Roman"/>
          <w:szCs w:val="24"/>
        </w:rPr>
        <w:t>Cal.4th 81, 91</w:t>
      </w:r>
      <w:r>
        <w:rPr>
          <w:szCs w:val="24"/>
        </w:rPr>
        <w:t>-</w:t>
      </w:r>
      <w:r w:rsidRPr="001223A2">
        <w:rPr>
          <w:rFonts w:eastAsia="Times New Roman"/>
          <w:szCs w:val="24"/>
        </w:rPr>
        <w:t xml:space="preserve">92.)  </w:t>
      </w:r>
      <w:r>
        <w:rPr>
          <w:rFonts w:eastAsia="Times New Roman"/>
          <w:szCs w:val="24"/>
        </w:rPr>
        <w:t>T</w:t>
      </w:r>
      <w:r w:rsidRPr="001223A2">
        <w:rPr>
          <w:rFonts w:eastAsia="Times New Roman"/>
          <w:szCs w:val="24"/>
        </w:rPr>
        <w:t>he Supreme Court has instructed us to follow the standards “</w:t>
      </w:r>
      <w:r w:rsidRPr="001223A2">
        <w:rPr>
          <w:szCs w:val="24"/>
        </w:rPr>
        <w:t>whenever possible</w:t>
      </w:r>
      <w:r>
        <w:rPr>
          <w:szCs w:val="24"/>
        </w:rPr>
        <w:t>.</w:t>
      </w:r>
      <w:r w:rsidRPr="001223A2">
        <w:rPr>
          <w:szCs w:val="24"/>
        </w:rPr>
        <w:t xml:space="preserve">” </w:t>
      </w:r>
      <w:r>
        <w:rPr>
          <w:szCs w:val="24"/>
        </w:rPr>
        <w:t xml:space="preserve"> </w:t>
      </w:r>
      <w:r w:rsidRPr="001223A2">
        <w:rPr>
          <w:szCs w:val="24"/>
        </w:rPr>
        <w:t>(</w:t>
      </w:r>
      <w:r w:rsidRPr="001223A2">
        <w:rPr>
          <w:rFonts w:eastAsia="Times New Roman"/>
          <w:i/>
          <w:szCs w:val="24"/>
        </w:rPr>
        <w:t>In re Young</w:t>
      </w:r>
      <w:r w:rsidRPr="001223A2">
        <w:rPr>
          <w:rFonts w:eastAsia="Times New Roman"/>
          <w:szCs w:val="24"/>
        </w:rPr>
        <w:t xml:space="preserve"> (1989) 49 Cal.3d 257, 267, fn.</w:t>
      </w:r>
      <w:r>
        <w:rPr>
          <w:rFonts w:eastAsia="Times New Roman"/>
          <w:szCs w:val="24"/>
        </w:rPr>
        <w:t> </w:t>
      </w:r>
      <w:r w:rsidRPr="001223A2">
        <w:rPr>
          <w:rFonts w:eastAsia="Times New Roman"/>
          <w:szCs w:val="24"/>
        </w:rPr>
        <w:t>11</w:t>
      </w:r>
      <w:r>
        <w:rPr>
          <w:rFonts w:eastAsia="Times New Roman"/>
          <w:szCs w:val="24"/>
        </w:rPr>
        <w:t>.</w:t>
      </w:r>
      <w:r w:rsidRPr="001223A2">
        <w:rPr>
          <w:szCs w:val="24"/>
        </w:rPr>
        <w:t>)</w:t>
      </w:r>
      <w:r>
        <w:rPr>
          <w:szCs w:val="24"/>
        </w:rPr>
        <w:t xml:space="preserve">  We</w:t>
      </w:r>
      <w:r w:rsidRPr="001223A2">
        <w:rPr>
          <w:szCs w:val="24"/>
        </w:rPr>
        <w:t xml:space="preserve"> also look to comparable case law for guidance.  (See </w:t>
      </w:r>
      <w:r w:rsidRPr="001223A2">
        <w:rPr>
          <w:i/>
          <w:szCs w:val="24"/>
        </w:rPr>
        <w:t>Snyder v. State Bar</w:t>
      </w:r>
      <w:r>
        <w:rPr>
          <w:szCs w:val="24"/>
        </w:rPr>
        <w:t xml:space="preserve"> (1990) </w:t>
      </w:r>
      <w:r w:rsidRPr="002F64BE">
        <w:rPr>
          <w:szCs w:val="24"/>
        </w:rPr>
        <w:t>49 Cal.3d 1302</w:t>
      </w:r>
      <w:r>
        <w:rPr>
          <w:szCs w:val="24"/>
        </w:rPr>
        <w:t>,</w:t>
      </w:r>
      <w:r w:rsidRPr="002F64BE">
        <w:rPr>
          <w:szCs w:val="24"/>
        </w:rPr>
        <w:t xml:space="preserve"> </w:t>
      </w:r>
      <w:r>
        <w:rPr>
          <w:szCs w:val="24"/>
        </w:rPr>
        <w:t>1</w:t>
      </w:r>
      <w:r w:rsidRPr="001223A2">
        <w:rPr>
          <w:szCs w:val="24"/>
        </w:rPr>
        <w:t>310</w:t>
      </w:r>
      <w:r>
        <w:rPr>
          <w:szCs w:val="24"/>
        </w:rPr>
        <w:t>-</w:t>
      </w:r>
      <w:r w:rsidRPr="001223A2">
        <w:rPr>
          <w:szCs w:val="24"/>
        </w:rPr>
        <w:t>1311.)</w:t>
      </w:r>
    </w:p>
    <w:p w14:paraId="77149D73" w14:textId="08D19D9C" w:rsidR="00B5326B" w:rsidRDefault="00B5326B" w:rsidP="00B5326B">
      <w:pPr>
        <w:spacing w:line="480" w:lineRule="auto"/>
        <w:ind w:firstLine="720"/>
        <w:rPr>
          <w:rFonts w:eastAsia="Times New Roman"/>
          <w:szCs w:val="24"/>
        </w:rPr>
      </w:pPr>
      <w:r w:rsidRPr="00321456">
        <w:rPr>
          <w:rFonts w:eastAsia="Times New Roman"/>
          <w:szCs w:val="24"/>
        </w:rPr>
        <w:t xml:space="preserve">In analyzing the applicable standards, we first determine which standard specifies the most severe sanction for the at-issue misconduct.  (Std. 1.7(a) [most severe sanction shall be imposed where multiple sanctions apply].)  The most severe </w:t>
      </w:r>
      <w:r>
        <w:rPr>
          <w:rFonts w:eastAsia="Times New Roman"/>
          <w:szCs w:val="24"/>
        </w:rPr>
        <w:t xml:space="preserve">and applicable </w:t>
      </w:r>
      <w:r w:rsidRPr="00321456">
        <w:rPr>
          <w:rFonts w:eastAsia="Times New Roman"/>
          <w:szCs w:val="24"/>
        </w:rPr>
        <w:t xml:space="preserve">sanction here </w:t>
      </w:r>
      <w:r>
        <w:rPr>
          <w:rFonts w:eastAsia="Times New Roman"/>
          <w:szCs w:val="24"/>
        </w:rPr>
        <w:t>is</w:t>
      </w:r>
      <w:r w:rsidRPr="00321456">
        <w:rPr>
          <w:rFonts w:eastAsia="Times New Roman"/>
          <w:szCs w:val="24"/>
        </w:rPr>
        <w:t xml:space="preserve"> standard</w:t>
      </w:r>
      <w:r>
        <w:rPr>
          <w:rFonts w:eastAsia="Times New Roman"/>
          <w:szCs w:val="24"/>
        </w:rPr>
        <w:t> </w:t>
      </w:r>
      <w:r w:rsidRPr="00321456">
        <w:rPr>
          <w:rFonts w:eastAsia="Times New Roman"/>
          <w:szCs w:val="24"/>
        </w:rPr>
        <w:t>2.9(a)</w:t>
      </w:r>
      <w:r w:rsidR="00475230">
        <w:rPr>
          <w:rFonts w:eastAsia="Times New Roman"/>
          <w:szCs w:val="24"/>
        </w:rPr>
        <w:t xml:space="preserve">, which applies because of </w:t>
      </w:r>
      <w:r w:rsidR="00FE4E7A">
        <w:rPr>
          <w:rFonts w:eastAsia="Times New Roman"/>
          <w:szCs w:val="24"/>
        </w:rPr>
        <w:t>Thomas’s</w:t>
      </w:r>
      <w:r w:rsidR="00475230">
        <w:rPr>
          <w:rFonts w:eastAsia="Times New Roman"/>
          <w:szCs w:val="24"/>
        </w:rPr>
        <w:t xml:space="preserve"> culpability under section 6068, subdivision</w:t>
      </w:r>
      <w:r w:rsidR="002001BC">
        <w:rPr>
          <w:rFonts w:eastAsia="Times New Roman"/>
          <w:szCs w:val="24"/>
        </w:rPr>
        <w:t> </w:t>
      </w:r>
      <w:r w:rsidR="00475230">
        <w:rPr>
          <w:rFonts w:eastAsia="Times New Roman"/>
          <w:szCs w:val="24"/>
        </w:rPr>
        <w:t>(c)</w:t>
      </w:r>
      <w:r w:rsidRPr="00321456">
        <w:rPr>
          <w:rFonts w:eastAsia="Times New Roman"/>
          <w:szCs w:val="24"/>
        </w:rPr>
        <w:t>.</w:t>
      </w:r>
      <w:r>
        <w:rPr>
          <w:rStyle w:val="FootnoteReference"/>
          <w:rFonts w:eastAsia="Times New Roman"/>
          <w:szCs w:val="24"/>
        </w:rPr>
        <w:footnoteReference w:id="23"/>
      </w:r>
      <w:r w:rsidRPr="00321456">
        <w:rPr>
          <w:rFonts w:eastAsia="Times New Roman"/>
          <w:szCs w:val="24"/>
        </w:rPr>
        <w:t xml:space="preserve">  Standard</w:t>
      </w:r>
      <w:r>
        <w:rPr>
          <w:rFonts w:eastAsia="Times New Roman"/>
          <w:szCs w:val="24"/>
        </w:rPr>
        <w:t> </w:t>
      </w:r>
      <w:r w:rsidRPr="00321456">
        <w:rPr>
          <w:rFonts w:eastAsia="Times New Roman"/>
          <w:szCs w:val="24"/>
        </w:rPr>
        <w:t>2.9(a) provides for actual suspension when an attorney maintains a frivolous claim for an improper purpose</w:t>
      </w:r>
      <w:r w:rsidR="00475230">
        <w:rPr>
          <w:rFonts w:eastAsia="Times New Roman"/>
          <w:szCs w:val="24"/>
        </w:rPr>
        <w:t xml:space="preserve"> and d</w:t>
      </w:r>
      <w:r w:rsidRPr="00321456">
        <w:rPr>
          <w:rFonts w:eastAsia="Times New Roman"/>
          <w:szCs w:val="24"/>
        </w:rPr>
        <w:t>isbarment is appropriate if the misconduct demonstrates a pattern.</w:t>
      </w:r>
      <w:r>
        <w:rPr>
          <w:rFonts w:eastAsia="Times New Roman"/>
          <w:szCs w:val="24"/>
        </w:rPr>
        <w:t xml:space="preserve">  </w:t>
      </w:r>
    </w:p>
    <w:p w14:paraId="6CE931F2" w14:textId="04B1722E" w:rsidR="00B5326B" w:rsidRDefault="00B5326B" w:rsidP="00B5326B">
      <w:pPr>
        <w:spacing w:line="480" w:lineRule="auto"/>
        <w:ind w:firstLine="720"/>
        <w:rPr>
          <w:rFonts w:eastAsia="Times New Roman"/>
          <w:szCs w:val="24"/>
        </w:rPr>
      </w:pPr>
      <w:r>
        <w:rPr>
          <w:rFonts w:eastAsia="Times New Roman"/>
          <w:szCs w:val="24"/>
        </w:rPr>
        <w:t>The hearing judge found that Thomas’s repeated pursuit of frivolous legal actions—repetitively recycling previously rejected arguments, while consistently defying court orders aimed at curbing his improper conduct—demonstrates a pattern.  “[O]nly the most serious instances of repeated misconduct over a prolonged period of time could be characterized as demonstrating a pattern of wrongdoing.  [Citations.]”  (</w:t>
      </w:r>
      <w:r>
        <w:rPr>
          <w:rFonts w:eastAsia="Times New Roman"/>
          <w:i/>
          <w:szCs w:val="24"/>
        </w:rPr>
        <w:t>Levin v. State Bar</w:t>
      </w:r>
      <w:r>
        <w:rPr>
          <w:rFonts w:eastAsia="Times New Roman"/>
          <w:szCs w:val="24"/>
        </w:rPr>
        <w:t xml:space="preserve"> (1989) 47 Cal.3d 1140, 1149, fn. 14; see also </w:t>
      </w:r>
      <w:r>
        <w:rPr>
          <w:rFonts w:eastAsia="Times New Roman"/>
          <w:i/>
          <w:szCs w:val="24"/>
        </w:rPr>
        <w:t>In the Matter of Kinney</w:t>
      </w:r>
      <w:r>
        <w:rPr>
          <w:rFonts w:eastAsia="Times New Roman"/>
          <w:szCs w:val="24"/>
        </w:rPr>
        <w:t xml:space="preserve">, </w:t>
      </w:r>
      <w:r w:rsidRPr="009A2EC7">
        <w:rPr>
          <w:rFonts w:eastAsia="Times New Roman"/>
          <w:i/>
          <w:iCs/>
          <w:szCs w:val="24"/>
        </w:rPr>
        <w:t>supra</w:t>
      </w:r>
      <w:r>
        <w:rPr>
          <w:rFonts w:eastAsia="Times New Roman"/>
          <w:szCs w:val="24"/>
        </w:rPr>
        <w:t xml:space="preserve">, 5 Cal. State Bar Ct. Rptr. at p. 368 [pattern where attorney repeatedly engaged in vexatious litigation over six-year period].)  Thomas has relentlessly pursued the same arguments in two state court actions—the interpleader action and the True Harmony matter—both of which he appealed to the appellate court, the California Supreme Court, and the Supreme Court of the United States.  He was heavily sanctioned in those actions </w:t>
      </w:r>
      <w:r w:rsidR="007F55C8">
        <w:rPr>
          <w:rFonts w:eastAsia="Times New Roman"/>
          <w:szCs w:val="24"/>
        </w:rPr>
        <w:t>(</w:t>
      </w:r>
      <w:r>
        <w:rPr>
          <w:rFonts w:eastAsia="Times New Roman"/>
          <w:szCs w:val="24"/>
        </w:rPr>
        <w:t>$188,350.64</w:t>
      </w:r>
      <w:r w:rsidR="0092149F">
        <w:rPr>
          <w:rFonts w:eastAsia="Times New Roman"/>
          <w:szCs w:val="24"/>
        </w:rPr>
        <w:t>)</w:t>
      </w:r>
      <w:r>
        <w:rPr>
          <w:rFonts w:eastAsia="Times New Roman"/>
          <w:szCs w:val="24"/>
        </w:rPr>
        <w:t>, and has not paid any money towards the sanctions.  The sanctions orders have not deterred him</w:t>
      </w:r>
      <w:r w:rsidR="00367827">
        <w:rPr>
          <w:rFonts w:eastAsia="Times New Roman"/>
          <w:szCs w:val="24"/>
        </w:rPr>
        <w:t>,</w:t>
      </w:r>
      <w:r>
        <w:rPr>
          <w:rFonts w:eastAsia="Times New Roman"/>
          <w:szCs w:val="24"/>
        </w:rPr>
        <w:t xml:space="preserve"> and he has continued to repeat his failed arguments in two federal lawsuits, which were both dismissed as improper collateral attacks on the state court decisions.  He appealed both of those decisions to the Ninth Circuit, where the second action is still pending.  His appeal of the second federal lawsuit occurred in June 2021, after the Hearing Department’s decision in this disciplinary proceeding recommending his disbarment.  Besides maintaining multiple unjust actions, Thomas is also culpable of failing to obey four court orders, failing to report judicial sanctions, and threatening charges to gain an advantage in a civil suit.  All of these acts may be considered in determining </w:t>
      </w:r>
      <w:r w:rsidR="00992369">
        <w:rPr>
          <w:rFonts w:eastAsia="Times New Roman"/>
          <w:szCs w:val="24"/>
        </w:rPr>
        <w:t>if</w:t>
      </w:r>
      <w:r>
        <w:rPr>
          <w:rFonts w:eastAsia="Times New Roman"/>
          <w:szCs w:val="24"/>
        </w:rPr>
        <w:t xml:space="preserve"> a pattern of misconduct</w:t>
      </w:r>
      <w:r w:rsidR="00B440DC">
        <w:rPr>
          <w:rFonts w:eastAsia="Times New Roman"/>
          <w:szCs w:val="24"/>
        </w:rPr>
        <w:t xml:space="preserve"> </w:t>
      </w:r>
      <w:r w:rsidR="00992369">
        <w:rPr>
          <w:rFonts w:eastAsia="Times New Roman"/>
          <w:szCs w:val="24"/>
        </w:rPr>
        <w:t>exists</w:t>
      </w:r>
      <w:r>
        <w:rPr>
          <w:rFonts w:eastAsia="Times New Roman"/>
          <w:szCs w:val="24"/>
        </w:rPr>
        <w:t>.  (</w:t>
      </w:r>
      <w:r>
        <w:rPr>
          <w:rFonts w:eastAsia="Times New Roman"/>
          <w:i/>
          <w:szCs w:val="24"/>
        </w:rPr>
        <w:t>Read v. State Bar</w:t>
      </w:r>
      <w:r>
        <w:rPr>
          <w:rFonts w:eastAsia="Times New Roman"/>
          <w:szCs w:val="24"/>
        </w:rPr>
        <w:t xml:space="preserve"> (1991) 53 Cal.3d 394, 423 [pattern of misconduct may be found even though acts encompass wide range of improper behavior].)  We find Thomas’s misconduct is serious, repetitive, and has been ongoing for over seven years.  Accordingly, we agree with the hearing judge that </w:t>
      </w:r>
      <w:r w:rsidR="00822951">
        <w:rPr>
          <w:rFonts w:eastAsia="Times New Roman"/>
          <w:szCs w:val="24"/>
        </w:rPr>
        <w:t>it</w:t>
      </w:r>
      <w:r>
        <w:rPr>
          <w:rFonts w:eastAsia="Times New Roman"/>
          <w:szCs w:val="24"/>
        </w:rPr>
        <w:t xml:space="preserve"> demonstrates a pattern of wrongdoing</w:t>
      </w:r>
      <w:r w:rsidR="00A741E0">
        <w:rPr>
          <w:rFonts w:eastAsia="Times New Roman"/>
          <w:szCs w:val="24"/>
        </w:rPr>
        <w:t xml:space="preserve">.  Thus, recommending disbarment would </w:t>
      </w:r>
      <w:r w:rsidR="00B440DC">
        <w:rPr>
          <w:rFonts w:eastAsia="Times New Roman"/>
          <w:szCs w:val="24"/>
        </w:rPr>
        <w:t xml:space="preserve">be </w:t>
      </w:r>
      <w:r w:rsidR="00A741E0">
        <w:rPr>
          <w:rFonts w:eastAsia="Times New Roman"/>
          <w:szCs w:val="24"/>
        </w:rPr>
        <w:t>appropriate under standard 2.9(a).</w:t>
      </w:r>
    </w:p>
    <w:p w14:paraId="492E03C7" w14:textId="74505C4F" w:rsidR="00B5326B" w:rsidRDefault="00B5326B" w:rsidP="00B5326B">
      <w:pPr>
        <w:spacing w:line="480" w:lineRule="auto"/>
        <w:ind w:firstLine="720"/>
        <w:rPr>
          <w:rFonts w:eastAsia="Times New Roman"/>
          <w:szCs w:val="24"/>
        </w:rPr>
      </w:pPr>
      <w:r>
        <w:rPr>
          <w:rFonts w:eastAsia="Times New Roman"/>
          <w:szCs w:val="24"/>
        </w:rPr>
        <w:t xml:space="preserve">Even </w:t>
      </w:r>
      <w:r w:rsidR="00367827">
        <w:rPr>
          <w:rFonts w:eastAsia="Times New Roman"/>
          <w:szCs w:val="24"/>
        </w:rPr>
        <w:t xml:space="preserve">if we were to not find </w:t>
      </w:r>
      <w:r w:rsidR="002F5CA6">
        <w:rPr>
          <w:rFonts w:eastAsia="Times New Roman"/>
          <w:szCs w:val="24"/>
        </w:rPr>
        <w:t>a</w:t>
      </w:r>
      <w:r>
        <w:rPr>
          <w:rFonts w:eastAsia="Times New Roman"/>
          <w:szCs w:val="24"/>
        </w:rPr>
        <w:t xml:space="preserve"> pattern of wrongdoing, disbarment would be </w:t>
      </w:r>
      <w:r w:rsidR="00367827">
        <w:rPr>
          <w:rFonts w:eastAsia="Times New Roman"/>
          <w:szCs w:val="24"/>
        </w:rPr>
        <w:t xml:space="preserve">the </w:t>
      </w:r>
      <w:r>
        <w:rPr>
          <w:rFonts w:eastAsia="Times New Roman"/>
          <w:szCs w:val="24"/>
        </w:rPr>
        <w:t xml:space="preserve">appropriate discipline </w:t>
      </w:r>
      <w:r w:rsidR="00A741E0">
        <w:rPr>
          <w:rFonts w:eastAsia="Times New Roman"/>
          <w:szCs w:val="24"/>
        </w:rPr>
        <w:t xml:space="preserve">to recommend </w:t>
      </w:r>
      <w:r>
        <w:rPr>
          <w:rFonts w:eastAsia="Times New Roman"/>
          <w:szCs w:val="24"/>
        </w:rPr>
        <w:t xml:space="preserve">due to Thomas’s multiple instances of serious misconduct </w:t>
      </w:r>
      <w:r w:rsidR="00FD59EF">
        <w:rPr>
          <w:rFonts w:eastAsia="Times New Roman"/>
          <w:szCs w:val="24"/>
        </w:rPr>
        <w:t>combined</w:t>
      </w:r>
      <w:r>
        <w:rPr>
          <w:rFonts w:eastAsia="Times New Roman"/>
          <w:szCs w:val="24"/>
        </w:rPr>
        <w:t xml:space="preserve"> with several substantial aggravating factors </w:t>
      </w:r>
      <w:r w:rsidR="00F118F5">
        <w:rPr>
          <w:rFonts w:eastAsia="Times New Roman"/>
          <w:szCs w:val="24"/>
        </w:rPr>
        <w:t xml:space="preserve">that </w:t>
      </w:r>
      <w:r>
        <w:rPr>
          <w:rFonts w:eastAsia="Times New Roman"/>
          <w:szCs w:val="24"/>
        </w:rPr>
        <w:t xml:space="preserve">outweigh nominal mitigation for </w:t>
      </w:r>
      <w:r w:rsidR="00AA2357">
        <w:rPr>
          <w:rFonts w:eastAsia="Times New Roman"/>
          <w:szCs w:val="24"/>
        </w:rPr>
        <w:t>lack of</w:t>
      </w:r>
      <w:r w:rsidR="00A741E0">
        <w:rPr>
          <w:rFonts w:eastAsia="Times New Roman"/>
          <w:szCs w:val="24"/>
        </w:rPr>
        <w:t xml:space="preserve"> a</w:t>
      </w:r>
      <w:r>
        <w:rPr>
          <w:rFonts w:eastAsia="Times New Roman"/>
          <w:szCs w:val="24"/>
        </w:rPr>
        <w:t xml:space="preserve"> prior disciplinary record.  Standard 1.7(b) provides a greater sanction than specified in a given standard may be appropriate due to serious aggravating circumstances that outweigh the mitigation.  “On balance, a greater sanction is appropriate where there is serious harm</w:t>
      </w:r>
      <w:r w:rsidR="00A872F6">
        <w:rPr>
          <w:rFonts w:eastAsia="Times New Roman"/>
          <w:szCs w:val="24"/>
        </w:rPr>
        <w:t xml:space="preserve"> </w:t>
      </w:r>
      <w:r>
        <w:rPr>
          <w:rFonts w:eastAsia="Times New Roman"/>
          <w:szCs w:val="24"/>
        </w:rPr>
        <w:t xml:space="preserve">to the client, the public, the legal system, or the profession and where the record demonstrates that the lawyer is unwilling or unable to conform to ethical responsibilities.”  (Std. 1.7(b).)  </w:t>
      </w:r>
    </w:p>
    <w:p w14:paraId="1C0CF81F" w14:textId="77777777" w:rsidR="00567A35" w:rsidRDefault="00B5326B" w:rsidP="00B5326B">
      <w:pPr>
        <w:spacing w:line="480" w:lineRule="auto"/>
        <w:ind w:firstLine="720"/>
        <w:rPr>
          <w:rFonts w:eastAsia="Times New Roman"/>
          <w:szCs w:val="24"/>
        </w:rPr>
      </w:pPr>
      <w:r>
        <w:rPr>
          <w:rFonts w:eastAsia="Times New Roman"/>
          <w:szCs w:val="24"/>
        </w:rPr>
        <w:t>The findings from the state and federal court</w:t>
      </w:r>
      <w:r w:rsidR="005E54E7">
        <w:rPr>
          <w:rFonts w:eastAsia="Times New Roman"/>
          <w:szCs w:val="24"/>
        </w:rPr>
        <w:t>s</w:t>
      </w:r>
      <w:r>
        <w:rPr>
          <w:rFonts w:eastAsia="Times New Roman"/>
          <w:szCs w:val="24"/>
        </w:rPr>
        <w:t xml:space="preserve"> highlight the seriousness of Thomas’s misconduct.  </w:t>
      </w:r>
      <w:r w:rsidR="00CC0D9D">
        <w:rPr>
          <w:rFonts w:eastAsia="Times New Roman"/>
          <w:szCs w:val="24"/>
        </w:rPr>
        <w:t>He</w:t>
      </w:r>
      <w:r>
        <w:rPr>
          <w:rFonts w:eastAsia="Times New Roman"/>
          <w:szCs w:val="24"/>
        </w:rPr>
        <w:t xml:space="preserve"> pursued untimely motions, failed to cite authority to support his arguments, and </w:t>
      </w:r>
      <w:r w:rsidR="009E3A8D">
        <w:rPr>
          <w:rFonts w:eastAsia="Times New Roman"/>
          <w:szCs w:val="24"/>
        </w:rPr>
        <w:t>filed</w:t>
      </w:r>
      <w:r>
        <w:rPr>
          <w:rFonts w:eastAsia="Times New Roman"/>
          <w:szCs w:val="24"/>
        </w:rPr>
        <w:t xml:space="preserve"> frivolous claims intended to harass </w:t>
      </w:r>
      <w:r w:rsidR="001C47E2">
        <w:rPr>
          <w:rFonts w:eastAsia="Times New Roman"/>
          <w:szCs w:val="24"/>
        </w:rPr>
        <w:t xml:space="preserve">his opponents </w:t>
      </w:r>
      <w:r>
        <w:rPr>
          <w:rFonts w:eastAsia="Times New Roman"/>
          <w:szCs w:val="24"/>
        </w:rPr>
        <w:t xml:space="preserve">and </w:t>
      </w:r>
      <w:r w:rsidR="001C47E2">
        <w:rPr>
          <w:rFonts w:eastAsia="Times New Roman"/>
          <w:szCs w:val="24"/>
        </w:rPr>
        <w:t>increase</w:t>
      </w:r>
      <w:r>
        <w:rPr>
          <w:rFonts w:eastAsia="Times New Roman"/>
          <w:szCs w:val="24"/>
        </w:rPr>
        <w:t xml:space="preserve"> </w:t>
      </w:r>
      <w:r w:rsidR="000B3D3D">
        <w:rPr>
          <w:rFonts w:eastAsia="Times New Roman"/>
          <w:szCs w:val="24"/>
        </w:rPr>
        <w:t xml:space="preserve">their </w:t>
      </w:r>
      <w:r>
        <w:rPr>
          <w:rFonts w:eastAsia="Times New Roman"/>
          <w:szCs w:val="24"/>
        </w:rPr>
        <w:t xml:space="preserve">litigation costs.  </w:t>
      </w:r>
      <w:r w:rsidR="000B3D3D">
        <w:rPr>
          <w:rFonts w:eastAsia="Times New Roman"/>
          <w:szCs w:val="24"/>
        </w:rPr>
        <w:t>Thomas</w:t>
      </w:r>
      <w:r>
        <w:rPr>
          <w:rFonts w:eastAsia="Times New Roman"/>
          <w:szCs w:val="24"/>
        </w:rPr>
        <w:t xml:space="preserve"> present</w:t>
      </w:r>
      <w:r w:rsidR="005C0596">
        <w:rPr>
          <w:rFonts w:eastAsia="Times New Roman"/>
          <w:szCs w:val="24"/>
        </w:rPr>
        <w:t>ed</w:t>
      </w:r>
      <w:r>
        <w:rPr>
          <w:rFonts w:eastAsia="Times New Roman"/>
          <w:szCs w:val="24"/>
        </w:rPr>
        <w:t xml:space="preserve"> claims to the court when he lacked standing or when the claims were barred by res judicata.  The courts often found his arguments to be without merit, unsupported, irrelevant, and procedurally improper.  He also disobeyed court orders requiring him to limit his appeals.  In federal court, he improperly presented claims that were barred from collateral attack.  These actions caused serious harm, wasting judicial resources and unnecessarily burdening opposing parties, including two appellate court justices who had ruled against him.  </w:t>
      </w:r>
    </w:p>
    <w:p w14:paraId="0553D4AB" w14:textId="719D6543" w:rsidR="00B5326B" w:rsidRDefault="00B5326B" w:rsidP="00B5326B">
      <w:pPr>
        <w:spacing w:line="480" w:lineRule="auto"/>
        <w:ind w:firstLine="720"/>
        <w:rPr>
          <w:rFonts w:eastAsia="Times New Roman"/>
          <w:szCs w:val="24"/>
        </w:rPr>
      </w:pPr>
      <w:r>
        <w:rPr>
          <w:rFonts w:eastAsia="Times New Roman"/>
          <w:szCs w:val="24"/>
        </w:rPr>
        <w:t>In addition to maintaining unjust actions, being sanctioned for th</w:t>
      </w:r>
      <w:r w:rsidR="002A5941">
        <w:rPr>
          <w:rFonts w:eastAsia="Times New Roman"/>
          <w:szCs w:val="24"/>
        </w:rPr>
        <w:t>em</w:t>
      </w:r>
      <w:r>
        <w:rPr>
          <w:rFonts w:eastAsia="Times New Roman"/>
          <w:szCs w:val="24"/>
        </w:rPr>
        <w:t xml:space="preserve">, and failing to report the sanctions, he threatened </w:t>
      </w:r>
      <w:r w:rsidR="00A741E0">
        <w:rPr>
          <w:rFonts w:eastAsia="Times New Roman"/>
          <w:szCs w:val="24"/>
        </w:rPr>
        <w:t xml:space="preserve">criminal </w:t>
      </w:r>
      <w:r>
        <w:rPr>
          <w:rFonts w:eastAsia="Times New Roman"/>
          <w:szCs w:val="24"/>
        </w:rPr>
        <w:t xml:space="preserve">charges against his opponents.  Further, his communications with opposing attorneys were very unprofessional.  </w:t>
      </w:r>
      <w:r w:rsidR="00A741E0">
        <w:rPr>
          <w:rFonts w:eastAsia="Times New Roman"/>
          <w:szCs w:val="24"/>
        </w:rPr>
        <w:t xml:space="preserve">All of these actions by </w:t>
      </w:r>
      <w:r>
        <w:rPr>
          <w:rFonts w:eastAsia="Times New Roman"/>
          <w:szCs w:val="24"/>
        </w:rPr>
        <w:t xml:space="preserve">Thomas </w:t>
      </w:r>
      <w:r w:rsidR="00A741E0">
        <w:rPr>
          <w:rFonts w:eastAsia="Times New Roman"/>
          <w:szCs w:val="24"/>
        </w:rPr>
        <w:t xml:space="preserve">demonstrate that he </w:t>
      </w:r>
      <w:r>
        <w:rPr>
          <w:rFonts w:eastAsia="Times New Roman"/>
          <w:szCs w:val="24"/>
        </w:rPr>
        <w:t>is unable to conform to his ethical responsibilities.  He fails to realize that his actions go beyond zealous advocacy, which leads us to</w:t>
      </w:r>
      <w:r w:rsidR="004012B9">
        <w:rPr>
          <w:rFonts w:eastAsia="Times New Roman"/>
          <w:szCs w:val="24"/>
        </w:rPr>
        <w:t xml:space="preserve"> no other conclusion than</w:t>
      </w:r>
      <w:r>
        <w:rPr>
          <w:rFonts w:eastAsia="Times New Roman"/>
          <w:szCs w:val="24"/>
        </w:rPr>
        <w:t xml:space="preserve"> he will </w:t>
      </w:r>
      <w:r w:rsidR="00D408AA">
        <w:rPr>
          <w:rFonts w:eastAsia="Times New Roman"/>
          <w:szCs w:val="24"/>
        </w:rPr>
        <w:t xml:space="preserve">likely </w:t>
      </w:r>
      <w:r>
        <w:rPr>
          <w:rFonts w:eastAsia="Times New Roman"/>
          <w:szCs w:val="24"/>
        </w:rPr>
        <w:t xml:space="preserve">continue to abuse the legal system.  Therefore, he meets the requirements of standard 1.7(b).  Using </w:t>
      </w:r>
      <w:r w:rsidR="002A5941">
        <w:rPr>
          <w:rFonts w:eastAsia="Times New Roman"/>
          <w:szCs w:val="24"/>
        </w:rPr>
        <w:t>that</w:t>
      </w:r>
      <w:r w:rsidR="002C1849">
        <w:rPr>
          <w:rFonts w:eastAsia="Times New Roman"/>
          <w:szCs w:val="24"/>
        </w:rPr>
        <w:t xml:space="preserve"> </w:t>
      </w:r>
      <w:r>
        <w:rPr>
          <w:rFonts w:eastAsia="Times New Roman"/>
          <w:szCs w:val="24"/>
        </w:rPr>
        <w:t xml:space="preserve">standard to enhance the presumed sanction of actual suspension under standard 2.9(a) for maintaining an unjust action without demonstrating a pattern, we find that </w:t>
      </w:r>
      <w:r w:rsidR="00A741E0">
        <w:rPr>
          <w:rFonts w:eastAsia="Times New Roman"/>
          <w:szCs w:val="24"/>
        </w:rPr>
        <w:t xml:space="preserve">recommending </w:t>
      </w:r>
      <w:r>
        <w:rPr>
          <w:rFonts w:eastAsia="Times New Roman"/>
          <w:szCs w:val="24"/>
        </w:rPr>
        <w:t xml:space="preserve">disbarment is </w:t>
      </w:r>
      <w:r w:rsidR="00A741E0">
        <w:rPr>
          <w:rFonts w:eastAsia="Times New Roman"/>
          <w:szCs w:val="24"/>
        </w:rPr>
        <w:t xml:space="preserve">still </w:t>
      </w:r>
      <w:r>
        <w:rPr>
          <w:rFonts w:eastAsia="Times New Roman"/>
          <w:szCs w:val="24"/>
        </w:rPr>
        <w:t xml:space="preserve">appropriate.  </w:t>
      </w:r>
    </w:p>
    <w:p w14:paraId="7C1262C2" w14:textId="0BA9B06E" w:rsidR="00B5326B" w:rsidRDefault="00B5326B" w:rsidP="003223CB">
      <w:pPr>
        <w:spacing w:line="480" w:lineRule="auto"/>
        <w:ind w:firstLine="720"/>
        <w:rPr>
          <w:rFonts w:eastAsia="Times New Roman"/>
          <w:szCs w:val="24"/>
        </w:rPr>
      </w:pPr>
      <w:r>
        <w:rPr>
          <w:rFonts w:eastAsia="Times New Roman"/>
          <w:szCs w:val="24"/>
        </w:rPr>
        <w:t xml:space="preserve">We agree with the hearing judge that Thomas’s misconduct is highly comparable to the misconduct in </w:t>
      </w:r>
      <w:r>
        <w:rPr>
          <w:rFonts w:eastAsia="Times New Roman"/>
          <w:i/>
          <w:szCs w:val="24"/>
        </w:rPr>
        <w:t>In the Matter of Kinney</w:t>
      </w:r>
      <w:r>
        <w:rPr>
          <w:rFonts w:eastAsia="Times New Roman"/>
          <w:szCs w:val="24"/>
        </w:rPr>
        <w:t xml:space="preserve">, </w:t>
      </w:r>
      <w:r w:rsidRPr="0001359B">
        <w:rPr>
          <w:rFonts w:eastAsia="Times New Roman"/>
          <w:i/>
          <w:iCs/>
          <w:szCs w:val="24"/>
        </w:rPr>
        <w:t>supra</w:t>
      </w:r>
      <w:r>
        <w:rPr>
          <w:rFonts w:eastAsia="Times New Roman"/>
          <w:szCs w:val="24"/>
        </w:rPr>
        <w:t xml:space="preserve">, 5 Cal. State Bar Ct. Rptr. 360 and </w:t>
      </w:r>
      <w:r>
        <w:rPr>
          <w:rFonts w:eastAsia="Times New Roman"/>
          <w:i/>
          <w:szCs w:val="24"/>
        </w:rPr>
        <w:t>In the Matter of Varakin</w:t>
      </w:r>
      <w:r>
        <w:rPr>
          <w:rFonts w:eastAsia="Times New Roman"/>
          <w:szCs w:val="24"/>
        </w:rPr>
        <w:t xml:space="preserve"> (Review Dept. 1994) 3 Cal. State Bar Ct. Rptr. 179, even though Kinney and Varakin were both culpable of moral turpitude violations in addition to maintaining unjust actions.  Both Kinney and Varakin were culpable of violating section 6068, subdivision (c), and were disbarred despite lengthy years in practice without </w:t>
      </w:r>
      <w:r w:rsidR="00A741E0">
        <w:rPr>
          <w:rFonts w:eastAsia="Times New Roman"/>
          <w:szCs w:val="24"/>
        </w:rPr>
        <w:t xml:space="preserve">prior </w:t>
      </w:r>
      <w:r>
        <w:rPr>
          <w:rFonts w:eastAsia="Times New Roman"/>
          <w:szCs w:val="24"/>
        </w:rPr>
        <w:t>discipline.  Thomas’s misconduct is less extensive than both Kinney’s and Varakin’s misconduct, but</w:t>
      </w:r>
      <w:r w:rsidR="003223CB">
        <w:rPr>
          <w:rFonts w:eastAsia="Times New Roman"/>
          <w:szCs w:val="24"/>
        </w:rPr>
        <w:t xml:space="preserve"> </w:t>
      </w:r>
      <w:r>
        <w:rPr>
          <w:rFonts w:eastAsia="Times New Roman"/>
          <w:i/>
          <w:iCs/>
          <w:szCs w:val="24"/>
        </w:rPr>
        <w:t xml:space="preserve">Kinney </w:t>
      </w:r>
      <w:r>
        <w:rPr>
          <w:rFonts w:eastAsia="Times New Roman"/>
          <w:szCs w:val="24"/>
        </w:rPr>
        <w:t xml:space="preserve">and </w:t>
      </w:r>
      <w:r>
        <w:rPr>
          <w:rFonts w:eastAsia="Times New Roman"/>
          <w:i/>
          <w:iCs/>
          <w:szCs w:val="24"/>
        </w:rPr>
        <w:t>Varakin</w:t>
      </w:r>
      <w:r>
        <w:rPr>
          <w:rFonts w:eastAsia="Times New Roman"/>
          <w:szCs w:val="24"/>
        </w:rPr>
        <w:t xml:space="preserve"> </w:t>
      </w:r>
      <w:r w:rsidR="003223CB">
        <w:rPr>
          <w:rFonts w:eastAsia="Times New Roman"/>
          <w:szCs w:val="24"/>
        </w:rPr>
        <w:t xml:space="preserve">do not establish a minimum level of misconduct necessary to justify disbarment as </w:t>
      </w:r>
      <w:r>
        <w:rPr>
          <w:rFonts w:eastAsia="Times New Roman"/>
          <w:szCs w:val="24"/>
        </w:rPr>
        <w:t>an appropriate sanction for maintaining an unjust action</w:t>
      </w:r>
      <w:r w:rsidR="00A741E0">
        <w:rPr>
          <w:rFonts w:eastAsia="Times New Roman"/>
          <w:szCs w:val="24"/>
        </w:rPr>
        <w:t xml:space="preserve">, and </w:t>
      </w:r>
      <w:r>
        <w:rPr>
          <w:rFonts w:eastAsia="Times New Roman"/>
          <w:szCs w:val="24"/>
        </w:rPr>
        <w:t xml:space="preserve">no precedent </w:t>
      </w:r>
      <w:r w:rsidR="00567A35">
        <w:rPr>
          <w:rFonts w:eastAsia="Times New Roman"/>
          <w:szCs w:val="24"/>
        </w:rPr>
        <w:t xml:space="preserve">requires </w:t>
      </w:r>
      <w:r>
        <w:rPr>
          <w:rFonts w:eastAsia="Times New Roman"/>
          <w:szCs w:val="24"/>
        </w:rPr>
        <w:t>that a moral turpitude finding is a requisite for disbarment in such cases.  In th</w:t>
      </w:r>
      <w:r w:rsidR="008671A8">
        <w:rPr>
          <w:rFonts w:eastAsia="Times New Roman"/>
          <w:szCs w:val="24"/>
        </w:rPr>
        <w:t>is</w:t>
      </w:r>
      <w:r>
        <w:rPr>
          <w:rFonts w:eastAsia="Times New Roman"/>
          <w:szCs w:val="24"/>
        </w:rPr>
        <w:t xml:space="preserve"> matter, </w:t>
      </w:r>
      <w:r w:rsidR="00A741E0">
        <w:rPr>
          <w:rFonts w:eastAsia="Times New Roman"/>
          <w:szCs w:val="24"/>
        </w:rPr>
        <w:t xml:space="preserve">recommending </w:t>
      </w:r>
      <w:r>
        <w:rPr>
          <w:rFonts w:eastAsia="Times New Roman"/>
          <w:szCs w:val="24"/>
        </w:rPr>
        <w:t xml:space="preserve">disbarment is appropriate under standards 1.7(b) and 2.9(a).  </w:t>
      </w:r>
    </w:p>
    <w:p w14:paraId="6863A6FB" w14:textId="67870BCD" w:rsidR="00B5326B" w:rsidRDefault="00B5326B" w:rsidP="00B5326B">
      <w:pPr>
        <w:spacing w:line="480" w:lineRule="auto"/>
        <w:ind w:firstLine="720"/>
        <w:rPr>
          <w:rFonts w:eastAsia="Times New Roman"/>
          <w:szCs w:val="24"/>
        </w:rPr>
      </w:pPr>
      <w:r>
        <w:rPr>
          <w:rFonts w:eastAsia="Times New Roman"/>
          <w:szCs w:val="24"/>
        </w:rPr>
        <w:t xml:space="preserve">We emphasize that Thomas has shown a lack of insight into the wrongfulness of his actions.  </w:t>
      </w:r>
      <w:r w:rsidR="00A741E0">
        <w:rPr>
          <w:rFonts w:eastAsia="Times New Roman"/>
          <w:szCs w:val="24"/>
        </w:rPr>
        <w:t>We are troubled</w:t>
      </w:r>
      <w:r>
        <w:rPr>
          <w:rFonts w:eastAsia="Times New Roman"/>
          <w:szCs w:val="24"/>
        </w:rPr>
        <w:t xml:space="preserve"> that </w:t>
      </w:r>
      <w:r w:rsidR="00DC021B">
        <w:rPr>
          <w:rFonts w:eastAsia="Times New Roman"/>
          <w:szCs w:val="24"/>
        </w:rPr>
        <w:t>he</w:t>
      </w:r>
      <w:r>
        <w:rPr>
          <w:rFonts w:eastAsia="Times New Roman"/>
          <w:szCs w:val="24"/>
        </w:rPr>
        <w:t xml:space="preserve"> </w:t>
      </w:r>
      <w:r w:rsidR="00A741E0">
        <w:rPr>
          <w:rFonts w:eastAsia="Times New Roman"/>
          <w:szCs w:val="24"/>
        </w:rPr>
        <w:t xml:space="preserve">has </w:t>
      </w:r>
      <w:r w:rsidR="00DC021B">
        <w:rPr>
          <w:rFonts w:eastAsia="Times New Roman"/>
          <w:szCs w:val="24"/>
        </w:rPr>
        <w:t>declared</w:t>
      </w:r>
      <w:r>
        <w:rPr>
          <w:rFonts w:eastAsia="Times New Roman"/>
          <w:szCs w:val="24"/>
        </w:rPr>
        <w:t xml:space="preserve"> he will continue to litigate issues that have already been foreclosed by the courts.  He has become embroiled in the issues surrounding this litigation and has shown he is unable to </w:t>
      </w:r>
      <w:r w:rsidR="00206FCD">
        <w:rPr>
          <w:rFonts w:eastAsia="Times New Roman"/>
          <w:szCs w:val="24"/>
        </w:rPr>
        <w:t>refrain</w:t>
      </w:r>
      <w:r w:rsidR="00C45A41">
        <w:rPr>
          <w:rFonts w:eastAsia="Times New Roman"/>
          <w:szCs w:val="24"/>
        </w:rPr>
        <w:t xml:space="preserve"> from</w:t>
      </w:r>
      <w:r>
        <w:rPr>
          <w:rFonts w:eastAsia="Times New Roman"/>
          <w:szCs w:val="24"/>
        </w:rPr>
        <w:t xml:space="preserve"> </w:t>
      </w:r>
      <w:r w:rsidR="00455DF9">
        <w:rPr>
          <w:rFonts w:eastAsia="Times New Roman"/>
          <w:szCs w:val="24"/>
        </w:rPr>
        <w:t>engaging in</w:t>
      </w:r>
      <w:r>
        <w:rPr>
          <w:rFonts w:eastAsia="Times New Roman"/>
          <w:szCs w:val="24"/>
        </w:rPr>
        <w:t xml:space="preserve"> frivolous </w:t>
      </w:r>
      <w:r w:rsidR="00F77476">
        <w:rPr>
          <w:rFonts w:eastAsia="Times New Roman"/>
          <w:szCs w:val="24"/>
        </w:rPr>
        <w:t>litigation</w:t>
      </w:r>
      <w:r>
        <w:rPr>
          <w:rFonts w:eastAsia="Times New Roman"/>
          <w:szCs w:val="24"/>
        </w:rPr>
        <w:t xml:space="preserve">.  Court orders sanctioning him have not </w:t>
      </w:r>
      <w:r w:rsidR="00C45A41">
        <w:rPr>
          <w:rFonts w:eastAsia="Times New Roman"/>
          <w:szCs w:val="24"/>
        </w:rPr>
        <w:t>deterred</w:t>
      </w:r>
      <w:r>
        <w:rPr>
          <w:rFonts w:eastAsia="Times New Roman"/>
          <w:szCs w:val="24"/>
        </w:rPr>
        <w:t xml:space="preserve"> him from </w:t>
      </w:r>
      <w:r w:rsidR="00F21C7E">
        <w:rPr>
          <w:rFonts w:eastAsia="Times New Roman"/>
          <w:szCs w:val="24"/>
        </w:rPr>
        <w:t>filing</w:t>
      </w:r>
      <w:r w:rsidRPr="007E284B">
        <w:rPr>
          <w:rFonts w:eastAsia="Times New Roman"/>
          <w:szCs w:val="24"/>
        </w:rPr>
        <w:t xml:space="preserve"> frivolous litigation.</w:t>
      </w:r>
      <w:r w:rsidR="0086602D" w:rsidRPr="007E284B">
        <w:rPr>
          <w:rStyle w:val="FootnoteReference"/>
          <w:rFonts w:eastAsia="Times New Roman"/>
          <w:szCs w:val="24"/>
        </w:rPr>
        <w:footnoteReference w:id="24"/>
      </w:r>
      <w:r w:rsidRPr="007E284B">
        <w:rPr>
          <w:rFonts w:eastAsia="Times New Roman"/>
          <w:szCs w:val="24"/>
        </w:rPr>
        <w:t xml:space="preserve">  </w:t>
      </w:r>
      <w:r>
        <w:rPr>
          <w:rFonts w:eastAsia="Times New Roman"/>
          <w:szCs w:val="24"/>
        </w:rPr>
        <w:t>Thomas has committed five separate and serious ethical violations, causing significant harm with indifference to his misconduct.  Accordingly, protection of the public, the courts, and the legal profession calls for us to recommend Thomas’s disbarment.</w:t>
      </w:r>
    </w:p>
    <w:p w14:paraId="5209EAC9" w14:textId="77777777" w:rsidR="00B5326B" w:rsidRPr="00796840" w:rsidRDefault="00B5326B" w:rsidP="00B5326B">
      <w:pPr>
        <w:spacing w:line="480" w:lineRule="auto"/>
        <w:jc w:val="center"/>
        <w:rPr>
          <w:rFonts w:eastAsia="Times New Roman"/>
          <w:b/>
          <w:bCs/>
          <w:szCs w:val="24"/>
        </w:rPr>
      </w:pPr>
      <w:r w:rsidRPr="00796840">
        <w:rPr>
          <w:rFonts w:eastAsia="Times New Roman"/>
          <w:b/>
          <w:bCs/>
          <w:szCs w:val="24"/>
        </w:rPr>
        <w:t>VII.  RECOMMENDATIONS</w:t>
      </w:r>
    </w:p>
    <w:p w14:paraId="618107AB" w14:textId="77777777" w:rsidR="00B5326B" w:rsidRPr="004D40BE" w:rsidRDefault="00B5326B" w:rsidP="00B5326B">
      <w:pPr>
        <w:spacing w:line="480" w:lineRule="auto"/>
        <w:ind w:firstLine="720"/>
      </w:pPr>
      <w:r>
        <w:t>We</w:t>
      </w:r>
      <w:r w:rsidRPr="004D40BE">
        <w:t xml:space="preserve"> recommend that </w:t>
      </w:r>
      <w:r>
        <w:t>Jeffrey Gray Thomas</w:t>
      </w:r>
      <w:r w:rsidRPr="004D40BE">
        <w:t>, State Bar Number</w:t>
      </w:r>
      <w:r>
        <w:t xml:space="preserve"> 83076</w:t>
      </w:r>
      <w:r w:rsidRPr="004D40BE">
        <w:t xml:space="preserve">, be disbarred from the practice of law in California and that </w:t>
      </w:r>
      <w:r>
        <w:t xml:space="preserve">his </w:t>
      </w:r>
      <w:r w:rsidRPr="004D40BE">
        <w:t xml:space="preserve">name be stricken from the roll of attorneys. </w:t>
      </w:r>
      <w:r>
        <w:t xml:space="preserve"> </w:t>
      </w:r>
    </w:p>
    <w:p w14:paraId="2E10257B" w14:textId="77777777" w:rsidR="00B5326B" w:rsidRPr="004D40BE" w:rsidRDefault="00B5326B" w:rsidP="00B5326B">
      <w:pPr>
        <w:spacing w:line="480" w:lineRule="auto"/>
        <w:jc w:val="center"/>
        <w:rPr>
          <w:b/>
        </w:rPr>
      </w:pPr>
      <w:r w:rsidRPr="00FB13E2">
        <w:rPr>
          <w:b/>
        </w:rPr>
        <w:t xml:space="preserve">CALIFORNIA RULES OF COURT, RULE </w:t>
      </w:r>
      <w:r w:rsidRPr="004D40BE">
        <w:rPr>
          <w:b/>
        </w:rPr>
        <w:t>9.20</w:t>
      </w:r>
    </w:p>
    <w:p w14:paraId="3C7AAAEA" w14:textId="77777777" w:rsidR="00B5326B" w:rsidRDefault="00B5326B" w:rsidP="00B5326B">
      <w:pPr>
        <w:spacing w:line="480" w:lineRule="auto"/>
        <w:ind w:firstLine="720"/>
      </w:pPr>
      <w:r>
        <w:t>We</w:t>
      </w:r>
      <w:r w:rsidRPr="004D40BE">
        <w:t xml:space="preserve"> further recommend that </w:t>
      </w:r>
      <w:r>
        <w:t>Jeffrey Gray Thomas</w:t>
      </w:r>
      <w:r w:rsidRPr="004D40BE">
        <w:t xml:space="preserve"> be ordered to comply with the requirements of California Rules of Court, rule</w:t>
      </w:r>
      <w:r>
        <w:t> </w:t>
      </w:r>
      <w:r w:rsidRPr="004D40BE">
        <w:t>9.20, and to perform the acts specified in subdivisions</w:t>
      </w:r>
      <w:r>
        <w:t> </w:t>
      </w:r>
      <w:r w:rsidRPr="004D40BE">
        <w:t>(a) and (c) of that rule within 30 and 40 days, respectively, after the effective date of the Supreme Court order imposing discipline in this matter.</w:t>
      </w:r>
      <w:r w:rsidRPr="004D40BE">
        <w:rPr>
          <w:vertAlign w:val="superscript"/>
        </w:rPr>
        <w:footnoteReference w:id="25"/>
      </w:r>
      <w:r w:rsidRPr="004D40BE">
        <w:t xml:space="preserve">  </w:t>
      </w:r>
    </w:p>
    <w:p w14:paraId="48FB9492" w14:textId="77777777" w:rsidR="00B5326B" w:rsidRDefault="00B5326B" w:rsidP="00B5326B">
      <w:pPr>
        <w:spacing w:line="480" w:lineRule="auto"/>
        <w:jc w:val="center"/>
        <w:rPr>
          <w:b/>
        </w:rPr>
      </w:pPr>
      <w:r>
        <w:rPr>
          <w:b/>
        </w:rPr>
        <w:t>MONETARY SANCTIONS</w:t>
      </w:r>
    </w:p>
    <w:p w14:paraId="1CC4231D" w14:textId="3BEF52C8" w:rsidR="00CC0A3A" w:rsidRDefault="00B5326B" w:rsidP="00F903C7">
      <w:pPr>
        <w:tabs>
          <w:tab w:val="left" w:pos="720"/>
        </w:tabs>
        <w:spacing w:line="480" w:lineRule="auto"/>
        <w:ind w:right="-144" w:firstLine="720"/>
      </w:pPr>
      <w:bookmarkStart w:id="12" w:name="_Hlk71792551"/>
      <w:bookmarkStart w:id="13" w:name="_Hlk89416379"/>
      <w:r>
        <w:t>We do not recommend the imposition of monetary sanctions in this matter, as this matter was commenced before April 1, 2020.  (Rules Proc. of State Bar, rule 5.137(H).)</w:t>
      </w:r>
      <w:bookmarkEnd w:id="12"/>
      <w:bookmarkEnd w:id="13"/>
    </w:p>
    <w:p w14:paraId="13D473AE" w14:textId="77777777" w:rsidR="00B5326B" w:rsidRDefault="00B5326B" w:rsidP="0022109B">
      <w:pPr>
        <w:spacing w:line="480" w:lineRule="auto"/>
        <w:jc w:val="center"/>
        <w:rPr>
          <w:b/>
        </w:rPr>
      </w:pPr>
      <w:r w:rsidRPr="004D40BE">
        <w:rPr>
          <w:b/>
        </w:rPr>
        <w:t>COSTS</w:t>
      </w:r>
    </w:p>
    <w:p w14:paraId="5866A237" w14:textId="77777777" w:rsidR="00B5326B" w:rsidRDefault="00B5326B" w:rsidP="00B5326B">
      <w:pPr>
        <w:spacing w:line="480" w:lineRule="auto"/>
        <w:ind w:firstLine="720"/>
        <w:rPr>
          <w:szCs w:val="24"/>
        </w:rPr>
      </w:pPr>
      <w:r>
        <w:t>We</w:t>
      </w:r>
      <w:r w:rsidRPr="004D40BE">
        <w:t xml:space="preserve"> further recommend that costs be awarded to the State Bar in accordance with </w:t>
      </w:r>
      <w:r>
        <w:t>B</w:t>
      </w:r>
      <w:r w:rsidRPr="004D40BE">
        <w:t>usiness and Professions Code section</w:t>
      </w:r>
      <w:r>
        <w:t> </w:t>
      </w:r>
      <w:r w:rsidRPr="004D40BE">
        <w:t xml:space="preserve">6086.10, </w:t>
      </w:r>
      <w:r w:rsidRPr="004D40BE">
        <w:rPr>
          <w:szCs w:val="24"/>
        </w:rPr>
        <w:t>and are enforceable both as provided in Business and Professions Code section</w:t>
      </w:r>
      <w:r>
        <w:rPr>
          <w:szCs w:val="24"/>
        </w:rPr>
        <w:t> </w:t>
      </w:r>
      <w:r w:rsidRPr="004D40BE">
        <w:rPr>
          <w:szCs w:val="24"/>
        </w:rPr>
        <w:t>6140.7 and as a money judgment</w:t>
      </w:r>
      <w:r>
        <w:rPr>
          <w:szCs w:val="24"/>
        </w:rPr>
        <w:t>, and may be collected by the State Bar through any means permitted by law</w:t>
      </w:r>
      <w:r w:rsidRPr="004D40BE">
        <w:rPr>
          <w:szCs w:val="24"/>
        </w:rPr>
        <w:t>.  Unless the time for payment of discipline costs is extended pursuant to subdivision</w:t>
      </w:r>
      <w:r>
        <w:rPr>
          <w:szCs w:val="24"/>
        </w:rPr>
        <w:t> </w:t>
      </w:r>
      <w:r w:rsidRPr="004D40BE">
        <w:rPr>
          <w:szCs w:val="24"/>
        </w:rPr>
        <w:t>(c) of section</w:t>
      </w:r>
      <w:r>
        <w:rPr>
          <w:szCs w:val="24"/>
        </w:rPr>
        <w:t> </w:t>
      </w:r>
      <w:r w:rsidRPr="004D40BE">
        <w:rPr>
          <w:szCs w:val="24"/>
        </w:rPr>
        <w:t>6086.10, costs assessed against an attorney who is actually suspended or disbarred must be paid as a condition of reinstatement or return to active status.</w:t>
      </w:r>
      <w:r>
        <w:rPr>
          <w:szCs w:val="24"/>
        </w:rPr>
        <w:t xml:space="preserve">  </w:t>
      </w:r>
    </w:p>
    <w:p w14:paraId="746A072C" w14:textId="77777777" w:rsidR="00B5326B" w:rsidRDefault="00B5326B" w:rsidP="00B5326B">
      <w:pPr>
        <w:spacing w:line="480" w:lineRule="auto"/>
        <w:jc w:val="center"/>
        <w:rPr>
          <w:b/>
          <w:szCs w:val="24"/>
        </w:rPr>
      </w:pPr>
      <w:r>
        <w:rPr>
          <w:b/>
          <w:szCs w:val="24"/>
        </w:rPr>
        <w:t xml:space="preserve">VIII.  ORDER OF </w:t>
      </w:r>
      <w:r w:rsidRPr="00D8428B">
        <w:rPr>
          <w:b/>
          <w:szCs w:val="24"/>
        </w:rPr>
        <w:t xml:space="preserve">INVOLUNTARY INACTIVE ENROLLMENT </w:t>
      </w:r>
    </w:p>
    <w:p w14:paraId="3E9D57AC" w14:textId="334DAC31" w:rsidR="00B5326B" w:rsidRPr="002B2139" w:rsidRDefault="00B5326B" w:rsidP="005C47F7">
      <w:pPr>
        <w:spacing w:line="480" w:lineRule="auto"/>
        <w:ind w:firstLine="720"/>
        <w:rPr>
          <w:rFonts w:eastAsia="Times New Roman"/>
          <w:szCs w:val="24"/>
        </w:rPr>
      </w:pPr>
      <w:r>
        <w:rPr>
          <w:rFonts w:eastAsia="Times New Roman"/>
          <w:szCs w:val="24"/>
        </w:rPr>
        <w:t xml:space="preserve">The order that </w:t>
      </w:r>
      <w:r>
        <w:t>Jeffrey Gray Thomas</w:t>
      </w:r>
      <w:r w:rsidRPr="004D40BE">
        <w:t xml:space="preserve"> </w:t>
      </w:r>
      <w:r>
        <w:rPr>
          <w:rFonts w:eastAsia="Times New Roman"/>
          <w:szCs w:val="24"/>
        </w:rPr>
        <w:t>be involuntarily enrolled as an inactive attorney of the State Bar p</w:t>
      </w:r>
      <w:r w:rsidRPr="004072CB">
        <w:rPr>
          <w:rFonts w:eastAsia="Times New Roman"/>
          <w:szCs w:val="24"/>
        </w:rPr>
        <w:t>ursuant to sectio</w:t>
      </w:r>
      <w:r>
        <w:rPr>
          <w:rFonts w:eastAsia="Times New Roman"/>
          <w:szCs w:val="24"/>
        </w:rPr>
        <w:t>n </w:t>
      </w:r>
      <w:r w:rsidRPr="004072CB">
        <w:rPr>
          <w:rFonts w:eastAsia="Times New Roman"/>
          <w:szCs w:val="24"/>
        </w:rPr>
        <w:t>600</w:t>
      </w:r>
      <w:r>
        <w:rPr>
          <w:rFonts w:eastAsia="Times New Roman"/>
          <w:szCs w:val="24"/>
        </w:rPr>
        <w:t xml:space="preserve">7, subdivision (c)(4), </w:t>
      </w:r>
      <w:r w:rsidRPr="00A22936">
        <w:rPr>
          <w:rFonts w:eastAsia="Times New Roman"/>
          <w:szCs w:val="24"/>
        </w:rPr>
        <w:t xml:space="preserve">effective </w:t>
      </w:r>
      <w:r>
        <w:rPr>
          <w:rFonts w:eastAsia="Times New Roman"/>
          <w:szCs w:val="24"/>
        </w:rPr>
        <w:t xml:space="preserve">May 28, 2021, will remain </w:t>
      </w:r>
    </w:p>
    <w:p w14:paraId="72AE51AB" w14:textId="77777777" w:rsidR="00B5326B" w:rsidRPr="002B2139" w:rsidRDefault="00B5326B" w:rsidP="00B5326B">
      <w:pPr>
        <w:spacing w:line="480" w:lineRule="auto"/>
        <w:rPr>
          <w:rFonts w:eastAsia="Times New Roman"/>
          <w:szCs w:val="24"/>
        </w:rPr>
      </w:pPr>
      <w:r>
        <w:rPr>
          <w:rFonts w:eastAsia="Times New Roman"/>
          <w:szCs w:val="24"/>
        </w:rPr>
        <w:t>in effect pending consideration and decision of the Supreme Court on this recommendation.</w:t>
      </w:r>
      <w:r>
        <w:rPr>
          <w:szCs w:val="24"/>
        </w:rPr>
        <w:t xml:space="preserve"> </w:t>
      </w:r>
    </w:p>
    <w:p w14:paraId="247FF892" w14:textId="77777777" w:rsidR="00B5326B" w:rsidRDefault="00B5326B" w:rsidP="00B5326B"/>
    <w:p w14:paraId="6DB46732" w14:textId="3D4DBE15" w:rsidR="00B5326B" w:rsidRDefault="00B5326B" w:rsidP="00B5326B">
      <w:r w:rsidRPr="007768C9">
        <w:tab/>
      </w:r>
      <w:r w:rsidRPr="007768C9">
        <w:tab/>
      </w:r>
      <w:r w:rsidRPr="007768C9">
        <w:tab/>
      </w:r>
      <w:r w:rsidRPr="007768C9">
        <w:tab/>
      </w:r>
      <w:r w:rsidRPr="007768C9">
        <w:tab/>
      </w:r>
      <w:r w:rsidRPr="007768C9">
        <w:tab/>
      </w:r>
      <w:r w:rsidRPr="007768C9">
        <w:tab/>
      </w:r>
      <w:r w:rsidRPr="007768C9">
        <w:tab/>
      </w:r>
      <w:r w:rsidR="006B07C5">
        <w:t>McGILL, J.</w:t>
      </w:r>
    </w:p>
    <w:p w14:paraId="45F77612" w14:textId="77777777" w:rsidR="00B5326B" w:rsidRDefault="00B5326B" w:rsidP="00B5326B"/>
    <w:p w14:paraId="257B0925" w14:textId="77777777" w:rsidR="00B5326B" w:rsidRDefault="00B5326B" w:rsidP="00B5326B"/>
    <w:p w14:paraId="7C1A979F" w14:textId="77777777" w:rsidR="00B5326B" w:rsidRDefault="00B5326B" w:rsidP="00B5326B">
      <w:pPr>
        <w:spacing w:line="480" w:lineRule="auto"/>
      </w:pPr>
      <w:r>
        <w:t>WE CONCUR:</w:t>
      </w:r>
    </w:p>
    <w:p w14:paraId="27B668B5" w14:textId="1EFE0E70" w:rsidR="00B5326B" w:rsidRDefault="00EF33E8" w:rsidP="00B5326B">
      <w:r>
        <w:t>HONN, P. J.</w:t>
      </w:r>
    </w:p>
    <w:p w14:paraId="54BAD805" w14:textId="77777777" w:rsidR="00EF33E8" w:rsidRPr="00353B3F" w:rsidRDefault="00EF33E8" w:rsidP="00B5326B"/>
    <w:p w14:paraId="1164D9B1" w14:textId="05EB9A87" w:rsidR="00224D6E" w:rsidRPr="00353B3F" w:rsidRDefault="00310E53" w:rsidP="000E0A7C">
      <w:sdt>
        <w:sdtPr>
          <w:alias w:val="Select Concurring Judges"/>
          <w:tag w:val="Select Concurring Judges"/>
          <w:id w:val="-716353651"/>
          <w:placeholder>
            <w:docPart w:val="09E363221A214DC9A58648770AC16DE3"/>
          </w:placeholder>
          <w15:color w:val="FF0000"/>
          <w:dropDownList>
            <w:listItem w:displayText="STOVITZ, J." w:value="STOVITZ, J."/>
            <w:listItem w:displayText="HONN, J." w:value="HONN, J."/>
            <w:listItem w:displayText="McGILL, A. P. J." w:value="McGILL, A. P. J."/>
          </w:dropDownList>
        </w:sdtPr>
        <w:sdtEndPr/>
        <w:sdtContent>
          <w:r w:rsidR="006B07C5" w:rsidRPr="00353B3F">
            <w:t>STOVITZ, J.</w:t>
          </w:r>
        </w:sdtContent>
      </w:sdt>
      <w:r w:rsidR="00B5326B" w:rsidRPr="00353B3F">
        <w:rPr>
          <w:rStyle w:val="FootnoteReference"/>
        </w:rPr>
        <w:footnoteReference w:customMarkFollows="1" w:id="26"/>
        <w:t>*</w:t>
      </w:r>
    </w:p>
    <w:p w14:paraId="3A93E038" w14:textId="6C0384F8" w:rsidR="0017377F" w:rsidRPr="00353B3F" w:rsidRDefault="0017377F" w:rsidP="000E0A7C"/>
    <w:p w14:paraId="5E10FD24" w14:textId="4CCC249F" w:rsidR="0017377F" w:rsidRPr="00353B3F" w:rsidRDefault="0017377F" w:rsidP="000E0A7C"/>
    <w:p w14:paraId="4EA5B9BC" w14:textId="46D33032" w:rsidR="0017377F" w:rsidRPr="00353B3F" w:rsidRDefault="0017377F" w:rsidP="000E0A7C"/>
    <w:p w14:paraId="2EECD245" w14:textId="4E4B6E51" w:rsidR="0017377F" w:rsidRPr="00353B3F" w:rsidRDefault="0017377F">
      <w:r w:rsidRPr="00353B3F">
        <w:br w:type="page"/>
      </w:r>
    </w:p>
    <w:p w14:paraId="663FC384" w14:textId="77777777" w:rsidR="0017377F" w:rsidRPr="00353B3F" w:rsidRDefault="0017377F" w:rsidP="0017377F">
      <w:pPr>
        <w:tabs>
          <w:tab w:val="left" w:pos="4994"/>
        </w:tabs>
        <w:rPr>
          <w:b/>
          <w:bCs/>
          <w:sz w:val="28"/>
          <w:szCs w:val="28"/>
        </w:rPr>
      </w:pPr>
      <w:r>
        <w:rPr>
          <w:lang w:val="en-CA"/>
        </w:rPr>
        <w:fldChar w:fldCharType="begin"/>
      </w:r>
      <w:r w:rsidRPr="00353B3F">
        <w:rPr>
          <w:lang w:val="en-CA"/>
        </w:rPr>
        <w:instrText xml:space="preserve"> SEQ CHAPTER \h \r 1</w:instrText>
      </w:r>
      <w:r>
        <w:rPr>
          <w:lang w:val="en-CA"/>
        </w:rPr>
        <w:fldChar w:fldCharType="end"/>
      </w:r>
    </w:p>
    <w:p w14:paraId="0B0F3096" w14:textId="69DF3630" w:rsidR="0017377F" w:rsidRPr="00353B3F" w:rsidRDefault="0017377F" w:rsidP="0017377F">
      <w:pPr>
        <w:jc w:val="center"/>
        <w:outlineLvl w:val="0"/>
        <w:rPr>
          <w:b/>
          <w:bCs/>
          <w:szCs w:val="34"/>
        </w:rPr>
      </w:pPr>
      <w:r w:rsidRPr="00353B3F">
        <w:rPr>
          <w:b/>
          <w:bCs/>
          <w:szCs w:val="34"/>
        </w:rPr>
        <w:t xml:space="preserve">No. </w:t>
      </w:r>
      <w:sdt>
        <w:sdtPr>
          <w:rPr>
            <w:b/>
            <w:bCs/>
          </w:rPr>
          <w:id w:val="1857532092"/>
          <w:placeholder>
            <w:docPart w:val="8F094F2F1AA6426BB0732B3ED786684C"/>
          </w:placeholder>
          <w:text/>
        </w:sdtPr>
        <w:sdtEndPr/>
        <w:sdtContent>
          <w:r w:rsidR="007B409A" w:rsidRPr="00353B3F">
            <w:rPr>
              <w:b/>
              <w:bCs/>
            </w:rPr>
            <w:t>15-O-14870; SBC-20-O-00029</w:t>
          </w:r>
          <w:r w:rsidR="007B409A">
            <w:rPr>
              <w:b/>
              <w:bCs/>
            </w:rPr>
            <w:t xml:space="preserve"> (Consolidated)</w:t>
          </w:r>
        </w:sdtContent>
      </w:sdt>
    </w:p>
    <w:p w14:paraId="60C7A10A" w14:textId="77777777" w:rsidR="0017377F" w:rsidRPr="00353B3F" w:rsidRDefault="0017377F" w:rsidP="0017377F">
      <w:pPr>
        <w:jc w:val="center"/>
        <w:outlineLvl w:val="0"/>
        <w:rPr>
          <w:szCs w:val="34"/>
        </w:rPr>
      </w:pPr>
    </w:p>
    <w:p w14:paraId="6579DF76" w14:textId="25883B67" w:rsidR="0017377F" w:rsidRPr="00353B3F" w:rsidRDefault="0017377F" w:rsidP="0017377F">
      <w:pPr>
        <w:jc w:val="center"/>
        <w:rPr>
          <w:b/>
          <w:bCs/>
          <w:i/>
          <w:iCs/>
          <w:szCs w:val="34"/>
        </w:rPr>
      </w:pPr>
    </w:p>
    <w:p w14:paraId="765BA7B2" w14:textId="353D4A3B" w:rsidR="005A3BCC" w:rsidRPr="00353B3F" w:rsidRDefault="005A3BCC" w:rsidP="0017377F">
      <w:pPr>
        <w:jc w:val="center"/>
        <w:rPr>
          <w:b/>
          <w:bCs/>
          <w:i/>
          <w:iCs/>
          <w:szCs w:val="34"/>
        </w:rPr>
      </w:pPr>
    </w:p>
    <w:p w14:paraId="0B5588F0" w14:textId="6B7307F2" w:rsidR="005A3BCC" w:rsidRPr="00353B3F" w:rsidRDefault="005A3BCC" w:rsidP="0017377F">
      <w:pPr>
        <w:jc w:val="center"/>
        <w:rPr>
          <w:b/>
          <w:bCs/>
          <w:i/>
          <w:iCs/>
          <w:szCs w:val="34"/>
        </w:rPr>
      </w:pPr>
    </w:p>
    <w:p w14:paraId="3704C7ED" w14:textId="77777777" w:rsidR="005A3BCC" w:rsidRPr="00353B3F" w:rsidRDefault="005A3BCC" w:rsidP="0017377F">
      <w:pPr>
        <w:jc w:val="center"/>
        <w:rPr>
          <w:b/>
          <w:bCs/>
          <w:i/>
          <w:iCs/>
          <w:szCs w:val="34"/>
        </w:rPr>
      </w:pPr>
    </w:p>
    <w:p w14:paraId="0F7EA21D" w14:textId="77777777" w:rsidR="0017377F" w:rsidRPr="00353B3F" w:rsidRDefault="0017377F" w:rsidP="0017377F">
      <w:pPr>
        <w:jc w:val="center"/>
        <w:rPr>
          <w:b/>
          <w:bCs/>
          <w:i/>
          <w:iCs/>
          <w:szCs w:val="34"/>
        </w:rPr>
      </w:pPr>
      <w:r w:rsidRPr="00353B3F">
        <w:rPr>
          <w:b/>
          <w:bCs/>
          <w:i/>
          <w:iCs/>
          <w:szCs w:val="34"/>
        </w:rPr>
        <w:br/>
      </w:r>
    </w:p>
    <w:p w14:paraId="081DE9C3" w14:textId="77777777" w:rsidR="0017377F" w:rsidRDefault="0017377F" w:rsidP="0017377F">
      <w:pPr>
        <w:spacing w:line="360" w:lineRule="auto"/>
        <w:jc w:val="center"/>
        <w:outlineLvl w:val="0"/>
        <w:rPr>
          <w:b/>
          <w:bCs/>
          <w:i/>
          <w:iCs/>
          <w:szCs w:val="34"/>
        </w:rPr>
      </w:pPr>
      <w:r>
        <w:rPr>
          <w:b/>
          <w:bCs/>
          <w:i/>
          <w:iCs/>
          <w:szCs w:val="34"/>
        </w:rPr>
        <w:t xml:space="preserve">In the Matter of </w:t>
      </w:r>
    </w:p>
    <w:sdt>
      <w:sdtPr>
        <w:rPr>
          <w:b/>
          <w:bCs/>
          <w:szCs w:val="28"/>
        </w:rPr>
        <w:id w:val="-1673560664"/>
        <w:placeholder>
          <w:docPart w:val="8F094F2F1AA6426BB0732B3ED786684C"/>
        </w:placeholder>
        <w:text/>
      </w:sdtPr>
      <w:sdtEndPr/>
      <w:sdtContent>
        <w:p w14:paraId="7E9D8C4B" w14:textId="3FBBB536" w:rsidR="0017377F" w:rsidRPr="005A3BCC" w:rsidRDefault="005A3BCC" w:rsidP="0017377F">
          <w:pPr>
            <w:spacing w:line="360" w:lineRule="auto"/>
            <w:jc w:val="center"/>
            <w:outlineLvl w:val="0"/>
            <w:rPr>
              <w:b/>
              <w:bCs/>
              <w:szCs w:val="28"/>
            </w:rPr>
          </w:pPr>
          <w:r w:rsidRPr="005A3BCC">
            <w:rPr>
              <w:b/>
              <w:bCs/>
              <w:szCs w:val="28"/>
            </w:rPr>
            <w:t>JEFFREY GRAY THOMAS</w:t>
          </w:r>
        </w:p>
      </w:sdtContent>
    </w:sdt>
    <w:p w14:paraId="7D1C0AC2" w14:textId="77777777" w:rsidR="0017377F" w:rsidRDefault="0017377F" w:rsidP="0017377F">
      <w:pPr>
        <w:spacing w:line="360" w:lineRule="auto"/>
        <w:jc w:val="center"/>
        <w:rPr>
          <w:szCs w:val="28"/>
        </w:rPr>
      </w:pPr>
    </w:p>
    <w:p w14:paraId="37D5BBDF" w14:textId="77777777" w:rsidR="0017377F" w:rsidRDefault="0017377F" w:rsidP="0017377F">
      <w:pPr>
        <w:spacing w:line="360" w:lineRule="auto"/>
        <w:jc w:val="center"/>
        <w:rPr>
          <w:szCs w:val="28"/>
        </w:rPr>
      </w:pPr>
    </w:p>
    <w:p w14:paraId="1D953C8B" w14:textId="77777777" w:rsidR="0017377F" w:rsidRDefault="0017377F" w:rsidP="0017377F">
      <w:pPr>
        <w:spacing w:line="360" w:lineRule="auto"/>
        <w:jc w:val="center"/>
        <w:rPr>
          <w:szCs w:val="28"/>
        </w:rPr>
      </w:pPr>
    </w:p>
    <w:p w14:paraId="014074DF" w14:textId="77777777" w:rsidR="0017377F" w:rsidRDefault="0017377F" w:rsidP="0017377F">
      <w:pPr>
        <w:spacing w:line="360" w:lineRule="auto"/>
        <w:jc w:val="center"/>
        <w:rPr>
          <w:szCs w:val="28"/>
        </w:rPr>
      </w:pPr>
    </w:p>
    <w:p w14:paraId="20D0305B" w14:textId="77777777" w:rsidR="0017377F" w:rsidRDefault="0017377F" w:rsidP="0017377F">
      <w:pPr>
        <w:spacing w:line="360" w:lineRule="auto"/>
        <w:jc w:val="center"/>
        <w:rPr>
          <w:szCs w:val="28"/>
        </w:rPr>
      </w:pPr>
    </w:p>
    <w:p w14:paraId="6DDBE661" w14:textId="77777777" w:rsidR="0017377F" w:rsidRDefault="0017377F" w:rsidP="0017377F">
      <w:pPr>
        <w:jc w:val="center"/>
        <w:outlineLvl w:val="0"/>
        <w:rPr>
          <w:i/>
          <w:iCs/>
          <w:szCs w:val="28"/>
        </w:rPr>
      </w:pPr>
      <w:r>
        <w:rPr>
          <w:i/>
          <w:iCs/>
          <w:szCs w:val="28"/>
        </w:rPr>
        <w:t>Hearing Judge</w:t>
      </w:r>
    </w:p>
    <w:p w14:paraId="2821FBFB" w14:textId="1ECAA74D" w:rsidR="0017377F" w:rsidRDefault="0017377F" w:rsidP="0017377F">
      <w:pPr>
        <w:jc w:val="center"/>
        <w:outlineLvl w:val="0"/>
        <w:rPr>
          <w:szCs w:val="28"/>
        </w:rPr>
      </w:pPr>
      <w:r>
        <w:rPr>
          <w:b/>
          <w:bCs/>
          <w:szCs w:val="32"/>
        </w:rPr>
        <w:t xml:space="preserve">Hon. </w:t>
      </w:r>
      <w:sdt>
        <w:sdtPr>
          <w:rPr>
            <w:b/>
            <w:bCs/>
            <w:szCs w:val="32"/>
          </w:rPr>
          <w:id w:val="-2064322851"/>
          <w:placeholder>
            <w:docPart w:val="8F094F2F1AA6426BB0732B3ED786684C"/>
          </w:placeholder>
          <w:text/>
        </w:sdtPr>
        <w:sdtEndPr/>
        <w:sdtContent>
          <w:r w:rsidR="00276B61">
            <w:rPr>
              <w:b/>
              <w:bCs/>
              <w:szCs w:val="32"/>
            </w:rPr>
            <w:t>Cynthia Valenzuela</w:t>
          </w:r>
        </w:sdtContent>
      </w:sdt>
    </w:p>
    <w:p w14:paraId="3ACC9B3C" w14:textId="77777777" w:rsidR="0017377F" w:rsidRDefault="0017377F" w:rsidP="0017377F">
      <w:pPr>
        <w:jc w:val="center"/>
        <w:rPr>
          <w:szCs w:val="28"/>
        </w:rPr>
      </w:pPr>
    </w:p>
    <w:p w14:paraId="566C1879" w14:textId="77777777" w:rsidR="0017377F" w:rsidRDefault="0017377F" w:rsidP="0017377F">
      <w:pPr>
        <w:jc w:val="center"/>
        <w:rPr>
          <w:szCs w:val="28"/>
        </w:rPr>
      </w:pPr>
    </w:p>
    <w:p w14:paraId="0BF3C555" w14:textId="77777777" w:rsidR="0017377F" w:rsidRDefault="0017377F" w:rsidP="0017377F">
      <w:pPr>
        <w:jc w:val="center"/>
        <w:rPr>
          <w:szCs w:val="28"/>
        </w:rPr>
      </w:pPr>
    </w:p>
    <w:p w14:paraId="21E60C85" w14:textId="77777777" w:rsidR="0017377F" w:rsidRDefault="0017377F" w:rsidP="0017377F">
      <w:pPr>
        <w:jc w:val="center"/>
        <w:rPr>
          <w:szCs w:val="28"/>
        </w:rPr>
      </w:pPr>
    </w:p>
    <w:p w14:paraId="117B1E77" w14:textId="77777777" w:rsidR="0017377F" w:rsidRDefault="0017377F" w:rsidP="0017377F">
      <w:pPr>
        <w:jc w:val="center"/>
        <w:rPr>
          <w:szCs w:val="28"/>
        </w:rPr>
      </w:pPr>
    </w:p>
    <w:p w14:paraId="3B4C6E08" w14:textId="77777777" w:rsidR="0017377F" w:rsidRDefault="0017377F" w:rsidP="0017377F">
      <w:pPr>
        <w:jc w:val="center"/>
        <w:rPr>
          <w:szCs w:val="28"/>
        </w:rPr>
      </w:pPr>
    </w:p>
    <w:p w14:paraId="7E260896" w14:textId="77777777" w:rsidR="0017377F" w:rsidRDefault="0017377F" w:rsidP="0017377F">
      <w:pPr>
        <w:rPr>
          <w:szCs w:val="28"/>
        </w:rPr>
      </w:pPr>
    </w:p>
    <w:p w14:paraId="142460F9" w14:textId="77777777" w:rsidR="0017377F" w:rsidRDefault="0017377F" w:rsidP="0017377F">
      <w:pPr>
        <w:jc w:val="center"/>
        <w:outlineLvl w:val="0"/>
        <w:rPr>
          <w:b/>
          <w:bCs/>
          <w:i/>
          <w:iCs/>
          <w:szCs w:val="28"/>
        </w:rPr>
      </w:pPr>
      <w:r>
        <w:rPr>
          <w:i/>
          <w:iCs/>
          <w:szCs w:val="28"/>
        </w:rPr>
        <w:t>Counsel for the Parties</w:t>
      </w:r>
    </w:p>
    <w:p w14:paraId="52A8FB4F" w14:textId="77777777" w:rsidR="0017377F" w:rsidRDefault="0017377F" w:rsidP="0017377F">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17377F" w14:paraId="4FE6F312" w14:textId="77777777" w:rsidTr="00F83A5E">
        <w:trPr>
          <w:cantSplit/>
        </w:trPr>
        <w:tc>
          <w:tcPr>
            <w:tcW w:w="5310" w:type="dxa"/>
          </w:tcPr>
          <w:p w14:paraId="37BDF126" w14:textId="77777777" w:rsidR="0017377F" w:rsidRDefault="0017377F" w:rsidP="00F83A5E">
            <w:pPr>
              <w:spacing w:before="100" w:after="48"/>
              <w:rPr>
                <w:szCs w:val="28"/>
              </w:rPr>
            </w:pPr>
            <w:r>
              <w:rPr>
                <w:b/>
                <w:bCs/>
                <w:szCs w:val="28"/>
              </w:rPr>
              <w:tab/>
            </w:r>
            <w:r>
              <w:rPr>
                <w:szCs w:val="28"/>
              </w:rPr>
              <w:t>For Office of Chief Trial Counsel:</w:t>
            </w:r>
          </w:p>
        </w:tc>
        <w:tc>
          <w:tcPr>
            <w:tcW w:w="4140" w:type="dxa"/>
          </w:tcPr>
          <w:sdt>
            <w:sdtPr>
              <w:rPr>
                <w:szCs w:val="28"/>
              </w:rPr>
              <w:alias w:val="DTC Name"/>
              <w:tag w:val="DTC Name"/>
              <w:id w:val="2129961319"/>
              <w:placeholder>
                <w:docPart w:val="8F094F2F1AA6426BB0732B3ED786684C"/>
              </w:placeholder>
              <w:text/>
            </w:sdtPr>
            <w:sdtEndPr/>
            <w:sdtContent>
              <w:p w14:paraId="0CD9046B" w14:textId="038A5100" w:rsidR="0017377F" w:rsidRDefault="005A3BCC" w:rsidP="005A3BCC">
                <w:pPr>
                  <w:rPr>
                    <w:szCs w:val="28"/>
                  </w:rPr>
                </w:pPr>
                <w:r>
                  <w:rPr>
                    <w:szCs w:val="28"/>
                  </w:rPr>
                  <w:t>Alex James Hackert, Esq.</w:t>
                </w:r>
              </w:p>
            </w:sdtContent>
          </w:sdt>
          <w:p w14:paraId="7C8B2687" w14:textId="77777777" w:rsidR="0017377F" w:rsidRDefault="0017377F" w:rsidP="005A3BCC">
            <w:pPr>
              <w:rPr>
                <w:szCs w:val="28"/>
              </w:rPr>
            </w:pPr>
            <w:r>
              <w:rPr>
                <w:szCs w:val="28"/>
              </w:rPr>
              <w:t>Office of Chief Trial Counsel</w:t>
            </w:r>
          </w:p>
          <w:p w14:paraId="015208F3" w14:textId="77777777" w:rsidR="0017377F" w:rsidRDefault="0017377F" w:rsidP="005A3BCC">
            <w:pPr>
              <w:rPr>
                <w:szCs w:val="28"/>
              </w:rPr>
            </w:pPr>
            <w:r>
              <w:rPr>
                <w:szCs w:val="28"/>
              </w:rPr>
              <w:t>The State Bar of California</w:t>
            </w:r>
          </w:p>
          <w:p w14:paraId="3DCF833C" w14:textId="6EE95EC0" w:rsidR="0017377F" w:rsidRDefault="005A3BCC" w:rsidP="005A3BCC">
            <w:pPr>
              <w:rPr>
                <w:szCs w:val="28"/>
              </w:rPr>
            </w:pPr>
            <w:r>
              <w:rPr>
                <w:szCs w:val="28"/>
              </w:rPr>
              <w:t>845 S. Figueroa Street</w:t>
            </w:r>
          </w:p>
          <w:p w14:paraId="188971CD" w14:textId="77777777" w:rsidR="005A3BCC" w:rsidRDefault="005A3BCC" w:rsidP="005A3BCC">
            <w:pPr>
              <w:rPr>
                <w:szCs w:val="28"/>
              </w:rPr>
            </w:pPr>
            <w:r>
              <w:rPr>
                <w:szCs w:val="28"/>
              </w:rPr>
              <w:t>Los Angeles, CA  90017-2515</w:t>
            </w:r>
          </w:p>
          <w:p w14:paraId="6802D65F" w14:textId="5578DB7F" w:rsidR="005A3BCC" w:rsidRDefault="005A3BCC" w:rsidP="005A3BCC">
            <w:pPr>
              <w:rPr>
                <w:szCs w:val="28"/>
              </w:rPr>
            </w:pPr>
            <w:r>
              <w:rPr>
                <w:szCs w:val="28"/>
              </w:rPr>
              <w:t xml:space="preserve"> </w:t>
            </w:r>
          </w:p>
        </w:tc>
      </w:tr>
      <w:tr w:rsidR="0017377F" w14:paraId="71825CDF" w14:textId="77777777" w:rsidTr="00F83A5E">
        <w:trPr>
          <w:cantSplit/>
          <w:trHeight w:val="1458"/>
        </w:trPr>
        <w:tc>
          <w:tcPr>
            <w:tcW w:w="5310" w:type="dxa"/>
          </w:tcPr>
          <w:p w14:paraId="6A07DD57" w14:textId="520CF80F" w:rsidR="0017377F" w:rsidRDefault="0017377F" w:rsidP="00F83A5E">
            <w:pPr>
              <w:spacing w:before="100" w:after="48"/>
              <w:rPr>
                <w:szCs w:val="28"/>
              </w:rPr>
            </w:pPr>
            <w:r>
              <w:rPr>
                <w:b/>
                <w:bCs/>
                <w:szCs w:val="28"/>
              </w:rPr>
              <w:tab/>
            </w:r>
            <w:r>
              <w:rPr>
                <w:szCs w:val="28"/>
              </w:rPr>
              <w:t xml:space="preserve">For </w:t>
            </w:r>
            <w:sdt>
              <w:sdtPr>
                <w:rPr>
                  <w:szCs w:val="28"/>
                </w:rPr>
                <w:id w:val="1280833705"/>
                <w:placeholder>
                  <w:docPart w:val="8F094F2F1AA6426BB0732B3ED786684C"/>
                </w:placeholder>
                <w:text/>
              </w:sdtPr>
              <w:sdtEndPr/>
              <w:sdtContent>
                <w:r w:rsidR="005A3BCC">
                  <w:rPr>
                    <w:szCs w:val="28"/>
                  </w:rPr>
                  <w:t>Respondent</w:t>
                </w:r>
              </w:sdtContent>
            </w:sdt>
          </w:p>
        </w:tc>
        <w:tc>
          <w:tcPr>
            <w:tcW w:w="4140" w:type="dxa"/>
          </w:tcPr>
          <w:sdt>
            <w:sdtPr>
              <w:rPr>
                <w:szCs w:val="28"/>
              </w:rPr>
              <w:id w:val="1627428901"/>
              <w:placeholder>
                <w:docPart w:val="8F094F2F1AA6426BB0732B3ED786684C"/>
              </w:placeholder>
              <w:text/>
            </w:sdtPr>
            <w:sdtEndPr/>
            <w:sdtContent>
              <w:p w14:paraId="4AC350B6" w14:textId="4E269697" w:rsidR="0017377F" w:rsidRDefault="005A3BCC" w:rsidP="00F83A5E">
                <w:pPr>
                  <w:rPr>
                    <w:szCs w:val="28"/>
                  </w:rPr>
                </w:pPr>
                <w:r>
                  <w:rPr>
                    <w:szCs w:val="28"/>
                  </w:rPr>
                  <w:t>Jeffrey Gray Thomas, Esq., in pro. per.</w:t>
                </w:r>
              </w:p>
            </w:sdtContent>
          </w:sdt>
          <w:sdt>
            <w:sdtPr>
              <w:rPr>
                <w:szCs w:val="28"/>
              </w:rPr>
              <w:id w:val="784239175"/>
              <w:placeholder>
                <w:docPart w:val="8F094F2F1AA6426BB0732B3ED786684C"/>
              </w:placeholder>
              <w:text/>
            </w:sdtPr>
            <w:sdtEndPr/>
            <w:sdtContent>
              <w:p w14:paraId="41FC247E" w14:textId="20F8AB7B" w:rsidR="0017377F" w:rsidRDefault="005A3BCC" w:rsidP="00F83A5E">
                <w:pPr>
                  <w:rPr>
                    <w:szCs w:val="28"/>
                  </w:rPr>
                </w:pPr>
                <w:r>
                  <w:rPr>
                    <w:szCs w:val="28"/>
                  </w:rPr>
                  <w:t>Attorney at Law</w:t>
                </w:r>
              </w:p>
            </w:sdtContent>
          </w:sdt>
          <w:sdt>
            <w:sdtPr>
              <w:rPr>
                <w:szCs w:val="28"/>
              </w:rPr>
              <w:id w:val="718857921"/>
              <w:placeholder>
                <w:docPart w:val="8F094F2F1AA6426BB0732B3ED786684C"/>
              </w:placeholder>
              <w:text/>
            </w:sdtPr>
            <w:sdtEndPr/>
            <w:sdtContent>
              <w:p w14:paraId="0110CF77" w14:textId="708B20E7" w:rsidR="0017377F" w:rsidRDefault="005A3BCC" w:rsidP="00F83A5E">
                <w:pPr>
                  <w:rPr>
                    <w:szCs w:val="28"/>
                  </w:rPr>
                </w:pPr>
                <w:r>
                  <w:rPr>
                    <w:szCs w:val="28"/>
                  </w:rPr>
                  <w:t>201 Wilshire Boulevard, Floor 2</w:t>
                </w:r>
              </w:p>
            </w:sdtContent>
          </w:sdt>
          <w:sdt>
            <w:sdtPr>
              <w:rPr>
                <w:szCs w:val="28"/>
              </w:rPr>
              <w:id w:val="-1762370624"/>
              <w:placeholder>
                <w:docPart w:val="8F094F2F1AA6426BB0732B3ED786684C"/>
              </w:placeholder>
              <w:text/>
            </w:sdtPr>
            <w:sdtEndPr/>
            <w:sdtContent>
              <w:p w14:paraId="7CF3CBF6" w14:textId="4859490E" w:rsidR="0017377F" w:rsidRDefault="005A3BCC" w:rsidP="00F83A5E">
                <w:pPr>
                  <w:rPr>
                    <w:szCs w:val="28"/>
                  </w:rPr>
                </w:pPr>
                <w:r>
                  <w:rPr>
                    <w:szCs w:val="28"/>
                  </w:rPr>
                  <w:t>Santa Monica, CA  90401-1219</w:t>
                </w:r>
              </w:p>
            </w:sdtContent>
          </w:sdt>
          <w:p w14:paraId="2FE4A45D" w14:textId="5C75A9DF" w:rsidR="0017377F" w:rsidRDefault="0017377F" w:rsidP="00F83A5E">
            <w:pPr>
              <w:rPr>
                <w:szCs w:val="28"/>
              </w:rPr>
            </w:pPr>
          </w:p>
        </w:tc>
      </w:tr>
    </w:tbl>
    <w:p w14:paraId="3131D617" w14:textId="77777777" w:rsidR="0017377F" w:rsidRDefault="0017377F" w:rsidP="0017377F"/>
    <w:p w14:paraId="3ED3FDAE" w14:textId="77777777" w:rsidR="0017377F" w:rsidRPr="00E26B8A" w:rsidRDefault="0017377F" w:rsidP="000E0A7C"/>
    <w:sectPr w:rsidR="0017377F"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0970E" w14:textId="77777777" w:rsidR="00AD1E31" w:rsidRDefault="00AD1E31" w:rsidP="00055C8A">
      <w:r>
        <w:separator/>
      </w:r>
    </w:p>
  </w:endnote>
  <w:endnote w:type="continuationSeparator" w:id="0">
    <w:p w14:paraId="39A27277" w14:textId="77777777" w:rsidR="00AD1E31" w:rsidRDefault="00AD1E31" w:rsidP="00055C8A">
      <w:r>
        <w:continuationSeparator/>
      </w:r>
    </w:p>
  </w:endnote>
  <w:endnote w:type="continuationNotice" w:id="1">
    <w:p w14:paraId="3DCDF144" w14:textId="77777777" w:rsidR="00AD1E31" w:rsidRDefault="00AD1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28990"/>
      <w:docPartObj>
        <w:docPartGallery w:val="Page Numbers (Bottom of Page)"/>
        <w:docPartUnique/>
      </w:docPartObj>
    </w:sdtPr>
    <w:sdtEndPr/>
    <w:sdtContent>
      <w:p w14:paraId="58C2C767" w14:textId="77777777" w:rsidR="00DD68AA" w:rsidRDefault="00DD68AA" w:rsidP="0099101B">
        <w:pPr>
          <w:pStyle w:val="Footer"/>
          <w:spacing w:before="120"/>
          <w:jc w:val="center"/>
        </w:pPr>
        <w:r>
          <w:t>-</w:t>
        </w:r>
        <w:r>
          <w:fldChar w:fldCharType="begin"/>
        </w:r>
        <w:r>
          <w:instrText xml:space="preserve"> PAGE   \* MERGEFORMAT </w:instrText>
        </w:r>
        <w:r>
          <w:fldChar w:fldCharType="separate"/>
        </w:r>
        <w:r w:rsidR="000E0A7C">
          <w:rPr>
            <w:noProof/>
          </w:rPr>
          <w:t>2</w:t>
        </w:r>
        <w:r>
          <w:rPr>
            <w:noProof/>
          </w:rPr>
          <w:fldChar w:fldCharType="end"/>
        </w:r>
        <w:r>
          <w:t>-</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E40FF4" w14:textId="6CEACDFA" w:rsidR="00784251" w:rsidRDefault="00784251">
    <w:pPr>
      <w:pStyle w:val="Footer"/>
      <w:jc w:val="center"/>
    </w:pPr>
  </w:p>
  <w:p w14:paraId="2E44B47F" w14:textId="77777777" w:rsidR="00DD68AA" w:rsidRPr="007A46B7" w:rsidRDefault="00DD68AA" w:rsidP="001A6CD9">
    <w:pPr>
      <w:pStyle w:val="Footer"/>
      <w:rPr>
        <w:rFonts w:ascii="Arial" w:hAnsi="Arial"/>
        <w:color w:val="FFFFFF" w:themeColor="background1"/>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F6AD3" w14:textId="77777777" w:rsidR="00AD1E31" w:rsidRDefault="00AD1E31" w:rsidP="00055C8A">
      <w:r>
        <w:separator/>
      </w:r>
    </w:p>
  </w:footnote>
  <w:footnote w:type="continuationSeparator" w:id="0">
    <w:p w14:paraId="6A1CFCB5" w14:textId="77777777" w:rsidR="00AD1E31" w:rsidRDefault="00AD1E31" w:rsidP="00055C8A">
      <w:r>
        <w:continuationSeparator/>
      </w:r>
    </w:p>
  </w:footnote>
  <w:footnote w:type="continuationNotice" w:id="1">
    <w:p w14:paraId="234A3FEF" w14:textId="77777777" w:rsidR="00AD1E31" w:rsidRDefault="00AD1E31"/>
  </w:footnote>
  <w:footnote w:id="2">
    <w:p w14:paraId="6E803A7F" w14:textId="77777777" w:rsidR="005F450C" w:rsidRDefault="005F450C" w:rsidP="008558EF">
      <w:pPr>
        <w:pStyle w:val="FootnoteText"/>
        <w:spacing w:after="120"/>
        <w:ind w:firstLine="0"/>
      </w:pPr>
      <w:r>
        <w:tab/>
      </w:r>
      <w:r>
        <w:rPr>
          <w:rStyle w:val="FootnoteReference"/>
        </w:rPr>
        <w:footnoteRef/>
      </w:r>
      <w:r>
        <w:t xml:space="preserve"> All further references to sections are to the Business and Professions Code unless otherwise noted.</w:t>
      </w:r>
    </w:p>
  </w:footnote>
  <w:footnote w:id="3">
    <w:p w14:paraId="1BA21A30" w14:textId="77777777" w:rsidR="00B5326B" w:rsidRDefault="00B5326B" w:rsidP="00B5326B">
      <w:pPr>
        <w:pStyle w:val="FootnoteText"/>
        <w:spacing w:after="120"/>
      </w:pPr>
      <w:r>
        <w:rPr>
          <w:rStyle w:val="FootnoteReference"/>
        </w:rPr>
        <w:footnoteRef/>
      </w:r>
      <w:r>
        <w:t xml:space="preserve"> All further references to rules are to the California Rules of Professional Conduct that were in effect until November 1, 2018, unless otherwise noted.  </w:t>
      </w:r>
    </w:p>
  </w:footnote>
  <w:footnote w:id="4">
    <w:p w14:paraId="34D36E71" w14:textId="75DB788A" w:rsidR="00B5326B" w:rsidRDefault="00B5326B" w:rsidP="00B5326B">
      <w:pPr>
        <w:pStyle w:val="FootnoteText"/>
        <w:spacing w:after="120"/>
      </w:pPr>
      <w:r>
        <w:rPr>
          <w:rStyle w:val="FootnoteReference"/>
        </w:rPr>
        <w:footnoteRef/>
      </w:r>
      <w:r>
        <w:t xml:space="preserve"> Two other counts were alleged in the Second NDC.  In the decision, the hearing judge granted OCTC’s motion to dismiss </w:t>
      </w:r>
      <w:r w:rsidR="000D1ED9">
        <w:t xml:space="preserve">those </w:t>
      </w:r>
      <w:r>
        <w:t xml:space="preserve">counts </w:t>
      </w:r>
      <w:r w:rsidR="0054786D">
        <w:t>(</w:t>
      </w:r>
      <w:r>
        <w:t>two and five</w:t>
      </w:r>
      <w:r w:rsidR="00C06A47">
        <w:t>)</w:t>
      </w:r>
      <w:r>
        <w:t>.</w:t>
      </w:r>
    </w:p>
  </w:footnote>
  <w:footnote w:id="5">
    <w:p w14:paraId="0BE4E34B" w14:textId="064B5406" w:rsidR="003A57CC" w:rsidRDefault="003A57CC" w:rsidP="003A57CC">
      <w:pPr>
        <w:pStyle w:val="FootnoteText"/>
        <w:spacing w:after="120"/>
      </w:pPr>
      <w:r>
        <w:rPr>
          <w:rStyle w:val="FootnoteReference"/>
        </w:rPr>
        <w:footnoteRef/>
      </w:r>
      <w:r>
        <w:t xml:space="preserve"> In a separate disciplinary case, Thomas was enrolled </w:t>
      </w:r>
      <w:r w:rsidR="00BB756B">
        <w:t>on August </w:t>
      </w:r>
      <w:r w:rsidR="000F288B">
        <w:t>22</w:t>
      </w:r>
      <w:r w:rsidR="004511A0">
        <w:t>,</w:t>
      </w:r>
      <w:r w:rsidR="000F288B">
        <w:t xml:space="preserve"> 2020, </w:t>
      </w:r>
      <w:r>
        <w:t>as an inactive attorney pursuant to Business and Professions Code section 6007, subdivision (c)(2) (TE case).  (SBC-20-TE-30411.)</w:t>
      </w:r>
    </w:p>
  </w:footnote>
  <w:footnote w:id="6">
    <w:p w14:paraId="382A844A" w14:textId="09B9C1F5" w:rsidR="004671F3" w:rsidRDefault="004671F3" w:rsidP="003B4F0A">
      <w:pPr>
        <w:pStyle w:val="FootnoteText"/>
      </w:pPr>
      <w:r>
        <w:rPr>
          <w:rStyle w:val="FootnoteReference"/>
        </w:rPr>
        <w:footnoteRef/>
      </w:r>
      <w:r>
        <w:t xml:space="preserve"> Thomas</w:t>
      </w:r>
      <w:r w:rsidR="00B42A29">
        <w:t>’s</w:t>
      </w:r>
      <w:r>
        <w:t xml:space="preserve"> earlier requests for review</w:t>
      </w:r>
      <w:r w:rsidR="00DA6503">
        <w:t>,</w:t>
      </w:r>
      <w:r>
        <w:t xml:space="preserve"> </w:t>
      </w:r>
      <w:r w:rsidR="00DA6503">
        <w:t xml:space="preserve">filed </w:t>
      </w:r>
      <w:r>
        <w:t xml:space="preserve">on June 18 and August 2, </w:t>
      </w:r>
      <w:r w:rsidR="002B58F7">
        <w:t xml:space="preserve">2021, </w:t>
      </w:r>
      <w:r>
        <w:t>were vacated and dismissed, respectively.</w:t>
      </w:r>
    </w:p>
  </w:footnote>
  <w:footnote w:id="7">
    <w:p w14:paraId="03E26E46" w14:textId="44C582B1" w:rsidR="00B5326B" w:rsidRDefault="00B5326B" w:rsidP="00B5326B">
      <w:pPr>
        <w:pStyle w:val="FootnoteText"/>
        <w:spacing w:after="120"/>
      </w:pPr>
      <w:r>
        <w:rPr>
          <w:rStyle w:val="FootnoteReference"/>
        </w:rPr>
        <w:footnoteRef/>
      </w:r>
      <w:r>
        <w:t xml:space="preserve"> </w:t>
      </w:r>
      <w:r>
        <w:rPr>
          <w:szCs w:val="24"/>
        </w:rPr>
        <w:t xml:space="preserve">The facts are based on </w:t>
      </w:r>
      <w:r w:rsidRPr="00D55103">
        <w:rPr>
          <w:szCs w:val="24"/>
        </w:rPr>
        <w:t>trial testimony, documentary evidence,</w:t>
      </w:r>
      <w:r>
        <w:rPr>
          <w:szCs w:val="24"/>
        </w:rPr>
        <w:t xml:space="preserve"> and </w:t>
      </w:r>
      <w:r w:rsidRPr="00D55103">
        <w:rPr>
          <w:szCs w:val="24"/>
        </w:rPr>
        <w:t>the hearing judge’s factual</w:t>
      </w:r>
      <w:r>
        <w:rPr>
          <w:szCs w:val="24"/>
        </w:rPr>
        <w:t xml:space="preserve"> and credibility</w:t>
      </w:r>
      <w:r w:rsidRPr="00D55103">
        <w:rPr>
          <w:szCs w:val="24"/>
        </w:rPr>
        <w:t xml:space="preserve"> findings, which are entitled to great weight</w:t>
      </w:r>
      <w:r>
        <w:rPr>
          <w:szCs w:val="24"/>
        </w:rPr>
        <w:t>.</w:t>
      </w:r>
      <w:r w:rsidRPr="00D55103">
        <w:rPr>
          <w:szCs w:val="24"/>
        </w:rPr>
        <w:t xml:space="preserve"> </w:t>
      </w:r>
      <w:r>
        <w:rPr>
          <w:szCs w:val="24"/>
        </w:rPr>
        <w:t xml:space="preserve"> </w:t>
      </w:r>
      <w:r w:rsidRPr="00D55103">
        <w:rPr>
          <w:szCs w:val="24"/>
        </w:rPr>
        <w:t>(</w:t>
      </w:r>
      <w:bookmarkStart w:id="10" w:name="_Hlk86923967"/>
      <w:r w:rsidRPr="00D55103">
        <w:rPr>
          <w:szCs w:val="24"/>
        </w:rPr>
        <w:t>Rules Proc. of State Bar, rule 5.155</w:t>
      </w:r>
      <w:bookmarkEnd w:id="10"/>
      <w:r w:rsidRPr="00D55103">
        <w:rPr>
          <w:szCs w:val="24"/>
        </w:rPr>
        <w:t>(A</w:t>
      </w:r>
      <w:r>
        <w:rPr>
          <w:szCs w:val="24"/>
        </w:rPr>
        <w:t xml:space="preserve">).)  The judge found the testimony of Hugh Gibson, Rosario Perry, and Norman Solomon to be highly credible.  </w:t>
      </w:r>
    </w:p>
  </w:footnote>
  <w:footnote w:id="8">
    <w:p w14:paraId="2C5E939A" w14:textId="77777777" w:rsidR="00B5326B" w:rsidRDefault="00B5326B" w:rsidP="001B33CE">
      <w:pPr>
        <w:pStyle w:val="FootnoteText"/>
      </w:pPr>
      <w:r>
        <w:rPr>
          <w:rStyle w:val="FootnoteReference"/>
        </w:rPr>
        <w:footnoteRef/>
      </w:r>
      <w:r>
        <w:t xml:space="preserve"> According to the 2009 judgment, Perry was the sole manager of Hope Street and Solomon formed HPL.</w:t>
      </w:r>
    </w:p>
  </w:footnote>
  <w:footnote w:id="9">
    <w:p w14:paraId="58CF1762" w14:textId="6A854048" w:rsidR="004978CF" w:rsidRDefault="004978CF" w:rsidP="00526BEC">
      <w:pPr>
        <w:pStyle w:val="FootnoteText"/>
        <w:spacing w:after="120"/>
      </w:pPr>
      <w:r>
        <w:rPr>
          <w:rStyle w:val="FootnoteReference"/>
        </w:rPr>
        <w:footnoteRef/>
      </w:r>
      <w:r>
        <w:t xml:space="preserve"> </w:t>
      </w:r>
      <w:r w:rsidR="00BD2FD3">
        <w:t xml:space="preserve">On November 13, 2012, </w:t>
      </w:r>
      <w:r>
        <w:t>Thomas filed an ex</w:t>
      </w:r>
      <w:r w:rsidR="008E4474">
        <w:t xml:space="preserve"> </w:t>
      </w:r>
      <w:r>
        <w:t xml:space="preserve">parte </w:t>
      </w:r>
      <w:r w:rsidR="008E4474">
        <w:t>application to amend the cross-complaint</w:t>
      </w:r>
      <w:r w:rsidR="00A5725A">
        <w:t>,</w:t>
      </w:r>
      <w:r w:rsidR="008E4474">
        <w:t xml:space="preserve"> which</w:t>
      </w:r>
      <w:r w:rsidR="00526BEC">
        <w:t xml:space="preserve"> was</w:t>
      </w:r>
      <w:r w:rsidR="008E4474">
        <w:t xml:space="preserve"> denied the same day.</w:t>
      </w:r>
    </w:p>
  </w:footnote>
  <w:footnote w:id="10">
    <w:p w14:paraId="43515443" w14:textId="77777777" w:rsidR="00B5326B" w:rsidRDefault="00B5326B" w:rsidP="00B5326B">
      <w:pPr>
        <w:pStyle w:val="FootnoteText"/>
        <w:spacing w:after="120"/>
      </w:pPr>
      <w:r>
        <w:rPr>
          <w:rStyle w:val="FootnoteReference"/>
        </w:rPr>
        <w:footnoteRef/>
      </w:r>
      <w:r>
        <w:t xml:space="preserve"> The motion for sanctions was granted in August 2016. </w:t>
      </w:r>
    </w:p>
  </w:footnote>
  <w:footnote w:id="11">
    <w:p w14:paraId="221A5599" w14:textId="4B393C5C" w:rsidR="00B5326B" w:rsidRDefault="00B5326B" w:rsidP="00B5326B">
      <w:pPr>
        <w:pStyle w:val="FootnoteText"/>
        <w:spacing w:after="120"/>
      </w:pPr>
      <w:r>
        <w:rPr>
          <w:rStyle w:val="FootnoteReference"/>
        </w:rPr>
        <w:footnoteRef/>
      </w:r>
      <w:r>
        <w:t xml:space="preserve"> </w:t>
      </w:r>
      <w:r w:rsidR="004C67C4">
        <w:t xml:space="preserve">In the interpleader action, </w:t>
      </w:r>
      <w:r>
        <w:t>Thomas also filed a petition for writ relief, which was denied as untimely.</w:t>
      </w:r>
    </w:p>
  </w:footnote>
  <w:footnote w:id="12">
    <w:p w14:paraId="6795BA1B" w14:textId="0806453F" w:rsidR="00B5326B" w:rsidRDefault="00B5326B" w:rsidP="0073690B">
      <w:pPr>
        <w:pStyle w:val="FootnoteText"/>
        <w:spacing w:after="120"/>
      </w:pPr>
      <w:r>
        <w:rPr>
          <w:rStyle w:val="FootnoteReference"/>
        </w:rPr>
        <w:footnoteRef/>
      </w:r>
      <w:r>
        <w:t xml:space="preserve"> Thomas opposed the motion, stating that Gibson’s argument was “a fictive horse soon curried.”</w:t>
      </w:r>
    </w:p>
  </w:footnote>
  <w:footnote w:id="13">
    <w:p w14:paraId="1E5BAF77" w14:textId="627ECD86" w:rsidR="00ED7E0F" w:rsidRDefault="00ED7E0F">
      <w:pPr>
        <w:pStyle w:val="FootnoteText"/>
      </w:pPr>
      <w:r>
        <w:rPr>
          <w:rStyle w:val="FootnoteReference"/>
        </w:rPr>
        <w:footnoteRef/>
      </w:r>
      <w:r>
        <w:t xml:space="preserve"> </w:t>
      </w:r>
      <w:bookmarkStart w:id="11" w:name="_Hlk111623434"/>
      <w:r w:rsidR="00AC55F3">
        <w:t xml:space="preserve">In its </w:t>
      </w:r>
      <w:r w:rsidR="00AC55F3" w:rsidRPr="00AC55F3">
        <w:t>April</w:t>
      </w:r>
      <w:r w:rsidR="00AC55F3">
        <w:t> 27, 2015 decision</w:t>
      </w:r>
      <w:r w:rsidR="004C5F92">
        <w:t xml:space="preserve">, detailed </w:t>
      </w:r>
      <w:r w:rsidR="004C5F92">
        <w:rPr>
          <w:i/>
          <w:iCs/>
        </w:rPr>
        <w:t>post</w:t>
      </w:r>
      <w:r w:rsidR="00AC55F3">
        <w:t>, t</w:t>
      </w:r>
      <w:r w:rsidRPr="00AC55F3">
        <w:t>he</w:t>
      </w:r>
      <w:r>
        <w:t xml:space="preserve"> appellate court dismissed the appeal of the March 29, 2013 order as untimely.</w:t>
      </w:r>
    </w:p>
    <w:bookmarkEnd w:id="11"/>
  </w:footnote>
  <w:footnote w:id="14">
    <w:p w14:paraId="18BD3ABF" w14:textId="77777777" w:rsidR="00B5326B" w:rsidRDefault="00B5326B" w:rsidP="00B5326B">
      <w:pPr>
        <w:pStyle w:val="FootnoteText"/>
      </w:pPr>
      <w:r>
        <w:rPr>
          <w:rStyle w:val="FootnoteReference"/>
        </w:rPr>
        <w:footnoteRef/>
      </w:r>
      <w:r>
        <w:t xml:space="preserve"> The court noted that Thomas said only a “settlement offer” or “state bar letter” would get his attention, that Thomas was rejecting Gibson’s “purification efforts,” and that there were “consequences” from Gibson’s “client just hang[ing] around with the ‘lessee university’ crowd.”  </w:t>
      </w:r>
    </w:p>
  </w:footnote>
  <w:footnote w:id="15">
    <w:p w14:paraId="2E835EDF" w14:textId="77777777" w:rsidR="00B5326B" w:rsidRDefault="00B5326B" w:rsidP="0076607F">
      <w:pPr>
        <w:pStyle w:val="FootnoteText"/>
        <w:spacing w:after="120"/>
      </w:pPr>
      <w:r>
        <w:rPr>
          <w:rStyle w:val="FootnoteReference"/>
        </w:rPr>
        <w:footnoteRef/>
      </w:r>
      <w:r>
        <w:t xml:space="preserve"> The hearing judge found Gibson’s testimony credible.  </w:t>
      </w:r>
    </w:p>
  </w:footnote>
  <w:footnote w:id="16">
    <w:p w14:paraId="00DB4E4F" w14:textId="13D918D6" w:rsidR="00B5326B" w:rsidRDefault="00B5326B" w:rsidP="001B33CE">
      <w:pPr>
        <w:pStyle w:val="FootnoteText"/>
      </w:pPr>
      <w:r>
        <w:rPr>
          <w:rStyle w:val="FootnoteReference"/>
        </w:rPr>
        <w:footnoteRef/>
      </w:r>
      <w:r>
        <w:t xml:space="preserve"> Thomas did not appeal the judgment dismissing the second amended complaint within the required 60 days from the notice of entry of judgment.  As a result, the judgment became final on June 7, 2017</w:t>
      </w:r>
      <w:r w:rsidR="0021590C">
        <w:t>.</w:t>
      </w:r>
    </w:p>
  </w:footnote>
  <w:footnote w:id="17">
    <w:p w14:paraId="7857D023" w14:textId="52099A80" w:rsidR="00B5326B" w:rsidRDefault="00B5326B" w:rsidP="001B33CE">
      <w:pPr>
        <w:pStyle w:val="FootnoteText"/>
      </w:pPr>
      <w:r>
        <w:rPr>
          <w:rStyle w:val="FootnoteReference"/>
        </w:rPr>
        <w:footnoteRef/>
      </w:r>
      <w:r>
        <w:t xml:space="preserve"> Thomas then filed a 45-page petition for rehearing of the dismissal, arguing that all his appeals and </w:t>
      </w:r>
      <w:r w:rsidR="00BA22AD">
        <w:t>all</w:t>
      </w:r>
      <w:r>
        <w:t xml:space="preserve"> True Harmony’s appeals should be allowed to proceed.  The appellate court denied the petition.  Thomas then ignored the court’s order and filed an opening brief on behalf of True Harmony, even though the court had dismissed </w:t>
      </w:r>
      <w:r w:rsidR="00BA22AD">
        <w:t>all</w:t>
      </w:r>
      <w:r>
        <w:t xml:space="preserve"> its appeals.  </w:t>
      </w:r>
      <w:r w:rsidR="00563E69">
        <w:t>Thomas</w:t>
      </w:r>
      <w:r>
        <w:t xml:space="preserve"> then submitted a supplement to the opening brief, arguing yet again that True Harmony should be given the right to file a third amended complaint in the underlying action.  The court struck the opening brief and supplemental brief</w:t>
      </w:r>
      <w:r w:rsidR="006E3868">
        <w:t>, and allowed Thomas</w:t>
      </w:r>
      <w:r>
        <w:t xml:space="preserve"> to file a new opening brief, which he did.  The court found that this brief “went outside the scope of the appeal by launching into an argument about the ownership and sale of the property in the fact section and a section on ‘unclean hands.’”</w:t>
      </w:r>
    </w:p>
  </w:footnote>
  <w:footnote w:id="18">
    <w:p w14:paraId="48E21C73" w14:textId="2B91777F" w:rsidR="00AD2BB1" w:rsidRDefault="00AD2BB1">
      <w:pPr>
        <w:pStyle w:val="FootnoteText"/>
      </w:pPr>
      <w:r>
        <w:rPr>
          <w:rStyle w:val="FootnoteReference"/>
        </w:rPr>
        <w:footnoteRef/>
      </w:r>
      <w:r>
        <w:t xml:space="preserve"> </w:t>
      </w:r>
      <w:r w:rsidRPr="00AD2BB1">
        <w:t xml:space="preserve">See </w:t>
      </w:r>
      <w:r w:rsidRPr="00AD2BB1">
        <w:rPr>
          <w:i/>
          <w:iCs/>
        </w:rPr>
        <w:t>ante</w:t>
      </w:r>
      <w:r w:rsidRPr="00AD2BB1">
        <w:t>, p. 2, fn.4.</w:t>
      </w:r>
    </w:p>
  </w:footnote>
  <w:footnote w:id="19">
    <w:p w14:paraId="5BD8CBB2" w14:textId="5A2C94F2" w:rsidR="00B5326B" w:rsidRDefault="00B5326B" w:rsidP="00B5326B">
      <w:pPr>
        <w:pStyle w:val="FootnoteText"/>
        <w:spacing w:after="120"/>
      </w:pPr>
      <w:r>
        <w:rPr>
          <w:rStyle w:val="FootnoteReference"/>
        </w:rPr>
        <w:footnoteRef/>
      </w:r>
      <w:r>
        <w:t xml:space="preserve"> We note that in his briefs and at oral argument, Thomas made several arguments regarding the American Bar Association (ABA) Model Rules of Professional Conduct, asserting they should be followed </w:t>
      </w:r>
      <w:r w:rsidR="005F07BA">
        <w:t>rather than</w:t>
      </w:r>
      <w:r>
        <w:t xml:space="preserve"> the California Rules of Professional Conduct.  Thomas also contended the ABA rules take precedence over the State Bar Act and the California disciplinary statutes.  We reject his arguments as merit</w:t>
      </w:r>
      <w:r w:rsidR="00D203E9">
        <w:t>less</w:t>
      </w:r>
      <w:r>
        <w:t xml:space="preserve">.  </w:t>
      </w:r>
    </w:p>
  </w:footnote>
  <w:footnote w:id="20">
    <w:p w14:paraId="780E652B" w14:textId="77777777" w:rsidR="00B5326B" w:rsidRDefault="00B5326B" w:rsidP="001B33CE">
      <w:pPr>
        <w:pStyle w:val="FootnoteText"/>
      </w:pPr>
      <w:r>
        <w:rPr>
          <w:rStyle w:val="FootnoteReference"/>
        </w:rPr>
        <w:footnoteRef/>
      </w:r>
      <w:r>
        <w:t xml:space="preserve"> The True Harmony matter was charged in the Second NDC.  </w:t>
      </w:r>
    </w:p>
  </w:footnote>
  <w:footnote w:id="21">
    <w:p w14:paraId="5B4C18A2" w14:textId="77777777" w:rsidR="00B5326B" w:rsidRDefault="00B5326B" w:rsidP="001B33CE">
      <w:pPr>
        <w:pStyle w:val="FootnoteText"/>
      </w:pPr>
      <w:r>
        <w:rPr>
          <w:rStyle w:val="FootnoteReference"/>
        </w:rPr>
        <w:footnoteRef/>
      </w:r>
      <w:r>
        <w:t xml:space="preserve"> All further references to standards are to this source.</w:t>
      </w:r>
    </w:p>
  </w:footnote>
  <w:footnote w:id="22">
    <w:p w14:paraId="1159DBFE" w14:textId="6F0EEA13" w:rsidR="00B5326B" w:rsidRDefault="00B5326B" w:rsidP="001B33CE">
      <w:pPr>
        <w:pStyle w:val="FootnoteText"/>
      </w:pPr>
      <w:r>
        <w:rPr>
          <w:rStyle w:val="FootnoteReference"/>
        </w:rPr>
        <w:footnoteRef/>
      </w:r>
      <w:r>
        <w:t xml:space="preserve"> </w:t>
      </w:r>
      <w:r w:rsidR="009636A0">
        <w:t xml:space="preserve">At trial, </w:t>
      </w:r>
      <w:r>
        <w:t>Gibson confirmed this amount.</w:t>
      </w:r>
    </w:p>
  </w:footnote>
  <w:footnote w:id="23">
    <w:p w14:paraId="3F594A48" w14:textId="2CF70161" w:rsidR="00B5326B" w:rsidRPr="007D1ACD" w:rsidRDefault="00B5326B" w:rsidP="001B33CE">
      <w:pPr>
        <w:pStyle w:val="FootnoteText"/>
      </w:pPr>
      <w:r>
        <w:rPr>
          <w:rStyle w:val="FootnoteReference"/>
        </w:rPr>
        <w:footnoteRef/>
      </w:r>
      <w:r>
        <w:t xml:space="preserve"> Standard 2.12(a) is also applicable and provides for disbarment or actual suspension for disobedience of a court order.  (See also </w:t>
      </w:r>
      <w:r w:rsidRPr="00B6359C">
        <w:t>§ 6103</w:t>
      </w:r>
      <w:r>
        <w:t xml:space="preserve"> [disbarment or suspension for violation of court order</w:t>
      </w:r>
      <w:r w:rsidR="00BA51CB">
        <w:t>]</w:t>
      </w:r>
      <w:r w:rsidR="00C6621C">
        <w:t>;</w:t>
      </w:r>
      <w:r>
        <w:t xml:space="preserve"> </w:t>
      </w:r>
      <w:r>
        <w:rPr>
          <w:i/>
        </w:rPr>
        <w:t>Barnum v. State Bar</w:t>
      </w:r>
      <w:r>
        <w:t xml:space="preserve"> (1990) 52 Cal.3d 104, 112 [violations of court orders are serious misconduct</w:t>
      </w:r>
      <w:r w:rsidR="00CB3745">
        <w:t>].</w:t>
      </w:r>
      <w:r>
        <w:t>)</w:t>
      </w:r>
      <w:r w:rsidR="00CB3745">
        <w:t xml:space="preserve"> </w:t>
      </w:r>
      <w:r>
        <w:t xml:space="preserve"> Standard 2.12(b) provides for reproval for failure to report judicial sanctions.  A rule 5-100(A) violation is subject to suspension of up to three years or reproval under standard 2.19.</w:t>
      </w:r>
    </w:p>
  </w:footnote>
  <w:footnote w:id="24">
    <w:p w14:paraId="4715763E" w14:textId="29D45C01" w:rsidR="0086602D" w:rsidRPr="008329E8" w:rsidRDefault="0086602D" w:rsidP="00A00243">
      <w:pPr>
        <w:pStyle w:val="FootnoteText"/>
        <w:spacing w:after="120"/>
      </w:pPr>
      <w:r>
        <w:rPr>
          <w:rStyle w:val="FootnoteReference"/>
        </w:rPr>
        <w:footnoteRef/>
      </w:r>
      <w:r>
        <w:t xml:space="preserve"> We do not recommend </w:t>
      </w:r>
      <w:r w:rsidR="008329E8">
        <w:t xml:space="preserve">Thomas be ordered to pay </w:t>
      </w:r>
      <w:r w:rsidR="00CC0A3A">
        <w:t xml:space="preserve">the </w:t>
      </w:r>
      <w:r w:rsidR="008329E8">
        <w:t>sanctions as OCTC requests in light of our disbarment recommendation and because the state courts have already ordered such payments.  (</w:t>
      </w:r>
      <w:r w:rsidR="008329E8">
        <w:rPr>
          <w:i/>
        </w:rPr>
        <w:t>In the Matter of Schooler</w:t>
      </w:r>
      <w:r w:rsidR="008329E8">
        <w:t xml:space="preserve"> (Review Dept. 2017) 5 Cal. State Bar Ct. Rptr. 494</w:t>
      </w:r>
      <w:r w:rsidR="00A00243">
        <w:t>, 498.)</w:t>
      </w:r>
    </w:p>
  </w:footnote>
  <w:footnote w:id="25">
    <w:p w14:paraId="5F839009" w14:textId="77777777" w:rsidR="00B5326B" w:rsidRPr="00E02158" w:rsidRDefault="00B5326B" w:rsidP="001B33CE">
      <w:pPr>
        <w:pStyle w:val="FootnoteText"/>
        <w:rPr>
          <w:szCs w:val="24"/>
        </w:rPr>
      </w:pPr>
      <w:r w:rsidRPr="00E02158">
        <w:rPr>
          <w:rStyle w:val="FootnoteReference"/>
          <w:szCs w:val="24"/>
        </w:rPr>
        <w:footnoteRef/>
      </w:r>
      <w:r w:rsidRPr="00E02158">
        <w:rPr>
          <w:szCs w:val="24"/>
        </w:rPr>
        <w:t xml:space="preserve"> For purposes of compliance with rule 9.20(a), the operative date for identification of “clients being represented in pending matters” and others to be notified is the filing date of the Supreme Court order, not any later “effective” date of the order.  (</w:t>
      </w:r>
      <w:r w:rsidRPr="00E02158">
        <w:rPr>
          <w:i/>
          <w:szCs w:val="24"/>
        </w:rPr>
        <w:t>Athearn v. State Bar</w:t>
      </w:r>
      <w:r w:rsidRPr="00E02158">
        <w:rPr>
          <w:szCs w:val="24"/>
        </w:rPr>
        <w:t xml:space="preserve"> (1982) 32</w:t>
      </w:r>
      <w:r>
        <w:rPr>
          <w:szCs w:val="24"/>
        </w:rPr>
        <w:t> </w:t>
      </w:r>
      <w:r w:rsidRPr="00E02158">
        <w:rPr>
          <w:szCs w:val="24"/>
        </w:rPr>
        <w:t xml:space="preserve">Cal.3d 38, 45.)  Further, </w:t>
      </w:r>
      <w:r>
        <w:rPr>
          <w:szCs w:val="24"/>
        </w:rPr>
        <w:t>Thomas</w:t>
      </w:r>
      <w:r w:rsidRPr="00E02158">
        <w:rPr>
          <w:i/>
          <w:szCs w:val="24"/>
        </w:rPr>
        <w:t xml:space="preserve"> </w:t>
      </w:r>
      <w:r w:rsidRPr="00E02158">
        <w:rPr>
          <w:szCs w:val="24"/>
        </w:rPr>
        <w:t xml:space="preserve">is required to file a rule 9.20(c) affidavit even if </w:t>
      </w:r>
      <w:r>
        <w:rPr>
          <w:szCs w:val="24"/>
        </w:rPr>
        <w:t>he</w:t>
      </w:r>
      <w:r w:rsidRPr="00E02158">
        <w:rPr>
          <w:szCs w:val="24"/>
        </w:rPr>
        <w:t xml:space="preserve"> has no clients to notify on the date the Supreme Court filed its order in this proceeding.  (</w:t>
      </w:r>
      <w:r w:rsidRPr="00E02158">
        <w:rPr>
          <w:i/>
          <w:szCs w:val="24"/>
        </w:rPr>
        <w:t>Powers v. State Bar</w:t>
      </w:r>
      <w:r w:rsidRPr="00E02158">
        <w:rPr>
          <w:szCs w:val="24"/>
        </w:rPr>
        <w:t xml:space="preserve"> (1988) 44 Cal.3d 337, 341.)  In addition to being punished as a crime or contempt, an attorney’s failure to comply with rule 9.20 is, inter alia, cause for disbarment, suspension, revocation of any pending disciplinary probation, and denial of an application for reinstatement after disbarment.</w:t>
      </w:r>
      <w:r>
        <w:rPr>
          <w:szCs w:val="24"/>
        </w:rPr>
        <w:t xml:space="preserve"> </w:t>
      </w:r>
      <w:r w:rsidRPr="00E02158">
        <w:rPr>
          <w:szCs w:val="24"/>
        </w:rPr>
        <w:t xml:space="preserve"> (Cal. Rules of Court, rule 9.20(d).)</w:t>
      </w:r>
    </w:p>
  </w:footnote>
  <w:footnote w:id="26">
    <w:p w14:paraId="553987FA" w14:textId="77777777" w:rsidR="00B5326B" w:rsidRDefault="00B5326B" w:rsidP="001B33CE">
      <w:pPr>
        <w:pStyle w:val="FootnoteText"/>
        <w:ind w:firstLine="0"/>
      </w:pPr>
      <w:r>
        <w:rPr>
          <w:rStyle w:val="FootnoteReference"/>
        </w:rPr>
        <w:tab/>
        <w:t>*</w:t>
      </w:r>
      <w:r>
        <w:t xml:space="preserve"> </w:t>
      </w:r>
      <w:r w:rsidRPr="00122E47">
        <w:t>Retired Presiding Judge of the State Bar Court, serving as Review Judge Pro Tem by appointment of the California Supreme Court</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F4425"/>
    <w:multiLevelType w:val="hybridMultilevel"/>
    <w:tmpl w:val="6C4060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5" w15:restartNumberingAfterBreak="0">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8" w15:restartNumberingAfterBreak="0">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15:restartNumberingAfterBreak="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2" w15:restartNumberingAfterBreak="0">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6" w15:restartNumberingAfterBreak="0">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7" w15:restartNumberingAfterBreak="0">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3"/>
  </w:num>
  <w:num w:numId="2">
    <w:abstractNumId w:val="12"/>
  </w:num>
  <w:num w:numId="3">
    <w:abstractNumId w:val="6"/>
  </w:num>
  <w:num w:numId="4">
    <w:abstractNumId w:val="18"/>
  </w:num>
  <w:num w:numId="5">
    <w:abstractNumId w:val="5"/>
  </w:num>
  <w:num w:numId="6">
    <w:abstractNumId w:val="14"/>
  </w:num>
  <w:num w:numId="7">
    <w:abstractNumId w:val="9"/>
  </w:num>
  <w:num w:numId="8">
    <w:abstractNumId w:val="8"/>
  </w:num>
  <w:num w:numId="9">
    <w:abstractNumId w:val="16"/>
  </w:num>
  <w:num w:numId="10">
    <w:abstractNumId w:val="15"/>
  </w:num>
  <w:num w:numId="11">
    <w:abstractNumId w:val="11"/>
  </w:num>
  <w:num w:numId="12">
    <w:abstractNumId w:val="7"/>
  </w:num>
  <w:num w:numId="13">
    <w:abstractNumId w:val="21"/>
  </w:num>
  <w:num w:numId="14">
    <w:abstractNumId w:val="17"/>
  </w:num>
  <w:num w:numId="15">
    <w:abstractNumId w:val="10"/>
  </w:num>
  <w:num w:numId="16">
    <w:abstractNumId w:val="4"/>
  </w:num>
  <w:num w:numId="17">
    <w:abstractNumId w:val="0"/>
  </w:num>
  <w:num w:numId="18">
    <w:abstractNumId w:val="20"/>
  </w:num>
  <w:num w:numId="19">
    <w:abstractNumId w:val="2"/>
  </w:num>
  <w:num w:numId="20">
    <w:abstractNumId w:val="3"/>
  </w:num>
  <w:num w:numId="21">
    <w:abstractNumId w:val="19"/>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trackRevisions/>
  <w:documentProtection w:edit="trackedChanges"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26B"/>
    <w:rsid w:val="000037C3"/>
    <w:rsid w:val="00014685"/>
    <w:rsid w:val="000161FD"/>
    <w:rsid w:val="00016BA1"/>
    <w:rsid w:val="00023165"/>
    <w:rsid w:val="00027125"/>
    <w:rsid w:val="00030DDE"/>
    <w:rsid w:val="0003339E"/>
    <w:rsid w:val="000432A2"/>
    <w:rsid w:val="00043325"/>
    <w:rsid w:val="000456BC"/>
    <w:rsid w:val="000469FB"/>
    <w:rsid w:val="00051157"/>
    <w:rsid w:val="00055C8A"/>
    <w:rsid w:val="00065A44"/>
    <w:rsid w:val="00073E72"/>
    <w:rsid w:val="000749B1"/>
    <w:rsid w:val="00075182"/>
    <w:rsid w:val="00076FB9"/>
    <w:rsid w:val="00077EA5"/>
    <w:rsid w:val="000910D3"/>
    <w:rsid w:val="00092189"/>
    <w:rsid w:val="00097210"/>
    <w:rsid w:val="000A5822"/>
    <w:rsid w:val="000B138A"/>
    <w:rsid w:val="000B3BA7"/>
    <w:rsid w:val="000B3D3D"/>
    <w:rsid w:val="000B65A0"/>
    <w:rsid w:val="000B6936"/>
    <w:rsid w:val="000C0749"/>
    <w:rsid w:val="000C4373"/>
    <w:rsid w:val="000C4D16"/>
    <w:rsid w:val="000D1ED9"/>
    <w:rsid w:val="000D2633"/>
    <w:rsid w:val="000D5B63"/>
    <w:rsid w:val="000E0A7C"/>
    <w:rsid w:val="000E23F8"/>
    <w:rsid w:val="000F288B"/>
    <w:rsid w:val="000F4BD9"/>
    <w:rsid w:val="000F4FD3"/>
    <w:rsid w:val="000F7FF8"/>
    <w:rsid w:val="001044FD"/>
    <w:rsid w:val="001110D8"/>
    <w:rsid w:val="00114B7A"/>
    <w:rsid w:val="001153CC"/>
    <w:rsid w:val="00115AF4"/>
    <w:rsid w:val="00115B95"/>
    <w:rsid w:val="001165A8"/>
    <w:rsid w:val="001317FD"/>
    <w:rsid w:val="001357D3"/>
    <w:rsid w:val="00147FF5"/>
    <w:rsid w:val="0015497C"/>
    <w:rsid w:val="00155B42"/>
    <w:rsid w:val="00160894"/>
    <w:rsid w:val="001633B2"/>
    <w:rsid w:val="00171562"/>
    <w:rsid w:val="0017377F"/>
    <w:rsid w:val="00175C1C"/>
    <w:rsid w:val="00183401"/>
    <w:rsid w:val="00185B4B"/>
    <w:rsid w:val="00193A2C"/>
    <w:rsid w:val="001A3082"/>
    <w:rsid w:val="001A6939"/>
    <w:rsid w:val="001A6CD9"/>
    <w:rsid w:val="001A797B"/>
    <w:rsid w:val="001B0733"/>
    <w:rsid w:val="001B12A4"/>
    <w:rsid w:val="001B208B"/>
    <w:rsid w:val="001B21E7"/>
    <w:rsid w:val="001B23BD"/>
    <w:rsid w:val="001B2F99"/>
    <w:rsid w:val="001B33CE"/>
    <w:rsid w:val="001B3B9E"/>
    <w:rsid w:val="001B7432"/>
    <w:rsid w:val="001C0964"/>
    <w:rsid w:val="001C47E2"/>
    <w:rsid w:val="001C55D2"/>
    <w:rsid w:val="001C6530"/>
    <w:rsid w:val="001C6967"/>
    <w:rsid w:val="001D3A28"/>
    <w:rsid w:val="001D42C8"/>
    <w:rsid w:val="001D69C0"/>
    <w:rsid w:val="001D7AF8"/>
    <w:rsid w:val="001E39A0"/>
    <w:rsid w:val="001E595A"/>
    <w:rsid w:val="001E5A9B"/>
    <w:rsid w:val="001E64A0"/>
    <w:rsid w:val="001F4591"/>
    <w:rsid w:val="001F6009"/>
    <w:rsid w:val="001F66B9"/>
    <w:rsid w:val="001F6D5E"/>
    <w:rsid w:val="002001BC"/>
    <w:rsid w:val="002009A8"/>
    <w:rsid w:val="00203644"/>
    <w:rsid w:val="00203A14"/>
    <w:rsid w:val="00206FCD"/>
    <w:rsid w:val="0021590C"/>
    <w:rsid w:val="0022109B"/>
    <w:rsid w:val="00223504"/>
    <w:rsid w:val="00223BF0"/>
    <w:rsid w:val="00223F14"/>
    <w:rsid w:val="00224D6E"/>
    <w:rsid w:val="00225A2F"/>
    <w:rsid w:val="00230614"/>
    <w:rsid w:val="00234D03"/>
    <w:rsid w:val="0023766E"/>
    <w:rsid w:val="0024066D"/>
    <w:rsid w:val="002425C6"/>
    <w:rsid w:val="0024299E"/>
    <w:rsid w:val="00242F46"/>
    <w:rsid w:val="00243A9D"/>
    <w:rsid w:val="002441AA"/>
    <w:rsid w:val="00244A80"/>
    <w:rsid w:val="002464C0"/>
    <w:rsid w:val="002508B4"/>
    <w:rsid w:val="002518C1"/>
    <w:rsid w:val="002523C2"/>
    <w:rsid w:val="00252C67"/>
    <w:rsid w:val="0025465E"/>
    <w:rsid w:val="00266E18"/>
    <w:rsid w:val="00267996"/>
    <w:rsid w:val="00270932"/>
    <w:rsid w:val="00271A95"/>
    <w:rsid w:val="00273D29"/>
    <w:rsid w:val="00276B61"/>
    <w:rsid w:val="002777DD"/>
    <w:rsid w:val="00282CEE"/>
    <w:rsid w:val="00283144"/>
    <w:rsid w:val="00283D96"/>
    <w:rsid w:val="00285341"/>
    <w:rsid w:val="0028625D"/>
    <w:rsid w:val="00287C84"/>
    <w:rsid w:val="002907BD"/>
    <w:rsid w:val="00293579"/>
    <w:rsid w:val="002939C5"/>
    <w:rsid w:val="002A010C"/>
    <w:rsid w:val="002A3146"/>
    <w:rsid w:val="002A4D6D"/>
    <w:rsid w:val="002A535A"/>
    <w:rsid w:val="002A5941"/>
    <w:rsid w:val="002A6BC0"/>
    <w:rsid w:val="002B0735"/>
    <w:rsid w:val="002B1C92"/>
    <w:rsid w:val="002B253C"/>
    <w:rsid w:val="002B317A"/>
    <w:rsid w:val="002B364D"/>
    <w:rsid w:val="002B4268"/>
    <w:rsid w:val="002B476D"/>
    <w:rsid w:val="002B58F7"/>
    <w:rsid w:val="002B7D4A"/>
    <w:rsid w:val="002C0ED2"/>
    <w:rsid w:val="002C1849"/>
    <w:rsid w:val="002C1DF8"/>
    <w:rsid w:val="002C3C51"/>
    <w:rsid w:val="002D028A"/>
    <w:rsid w:val="002D2E51"/>
    <w:rsid w:val="002D45C2"/>
    <w:rsid w:val="002D53B0"/>
    <w:rsid w:val="002E3AB0"/>
    <w:rsid w:val="002F3945"/>
    <w:rsid w:val="002F3BFA"/>
    <w:rsid w:val="002F3E44"/>
    <w:rsid w:val="002F45AA"/>
    <w:rsid w:val="002F5CA6"/>
    <w:rsid w:val="00303FE8"/>
    <w:rsid w:val="003057F4"/>
    <w:rsid w:val="00310E53"/>
    <w:rsid w:val="00311270"/>
    <w:rsid w:val="003209BE"/>
    <w:rsid w:val="00320A11"/>
    <w:rsid w:val="003223CB"/>
    <w:rsid w:val="003247B9"/>
    <w:rsid w:val="00330868"/>
    <w:rsid w:val="003313E4"/>
    <w:rsid w:val="0033324D"/>
    <w:rsid w:val="0033509A"/>
    <w:rsid w:val="00336F2B"/>
    <w:rsid w:val="003427DA"/>
    <w:rsid w:val="00345541"/>
    <w:rsid w:val="00353B2D"/>
    <w:rsid w:val="00353B3F"/>
    <w:rsid w:val="0035432F"/>
    <w:rsid w:val="00357051"/>
    <w:rsid w:val="00363F93"/>
    <w:rsid w:val="00367461"/>
    <w:rsid w:val="00367827"/>
    <w:rsid w:val="00371DC0"/>
    <w:rsid w:val="00374340"/>
    <w:rsid w:val="00376A30"/>
    <w:rsid w:val="00380F44"/>
    <w:rsid w:val="00382790"/>
    <w:rsid w:val="0038496D"/>
    <w:rsid w:val="003A023F"/>
    <w:rsid w:val="003A19EC"/>
    <w:rsid w:val="003A57CC"/>
    <w:rsid w:val="003A5F40"/>
    <w:rsid w:val="003A60F9"/>
    <w:rsid w:val="003B00AB"/>
    <w:rsid w:val="003B4895"/>
    <w:rsid w:val="003B4F0A"/>
    <w:rsid w:val="003C250E"/>
    <w:rsid w:val="003D09FD"/>
    <w:rsid w:val="003D41D0"/>
    <w:rsid w:val="003D7D88"/>
    <w:rsid w:val="003E276C"/>
    <w:rsid w:val="003E2BE1"/>
    <w:rsid w:val="003E4AD0"/>
    <w:rsid w:val="003E6405"/>
    <w:rsid w:val="003F06DF"/>
    <w:rsid w:val="003F1E21"/>
    <w:rsid w:val="003F5A0E"/>
    <w:rsid w:val="003F5DE9"/>
    <w:rsid w:val="003F76A5"/>
    <w:rsid w:val="00400305"/>
    <w:rsid w:val="004012B9"/>
    <w:rsid w:val="004059FF"/>
    <w:rsid w:val="004115F3"/>
    <w:rsid w:val="00415A9C"/>
    <w:rsid w:val="00421DD0"/>
    <w:rsid w:val="00423EAE"/>
    <w:rsid w:val="00426015"/>
    <w:rsid w:val="004330DE"/>
    <w:rsid w:val="00434087"/>
    <w:rsid w:val="00434FA7"/>
    <w:rsid w:val="00440D64"/>
    <w:rsid w:val="004427E3"/>
    <w:rsid w:val="00443DF4"/>
    <w:rsid w:val="00444507"/>
    <w:rsid w:val="00444535"/>
    <w:rsid w:val="004460FE"/>
    <w:rsid w:val="004511A0"/>
    <w:rsid w:val="00453603"/>
    <w:rsid w:val="00455DF9"/>
    <w:rsid w:val="004565B8"/>
    <w:rsid w:val="004671F3"/>
    <w:rsid w:val="004738F0"/>
    <w:rsid w:val="00474987"/>
    <w:rsid w:val="00475230"/>
    <w:rsid w:val="004802CD"/>
    <w:rsid w:val="0048073C"/>
    <w:rsid w:val="004838D0"/>
    <w:rsid w:val="00486056"/>
    <w:rsid w:val="004978CF"/>
    <w:rsid w:val="004A5E27"/>
    <w:rsid w:val="004A7930"/>
    <w:rsid w:val="004B2237"/>
    <w:rsid w:val="004C5F92"/>
    <w:rsid w:val="004C67C4"/>
    <w:rsid w:val="004C6A45"/>
    <w:rsid w:val="004D0E25"/>
    <w:rsid w:val="004D1984"/>
    <w:rsid w:val="004D32E9"/>
    <w:rsid w:val="004D480A"/>
    <w:rsid w:val="004D7935"/>
    <w:rsid w:val="004E025E"/>
    <w:rsid w:val="004E0D84"/>
    <w:rsid w:val="004E14ED"/>
    <w:rsid w:val="004E39E6"/>
    <w:rsid w:val="004F1419"/>
    <w:rsid w:val="004F4322"/>
    <w:rsid w:val="004F622B"/>
    <w:rsid w:val="005002A7"/>
    <w:rsid w:val="00501301"/>
    <w:rsid w:val="00512F66"/>
    <w:rsid w:val="00514D79"/>
    <w:rsid w:val="005231E8"/>
    <w:rsid w:val="005247EB"/>
    <w:rsid w:val="005264E3"/>
    <w:rsid w:val="00526BEC"/>
    <w:rsid w:val="00535874"/>
    <w:rsid w:val="00535C06"/>
    <w:rsid w:val="00536EEB"/>
    <w:rsid w:val="00546CD9"/>
    <w:rsid w:val="0054786D"/>
    <w:rsid w:val="005539CE"/>
    <w:rsid w:val="005557C7"/>
    <w:rsid w:val="00555B35"/>
    <w:rsid w:val="00560933"/>
    <w:rsid w:val="00560ED4"/>
    <w:rsid w:val="00563E69"/>
    <w:rsid w:val="00564891"/>
    <w:rsid w:val="00564E4A"/>
    <w:rsid w:val="00565E57"/>
    <w:rsid w:val="005666B6"/>
    <w:rsid w:val="00567A35"/>
    <w:rsid w:val="00567D95"/>
    <w:rsid w:val="00570C3E"/>
    <w:rsid w:val="005722F8"/>
    <w:rsid w:val="005725C7"/>
    <w:rsid w:val="0057305A"/>
    <w:rsid w:val="00580DE3"/>
    <w:rsid w:val="00581B64"/>
    <w:rsid w:val="0058210A"/>
    <w:rsid w:val="005835CF"/>
    <w:rsid w:val="00583C30"/>
    <w:rsid w:val="005944CB"/>
    <w:rsid w:val="005A3BCC"/>
    <w:rsid w:val="005A488B"/>
    <w:rsid w:val="005B0183"/>
    <w:rsid w:val="005B4994"/>
    <w:rsid w:val="005C0596"/>
    <w:rsid w:val="005C17BF"/>
    <w:rsid w:val="005C18CA"/>
    <w:rsid w:val="005C3125"/>
    <w:rsid w:val="005C39B4"/>
    <w:rsid w:val="005C47F7"/>
    <w:rsid w:val="005C6155"/>
    <w:rsid w:val="005D0F6A"/>
    <w:rsid w:val="005D11AB"/>
    <w:rsid w:val="005D14A1"/>
    <w:rsid w:val="005D6826"/>
    <w:rsid w:val="005E0349"/>
    <w:rsid w:val="005E54E7"/>
    <w:rsid w:val="005E6814"/>
    <w:rsid w:val="005F07BA"/>
    <w:rsid w:val="005F17DC"/>
    <w:rsid w:val="005F3B04"/>
    <w:rsid w:val="005F3B76"/>
    <w:rsid w:val="005F450C"/>
    <w:rsid w:val="00605473"/>
    <w:rsid w:val="00606383"/>
    <w:rsid w:val="006102C0"/>
    <w:rsid w:val="0061073E"/>
    <w:rsid w:val="0061274E"/>
    <w:rsid w:val="00612C22"/>
    <w:rsid w:val="006138F4"/>
    <w:rsid w:val="006205B3"/>
    <w:rsid w:val="00621029"/>
    <w:rsid w:val="006235C0"/>
    <w:rsid w:val="00624F16"/>
    <w:rsid w:val="00625BF1"/>
    <w:rsid w:val="00627915"/>
    <w:rsid w:val="006334D5"/>
    <w:rsid w:val="0063518A"/>
    <w:rsid w:val="006356B6"/>
    <w:rsid w:val="00636DE4"/>
    <w:rsid w:val="00637E3A"/>
    <w:rsid w:val="00641178"/>
    <w:rsid w:val="00642191"/>
    <w:rsid w:val="0064297E"/>
    <w:rsid w:val="006432FA"/>
    <w:rsid w:val="00643332"/>
    <w:rsid w:val="006476AD"/>
    <w:rsid w:val="0065009F"/>
    <w:rsid w:val="00650E13"/>
    <w:rsid w:val="00651EB4"/>
    <w:rsid w:val="006537F1"/>
    <w:rsid w:val="00656C3A"/>
    <w:rsid w:val="00657F43"/>
    <w:rsid w:val="00661C97"/>
    <w:rsid w:val="006674C3"/>
    <w:rsid w:val="00667A74"/>
    <w:rsid w:val="006717BE"/>
    <w:rsid w:val="00672C77"/>
    <w:rsid w:val="00673F29"/>
    <w:rsid w:val="00674101"/>
    <w:rsid w:val="00675177"/>
    <w:rsid w:val="006756AC"/>
    <w:rsid w:val="00694145"/>
    <w:rsid w:val="006A6D28"/>
    <w:rsid w:val="006B07C5"/>
    <w:rsid w:val="006B0A93"/>
    <w:rsid w:val="006B1E21"/>
    <w:rsid w:val="006B3460"/>
    <w:rsid w:val="006B5D84"/>
    <w:rsid w:val="006C5785"/>
    <w:rsid w:val="006C5DA1"/>
    <w:rsid w:val="006D4B40"/>
    <w:rsid w:val="006E0A41"/>
    <w:rsid w:val="006E3868"/>
    <w:rsid w:val="006E4196"/>
    <w:rsid w:val="006E4FAC"/>
    <w:rsid w:val="006E5395"/>
    <w:rsid w:val="006E5F4D"/>
    <w:rsid w:val="006F4667"/>
    <w:rsid w:val="007002E7"/>
    <w:rsid w:val="00702B9D"/>
    <w:rsid w:val="00702FE3"/>
    <w:rsid w:val="007051C7"/>
    <w:rsid w:val="007123D7"/>
    <w:rsid w:val="007152B1"/>
    <w:rsid w:val="00716F49"/>
    <w:rsid w:val="00717F75"/>
    <w:rsid w:val="0072143A"/>
    <w:rsid w:val="00727625"/>
    <w:rsid w:val="00730B4C"/>
    <w:rsid w:val="007314DC"/>
    <w:rsid w:val="007325C7"/>
    <w:rsid w:val="0073411C"/>
    <w:rsid w:val="00735FF8"/>
    <w:rsid w:val="0073690B"/>
    <w:rsid w:val="00741B93"/>
    <w:rsid w:val="0074426B"/>
    <w:rsid w:val="0074695E"/>
    <w:rsid w:val="00753E7C"/>
    <w:rsid w:val="00762BEF"/>
    <w:rsid w:val="00763312"/>
    <w:rsid w:val="0076607F"/>
    <w:rsid w:val="00766C56"/>
    <w:rsid w:val="00767C07"/>
    <w:rsid w:val="00774A46"/>
    <w:rsid w:val="00776B44"/>
    <w:rsid w:val="00777B23"/>
    <w:rsid w:val="00777E9F"/>
    <w:rsid w:val="007827FD"/>
    <w:rsid w:val="0078319E"/>
    <w:rsid w:val="0078386C"/>
    <w:rsid w:val="00784251"/>
    <w:rsid w:val="007854AB"/>
    <w:rsid w:val="00787006"/>
    <w:rsid w:val="00787214"/>
    <w:rsid w:val="00791252"/>
    <w:rsid w:val="007920EF"/>
    <w:rsid w:val="0079450C"/>
    <w:rsid w:val="00794CCD"/>
    <w:rsid w:val="00794D8A"/>
    <w:rsid w:val="00794FF4"/>
    <w:rsid w:val="00795963"/>
    <w:rsid w:val="007A1310"/>
    <w:rsid w:val="007A35AF"/>
    <w:rsid w:val="007A3D47"/>
    <w:rsid w:val="007A41F1"/>
    <w:rsid w:val="007A46B7"/>
    <w:rsid w:val="007A69E6"/>
    <w:rsid w:val="007A7F7A"/>
    <w:rsid w:val="007B3BC3"/>
    <w:rsid w:val="007B409A"/>
    <w:rsid w:val="007C0310"/>
    <w:rsid w:val="007C24EF"/>
    <w:rsid w:val="007C26E8"/>
    <w:rsid w:val="007C35AC"/>
    <w:rsid w:val="007C6F5C"/>
    <w:rsid w:val="007D031D"/>
    <w:rsid w:val="007D239D"/>
    <w:rsid w:val="007D27BB"/>
    <w:rsid w:val="007D2BE0"/>
    <w:rsid w:val="007D3DB1"/>
    <w:rsid w:val="007D482F"/>
    <w:rsid w:val="007D50C1"/>
    <w:rsid w:val="007E1C4E"/>
    <w:rsid w:val="007E2802"/>
    <w:rsid w:val="007E284B"/>
    <w:rsid w:val="007E5547"/>
    <w:rsid w:val="007E6A94"/>
    <w:rsid w:val="007E7079"/>
    <w:rsid w:val="007E761D"/>
    <w:rsid w:val="007F0E3B"/>
    <w:rsid w:val="007F5542"/>
    <w:rsid w:val="007F55C8"/>
    <w:rsid w:val="00800373"/>
    <w:rsid w:val="008022F9"/>
    <w:rsid w:val="00804793"/>
    <w:rsid w:val="00806835"/>
    <w:rsid w:val="00812E41"/>
    <w:rsid w:val="00813125"/>
    <w:rsid w:val="008131E1"/>
    <w:rsid w:val="00815036"/>
    <w:rsid w:val="00815347"/>
    <w:rsid w:val="00817CD5"/>
    <w:rsid w:val="00822951"/>
    <w:rsid w:val="00824E47"/>
    <w:rsid w:val="00826382"/>
    <w:rsid w:val="00826806"/>
    <w:rsid w:val="00826BAF"/>
    <w:rsid w:val="0082754B"/>
    <w:rsid w:val="00832223"/>
    <w:rsid w:val="00832966"/>
    <w:rsid w:val="008329E8"/>
    <w:rsid w:val="00836133"/>
    <w:rsid w:val="00837CC9"/>
    <w:rsid w:val="008410A3"/>
    <w:rsid w:val="0084169A"/>
    <w:rsid w:val="0084324A"/>
    <w:rsid w:val="008459F3"/>
    <w:rsid w:val="008471A4"/>
    <w:rsid w:val="00853CF6"/>
    <w:rsid w:val="008541DD"/>
    <w:rsid w:val="008558EF"/>
    <w:rsid w:val="0086602D"/>
    <w:rsid w:val="008671A8"/>
    <w:rsid w:val="008726CB"/>
    <w:rsid w:val="00873AF6"/>
    <w:rsid w:val="00873CD3"/>
    <w:rsid w:val="008837E0"/>
    <w:rsid w:val="00883FFE"/>
    <w:rsid w:val="00885EA7"/>
    <w:rsid w:val="008870AC"/>
    <w:rsid w:val="0089567A"/>
    <w:rsid w:val="008A1F93"/>
    <w:rsid w:val="008A478B"/>
    <w:rsid w:val="008B02F1"/>
    <w:rsid w:val="008B05B4"/>
    <w:rsid w:val="008B0E2E"/>
    <w:rsid w:val="008B1B51"/>
    <w:rsid w:val="008B522C"/>
    <w:rsid w:val="008B593F"/>
    <w:rsid w:val="008B684F"/>
    <w:rsid w:val="008C2C2D"/>
    <w:rsid w:val="008C64BC"/>
    <w:rsid w:val="008D5E51"/>
    <w:rsid w:val="008D6952"/>
    <w:rsid w:val="008E33C6"/>
    <w:rsid w:val="008E4474"/>
    <w:rsid w:val="008F05C3"/>
    <w:rsid w:val="00901C42"/>
    <w:rsid w:val="00901F94"/>
    <w:rsid w:val="009033E7"/>
    <w:rsid w:val="00910128"/>
    <w:rsid w:val="00910FF4"/>
    <w:rsid w:val="0091181C"/>
    <w:rsid w:val="009119E7"/>
    <w:rsid w:val="0091276D"/>
    <w:rsid w:val="00913027"/>
    <w:rsid w:val="0091654B"/>
    <w:rsid w:val="0092149F"/>
    <w:rsid w:val="009260D0"/>
    <w:rsid w:val="00931D57"/>
    <w:rsid w:val="00940505"/>
    <w:rsid w:val="00940B32"/>
    <w:rsid w:val="00942229"/>
    <w:rsid w:val="009422FE"/>
    <w:rsid w:val="00944932"/>
    <w:rsid w:val="0094519A"/>
    <w:rsid w:val="0094534C"/>
    <w:rsid w:val="009616DD"/>
    <w:rsid w:val="009633A6"/>
    <w:rsid w:val="009636A0"/>
    <w:rsid w:val="00972D3B"/>
    <w:rsid w:val="009742D2"/>
    <w:rsid w:val="009815ED"/>
    <w:rsid w:val="009849E9"/>
    <w:rsid w:val="00984C7A"/>
    <w:rsid w:val="009854C0"/>
    <w:rsid w:val="0099101B"/>
    <w:rsid w:val="00992369"/>
    <w:rsid w:val="00994C02"/>
    <w:rsid w:val="009979EE"/>
    <w:rsid w:val="009A5CB7"/>
    <w:rsid w:val="009A7BEC"/>
    <w:rsid w:val="009B062B"/>
    <w:rsid w:val="009B2EA3"/>
    <w:rsid w:val="009B3193"/>
    <w:rsid w:val="009B4736"/>
    <w:rsid w:val="009C1B04"/>
    <w:rsid w:val="009C3229"/>
    <w:rsid w:val="009C6648"/>
    <w:rsid w:val="009C6992"/>
    <w:rsid w:val="009D1484"/>
    <w:rsid w:val="009D1BB3"/>
    <w:rsid w:val="009D1C82"/>
    <w:rsid w:val="009D3D4A"/>
    <w:rsid w:val="009D4389"/>
    <w:rsid w:val="009E21EA"/>
    <w:rsid w:val="009E39A1"/>
    <w:rsid w:val="009E3A8D"/>
    <w:rsid w:val="009E7736"/>
    <w:rsid w:val="009F56DC"/>
    <w:rsid w:val="009F69F6"/>
    <w:rsid w:val="00A00243"/>
    <w:rsid w:val="00A05334"/>
    <w:rsid w:val="00A0535C"/>
    <w:rsid w:val="00A11DE0"/>
    <w:rsid w:val="00A137C1"/>
    <w:rsid w:val="00A15EFA"/>
    <w:rsid w:val="00A202E9"/>
    <w:rsid w:val="00A221C8"/>
    <w:rsid w:val="00A30A5A"/>
    <w:rsid w:val="00A34E25"/>
    <w:rsid w:val="00A41B56"/>
    <w:rsid w:val="00A5725A"/>
    <w:rsid w:val="00A6146C"/>
    <w:rsid w:val="00A649AA"/>
    <w:rsid w:val="00A7031D"/>
    <w:rsid w:val="00A71CEA"/>
    <w:rsid w:val="00A741E0"/>
    <w:rsid w:val="00A75748"/>
    <w:rsid w:val="00A872F6"/>
    <w:rsid w:val="00A90282"/>
    <w:rsid w:val="00A905BB"/>
    <w:rsid w:val="00A9146A"/>
    <w:rsid w:val="00A91597"/>
    <w:rsid w:val="00A93030"/>
    <w:rsid w:val="00A94B9A"/>
    <w:rsid w:val="00A96801"/>
    <w:rsid w:val="00A9723A"/>
    <w:rsid w:val="00AA18DB"/>
    <w:rsid w:val="00AA2357"/>
    <w:rsid w:val="00AA2B2F"/>
    <w:rsid w:val="00AA2BBA"/>
    <w:rsid w:val="00AA5A93"/>
    <w:rsid w:val="00AA68E9"/>
    <w:rsid w:val="00AA79B8"/>
    <w:rsid w:val="00AB5BF4"/>
    <w:rsid w:val="00AC07CB"/>
    <w:rsid w:val="00AC11E2"/>
    <w:rsid w:val="00AC210A"/>
    <w:rsid w:val="00AC55F3"/>
    <w:rsid w:val="00AC5A94"/>
    <w:rsid w:val="00AD1E31"/>
    <w:rsid w:val="00AD2BB1"/>
    <w:rsid w:val="00AD6B53"/>
    <w:rsid w:val="00AE0650"/>
    <w:rsid w:val="00AE694E"/>
    <w:rsid w:val="00AF0D46"/>
    <w:rsid w:val="00AF7121"/>
    <w:rsid w:val="00B01098"/>
    <w:rsid w:val="00B04824"/>
    <w:rsid w:val="00B05826"/>
    <w:rsid w:val="00B07940"/>
    <w:rsid w:val="00B1306D"/>
    <w:rsid w:val="00B169DC"/>
    <w:rsid w:val="00B21D9E"/>
    <w:rsid w:val="00B2294D"/>
    <w:rsid w:val="00B231E1"/>
    <w:rsid w:val="00B23A85"/>
    <w:rsid w:val="00B2507A"/>
    <w:rsid w:val="00B27775"/>
    <w:rsid w:val="00B33137"/>
    <w:rsid w:val="00B37CDC"/>
    <w:rsid w:val="00B40EFE"/>
    <w:rsid w:val="00B42A29"/>
    <w:rsid w:val="00B440DC"/>
    <w:rsid w:val="00B5326B"/>
    <w:rsid w:val="00B57206"/>
    <w:rsid w:val="00B616EE"/>
    <w:rsid w:val="00B638A4"/>
    <w:rsid w:val="00B705D6"/>
    <w:rsid w:val="00B74EE2"/>
    <w:rsid w:val="00B75918"/>
    <w:rsid w:val="00B76F6A"/>
    <w:rsid w:val="00B76F80"/>
    <w:rsid w:val="00B847AB"/>
    <w:rsid w:val="00B87B3C"/>
    <w:rsid w:val="00B97C72"/>
    <w:rsid w:val="00BA215D"/>
    <w:rsid w:val="00BA22AD"/>
    <w:rsid w:val="00BA51CB"/>
    <w:rsid w:val="00BA7C50"/>
    <w:rsid w:val="00BB3F53"/>
    <w:rsid w:val="00BB62C6"/>
    <w:rsid w:val="00BB6EEA"/>
    <w:rsid w:val="00BB756B"/>
    <w:rsid w:val="00BC0BEF"/>
    <w:rsid w:val="00BC53C2"/>
    <w:rsid w:val="00BC7687"/>
    <w:rsid w:val="00BD0653"/>
    <w:rsid w:val="00BD27E0"/>
    <w:rsid w:val="00BD2834"/>
    <w:rsid w:val="00BD2FD3"/>
    <w:rsid w:val="00BD3EED"/>
    <w:rsid w:val="00BD430D"/>
    <w:rsid w:val="00BD7887"/>
    <w:rsid w:val="00BE0686"/>
    <w:rsid w:val="00BE68DB"/>
    <w:rsid w:val="00BF098A"/>
    <w:rsid w:val="00BF1AE9"/>
    <w:rsid w:val="00BF2BDD"/>
    <w:rsid w:val="00BF3217"/>
    <w:rsid w:val="00BF38AA"/>
    <w:rsid w:val="00BF562D"/>
    <w:rsid w:val="00BF685F"/>
    <w:rsid w:val="00BF6A10"/>
    <w:rsid w:val="00C00939"/>
    <w:rsid w:val="00C03B44"/>
    <w:rsid w:val="00C05852"/>
    <w:rsid w:val="00C061B0"/>
    <w:rsid w:val="00C06A47"/>
    <w:rsid w:val="00C10AA3"/>
    <w:rsid w:val="00C11929"/>
    <w:rsid w:val="00C13F27"/>
    <w:rsid w:val="00C14B3D"/>
    <w:rsid w:val="00C2097C"/>
    <w:rsid w:val="00C21FEA"/>
    <w:rsid w:val="00C23E33"/>
    <w:rsid w:val="00C2485F"/>
    <w:rsid w:val="00C2496B"/>
    <w:rsid w:val="00C304D1"/>
    <w:rsid w:val="00C308AB"/>
    <w:rsid w:val="00C33C5B"/>
    <w:rsid w:val="00C43E11"/>
    <w:rsid w:val="00C44D74"/>
    <w:rsid w:val="00C45A41"/>
    <w:rsid w:val="00C52387"/>
    <w:rsid w:val="00C5524D"/>
    <w:rsid w:val="00C57DF3"/>
    <w:rsid w:val="00C62D3B"/>
    <w:rsid w:val="00C64BCA"/>
    <w:rsid w:val="00C64CC2"/>
    <w:rsid w:val="00C6621C"/>
    <w:rsid w:val="00C740F9"/>
    <w:rsid w:val="00C77164"/>
    <w:rsid w:val="00C84A98"/>
    <w:rsid w:val="00C85F80"/>
    <w:rsid w:val="00C87241"/>
    <w:rsid w:val="00C9774C"/>
    <w:rsid w:val="00CA0073"/>
    <w:rsid w:val="00CA1595"/>
    <w:rsid w:val="00CA32D8"/>
    <w:rsid w:val="00CA4C73"/>
    <w:rsid w:val="00CB160E"/>
    <w:rsid w:val="00CB3745"/>
    <w:rsid w:val="00CB4820"/>
    <w:rsid w:val="00CB6061"/>
    <w:rsid w:val="00CB7057"/>
    <w:rsid w:val="00CB7599"/>
    <w:rsid w:val="00CB774A"/>
    <w:rsid w:val="00CB7D2E"/>
    <w:rsid w:val="00CC0A3A"/>
    <w:rsid w:val="00CC0D9D"/>
    <w:rsid w:val="00CC375F"/>
    <w:rsid w:val="00CD1108"/>
    <w:rsid w:val="00CD1FBE"/>
    <w:rsid w:val="00CD5690"/>
    <w:rsid w:val="00CD7368"/>
    <w:rsid w:val="00CE0675"/>
    <w:rsid w:val="00CE3248"/>
    <w:rsid w:val="00CE4699"/>
    <w:rsid w:val="00CE5CA0"/>
    <w:rsid w:val="00CF009F"/>
    <w:rsid w:val="00CF0B97"/>
    <w:rsid w:val="00CF1C02"/>
    <w:rsid w:val="00CF3379"/>
    <w:rsid w:val="00CF346F"/>
    <w:rsid w:val="00CF3CFA"/>
    <w:rsid w:val="00CF6A33"/>
    <w:rsid w:val="00D024DE"/>
    <w:rsid w:val="00D02F5C"/>
    <w:rsid w:val="00D048B7"/>
    <w:rsid w:val="00D0658E"/>
    <w:rsid w:val="00D07080"/>
    <w:rsid w:val="00D134B7"/>
    <w:rsid w:val="00D203E9"/>
    <w:rsid w:val="00D214A9"/>
    <w:rsid w:val="00D27D0C"/>
    <w:rsid w:val="00D3348C"/>
    <w:rsid w:val="00D34F55"/>
    <w:rsid w:val="00D408AA"/>
    <w:rsid w:val="00D424A5"/>
    <w:rsid w:val="00D462E5"/>
    <w:rsid w:val="00D47B64"/>
    <w:rsid w:val="00D5061E"/>
    <w:rsid w:val="00D5062C"/>
    <w:rsid w:val="00D51788"/>
    <w:rsid w:val="00D523E2"/>
    <w:rsid w:val="00D52E3A"/>
    <w:rsid w:val="00D550F2"/>
    <w:rsid w:val="00D62CF2"/>
    <w:rsid w:val="00D6363C"/>
    <w:rsid w:val="00D66666"/>
    <w:rsid w:val="00D700AA"/>
    <w:rsid w:val="00D707AD"/>
    <w:rsid w:val="00D71892"/>
    <w:rsid w:val="00D759E7"/>
    <w:rsid w:val="00D76CA9"/>
    <w:rsid w:val="00D81782"/>
    <w:rsid w:val="00D8271E"/>
    <w:rsid w:val="00D8287E"/>
    <w:rsid w:val="00D879CB"/>
    <w:rsid w:val="00D91868"/>
    <w:rsid w:val="00D93589"/>
    <w:rsid w:val="00D9421E"/>
    <w:rsid w:val="00D94CEA"/>
    <w:rsid w:val="00D956E0"/>
    <w:rsid w:val="00D9748E"/>
    <w:rsid w:val="00DA1CF3"/>
    <w:rsid w:val="00DA3709"/>
    <w:rsid w:val="00DA6503"/>
    <w:rsid w:val="00DB112B"/>
    <w:rsid w:val="00DB137C"/>
    <w:rsid w:val="00DB3F94"/>
    <w:rsid w:val="00DC021B"/>
    <w:rsid w:val="00DC5622"/>
    <w:rsid w:val="00DC6BF8"/>
    <w:rsid w:val="00DD2CDE"/>
    <w:rsid w:val="00DD44E6"/>
    <w:rsid w:val="00DD68AA"/>
    <w:rsid w:val="00DE2D41"/>
    <w:rsid w:val="00DE4D29"/>
    <w:rsid w:val="00DE7211"/>
    <w:rsid w:val="00DF0E8A"/>
    <w:rsid w:val="00DF15A9"/>
    <w:rsid w:val="00DF1919"/>
    <w:rsid w:val="00DF79B9"/>
    <w:rsid w:val="00E01C65"/>
    <w:rsid w:val="00E057F8"/>
    <w:rsid w:val="00E07295"/>
    <w:rsid w:val="00E230F6"/>
    <w:rsid w:val="00E250E3"/>
    <w:rsid w:val="00E2516F"/>
    <w:rsid w:val="00E25A55"/>
    <w:rsid w:val="00E265E5"/>
    <w:rsid w:val="00E26B8A"/>
    <w:rsid w:val="00E33E33"/>
    <w:rsid w:val="00E340E5"/>
    <w:rsid w:val="00E40811"/>
    <w:rsid w:val="00E52FB5"/>
    <w:rsid w:val="00E545F1"/>
    <w:rsid w:val="00E55555"/>
    <w:rsid w:val="00E60D22"/>
    <w:rsid w:val="00E74FAB"/>
    <w:rsid w:val="00E7657F"/>
    <w:rsid w:val="00E7748F"/>
    <w:rsid w:val="00E77DDF"/>
    <w:rsid w:val="00E82230"/>
    <w:rsid w:val="00E8485C"/>
    <w:rsid w:val="00E853F9"/>
    <w:rsid w:val="00E9119D"/>
    <w:rsid w:val="00E9386A"/>
    <w:rsid w:val="00E941C9"/>
    <w:rsid w:val="00E94B70"/>
    <w:rsid w:val="00E976C4"/>
    <w:rsid w:val="00EA03DD"/>
    <w:rsid w:val="00EA0461"/>
    <w:rsid w:val="00EA0F32"/>
    <w:rsid w:val="00EA3272"/>
    <w:rsid w:val="00EA4FFC"/>
    <w:rsid w:val="00EB6A17"/>
    <w:rsid w:val="00EC4BC1"/>
    <w:rsid w:val="00ED4E96"/>
    <w:rsid w:val="00ED7E0F"/>
    <w:rsid w:val="00EE3DC6"/>
    <w:rsid w:val="00EE5B52"/>
    <w:rsid w:val="00EE68BA"/>
    <w:rsid w:val="00EF33E8"/>
    <w:rsid w:val="00F02F9C"/>
    <w:rsid w:val="00F05E9F"/>
    <w:rsid w:val="00F118F5"/>
    <w:rsid w:val="00F12E83"/>
    <w:rsid w:val="00F130F1"/>
    <w:rsid w:val="00F15AC1"/>
    <w:rsid w:val="00F16C05"/>
    <w:rsid w:val="00F177D7"/>
    <w:rsid w:val="00F21C7E"/>
    <w:rsid w:val="00F2229F"/>
    <w:rsid w:val="00F22592"/>
    <w:rsid w:val="00F23BF1"/>
    <w:rsid w:val="00F241F6"/>
    <w:rsid w:val="00F26321"/>
    <w:rsid w:val="00F40714"/>
    <w:rsid w:val="00F41703"/>
    <w:rsid w:val="00F427B6"/>
    <w:rsid w:val="00F45C39"/>
    <w:rsid w:val="00F45C79"/>
    <w:rsid w:val="00F53059"/>
    <w:rsid w:val="00F61A67"/>
    <w:rsid w:val="00F62E73"/>
    <w:rsid w:val="00F62FE3"/>
    <w:rsid w:val="00F6714F"/>
    <w:rsid w:val="00F70E4A"/>
    <w:rsid w:val="00F71CAA"/>
    <w:rsid w:val="00F7422A"/>
    <w:rsid w:val="00F77476"/>
    <w:rsid w:val="00F77EA5"/>
    <w:rsid w:val="00F8266A"/>
    <w:rsid w:val="00F82913"/>
    <w:rsid w:val="00F83AAC"/>
    <w:rsid w:val="00F844BE"/>
    <w:rsid w:val="00F903C7"/>
    <w:rsid w:val="00F91750"/>
    <w:rsid w:val="00F92F2E"/>
    <w:rsid w:val="00F97ED8"/>
    <w:rsid w:val="00FA116B"/>
    <w:rsid w:val="00FA3CDF"/>
    <w:rsid w:val="00FA4015"/>
    <w:rsid w:val="00FA699B"/>
    <w:rsid w:val="00FA7889"/>
    <w:rsid w:val="00FA7C0F"/>
    <w:rsid w:val="00FB12DA"/>
    <w:rsid w:val="00FB17A1"/>
    <w:rsid w:val="00FB3A50"/>
    <w:rsid w:val="00FC778F"/>
    <w:rsid w:val="00FD26B3"/>
    <w:rsid w:val="00FD40BB"/>
    <w:rsid w:val="00FD59EF"/>
    <w:rsid w:val="00FE3D7D"/>
    <w:rsid w:val="00FE4E7A"/>
    <w:rsid w:val="00FF1910"/>
    <w:rsid w:val="00FF54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DD6E46"/>
  <w15:docId w15:val="{F2A13F10-6259-431D-9DE9-AC21ABF1D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iPriority w:val="99"/>
    <w:unhideWhenUsed/>
    <w:rsid w:val="00055C8A"/>
    <w:pPr>
      <w:tabs>
        <w:tab w:val="center" w:pos="4680"/>
        <w:tab w:val="right" w:pos="9360"/>
      </w:tabs>
    </w:pPr>
  </w:style>
  <w:style w:type="character" w:customStyle="1" w:styleId="FooterChar">
    <w:name w:val="Footer Char"/>
    <w:basedOn w:val="DefaultParagraphFont"/>
    <w:link w:val="Footer"/>
    <w:uiPriority w:val="99"/>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semiHidden/>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PlaceholderText">
    <w:name w:val="Placeholder Text"/>
    <w:basedOn w:val="DefaultParagraphFont"/>
    <w:uiPriority w:val="99"/>
    <w:semiHidden/>
    <w:rsid w:val="00175C1C"/>
    <w:rPr>
      <w:color w:val="808080"/>
    </w:rPr>
  </w:style>
  <w:style w:type="paragraph" w:styleId="NoSpacing">
    <w:name w:val="No Spacing"/>
    <w:uiPriority w:val="1"/>
    <w:qFormat/>
    <w:rsid w:val="00B5326B"/>
    <w:rPr>
      <w:rFonts w:ascii="Times New Roman" w:hAnsi="Times New Roman"/>
      <w:sz w:val="24"/>
      <w:szCs w:val="22"/>
    </w:rPr>
  </w:style>
  <w:style w:type="character" w:customStyle="1" w:styleId="normaltextrun">
    <w:name w:val="normaltextrun"/>
    <w:basedOn w:val="DefaultParagraphFont"/>
    <w:rsid w:val="008541DD"/>
  </w:style>
  <w:style w:type="character" w:customStyle="1" w:styleId="spellingerror">
    <w:name w:val="spellingerror"/>
    <w:basedOn w:val="DefaultParagraphFont"/>
    <w:rsid w:val="008541DD"/>
  </w:style>
  <w:style w:type="paragraph" w:styleId="Revision">
    <w:name w:val="Revision"/>
    <w:hidden/>
    <w:uiPriority w:val="99"/>
    <w:semiHidden/>
    <w:rsid w:val="007002E7"/>
    <w:rPr>
      <w:rFonts w:ascii="Times New Roman" w:hAnsi="Times New Roman"/>
      <w:sz w:val="24"/>
      <w:szCs w:val="22"/>
    </w:rPr>
  </w:style>
  <w:style w:type="character" w:styleId="CommentReference">
    <w:name w:val="annotation reference"/>
    <w:basedOn w:val="DefaultParagraphFont"/>
    <w:uiPriority w:val="99"/>
    <w:semiHidden/>
    <w:unhideWhenUsed/>
    <w:rsid w:val="00837CC9"/>
    <w:rPr>
      <w:sz w:val="16"/>
      <w:szCs w:val="16"/>
    </w:rPr>
  </w:style>
  <w:style w:type="paragraph" w:styleId="CommentText">
    <w:name w:val="annotation text"/>
    <w:basedOn w:val="Normal"/>
    <w:link w:val="CommentTextChar"/>
    <w:uiPriority w:val="99"/>
    <w:unhideWhenUsed/>
    <w:rsid w:val="00837CC9"/>
    <w:rPr>
      <w:sz w:val="20"/>
      <w:szCs w:val="20"/>
    </w:rPr>
  </w:style>
  <w:style w:type="character" w:customStyle="1" w:styleId="CommentTextChar">
    <w:name w:val="Comment Text Char"/>
    <w:basedOn w:val="DefaultParagraphFont"/>
    <w:link w:val="CommentText"/>
    <w:uiPriority w:val="99"/>
    <w:rsid w:val="00837CC9"/>
    <w:rPr>
      <w:rFonts w:ascii="Times New Roman" w:hAnsi="Times New Roman"/>
    </w:rPr>
  </w:style>
  <w:style w:type="paragraph" w:styleId="CommentSubject">
    <w:name w:val="annotation subject"/>
    <w:basedOn w:val="CommentText"/>
    <w:next w:val="CommentText"/>
    <w:link w:val="CommentSubjectChar"/>
    <w:uiPriority w:val="99"/>
    <w:semiHidden/>
    <w:unhideWhenUsed/>
    <w:rsid w:val="00837CC9"/>
    <w:rPr>
      <w:b/>
      <w:bCs/>
    </w:rPr>
  </w:style>
  <w:style w:type="character" w:customStyle="1" w:styleId="CommentSubjectChar">
    <w:name w:val="Comment Subject Char"/>
    <w:basedOn w:val="CommentTextChar"/>
    <w:link w:val="CommentSubject"/>
    <w:uiPriority w:val="99"/>
    <w:semiHidden/>
    <w:rsid w:val="00837CC9"/>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193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9_CNSL\2019-Judge_Counsel_%20Forms\Opinion_F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C3BA6C43724312A2EA13C0602EDA91"/>
        <w:category>
          <w:name w:val="General"/>
          <w:gallery w:val="placeholder"/>
        </w:category>
        <w:types>
          <w:type w:val="bbPlcHdr"/>
        </w:types>
        <w:behaviors>
          <w:behavior w:val="content"/>
        </w:behaviors>
        <w:guid w:val="{5B69B861-F336-43C6-A75B-13B30E3C9877}"/>
      </w:docPartPr>
      <w:docPartBody>
        <w:p w:rsidR="009B5970" w:rsidRDefault="00FD2151">
          <w:pPr>
            <w:pStyle w:val="07C3BA6C43724312A2EA13C0602EDA91"/>
          </w:pPr>
          <w:r w:rsidRPr="000469FB">
            <w:rPr>
              <w:rStyle w:val="PlaceholderText"/>
              <w:caps/>
              <w:color w:val="FF0000"/>
            </w:rPr>
            <w:t>Click or tap here to enter text.</w:t>
          </w:r>
        </w:p>
      </w:docPartBody>
    </w:docPart>
    <w:docPart>
      <w:docPartPr>
        <w:name w:val="4415EF9075DB4CE5BEE4D1757FC37CDA"/>
        <w:category>
          <w:name w:val="General"/>
          <w:gallery w:val="placeholder"/>
        </w:category>
        <w:types>
          <w:type w:val="bbPlcHdr"/>
        </w:types>
        <w:behaviors>
          <w:behavior w:val="content"/>
        </w:behaviors>
        <w:guid w:val="{B73E135B-635E-46A8-B37D-14A7F89133EB}"/>
      </w:docPartPr>
      <w:docPartBody>
        <w:p w:rsidR="009B5970" w:rsidRDefault="00FD2151">
          <w:pPr>
            <w:pStyle w:val="4415EF9075DB4CE5BEE4D1757FC37CDA"/>
          </w:pPr>
          <w:r w:rsidRPr="000469FB">
            <w:rPr>
              <w:rStyle w:val="PlaceholderText"/>
              <w:color w:val="FF0000"/>
            </w:rPr>
            <w:t>Click or tap here to enter text.</w:t>
          </w:r>
        </w:p>
      </w:docPartBody>
    </w:docPart>
    <w:docPart>
      <w:docPartPr>
        <w:name w:val="BD9F7473B99B42B78B9CB42578545A8D"/>
        <w:category>
          <w:name w:val="General"/>
          <w:gallery w:val="placeholder"/>
        </w:category>
        <w:types>
          <w:type w:val="bbPlcHdr"/>
        </w:types>
        <w:behaviors>
          <w:behavior w:val="content"/>
        </w:behaviors>
        <w:guid w:val="{AE9197D6-483B-4959-8B26-37B8107D512B}"/>
      </w:docPartPr>
      <w:docPartBody>
        <w:p w:rsidR="009B5970" w:rsidRDefault="00FD2151">
          <w:pPr>
            <w:pStyle w:val="BD9F7473B99B42B78B9CB42578545A8D"/>
          </w:pPr>
          <w:r w:rsidRPr="000469FB">
            <w:rPr>
              <w:rStyle w:val="PlaceholderText"/>
              <w:color w:val="FF0000"/>
            </w:rPr>
            <w:t>Click or tap here to enter text.</w:t>
          </w:r>
        </w:p>
      </w:docPartBody>
    </w:docPart>
    <w:docPart>
      <w:docPartPr>
        <w:name w:val="77255EBEB9BA44B58EA77B8CA408D172"/>
        <w:category>
          <w:name w:val="General"/>
          <w:gallery w:val="placeholder"/>
        </w:category>
        <w:types>
          <w:type w:val="bbPlcHdr"/>
        </w:types>
        <w:behaviors>
          <w:behavior w:val="content"/>
        </w:behaviors>
        <w:guid w:val="{B74D7970-C323-40AD-8FF6-97E97DDA6EE5}"/>
      </w:docPartPr>
      <w:docPartBody>
        <w:p w:rsidR="009B5970" w:rsidRDefault="00FD2151">
          <w:pPr>
            <w:pStyle w:val="77255EBEB9BA44B58EA77B8CA408D172"/>
          </w:pPr>
          <w:r w:rsidRPr="000469FB">
            <w:rPr>
              <w:rStyle w:val="PlaceholderText"/>
              <w:color w:val="FF0000"/>
            </w:rPr>
            <w:t>Choose an item.</w:t>
          </w:r>
        </w:p>
      </w:docPartBody>
    </w:docPart>
    <w:docPart>
      <w:docPartPr>
        <w:name w:val="B5AC1C9005594B59A0ACC7D42F644889"/>
        <w:category>
          <w:name w:val="General"/>
          <w:gallery w:val="placeholder"/>
        </w:category>
        <w:types>
          <w:type w:val="bbPlcHdr"/>
        </w:types>
        <w:behaviors>
          <w:behavior w:val="content"/>
        </w:behaviors>
        <w:guid w:val="{DD5C2802-D6D5-4831-A479-0A6CA6B70FB6}"/>
      </w:docPartPr>
      <w:docPartBody>
        <w:p w:rsidR="009B5970" w:rsidRDefault="00311C1C" w:rsidP="00311C1C">
          <w:pPr>
            <w:pStyle w:val="B5AC1C9005594B59A0ACC7D42F644889"/>
          </w:pPr>
          <w:r w:rsidRPr="000469FB">
            <w:rPr>
              <w:rStyle w:val="PlaceholderText"/>
              <w:color w:val="FF0000"/>
            </w:rPr>
            <w:t>Click or tap here to enter text.</w:t>
          </w:r>
        </w:p>
      </w:docPartBody>
    </w:docPart>
    <w:docPart>
      <w:docPartPr>
        <w:name w:val="09E363221A214DC9A58648770AC16DE3"/>
        <w:category>
          <w:name w:val="General"/>
          <w:gallery w:val="placeholder"/>
        </w:category>
        <w:types>
          <w:type w:val="bbPlcHdr"/>
        </w:types>
        <w:behaviors>
          <w:behavior w:val="content"/>
        </w:behaviors>
        <w:guid w:val="{1CBF8FA9-A52C-4D9C-BCBE-65973D29BA5A}"/>
      </w:docPartPr>
      <w:docPartBody>
        <w:p w:rsidR="009B5970" w:rsidRDefault="00311C1C" w:rsidP="00311C1C">
          <w:pPr>
            <w:pStyle w:val="09E363221A214DC9A58648770AC16DE3"/>
          </w:pPr>
          <w:r w:rsidRPr="000469FB">
            <w:rPr>
              <w:rStyle w:val="PlaceholderText"/>
              <w:color w:val="FF0000"/>
            </w:rPr>
            <w:t>Choose an item.</w:t>
          </w:r>
        </w:p>
      </w:docPartBody>
    </w:docPart>
    <w:docPart>
      <w:docPartPr>
        <w:name w:val="8F094F2F1AA6426BB0732B3ED786684C"/>
        <w:category>
          <w:name w:val="General"/>
          <w:gallery w:val="placeholder"/>
        </w:category>
        <w:types>
          <w:type w:val="bbPlcHdr"/>
        </w:types>
        <w:behaviors>
          <w:behavior w:val="content"/>
        </w:behaviors>
        <w:guid w:val="{7BF188F2-0BE2-45D9-AC89-0587676E77F3}"/>
      </w:docPartPr>
      <w:docPartBody>
        <w:p w:rsidR="00F70BDD" w:rsidRDefault="002F4E0A" w:rsidP="002F4E0A">
          <w:pPr>
            <w:pStyle w:val="8F094F2F1AA6426BB0732B3ED786684C"/>
          </w:pPr>
          <w:r w:rsidRPr="0045032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C1C"/>
    <w:rsid w:val="000B1580"/>
    <w:rsid w:val="001E07FF"/>
    <w:rsid w:val="00207B5C"/>
    <w:rsid w:val="00260E90"/>
    <w:rsid w:val="002F4E0A"/>
    <w:rsid w:val="00311C1C"/>
    <w:rsid w:val="004F7A5E"/>
    <w:rsid w:val="00500BF1"/>
    <w:rsid w:val="006025C0"/>
    <w:rsid w:val="006D0A50"/>
    <w:rsid w:val="0074704E"/>
    <w:rsid w:val="008373E5"/>
    <w:rsid w:val="008D68CF"/>
    <w:rsid w:val="009B5970"/>
    <w:rsid w:val="009D5A29"/>
    <w:rsid w:val="00A56263"/>
    <w:rsid w:val="00A64BCD"/>
    <w:rsid w:val="00AD6033"/>
    <w:rsid w:val="00C84D72"/>
    <w:rsid w:val="00D01D2C"/>
    <w:rsid w:val="00D670D7"/>
    <w:rsid w:val="00EA50A5"/>
    <w:rsid w:val="00F70BDD"/>
    <w:rsid w:val="00F75735"/>
    <w:rsid w:val="00FB1E0F"/>
    <w:rsid w:val="00FD21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F4E0A"/>
    <w:rPr>
      <w:color w:val="808080"/>
    </w:rPr>
  </w:style>
  <w:style w:type="paragraph" w:customStyle="1" w:styleId="07C3BA6C43724312A2EA13C0602EDA91">
    <w:name w:val="07C3BA6C43724312A2EA13C0602EDA91"/>
  </w:style>
  <w:style w:type="paragraph" w:customStyle="1" w:styleId="4415EF9075DB4CE5BEE4D1757FC37CDA">
    <w:name w:val="4415EF9075DB4CE5BEE4D1757FC37CDA"/>
  </w:style>
  <w:style w:type="paragraph" w:customStyle="1" w:styleId="BD9F7473B99B42B78B9CB42578545A8D">
    <w:name w:val="BD9F7473B99B42B78B9CB42578545A8D"/>
  </w:style>
  <w:style w:type="paragraph" w:customStyle="1" w:styleId="77255EBEB9BA44B58EA77B8CA408D172">
    <w:name w:val="77255EBEB9BA44B58EA77B8CA408D172"/>
  </w:style>
  <w:style w:type="paragraph" w:customStyle="1" w:styleId="B5AC1C9005594B59A0ACC7D42F644889">
    <w:name w:val="B5AC1C9005594B59A0ACC7D42F644889"/>
    <w:rsid w:val="00311C1C"/>
  </w:style>
  <w:style w:type="paragraph" w:customStyle="1" w:styleId="09E363221A214DC9A58648770AC16DE3">
    <w:name w:val="09E363221A214DC9A58648770AC16DE3"/>
    <w:rsid w:val="00311C1C"/>
  </w:style>
  <w:style w:type="paragraph" w:customStyle="1" w:styleId="8F094F2F1AA6426BB0732B3ED786684C">
    <w:name w:val="8F094F2F1AA6426BB0732B3ED786684C"/>
    <w:rsid w:val="002F4E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4EA822292E45BCBD295DBC62DA95" ma:contentTypeVersion="12" ma:contentTypeDescription="Create a new document." ma:contentTypeScope="" ma:versionID="81671b7930f566d2969bc602ab8bea7a">
  <xsd:schema xmlns:xsd="http://www.w3.org/2001/XMLSchema" xmlns:xs="http://www.w3.org/2001/XMLSchema" xmlns:p="http://schemas.microsoft.com/office/2006/metadata/properties" xmlns:ns2="108d26e9-7de2-4ff0-bbaf-4287b2020141" xmlns:ns3="60eabb53-171c-4bae-a79a-62b581464b1e" targetNamespace="http://schemas.microsoft.com/office/2006/metadata/properties" ma:root="true" ma:fieldsID="3dfee458a91ce076d5de85f690abdcc9" ns2:_="" ns3:_="">
    <xsd:import namespace="108d26e9-7de2-4ff0-bbaf-4287b2020141"/>
    <xsd:import namespace="60eabb53-171c-4bae-a79a-62b581464b1e"/>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d26e9-7de2-4ff0-bbaf-4287b202014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108d26e9-7de2-4ff0-bbaf-4287b20201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9F9363B-CDE4-482F-BF4A-2390FB0454E1}">
  <ds:schemaRefs>
    <ds:schemaRef ds:uri="http://schemas.microsoft.com/sharepoint/v3/contenttype/forms"/>
  </ds:schemaRefs>
</ds:datastoreItem>
</file>

<file path=customXml/itemProps2.xml><?xml version="1.0" encoding="utf-8"?>
<ds:datastoreItem xmlns:ds="http://schemas.openxmlformats.org/officeDocument/2006/customXml" ds:itemID="{84CC7FB2-D411-49E1-A073-1936419D3F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d26e9-7de2-4ff0-bbaf-4287b2020141"/>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05E7C1-7AE1-4CC7-B5DA-3A6E7DA080F8}">
  <ds:schemaRefs>
    <ds:schemaRef ds:uri="http://schemas.openxmlformats.org/officeDocument/2006/bibliography"/>
  </ds:schemaRefs>
</ds:datastoreItem>
</file>

<file path=customXml/itemProps4.xml><?xml version="1.0" encoding="utf-8"?>
<ds:datastoreItem xmlns:ds="http://schemas.openxmlformats.org/officeDocument/2006/customXml" ds:itemID="{A58DD528-81AA-4009-8151-80699FA21CD4}">
  <ds:schemaRefs>
    <ds:schemaRef ds:uri="http://schemas.microsoft.com/office/2006/metadata/properties"/>
    <ds:schemaRef ds:uri="http://schemas.microsoft.com/office/infopath/2007/PartnerControls"/>
    <ds:schemaRef ds:uri="60eabb53-171c-4bae-a79a-62b581464b1e"/>
    <ds:schemaRef ds:uri="108d26e9-7de2-4ff0-bbaf-4287b2020141"/>
  </ds:schemaRefs>
</ds:datastoreItem>
</file>

<file path=docProps/app.xml><?xml version="1.0" encoding="utf-8"?>
<Properties xmlns="http://schemas.openxmlformats.org/officeDocument/2006/extended-properties" xmlns:vt="http://schemas.openxmlformats.org/officeDocument/2006/docPropsVTypes">
  <Template>Opinion_Frm</Template>
  <TotalTime>1</TotalTime>
  <Pages>6</Pages>
  <Words>8630</Words>
  <Characters>49195</Characters>
  <Application>Microsoft Office Word</Application>
  <DocSecurity>4</DocSecurity>
  <Lines>409</Lines>
  <Paragraphs>115</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57710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Shelton, Summer</dc:creator>
  <cp:lastModifiedBy>Abrams, Emina</cp:lastModifiedBy>
  <cp:revision>2</cp:revision>
  <cp:lastPrinted>2022-07-28T17:59:00Z</cp:lastPrinted>
  <dcterms:created xsi:type="dcterms:W3CDTF">2022-10-04T18:33:00Z</dcterms:created>
  <dcterms:modified xsi:type="dcterms:W3CDTF">2022-10-04T18:33:00Z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0x010100C2E84EA822292E45BCBD295DBC62DA95</vt:lpwstr>
  </property>
  <property fmtid="{D5CDD505-2E9C-101B-9397-08002B2CF9AE}" pid="3" name="MediaServiceImageTags">
    <vt:lpwstr/>
  </property>
</Properties>
</file>