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E26B8A" w:rsidRDefault="008F03A1" w:rsidP="00C13F27">
      <w:bookmarkStart w:id="0" w:name="designation"/>
      <w:bookmarkEnd w:id="0"/>
      <w:r>
        <w:t>PUBLIC MATTER – DESIGNATED FOR PUBLICATION</w:t>
      </w:r>
    </w:p>
    <w:p w:rsidR="00FF0126" w:rsidRDefault="00FF0126" w:rsidP="00F427B6">
      <w:pPr>
        <w:contextualSpacing/>
      </w:pPr>
    </w:p>
    <w:p w:rsidR="00E46C42" w:rsidRDefault="008925D2" w:rsidP="00F427B6">
      <w:pPr>
        <w:contextualSpacing/>
      </w:pPr>
      <w:r>
        <w:tab/>
      </w:r>
      <w:r>
        <w:tab/>
      </w:r>
      <w:r>
        <w:tab/>
      </w:r>
      <w:r>
        <w:tab/>
      </w:r>
      <w:r>
        <w:tab/>
      </w:r>
      <w:r>
        <w:tab/>
      </w:r>
      <w:r>
        <w:tab/>
      </w:r>
      <w:r>
        <w:tab/>
      </w:r>
      <w:r>
        <w:tab/>
        <w:t>Filed April 12, 2016</w:t>
      </w:r>
    </w:p>
    <w:p w:rsidR="00DC5424" w:rsidRPr="00D50330" w:rsidRDefault="00DC5424" w:rsidP="00F427B6">
      <w:pPr>
        <w:contextualSpacing/>
      </w:pPr>
    </w:p>
    <w:p w:rsidR="007C26E8" w:rsidRDefault="007C26E8" w:rsidP="005F62C3">
      <w:pPr>
        <w:contextualSpacing/>
      </w:pPr>
    </w:p>
    <w:p w:rsidR="00B231E1" w:rsidRDefault="00B231E1" w:rsidP="00F427B6">
      <w:pPr>
        <w:contextualSpacing/>
      </w:pPr>
    </w:p>
    <w:p w:rsidR="00832223" w:rsidRDefault="00832223" w:rsidP="00832223">
      <w:pPr>
        <w:jc w:val="center"/>
        <w:rPr>
          <w:b/>
        </w:rPr>
      </w:pPr>
      <w:r>
        <w:rPr>
          <w:b/>
        </w:rPr>
        <w:t>STATE BA</w:t>
      </w:r>
      <w:r w:rsidRPr="00C11CC8">
        <w:rPr>
          <w:b/>
        </w:rPr>
        <w:t>R</w:t>
      </w:r>
      <w:r>
        <w:rPr>
          <w:b/>
        </w:rPr>
        <w:t xml:space="preserve"> COURT OF CALIFORNIA</w:t>
      </w:r>
    </w:p>
    <w:p w:rsidR="00832223" w:rsidRDefault="00832223" w:rsidP="00832223">
      <w:pPr>
        <w:jc w:val="center"/>
        <w:rPr>
          <w:b/>
        </w:rPr>
      </w:pPr>
    </w:p>
    <w:p w:rsidR="00832223" w:rsidRDefault="00832223" w:rsidP="00832223">
      <w:pPr>
        <w:jc w:val="center"/>
        <w:rPr>
          <w:b/>
        </w:rPr>
      </w:pPr>
      <w:r>
        <w:rPr>
          <w:b/>
        </w:rPr>
        <w:t>REVIEW DEPARTMENT</w:t>
      </w:r>
    </w:p>
    <w:p w:rsidR="00832223" w:rsidRPr="00C11CC8" w:rsidRDefault="00832223" w:rsidP="00832223">
      <w:pPr>
        <w:jc w:val="center"/>
        <w:rPr>
          <w:b/>
        </w:rPr>
      </w:pPr>
    </w:p>
    <w:p w:rsidR="00832223" w:rsidRPr="00C11CC8" w:rsidRDefault="00832223" w:rsidP="00832223">
      <w:pPr>
        <w:rPr>
          <w:b/>
        </w:rPr>
      </w:pPr>
    </w:p>
    <w:tbl>
      <w:tblPr>
        <w:tblStyle w:val="TableGrid"/>
        <w:tblW w:w="0" w:type="auto"/>
        <w:tblLook w:val="04A0" w:firstRow="1" w:lastRow="0" w:firstColumn="1" w:lastColumn="0" w:noHBand="0" w:noVBand="1"/>
      </w:tblPr>
      <w:tblGrid>
        <w:gridCol w:w="4770"/>
        <w:gridCol w:w="497"/>
        <w:gridCol w:w="4201"/>
      </w:tblGrid>
      <w:tr w:rsidR="00832223" w:rsidRPr="00C11CC8" w:rsidTr="00357051">
        <w:tc>
          <w:tcPr>
            <w:tcW w:w="4770" w:type="dxa"/>
            <w:tcBorders>
              <w:top w:val="nil"/>
              <w:left w:val="nil"/>
              <w:right w:val="nil"/>
            </w:tcBorders>
            <w:tcMar>
              <w:left w:w="0" w:type="dxa"/>
              <w:right w:w="0" w:type="dxa"/>
            </w:tcMar>
          </w:tcPr>
          <w:p w:rsidR="00832223" w:rsidRDefault="00832223" w:rsidP="00357051">
            <w:r>
              <w:t>In the Matter of</w:t>
            </w:r>
          </w:p>
          <w:p w:rsidR="00832223" w:rsidRDefault="00832223" w:rsidP="00357051"/>
          <w:p w:rsidR="00832223" w:rsidRPr="008F3169" w:rsidRDefault="008F03A1" w:rsidP="00357051">
            <w:bookmarkStart w:id="1" w:name="Respondent"/>
            <w:bookmarkEnd w:id="1"/>
            <w:r>
              <w:t>MICHAEL R. CARVER</w:t>
            </w:r>
            <w:r w:rsidR="00832223" w:rsidRPr="008F3169">
              <w:t>,</w:t>
            </w:r>
          </w:p>
          <w:p w:rsidR="00832223" w:rsidRDefault="00832223" w:rsidP="00357051"/>
          <w:p w:rsidR="00832223" w:rsidRPr="00C11CC8" w:rsidRDefault="008F03A1" w:rsidP="00357051">
            <w:bookmarkStart w:id="2" w:name="type"/>
            <w:bookmarkEnd w:id="2"/>
            <w:r>
              <w:t>A Member of the State Bar, No.</w:t>
            </w:r>
            <w:r w:rsidR="00832223">
              <w:t xml:space="preserve"> </w:t>
            </w:r>
            <w:bookmarkStart w:id="3" w:name="memno"/>
            <w:bookmarkStart w:id="4" w:name="MemberNo"/>
            <w:bookmarkEnd w:id="3"/>
            <w:bookmarkEnd w:id="4"/>
            <w:r>
              <w:t>203925.</w:t>
            </w:r>
          </w:p>
        </w:tc>
        <w:tc>
          <w:tcPr>
            <w:tcW w:w="497" w:type="dxa"/>
            <w:tcBorders>
              <w:top w:val="nil"/>
              <w:left w:val="nil"/>
              <w:bottom w:val="nil"/>
              <w:right w:val="nil"/>
            </w:tcBorders>
            <w:tcMar>
              <w:left w:w="0" w:type="dxa"/>
              <w:right w:w="0" w:type="dxa"/>
            </w:tcMar>
          </w:tcPr>
          <w:p w:rsidR="00832223" w:rsidRDefault="00832223" w:rsidP="00357051">
            <w:pPr>
              <w:rPr>
                <w:b/>
              </w:rPr>
            </w:pPr>
            <w:r>
              <w:rPr>
                <w:b/>
              </w:rPr>
              <w:t>)</w:t>
            </w:r>
          </w:p>
          <w:p w:rsidR="00832223" w:rsidRPr="00C11CC8" w:rsidRDefault="00832223" w:rsidP="00357051">
            <w:pPr>
              <w:rPr>
                <w:b/>
              </w:rPr>
            </w:pPr>
            <w:r>
              <w:rPr>
                <w:b/>
              </w:rPr>
              <w:t>)</w:t>
            </w:r>
            <w:r>
              <w:rPr>
                <w:b/>
              </w:rPr>
              <w:br/>
              <w:t>)</w:t>
            </w:r>
            <w:r>
              <w:rPr>
                <w:b/>
              </w:rPr>
              <w:br/>
              <w:t>)</w:t>
            </w:r>
            <w:r>
              <w:rPr>
                <w:b/>
              </w:rPr>
              <w:br/>
              <w:t>)</w:t>
            </w:r>
            <w:r>
              <w:rPr>
                <w:b/>
              </w:rPr>
              <w:br/>
              <w:t>)</w:t>
            </w:r>
          </w:p>
        </w:tc>
        <w:tc>
          <w:tcPr>
            <w:tcW w:w="4201" w:type="dxa"/>
            <w:tcBorders>
              <w:top w:val="nil"/>
              <w:left w:val="nil"/>
              <w:bottom w:val="nil"/>
              <w:right w:val="nil"/>
            </w:tcBorders>
          </w:tcPr>
          <w:p w:rsidR="00832223" w:rsidRPr="005E6703" w:rsidRDefault="00832223" w:rsidP="00357051">
            <w:r w:rsidRPr="005E6703">
              <w:t xml:space="preserve">Case No. </w:t>
            </w:r>
            <w:bookmarkStart w:id="5" w:name="caseno"/>
            <w:bookmarkEnd w:id="5"/>
            <w:r w:rsidR="008F03A1">
              <w:t>12-O-12062</w:t>
            </w:r>
          </w:p>
          <w:p w:rsidR="00832223" w:rsidRDefault="00832223" w:rsidP="00357051"/>
          <w:p w:rsidR="00832223" w:rsidRPr="00D90643" w:rsidRDefault="008F03A1" w:rsidP="00357051">
            <w:bookmarkStart w:id="6" w:name="title"/>
            <w:bookmarkEnd w:id="6"/>
            <w:r>
              <w:t>OPINION AND ORDER</w:t>
            </w:r>
          </w:p>
        </w:tc>
      </w:tr>
    </w:tbl>
    <w:p w:rsidR="00832223" w:rsidRDefault="00832223" w:rsidP="00832223"/>
    <w:p w:rsidR="008200CC" w:rsidRDefault="009D1BB3" w:rsidP="008200CC">
      <w:pPr>
        <w:spacing w:line="480" w:lineRule="auto"/>
      </w:pPr>
      <w:r>
        <w:tab/>
      </w:r>
      <w:bookmarkStart w:id="7" w:name="start"/>
      <w:bookmarkEnd w:id="7"/>
      <w:r w:rsidR="00F8604A">
        <w:t xml:space="preserve">This is </w:t>
      </w:r>
      <w:r w:rsidR="00FA7D99">
        <w:t>Michael R. Carver</w:t>
      </w:r>
      <w:r w:rsidR="00F8604A">
        <w:t>’s third disciplin</w:t>
      </w:r>
      <w:r w:rsidR="00281E83">
        <w:t>ary matter</w:t>
      </w:r>
      <w:r w:rsidR="00F8604A">
        <w:t xml:space="preserve"> since</w:t>
      </w:r>
      <w:r w:rsidR="00A07432">
        <w:t xml:space="preserve"> his </w:t>
      </w:r>
      <w:r w:rsidR="008200CC">
        <w:t xml:space="preserve">1999 </w:t>
      </w:r>
      <w:r w:rsidR="00C46D6E">
        <w:t xml:space="preserve">admission to the </w:t>
      </w:r>
      <w:r w:rsidR="00640373">
        <w:t xml:space="preserve">State Bar of </w:t>
      </w:r>
      <w:r w:rsidR="00C46D6E">
        <w:t>California</w:t>
      </w:r>
      <w:r w:rsidR="00F93C63">
        <w:t xml:space="preserve">. </w:t>
      </w:r>
      <w:r w:rsidR="004D1CF6">
        <w:t xml:space="preserve"> </w:t>
      </w:r>
      <w:r w:rsidR="00234C1D">
        <w:t>He</w:t>
      </w:r>
      <w:r w:rsidR="004D1CF6">
        <w:t xml:space="preserve"> </w:t>
      </w:r>
      <w:r w:rsidR="00761C3E">
        <w:t xml:space="preserve">received a </w:t>
      </w:r>
      <w:r w:rsidR="005877F1">
        <w:t>public reprov</w:t>
      </w:r>
      <w:r w:rsidR="00761C3E">
        <w:t>al</w:t>
      </w:r>
      <w:r w:rsidR="005877F1">
        <w:t xml:space="preserve"> </w:t>
      </w:r>
      <w:r w:rsidR="00AF0608">
        <w:t xml:space="preserve">with conditions </w:t>
      </w:r>
      <w:r w:rsidR="00234C1D">
        <w:t>in 2011</w:t>
      </w:r>
      <w:r w:rsidR="00FF0126">
        <w:t>,</w:t>
      </w:r>
      <w:r w:rsidR="00DA0501">
        <w:t xml:space="preserve"> </w:t>
      </w:r>
      <w:r w:rsidR="00496317">
        <w:t>based on</w:t>
      </w:r>
      <w:r w:rsidR="00DA0501">
        <w:t xml:space="preserve"> his misdemeanor convictions for driving without a</w:t>
      </w:r>
      <w:r w:rsidR="008D2778">
        <w:t xml:space="preserve"> valid</w:t>
      </w:r>
      <w:r w:rsidR="00DA0501">
        <w:t xml:space="preserve"> license</w:t>
      </w:r>
      <w:r w:rsidR="00D6364D">
        <w:t xml:space="preserve"> </w:t>
      </w:r>
      <w:r w:rsidR="00C46D6E">
        <w:t xml:space="preserve">and resisting arrest </w:t>
      </w:r>
      <w:r w:rsidR="00331514">
        <w:t>(</w:t>
      </w:r>
      <w:r w:rsidR="00E17B1C">
        <w:rPr>
          <w:i/>
        </w:rPr>
        <w:t>Carver I</w:t>
      </w:r>
      <w:r w:rsidR="00E17B1C">
        <w:t>)</w:t>
      </w:r>
      <w:r w:rsidR="004C3031">
        <w:t>.  In 2015, he</w:t>
      </w:r>
      <w:r w:rsidR="00601CC6">
        <w:t xml:space="preserve"> </w:t>
      </w:r>
      <w:r w:rsidR="004D1CF6">
        <w:t xml:space="preserve">was </w:t>
      </w:r>
      <w:r w:rsidR="005877F1">
        <w:t xml:space="preserve">suspended </w:t>
      </w:r>
      <w:r w:rsidR="00A07432">
        <w:t xml:space="preserve">from the practice of law </w:t>
      </w:r>
      <w:r w:rsidR="005877F1">
        <w:t xml:space="preserve">for 90 days </w:t>
      </w:r>
      <w:r w:rsidR="00DA0501">
        <w:t>for failing to comply with the conditions of his reproval</w:t>
      </w:r>
      <w:r w:rsidR="00234C1D">
        <w:t xml:space="preserve"> </w:t>
      </w:r>
      <w:r w:rsidR="00331514">
        <w:t>(</w:t>
      </w:r>
      <w:r w:rsidR="00331514">
        <w:rPr>
          <w:i/>
        </w:rPr>
        <w:t>Carver II</w:t>
      </w:r>
      <w:r w:rsidR="00331514" w:rsidRPr="005900AA">
        <w:t>)</w:t>
      </w:r>
      <w:r w:rsidR="005877F1">
        <w:t xml:space="preserve">.  </w:t>
      </w:r>
    </w:p>
    <w:p w:rsidR="008D255B" w:rsidRPr="00155222" w:rsidRDefault="008200CC" w:rsidP="008200CC">
      <w:pPr>
        <w:spacing w:line="480" w:lineRule="auto"/>
      </w:pPr>
      <w:r>
        <w:tab/>
      </w:r>
      <w:r w:rsidR="005877F1">
        <w:t>In the present case, a</w:t>
      </w:r>
      <w:r w:rsidR="00FA7D99">
        <w:t xml:space="preserve"> hear</w:t>
      </w:r>
      <w:r w:rsidR="00D10170">
        <w:t xml:space="preserve">ing judge </w:t>
      </w:r>
      <w:r w:rsidR="005855D7">
        <w:t xml:space="preserve">found </w:t>
      </w:r>
      <w:r w:rsidR="00761C3E">
        <w:t xml:space="preserve">Carver </w:t>
      </w:r>
      <w:r w:rsidR="00400263">
        <w:t xml:space="preserve">culpable of </w:t>
      </w:r>
      <w:r w:rsidR="00790713">
        <w:t>acting with moral turpitude by</w:t>
      </w:r>
      <w:r w:rsidR="00D42DEC">
        <w:t xml:space="preserve"> knowingly</w:t>
      </w:r>
      <w:r w:rsidR="004C3031">
        <w:t>,</w:t>
      </w:r>
      <w:r w:rsidR="00D42DEC">
        <w:t xml:space="preserve"> or with gross negligence</w:t>
      </w:r>
      <w:r w:rsidR="004C3031">
        <w:t>,</w:t>
      </w:r>
      <w:r w:rsidR="00790713">
        <w:t xml:space="preserve"> </w:t>
      </w:r>
      <w:r w:rsidR="00A00776">
        <w:t>engaging in the un</w:t>
      </w:r>
      <w:r w:rsidR="003F7E78">
        <w:t>authorized</w:t>
      </w:r>
      <w:r w:rsidR="00A00776">
        <w:t xml:space="preserve"> practice of law (UPL)</w:t>
      </w:r>
      <w:r w:rsidR="00281E83">
        <w:t xml:space="preserve"> while on suspension</w:t>
      </w:r>
      <w:r w:rsidR="004D1CF6">
        <w:t xml:space="preserve">.  </w:t>
      </w:r>
      <w:r w:rsidR="00C46D6E">
        <w:t>In recommending discipline</w:t>
      </w:r>
      <w:r w:rsidR="00CC787E">
        <w:t>,</w:t>
      </w:r>
      <w:r w:rsidR="00C46D6E">
        <w:t xml:space="preserve"> includ</w:t>
      </w:r>
      <w:r w:rsidR="00FF0126">
        <w:t>ing</w:t>
      </w:r>
      <w:r w:rsidR="00C46D6E">
        <w:t xml:space="preserve"> a 90-day </w:t>
      </w:r>
      <w:r w:rsidR="00FF0126">
        <w:t xml:space="preserve">actual </w:t>
      </w:r>
      <w:r w:rsidR="00C46D6E">
        <w:t xml:space="preserve">suspension, the </w:t>
      </w:r>
      <w:r w:rsidR="004D1CF6">
        <w:t>judge</w:t>
      </w:r>
      <w:r w:rsidR="003A55F0">
        <w:t xml:space="preserve"> considered </w:t>
      </w:r>
      <w:r w:rsidR="00331514">
        <w:rPr>
          <w:i/>
        </w:rPr>
        <w:t>Carver I</w:t>
      </w:r>
      <w:r w:rsidR="00B574FD">
        <w:rPr>
          <w:i/>
        </w:rPr>
        <w:t xml:space="preserve"> </w:t>
      </w:r>
      <w:r w:rsidR="00B574FD">
        <w:t>in aggravation</w:t>
      </w:r>
      <w:r w:rsidR="00702D9A">
        <w:t>,</w:t>
      </w:r>
      <w:r w:rsidR="00601CC6">
        <w:rPr>
          <w:i/>
        </w:rPr>
        <w:t xml:space="preserve"> </w:t>
      </w:r>
      <w:r w:rsidR="00761C3E">
        <w:t>but</w:t>
      </w:r>
      <w:r w:rsidR="00331514">
        <w:t xml:space="preserve"> declined to consider </w:t>
      </w:r>
      <w:r w:rsidR="00EC3518">
        <w:rPr>
          <w:i/>
        </w:rPr>
        <w:t>Carver II</w:t>
      </w:r>
      <w:r w:rsidR="005877F1">
        <w:t xml:space="preserve"> </w:t>
      </w:r>
      <w:r w:rsidR="009E1E88">
        <w:t xml:space="preserve">because </w:t>
      </w:r>
      <w:r w:rsidR="005877F1">
        <w:t>it was pending on review and not yet final</w:t>
      </w:r>
      <w:r w:rsidR="00DA0365">
        <w:t xml:space="preserve">.  </w:t>
      </w:r>
    </w:p>
    <w:p w:rsidR="00917D23" w:rsidRDefault="008D255B" w:rsidP="006746E4">
      <w:pPr>
        <w:spacing w:line="480" w:lineRule="auto"/>
      </w:pPr>
      <w:r>
        <w:tab/>
      </w:r>
      <w:r w:rsidR="00203461">
        <w:t>The Office of the Chief Trial Counsel of the State Bar (OCTC) appeals</w:t>
      </w:r>
      <w:r w:rsidR="002B08F5">
        <w:t xml:space="preserve">.  </w:t>
      </w:r>
      <w:r w:rsidR="005877F1">
        <w:t>It argues</w:t>
      </w:r>
      <w:r w:rsidR="009E1E88">
        <w:t xml:space="preserve"> </w:t>
      </w:r>
      <w:r w:rsidR="00FF0126">
        <w:t xml:space="preserve">that </w:t>
      </w:r>
      <w:r w:rsidR="009E1E88">
        <w:t>Carver knowingly committed UPL and that</w:t>
      </w:r>
      <w:r w:rsidR="005877F1">
        <w:t xml:space="preserve"> the hearing judge</w:t>
      </w:r>
      <w:r w:rsidR="002B08F5">
        <w:t xml:space="preserve"> erred by not considering </w:t>
      </w:r>
      <w:r w:rsidR="002B08F5">
        <w:rPr>
          <w:i/>
        </w:rPr>
        <w:t>Carver II</w:t>
      </w:r>
      <w:r w:rsidR="00281E83">
        <w:t xml:space="preserve"> as an aggravating factor.</w:t>
      </w:r>
      <w:r w:rsidR="00466389">
        <w:t xml:space="preserve">  </w:t>
      </w:r>
      <w:r w:rsidR="001332D5">
        <w:t>OCTC</w:t>
      </w:r>
      <w:r w:rsidR="00466389">
        <w:t xml:space="preserve"> </w:t>
      </w:r>
      <w:r w:rsidR="001C197A">
        <w:t>contends</w:t>
      </w:r>
      <w:r w:rsidR="001332D5">
        <w:t xml:space="preserve"> that</w:t>
      </w:r>
      <w:r w:rsidR="00235B76">
        <w:t xml:space="preserve"> Carver’s two prior discipline records</w:t>
      </w:r>
      <w:r w:rsidR="001C197A">
        <w:t xml:space="preserve"> render</w:t>
      </w:r>
      <w:r w:rsidR="00235B76">
        <w:t xml:space="preserve"> </w:t>
      </w:r>
      <w:r w:rsidR="001332D5">
        <w:t xml:space="preserve">disbarment appropriate </w:t>
      </w:r>
      <w:r w:rsidR="00702D9A">
        <w:t>under our disciplinary standards</w:t>
      </w:r>
      <w:r w:rsidR="00235B76">
        <w:t>.</w:t>
      </w:r>
      <w:r w:rsidR="00702D9A">
        <w:t xml:space="preserve">  </w:t>
      </w:r>
      <w:r w:rsidR="00203461">
        <w:t xml:space="preserve">Carver did not </w:t>
      </w:r>
      <w:r w:rsidR="003A55F0">
        <w:t xml:space="preserve">seek </w:t>
      </w:r>
      <w:r w:rsidR="00203461">
        <w:t xml:space="preserve">review </w:t>
      </w:r>
      <w:r w:rsidR="002B08F5">
        <w:t>or</w:t>
      </w:r>
      <w:r w:rsidR="00203461">
        <w:t xml:space="preserve"> file a responsive brief</w:t>
      </w:r>
      <w:r w:rsidR="00A23E44">
        <w:t xml:space="preserve"> </w:t>
      </w:r>
      <w:r w:rsidR="00235B76">
        <w:t>in</w:t>
      </w:r>
      <w:r w:rsidR="00A23E44">
        <w:t xml:space="preserve"> this appeal</w:t>
      </w:r>
      <w:r w:rsidR="005877F1">
        <w:t>.</w:t>
      </w:r>
      <w:r w:rsidR="00F03053">
        <w:t xml:space="preserve"> </w:t>
      </w:r>
    </w:p>
    <w:p w:rsidR="0087372D" w:rsidRDefault="00917D23" w:rsidP="00526CEF">
      <w:pPr>
        <w:spacing w:line="480" w:lineRule="auto"/>
      </w:pPr>
      <w:r>
        <w:lastRenderedPageBreak/>
        <w:tab/>
      </w:r>
      <w:r w:rsidR="001567DB">
        <w:t xml:space="preserve">Upon </w:t>
      </w:r>
      <w:r w:rsidR="00D42DEC">
        <w:t xml:space="preserve">independent review </w:t>
      </w:r>
      <w:r w:rsidR="001567DB">
        <w:t xml:space="preserve">of </w:t>
      </w:r>
      <w:r w:rsidR="00D42DEC">
        <w:t xml:space="preserve">the record </w:t>
      </w:r>
      <w:r w:rsidR="00296551">
        <w:t>(</w:t>
      </w:r>
      <w:r w:rsidR="00D6364D">
        <w:t>Cal. Rules of Court, rule 9.12)</w:t>
      </w:r>
      <w:r w:rsidR="007164DF">
        <w:t>,</w:t>
      </w:r>
      <w:r w:rsidR="00296551">
        <w:t xml:space="preserve"> </w:t>
      </w:r>
      <w:r w:rsidR="001567DB">
        <w:t>we agree with the hearing judge that Carver committed UPL</w:t>
      </w:r>
      <w:r w:rsidR="005237E7">
        <w:t xml:space="preserve"> amounting to moral turpitude</w:t>
      </w:r>
      <w:r w:rsidR="001567DB">
        <w:t xml:space="preserve">, but </w:t>
      </w:r>
      <w:r w:rsidR="005237E7">
        <w:t>clarify that</w:t>
      </w:r>
      <w:r w:rsidR="001567DB">
        <w:t xml:space="preserve"> he did so</w:t>
      </w:r>
      <w:r w:rsidR="00235B76">
        <w:t xml:space="preserve"> with willful blindness</w:t>
      </w:r>
      <w:r w:rsidR="00281E83">
        <w:t xml:space="preserve"> to his </w:t>
      </w:r>
      <w:r w:rsidR="00252C63">
        <w:t>ineligible</w:t>
      </w:r>
      <w:r w:rsidR="00281E83">
        <w:t xml:space="preserve"> status</w:t>
      </w:r>
      <w:r w:rsidR="00235B76">
        <w:t>, equivalent to knowledge,</w:t>
      </w:r>
      <w:r w:rsidR="001567DB">
        <w:t xml:space="preserve"> and not </w:t>
      </w:r>
      <w:r w:rsidR="0058764C">
        <w:t>th</w:t>
      </w:r>
      <w:r w:rsidR="003B54BD">
        <w:t>r</w:t>
      </w:r>
      <w:r w:rsidR="0058764C">
        <w:t>ough</w:t>
      </w:r>
      <w:r w:rsidR="001567DB">
        <w:t xml:space="preserve"> gross negligence.  </w:t>
      </w:r>
      <w:r w:rsidR="00790713">
        <w:t xml:space="preserve">We </w:t>
      </w:r>
      <w:r w:rsidR="00496317">
        <w:t xml:space="preserve">also </w:t>
      </w:r>
      <w:r w:rsidR="004D1CF6">
        <w:t>find</w:t>
      </w:r>
      <w:r w:rsidR="001C197A">
        <w:t xml:space="preserve"> that</w:t>
      </w:r>
      <w:r w:rsidR="00496317">
        <w:t xml:space="preserve"> </w:t>
      </w:r>
      <w:r w:rsidR="004D1CF6">
        <w:t xml:space="preserve">the </w:t>
      </w:r>
      <w:r w:rsidR="003A55F0">
        <w:t xml:space="preserve">judge </w:t>
      </w:r>
      <w:r w:rsidR="00331514">
        <w:t xml:space="preserve">erred by not considering </w:t>
      </w:r>
      <w:r w:rsidR="00F8604A">
        <w:rPr>
          <w:i/>
        </w:rPr>
        <w:t>Carver II</w:t>
      </w:r>
      <w:r w:rsidR="00810207">
        <w:t xml:space="preserve">, as required by </w:t>
      </w:r>
      <w:r w:rsidR="00F27FEC">
        <w:t xml:space="preserve">the State </w:t>
      </w:r>
      <w:r w:rsidR="004651E1">
        <w:t xml:space="preserve">Bar </w:t>
      </w:r>
      <w:r w:rsidR="00810207">
        <w:t>Rule</w:t>
      </w:r>
      <w:r w:rsidR="00F27FEC">
        <w:t>s</w:t>
      </w:r>
      <w:r w:rsidR="00810207">
        <w:t xml:space="preserve"> of Procedure</w:t>
      </w:r>
      <w:r w:rsidR="00F27FEC">
        <w:t xml:space="preserve"> directing </w:t>
      </w:r>
      <w:r w:rsidR="00A750B0">
        <w:t xml:space="preserve">that </w:t>
      </w:r>
      <w:r w:rsidR="00FE2166">
        <w:t xml:space="preserve">prior disciplinary </w:t>
      </w:r>
      <w:r w:rsidR="00A23E44">
        <w:t>records are</w:t>
      </w:r>
      <w:r w:rsidR="004651E1">
        <w:t xml:space="preserve"> </w:t>
      </w:r>
      <w:r w:rsidR="00810207">
        <w:t>admissible</w:t>
      </w:r>
      <w:r w:rsidR="00881830">
        <w:t xml:space="preserve">, whether </w:t>
      </w:r>
      <w:r w:rsidR="004651E1">
        <w:t xml:space="preserve">final or not.  </w:t>
      </w:r>
    </w:p>
    <w:p w:rsidR="006E5A77" w:rsidRDefault="0087372D" w:rsidP="00526CEF">
      <w:pPr>
        <w:spacing w:line="480" w:lineRule="auto"/>
      </w:pPr>
      <w:r>
        <w:tab/>
        <w:t>After</w:t>
      </w:r>
      <w:r w:rsidR="004651E1">
        <w:t xml:space="preserve"> </w:t>
      </w:r>
      <w:r w:rsidR="00075609">
        <w:t>reviewing</w:t>
      </w:r>
      <w:r w:rsidR="00E47B34">
        <w:t xml:space="preserve"> both of Carver’s prior disciplines</w:t>
      </w:r>
      <w:r>
        <w:t xml:space="preserve">, we conclude </w:t>
      </w:r>
      <w:r w:rsidR="00281E83">
        <w:t xml:space="preserve">that </w:t>
      </w:r>
      <w:r>
        <w:t>he should be disbarred</w:t>
      </w:r>
      <w:r w:rsidR="00E47B34">
        <w:t>.</w:t>
      </w:r>
      <w:r>
        <w:t xml:space="preserve">  </w:t>
      </w:r>
      <w:r w:rsidR="00BB51DB">
        <w:t>H</w:t>
      </w:r>
      <w:r w:rsidR="004C3031">
        <w:t xml:space="preserve">is </w:t>
      </w:r>
      <w:r w:rsidR="00A750B0">
        <w:t>misconduct</w:t>
      </w:r>
      <w:r w:rsidR="00AA7916">
        <w:t xml:space="preserve"> over several years</w:t>
      </w:r>
      <w:r w:rsidR="00F27FEC">
        <w:t xml:space="preserve"> demonstrates</w:t>
      </w:r>
      <w:r w:rsidR="00BB51DB">
        <w:t xml:space="preserve"> that</w:t>
      </w:r>
      <w:r w:rsidR="00F27FEC">
        <w:t xml:space="preserve"> </w:t>
      </w:r>
      <w:r w:rsidR="004C3031">
        <w:t xml:space="preserve">he is unable or unwilling to </w:t>
      </w:r>
      <w:r w:rsidR="00A750B0">
        <w:t xml:space="preserve">follow ethical rules.  </w:t>
      </w:r>
      <w:r w:rsidR="004C3031">
        <w:t>Further</w:t>
      </w:r>
      <w:r>
        <w:t>, he</w:t>
      </w:r>
      <w:r w:rsidR="00A23E44">
        <w:t xml:space="preserve"> </w:t>
      </w:r>
      <w:r w:rsidR="00F27FEC">
        <w:t xml:space="preserve">failed to </w:t>
      </w:r>
      <w:r w:rsidR="00A23E44">
        <w:t>prove compelling mitigation</w:t>
      </w:r>
      <w:r w:rsidR="00075609">
        <w:t>.  W</w:t>
      </w:r>
      <w:r w:rsidR="004C3031">
        <w:t xml:space="preserve">e </w:t>
      </w:r>
      <w:r w:rsidR="00A23E44">
        <w:t xml:space="preserve">cannot </w:t>
      </w:r>
      <w:r w:rsidR="00717BE4">
        <w:t>discern</w:t>
      </w:r>
      <w:r w:rsidR="008933D0">
        <w:t xml:space="preserve"> from the record </w:t>
      </w:r>
      <w:r w:rsidR="00717BE4">
        <w:t>any reason</w:t>
      </w:r>
      <w:r w:rsidR="00A23E44">
        <w:t xml:space="preserve"> </w:t>
      </w:r>
      <w:r w:rsidR="00AA7916">
        <w:t xml:space="preserve">to depart </w:t>
      </w:r>
      <w:r w:rsidR="00F27FEC">
        <w:t xml:space="preserve">from </w:t>
      </w:r>
      <w:r w:rsidR="00232BEA">
        <w:t>the</w:t>
      </w:r>
      <w:r w:rsidR="00F27FEC">
        <w:t xml:space="preserve"> </w:t>
      </w:r>
      <w:r w:rsidR="004C3031">
        <w:t xml:space="preserve">guiding </w:t>
      </w:r>
      <w:r w:rsidR="00F27FEC">
        <w:t xml:space="preserve">disciplinary standards </w:t>
      </w:r>
      <w:r w:rsidR="00EB03DA">
        <w:t>indicat</w:t>
      </w:r>
      <w:r w:rsidR="00717BE4">
        <w:t xml:space="preserve">ing </w:t>
      </w:r>
      <w:r w:rsidR="00EB03DA">
        <w:t>that</w:t>
      </w:r>
      <w:r w:rsidR="00F27FEC">
        <w:t xml:space="preserve"> disbarment </w:t>
      </w:r>
      <w:r w:rsidR="003B54BD">
        <w:t>is</w:t>
      </w:r>
      <w:r w:rsidR="00F27FEC">
        <w:t xml:space="preserve"> the appropriate discipline.</w:t>
      </w:r>
      <w:r w:rsidR="00A23E44">
        <w:t xml:space="preserve">  </w:t>
      </w:r>
      <w:r w:rsidR="00FF2301">
        <w:t xml:space="preserve"> </w:t>
      </w:r>
    </w:p>
    <w:p w:rsidR="00A95CB6" w:rsidRDefault="00A95CB6" w:rsidP="00A95CB6">
      <w:pPr>
        <w:spacing w:line="480" w:lineRule="auto"/>
        <w:jc w:val="center"/>
      </w:pPr>
      <w:r>
        <w:rPr>
          <w:b/>
        </w:rPr>
        <w:t xml:space="preserve">I.  PROCEDURAL </w:t>
      </w:r>
      <w:r w:rsidR="00912053">
        <w:rPr>
          <w:b/>
        </w:rPr>
        <w:t>SUMMARY</w:t>
      </w:r>
    </w:p>
    <w:p w:rsidR="009C4EBE" w:rsidRDefault="00B4305E" w:rsidP="00ED4CC6">
      <w:pPr>
        <w:spacing w:line="480" w:lineRule="auto"/>
      </w:pPr>
      <w:r>
        <w:tab/>
        <w:t>On October 31, 2013, OCTC filed a two-count Notice of Disciplinary Charges (NDC)</w:t>
      </w:r>
      <w:r w:rsidR="00293373">
        <w:t xml:space="preserve">.  </w:t>
      </w:r>
      <w:r w:rsidR="004B5569">
        <w:t xml:space="preserve">The </w:t>
      </w:r>
      <w:r w:rsidR="005B0A14">
        <w:t xml:space="preserve">hearing judge </w:t>
      </w:r>
      <w:r w:rsidR="004B5569">
        <w:t>held a two-day trial b</w:t>
      </w:r>
      <w:r w:rsidR="007B3DAA">
        <w:t>eginning on May 23, 2014</w:t>
      </w:r>
      <w:r w:rsidR="0065646F">
        <w:t xml:space="preserve">.  </w:t>
      </w:r>
      <w:r w:rsidR="0052096B">
        <w:t>T</w:t>
      </w:r>
      <w:r w:rsidR="00021CB2">
        <w:t>he parties</w:t>
      </w:r>
      <w:r w:rsidR="00B12BB0">
        <w:t xml:space="preserve"> submitted closing</w:t>
      </w:r>
      <w:r w:rsidR="00B00524">
        <w:t xml:space="preserve"> briefs</w:t>
      </w:r>
      <w:r w:rsidR="00E20AF3">
        <w:t xml:space="preserve"> and </w:t>
      </w:r>
      <w:r w:rsidR="0052096B">
        <w:t xml:space="preserve">post-trial </w:t>
      </w:r>
      <w:r w:rsidR="00910573">
        <w:t>supplemental bri</w:t>
      </w:r>
      <w:r w:rsidR="00F11E8A">
        <w:t xml:space="preserve">efs </w:t>
      </w:r>
      <w:r w:rsidR="004B5569">
        <w:t>addressing whether</w:t>
      </w:r>
      <w:r w:rsidR="00C80224">
        <w:t xml:space="preserve"> </w:t>
      </w:r>
      <w:r w:rsidR="004B5569">
        <w:t xml:space="preserve">the judge should consider </w:t>
      </w:r>
      <w:r w:rsidR="00670FFC">
        <w:rPr>
          <w:i/>
        </w:rPr>
        <w:t>Carver II</w:t>
      </w:r>
      <w:r w:rsidR="00670FFC">
        <w:t xml:space="preserve">, </w:t>
      </w:r>
      <w:r w:rsidR="009C4EBE">
        <w:t xml:space="preserve">which was </w:t>
      </w:r>
      <w:r w:rsidR="00670FFC">
        <w:t>pending on review</w:t>
      </w:r>
      <w:r w:rsidR="00F11E8A">
        <w:t xml:space="preserve">.  </w:t>
      </w:r>
      <w:r w:rsidR="004B5569">
        <w:t>O</w:t>
      </w:r>
      <w:r w:rsidR="00087A7F">
        <w:t xml:space="preserve">n September 26, 2014, </w:t>
      </w:r>
      <w:r w:rsidR="004B5569">
        <w:t xml:space="preserve">the judge </w:t>
      </w:r>
      <w:r w:rsidR="00087A7F">
        <w:t xml:space="preserve">issued </w:t>
      </w:r>
      <w:r w:rsidR="007C57AE">
        <w:t>a dec</w:t>
      </w:r>
      <w:r w:rsidR="0053160D">
        <w:t>ision finding Carver culpable</w:t>
      </w:r>
      <w:r w:rsidR="007518CB">
        <w:t xml:space="preserve"> on both counts</w:t>
      </w:r>
      <w:r w:rsidR="003B54BD">
        <w:t>, noting</w:t>
      </w:r>
      <w:r w:rsidR="00E941AE">
        <w:t xml:space="preserve"> that</w:t>
      </w:r>
      <w:r w:rsidR="003B54BD">
        <w:t xml:space="preserve"> he did not consider </w:t>
      </w:r>
      <w:r w:rsidR="002E0504">
        <w:rPr>
          <w:i/>
        </w:rPr>
        <w:t>Carver II</w:t>
      </w:r>
      <w:r w:rsidR="00633721">
        <w:rPr>
          <w:i/>
        </w:rPr>
        <w:t xml:space="preserve"> </w:t>
      </w:r>
      <w:r w:rsidR="00633721">
        <w:t xml:space="preserve">as an aggravating factor, </w:t>
      </w:r>
      <w:r w:rsidR="002E0504">
        <w:t xml:space="preserve">and recommending discipline including a 90-day </w:t>
      </w:r>
      <w:r w:rsidR="00EB03DA">
        <w:t xml:space="preserve">actual </w:t>
      </w:r>
      <w:r w:rsidR="002E0504">
        <w:t>suspension</w:t>
      </w:r>
      <w:r w:rsidR="00BF655C">
        <w:t>.</w:t>
      </w:r>
      <w:r w:rsidR="00A50289">
        <w:t xml:space="preserve"> </w:t>
      </w:r>
      <w:r w:rsidR="00912053">
        <w:t xml:space="preserve"> </w:t>
      </w:r>
    </w:p>
    <w:p w:rsidR="004C1DF0" w:rsidRDefault="009C4EBE" w:rsidP="004C3031">
      <w:pPr>
        <w:spacing w:line="480" w:lineRule="auto"/>
      </w:pPr>
      <w:r>
        <w:tab/>
      </w:r>
      <w:r w:rsidR="006F3085">
        <w:t xml:space="preserve">Carver </w:t>
      </w:r>
      <w:r w:rsidR="001C7C18">
        <w:t xml:space="preserve">failed to file a responsive brief and </w:t>
      </w:r>
      <w:r w:rsidR="00D421FF">
        <w:t xml:space="preserve">has </w:t>
      </w:r>
      <w:r w:rsidR="001C7C18">
        <w:t xml:space="preserve">therefore </w:t>
      </w:r>
      <w:r w:rsidR="006F3085">
        <w:t xml:space="preserve">waived any challenge to the </w:t>
      </w:r>
      <w:r w:rsidR="007164DF">
        <w:t xml:space="preserve">hearing </w:t>
      </w:r>
      <w:r w:rsidR="006F3085">
        <w:t>judge’s factual findings</w:t>
      </w:r>
      <w:r w:rsidR="007D2EB5">
        <w:t>.  (Rules Proc. of State Bar, rule 5.152(C) [“Any factual error that is not raised on review is waived by the parties”].)</w:t>
      </w:r>
      <w:r w:rsidR="00CD3C96">
        <w:rPr>
          <w:rStyle w:val="FootnoteReference"/>
        </w:rPr>
        <w:footnoteReference w:id="1"/>
      </w:r>
      <w:r w:rsidR="007D2EB5">
        <w:t xml:space="preserve">  He was also</w:t>
      </w:r>
      <w:r w:rsidR="002E0504">
        <w:t xml:space="preserve"> precluded from appearing at oral argument </w:t>
      </w:r>
      <w:r w:rsidR="000C4009">
        <w:t>before the Review Department</w:t>
      </w:r>
      <w:r w:rsidR="006F3085">
        <w:t xml:space="preserve">.  </w:t>
      </w:r>
      <w:r w:rsidR="007D2EB5">
        <w:t>(R</w:t>
      </w:r>
      <w:r w:rsidR="006F3085">
        <w:t>ule 5.153(A) [</w:t>
      </w:r>
      <w:r w:rsidR="0057355A">
        <w:t>failure</w:t>
      </w:r>
      <w:r w:rsidR="006F3085">
        <w:t xml:space="preserve"> to file timely responsive brief preclude</w:t>
      </w:r>
      <w:r w:rsidR="0057355A">
        <w:t>s party</w:t>
      </w:r>
      <w:r w:rsidR="006F3085">
        <w:t xml:space="preserve"> from appearing at oral argument, absent authori</w:t>
      </w:r>
      <w:r w:rsidR="004C3031">
        <w:t xml:space="preserve">zation from Presiding </w:t>
      </w:r>
      <w:r w:rsidR="004C3031">
        <w:lastRenderedPageBreak/>
        <w:t xml:space="preserve">Judge].)  </w:t>
      </w:r>
      <w:r w:rsidR="008933D0">
        <w:t>T</w:t>
      </w:r>
      <w:r w:rsidR="003B54BD">
        <w:t xml:space="preserve">he </w:t>
      </w:r>
      <w:r w:rsidR="00CA6768">
        <w:t xml:space="preserve">record </w:t>
      </w:r>
      <w:r w:rsidR="000C03F3">
        <w:t xml:space="preserve">clearly and convincingly </w:t>
      </w:r>
      <w:r w:rsidR="00CA6768">
        <w:t>supports the</w:t>
      </w:r>
      <w:r w:rsidR="00ED4CC6">
        <w:t xml:space="preserve"> hearing</w:t>
      </w:r>
      <w:r w:rsidR="00CA6768">
        <w:t xml:space="preserve"> </w:t>
      </w:r>
      <w:r w:rsidR="0068077F">
        <w:t>judge’s</w:t>
      </w:r>
      <w:r w:rsidR="0087372D">
        <w:t xml:space="preserve"> material</w:t>
      </w:r>
      <w:r w:rsidR="0068077F">
        <w:t xml:space="preserve"> factual</w:t>
      </w:r>
      <w:r w:rsidR="00DA0365">
        <w:t xml:space="preserve"> </w:t>
      </w:r>
      <w:r w:rsidR="0068077F">
        <w:t>findings</w:t>
      </w:r>
      <w:r w:rsidR="004C3031">
        <w:t>,</w:t>
      </w:r>
      <w:r w:rsidR="000C03F3">
        <w:rPr>
          <w:rStyle w:val="FootnoteReference"/>
        </w:rPr>
        <w:footnoteReference w:id="2"/>
      </w:r>
      <w:r w:rsidR="004C3031">
        <w:t xml:space="preserve"> which we </w:t>
      </w:r>
      <w:r w:rsidR="003839D5">
        <w:t>adopt</w:t>
      </w:r>
      <w:r w:rsidR="00CC787E">
        <w:t>,</w:t>
      </w:r>
      <w:r w:rsidR="003B54BD">
        <w:t xml:space="preserve"> </w:t>
      </w:r>
      <w:r w:rsidR="004B5569">
        <w:t>except where noted</w:t>
      </w:r>
      <w:r w:rsidR="00DA0365">
        <w:t xml:space="preserve">, </w:t>
      </w:r>
      <w:r w:rsidR="003B54BD">
        <w:t xml:space="preserve">and </w:t>
      </w:r>
      <w:r w:rsidR="00DA0365">
        <w:t>summarize</w:t>
      </w:r>
      <w:r w:rsidR="003B54BD">
        <w:t xml:space="preserve"> </w:t>
      </w:r>
      <w:r w:rsidR="00DA0365">
        <w:t>below</w:t>
      </w:r>
      <w:r w:rsidR="003839D5">
        <w:t>.</w:t>
      </w:r>
      <w:r w:rsidR="00BB3100">
        <w:t xml:space="preserve"> </w:t>
      </w:r>
      <w:r w:rsidR="00497B4C">
        <w:t xml:space="preserve"> </w:t>
      </w:r>
      <w:r w:rsidR="005D1983" w:rsidRPr="005D1983">
        <w:t>(</w:t>
      </w:r>
      <w:r w:rsidR="00497B4C">
        <w:t>R</w:t>
      </w:r>
      <w:r w:rsidR="005D1983" w:rsidRPr="005D1983">
        <w:t>ule 5.155(A)</w:t>
      </w:r>
      <w:r w:rsidR="004C3031">
        <w:t xml:space="preserve"> [</w:t>
      </w:r>
      <w:r w:rsidR="005D1983">
        <w:t xml:space="preserve">great weight given to hearing judge’s </w:t>
      </w:r>
      <w:r w:rsidR="004C3031">
        <w:t>findings of fact</w:t>
      </w:r>
      <w:r w:rsidR="005D1983">
        <w:t>].)</w:t>
      </w:r>
    </w:p>
    <w:p w:rsidR="0073652F" w:rsidRDefault="00D63196" w:rsidP="00A174E5">
      <w:pPr>
        <w:spacing w:after="240"/>
        <w:ind w:left="720" w:hanging="720"/>
        <w:jc w:val="center"/>
        <w:rPr>
          <w:b/>
        </w:rPr>
      </w:pPr>
      <w:r>
        <w:rPr>
          <w:b/>
        </w:rPr>
        <w:t xml:space="preserve">II.  </w:t>
      </w:r>
      <w:r w:rsidR="004C06F5">
        <w:rPr>
          <w:b/>
        </w:rPr>
        <w:t>CARVER’S DISCIPLINE HISTORY</w:t>
      </w:r>
    </w:p>
    <w:p w:rsidR="001855DC" w:rsidRPr="001855DC" w:rsidRDefault="001855DC" w:rsidP="001855DC">
      <w:pPr>
        <w:spacing w:after="240"/>
        <w:ind w:left="720" w:hanging="720"/>
        <w:rPr>
          <w:b/>
          <w:i/>
        </w:rPr>
      </w:pPr>
      <w:r>
        <w:rPr>
          <w:b/>
        </w:rPr>
        <w:t>A.</w:t>
      </w:r>
      <w:r w:rsidR="008200CC">
        <w:rPr>
          <w:b/>
        </w:rPr>
        <w:tab/>
      </w:r>
      <w:r>
        <w:rPr>
          <w:b/>
          <w:i/>
        </w:rPr>
        <w:t xml:space="preserve">Carver I </w:t>
      </w:r>
    </w:p>
    <w:p w:rsidR="008200CC" w:rsidRDefault="008200CC" w:rsidP="008200CC">
      <w:pPr>
        <w:spacing w:line="480" w:lineRule="auto"/>
      </w:pPr>
      <w:r>
        <w:tab/>
      </w:r>
      <w:r w:rsidR="004912FC">
        <w:t>Carver was arrested on April 22, 2008</w:t>
      </w:r>
      <w:r w:rsidR="003E22EA">
        <w:t>,</w:t>
      </w:r>
      <w:r w:rsidR="004912FC">
        <w:t xml:space="preserve"> for two </w:t>
      </w:r>
      <w:r w:rsidR="003B54BD">
        <w:t xml:space="preserve">misdemeanor </w:t>
      </w:r>
      <w:r w:rsidR="004912FC">
        <w:t>violations</w:t>
      </w:r>
      <w:r w:rsidR="006E777B">
        <w:t>—</w:t>
      </w:r>
      <w:r w:rsidR="00D62C9B">
        <w:t>driving</w:t>
      </w:r>
      <w:r w:rsidR="00D62C9B" w:rsidRPr="00D62C9B">
        <w:t xml:space="preserve"> </w:t>
      </w:r>
      <w:r w:rsidR="00D62C9B">
        <w:t>without a</w:t>
      </w:r>
      <w:r w:rsidR="000353C9">
        <w:t xml:space="preserve"> valid</w:t>
      </w:r>
      <w:r w:rsidR="00D62C9B">
        <w:t xml:space="preserve"> license</w:t>
      </w:r>
      <w:r w:rsidR="003B54BD">
        <w:t xml:space="preserve"> </w:t>
      </w:r>
      <w:r w:rsidR="00D62C9B">
        <w:t>(Veh. Code</w:t>
      </w:r>
      <w:r w:rsidR="00DC5424">
        <w:t>,</w:t>
      </w:r>
      <w:r w:rsidR="00D62C9B">
        <w:t xml:space="preserve"> § 12500</w:t>
      </w:r>
      <w:r w:rsidR="00DC5424">
        <w:t>, subd. (a)</w:t>
      </w:r>
      <w:r w:rsidR="00D62C9B">
        <w:t>) and resisting or obstructing a police officer (Pen. Code</w:t>
      </w:r>
      <w:r w:rsidR="00DC5424">
        <w:t>,</w:t>
      </w:r>
      <w:r w:rsidR="00D62C9B">
        <w:t xml:space="preserve"> § 148, subd. (a)(1)).  In 2008, a jury found him guilty of the Vehicle Code violation</w:t>
      </w:r>
      <w:r w:rsidR="00DC5424">
        <w:t>,</w:t>
      </w:r>
      <w:r w:rsidR="00D62C9B">
        <w:t xml:space="preserve"> but could not reach a verdict on the Penal Code violation; a second trial in 2009 resulted in a conviction</w:t>
      </w:r>
      <w:r w:rsidR="00DC5424">
        <w:t xml:space="preserve"> of the Penal Code violation</w:t>
      </w:r>
      <w:r w:rsidR="00D62C9B">
        <w:t xml:space="preserve">.  Carver was sentenced for the Vehicle Code violation in 2008 and for the Penal Code violation in 2009.  </w:t>
      </w:r>
      <w:r w:rsidR="00AC172D">
        <w:t>The matter was referred to the State Bar, and</w:t>
      </w:r>
      <w:r w:rsidR="00F25C80">
        <w:t xml:space="preserve"> </w:t>
      </w:r>
      <w:r w:rsidR="002D4268">
        <w:t xml:space="preserve">in early 2011, </w:t>
      </w:r>
      <w:r w:rsidR="00A85473">
        <w:t>Carver stipulated to a public reproval with conditions based</w:t>
      </w:r>
      <w:r w:rsidR="00F25C80">
        <w:t xml:space="preserve"> on </w:t>
      </w:r>
      <w:r w:rsidR="00391143">
        <w:t>these</w:t>
      </w:r>
      <w:r w:rsidR="00F25C80">
        <w:t xml:space="preserve"> convictions</w:t>
      </w:r>
      <w:r w:rsidR="006A720E">
        <w:t>.</w:t>
      </w:r>
      <w:r w:rsidR="004912FC">
        <w:t xml:space="preserve"> </w:t>
      </w:r>
      <w:r w:rsidR="00152F00">
        <w:t xml:space="preserve"> </w:t>
      </w:r>
      <w:r w:rsidR="004912FC">
        <w:t xml:space="preserve">  </w:t>
      </w:r>
    </w:p>
    <w:p w:rsidR="001855DC" w:rsidRPr="008200CC" w:rsidRDefault="008200CC" w:rsidP="008200CC">
      <w:pPr>
        <w:spacing w:line="480" w:lineRule="auto"/>
      </w:pPr>
      <w:r>
        <w:rPr>
          <w:b/>
        </w:rPr>
        <w:t>B.</w:t>
      </w:r>
      <w:r>
        <w:rPr>
          <w:b/>
        </w:rPr>
        <w:tab/>
      </w:r>
      <w:r w:rsidR="00D0254F">
        <w:rPr>
          <w:b/>
          <w:i/>
        </w:rPr>
        <w:t>Carver II</w:t>
      </w:r>
      <w:r w:rsidR="00D0254F">
        <w:rPr>
          <w:b/>
        </w:rPr>
        <w:t xml:space="preserve"> </w:t>
      </w:r>
    </w:p>
    <w:p w:rsidR="00D62C9B" w:rsidRDefault="008200CC" w:rsidP="008200CC">
      <w:pPr>
        <w:spacing w:line="480" w:lineRule="auto"/>
      </w:pPr>
      <w:r>
        <w:tab/>
      </w:r>
      <w:r w:rsidR="000F5545">
        <w:t>In November 2011, OCTC</w:t>
      </w:r>
      <w:r w:rsidR="002D4268">
        <w:t xml:space="preserve"> filed an NDC initiating</w:t>
      </w:r>
      <w:r w:rsidR="000F5545">
        <w:t xml:space="preserve"> </w:t>
      </w:r>
      <w:r w:rsidR="000F5545">
        <w:rPr>
          <w:i/>
        </w:rPr>
        <w:t>Carver II</w:t>
      </w:r>
      <w:r w:rsidR="000F5545">
        <w:t xml:space="preserve"> </w:t>
      </w:r>
      <w:r w:rsidR="002D4268">
        <w:t xml:space="preserve">and </w:t>
      </w:r>
      <w:r w:rsidR="000F5545">
        <w:t xml:space="preserve">charging </w:t>
      </w:r>
      <w:r w:rsidR="00391143">
        <w:t>him</w:t>
      </w:r>
      <w:r w:rsidR="000F5545">
        <w:t xml:space="preserve"> with violating his reproval conditions </w:t>
      </w:r>
      <w:r w:rsidR="00DC5424">
        <w:t>from</w:t>
      </w:r>
      <w:r w:rsidR="000F5545">
        <w:t xml:space="preserve"> </w:t>
      </w:r>
      <w:r w:rsidR="000F5545">
        <w:rPr>
          <w:i/>
        </w:rPr>
        <w:t xml:space="preserve">Carver I.  </w:t>
      </w:r>
      <w:r w:rsidR="000F5545">
        <w:t>Th</w:t>
      </w:r>
      <w:r w:rsidR="003B54BD">
        <w:t>e</w:t>
      </w:r>
      <w:r w:rsidR="00C2582E">
        <w:t xml:space="preserve"> alleged</w:t>
      </w:r>
      <w:r w:rsidR="000F5545">
        <w:t xml:space="preserve"> violations included failing to timely contact his probation officer, file required quarterly reports, and report his compliance with the probation conditions in his underlying criminal matter.  </w:t>
      </w:r>
    </w:p>
    <w:p w:rsidR="00D0254F" w:rsidRPr="00D62C9B" w:rsidRDefault="00D62C9B" w:rsidP="00D62C9B">
      <w:pPr>
        <w:spacing w:line="480" w:lineRule="auto"/>
        <w:ind w:firstLine="720"/>
        <w:rPr>
          <w:b/>
        </w:rPr>
      </w:pPr>
      <w:r w:rsidRPr="00D62C9B">
        <w:rPr>
          <w:b/>
        </w:rPr>
        <w:t xml:space="preserve">1.  </w:t>
      </w:r>
      <w:r w:rsidR="00D0254F" w:rsidRPr="00D62C9B">
        <w:rPr>
          <w:b/>
        </w:rPr>
        <w:t>Carver</w:t>
      </w:r>
      <w:r w:rsidR="00D0254F" w:rsidRPr="00D0254F">
        <w:rPr>
          <w:b/>
        </w:rPr>
        <w:t xml:space="preserve"> Evaded</w:t>
      </w:r>
      <w:r w:rsidR="00D0254F">
        <w:rPr>
          <w:b/>
        </w:rPr>
        <w:t xml:space="preserve"> Service of the NDC </w:t>
      </w:r>
    </w:p>
    <w:p w:rsidR="003879DA" w:rsidRDefault="008200CC" w:rsidP="008200CC">
      <w:pPr>
        <w:spacing w:line="480" w:lineRule="auto"/>
      </w:pPr>
      <w:r>
        <w:tab/>
      </w:r>
      <w:r w:rsidR="00402FC7">
        <w:t>At the time</w:t>
      </w:r>
      <w:r w:rsidR="005B3F41">
        <w:t xml:space="preserve"> OCTC </w:t>
      </w:r>
      <w:r w:rsidR="00402FC7">
        <w:t>commenced</w:t>
      </w:r>
      <w:r w:rsidR="005B3F41">
        <w:t xml:space="preserve"> </w:t>
      </w:r>
      <w:r w:rsidR="005B3F41">
        <w:rPr>
          <w:i/>
        </w:rPr>
        <w:t xml:space="preserve">Carver II, </w:t>
      </w:r>
      <w:r w:rsidR="00906812">
        <w:t>Carver’s</w:t>
      </w:r>
      <w:r w:rsidR="005B3F41">
        <w:t xml:space="preserve"> official membership address </w:t>
      </w:r>
      <w:r w:rsidR="0081022C">
        <w:t>w</w:t>
      </w:r>
      <w:r w:rsidR="00A27EB9">
        <w:t xml:space="preserve">as </w:t>
      </w:r>
      <w:r w:rsidR="005B3F41">
        <w:t>a private mailbox company</w:t>
      </w:r>
      <w:r w:rsidR="00FB6467">
        <w:t>, which</w:t>
      </w:r>
      <w:r w:rsidR="005B3F41">
        <w:t xml:space="preserve"> he believed would not accept certified mail on his behalf.  </w:t>
      </w:r>
      <w:r w:rsidR="00633721">
        <w:t xml:space="preserve">Nevertheless, </w:t>
      </w:r>
      <w:r w:rsidR="00BC7018">
        <w:t>a</w:t>
      </w:r>
      <w:r w:rsidR="003B54BD">
        <w:t xml:space="preserve"> company</w:t>
      </w:r>
      <w:r w:rsidR="005B3F41">
        <w:t xml:space="preserve"> employee signed for </w:t>
      </w:r>
      <w:r w:rsidR="0081022C">
        <w:t>Carver’s</w:t>
      </w:r>
      <w:r w:rsidR="005B3F41">
        <w:t xml:space="preserve"> certified mail without authorization</w:t>
      </w:r>
      <w:r w:rsidR="00E84F71">
        <w:t xml:space="preserve">.  </w:t>
      </w:r>
      <w:r w:rsidR="00E84F71">
        <w:lastRenderedPageBreak/>
        <w:t>Thereafter,</w:t>
      </w:r>
      <w:r w:rsidR="0081022C">
        <w:t xml:space="preserve"> </w:t>
      </w:r>
      <w:r w:rsidR="005B3F41">
        <w:t>Carver refused to open the mail, which contained either the NDC or</w:t>
      </w:r>
      <w:r w:rsidR="00402FC7">
        <w:t xml:space="preserve"> the</w:t>
      </w:r>
      <w:r w:rsidR="005B3F41">
        <w:t xml:space="preserve"> amended NDC filed in</w:t>
      </w:r>
      <w:r w:rsidR="00D04A0C">
        <w:t xml:space="preserve"> </w:t>
      </w:r>
      <w:r w:rsidR="005B3F41" w:rsidRPr="00680360">
        <w:rPr>
          <w:i/>
        </w:rPr>
        <w:t>Carver II</w:t>
      </w:r>
      <w:r w:rsidR="005B3F41">
        <w:t xml:space="preserve">, or both.  </w:t>
      </w:r>
    </w:p>
    <w:p w:rsidR="00D62C9B" w:rsidRDefault="008200CC" w:rsidP="008200CC">
      <w:pPr>
        <w:spacing w:line="480" w:lineRule="auto"/>
      </w:pPr>
      <w:r>
        <w:tab/>
      </w:r>
      <w:r w:rsidR="00466389">
        <w:t xml:space="preserve">Carver </w:t>
      </w:r>
      <w:r w:rsidR="006A14A5">
        <w:t xml:space="preserve">did not </w:t>
      </w:r>
      <w:r w:rsidR="00466389">
        <w:t xml:space="preserve">timely respond to the </w:t>
      </w:r>
      <w:r w:rsidR="000E71F5">
        <w:rPr>
          <w:i/>
        </w:rPr>
        <w:t xml:space="preserve">Carver II </w:t>
      </w:r>
      <w:r w:rsidR="0081022C">
        <w:t>NDC</w:t>
      </w:r>
      <w:r w:rsidR="006A14A5">
        <w:t xml:space="preserve"> or</w:t>
      </w:r>
      <w:r w:rsidR="00466389">
        <w:t xml:space="preserve"> appear </w:t>
      </w:r>
      <w:r w:rsidR="00CC787E">
        <w:t>at</w:t>
      </w:r>
      <w:r w:rsidR="00466389">
        <w:t xml:space="preserve"> </w:t>
      </w:r>
      <w:r w:rsidR="00DA0365">
        <w:t>a</w:t>
      </w:r>
      <w:r w:rsidR="00A07432">
        <w:t xml:space="preserve"> status</w:t>
      </w:r>
      <w:r w:rsidR="006A14A5">
        <w:t xml:space="preserve"> conference</w:t>
      </w:r>
      <w:r w:rsidR="003B54BD">
        <w:t xml:space="preserve">.  As a result, </w:t>
      </w:r>
      <w:r w:rsidR="003879DA">
        <w:t xml:space="preserve">an </w:t>
      </w:r>
      <w:r w:rsidR="00A07432">
        <w:t xml:space="preserve">OCTC prosecutor </w:t>
      </w:r>
      <w:r w:rsidR="00271B5B">
        <w:t xml:space="preserve">informed him by email that the </w:t>
      </w:r>
      <w:r w:rsidR="00A07432">
        <w:t>hearing judge expected OCTC to file a default motion if Carver did not respond to the NDC</w:t>
      </w:r>
      <w:r w:rsidR="00FC614C">
        <w:t xml:space="preserve">.  Carver replied that he had not seen a complaint </w:t>
      </w:r>
      <w:r w:rsidR="000E71F5">
        <w:t>or been</w:t>
      </w:r>
      <w:r w:rsidR="00FC614C">
        <w:t xml:space="preserve"> properly served.  </w:t>
      </w:r>
      <w:r w:rsidR="00A07432">
        <w:t xml:space="preserve">The prosecutor </w:t>
      </w:r>
      <w:r w:rsidR="00A74162">
        <w:t>countered</w:t>
      </w:r>
      <w:r w:rsidR="00A07432">
        <w:t xml:space="preserve"> that Carver had </w:t>
      </w:r>
      <w:r w:rsidR="00D62C9B">
        <w:t xml:space="preserve">in fact </w:t>
      </w:r>
      <w:r w:rsidR="00A07432">
        <w:t>been properly served at his official membership address</w:t>
      </w:r>
      <w:r w:rsidR="00935886">
        <w:t xml:space="preserve">, and promptly </w:t>
      </w:r>
      <w:r w:rsidR="00A07432">
        <w:t xml:space="preserve">emailed him a copy of the NDC.  </w:t>
      </w:r>
      <w:r w:rsidR="003D465D">
        <w:t xml:space="preserve">On </w:t>
      </w:r>
      <w:r w:rsidR="00906812">
        <w:t xml:space="preserve">January 10, </w:t>
      </w:r>
      <w:r w:rsidR="003D465D">
        <w:t>2012, t</w:t>
      </w:r>
      <w:r w:rsidR="00A07432">
        <w:t xml:space="preserve">he prosecutor warned that she would move for his default if she did not receive his response by January 12, 2012.  Carver took no action. </w:t>
      </w:r>
    </w:p>
    <w:p w:rsidR="001855DC" w:rsidRPr="00D62C9B" w:rsidRDefault="008200CC" w:rsidP="008200CC">
      <w:pPr>
        <w:spacing w:line="480" w:lineRule="auto"/>
      </w:pPr>
      <w:r>
        <w:rPr>
          <w:b/>
        </w:rPr>
        <w:tab/>
      </w:r>
      <w:r w:rsidR="00D62C9B" w:rsidRPr="00D62C9B">
        <w:rPr>
          <w:b/>
        </w:rPr>
        <w:t>2</w:t>
      </w:r>
      <w:r w:rsidR="00D62C9B">
        <w:t xml:space="preserve">.  </w:t>
      </w:r>
      <w:r w:rsidR="001855DC" w:rsidRPr="00D62C9B">
        <w:rPr>
          <w:b/>
        </w:rPr>
        <w:t xml:space="preserve">Carver Was </w:t>
      </w:r>
      <w:r w:rsidR="00A5338A">
        <w:rPr>
          <w:b/>
        </w:rPr>
        <w:t>Ine</w:t>
      </w:r>
      <w:r w:rsidR="00EB7F81" w:rsidRPr="00D62C9B">
        <w:rPr>
          <w:b/>
        </w:rPr>
        <w:t>ligible to Pract</w:t>
      </w:r>
      <w:r w:rsidR="009D6BEB" w:rsidRPr="00D62C9B">
        <w:rPr>
          <w:b/>
        </w:rPr>
        <w:t>ice Law as of February 18, 2012</w:t>
      </w:r>
      <w:r w:rsidR="00EB7F81" w:rsidRPr="00D62C9B">
        <w:rPr>
          <w:b/>
        </w:rPr>
        <w:t xml:space="preserve"> </w:t>
      </w:r>
    </w:p>
    <w:p w:rsidR="00877CC9" w:rsidRDefault="008200CC" w:rsidP="008200CC">
      <w:pPr>
        <w:spacing w:line="480" w:lineRule="auto"/>
      </w:pPr>
      <w:r>
        <w:tab/>
      </w:r>
      <w:r w:rsidR="00152182">
        <w:t>O</w:t>
      </w:r>
      <w:r w:rsidR="00906812">
        <w:t>n February 2, 2012</w:t>
      </w:r>
      <w:r w:rsidR="00A5338A">
        <w:t>,</w:t>
      </w:r>
      <w:r w:rsidR="00152182">
        <w:t xml:space="preserve"> and upon motion by OCTC</w:t>
      </w:r>
      <w:r w:rsidR="00763C4F">
        <w:t xml:space="preserve">, a hearing judge </w:t>
      </w:r>
      <w:r w:rsidR="00715E36">
        <w:t>entered</w:t>
      </w:r>
      <w:r w:rsidR="003879DA">
        <w:t xml:space="preserve"> Carver’s </w:t>
      </w:r>
      <w:r w:rsidR="00152F00">
        <w:t>default</w:t>
      </w:r>
      <w:r w:rsidR="00D01DA7">
        <w:t xml:space="preserve"> (the Default Order) under rule </w:t>
      </w:r>
      <w:r w:rsidR="00152F00">
        <w:t>5.80(D)</w:t>
      </w:r>
      <w:r w:rsidR="00D01DA7">
        <w:t>,</w:t>
      </w:r>
      <w:r w:rsidR="00152F00">
        <w:t xml:space="preserve"> and enroll</w:t>
      </w:r>
      <w:r w:rsidR="00763C4F">
        <w:t>ed</w:t>
      </w:r>
      <w:r w:rsidR="00152F00">
        <w:t xml:space="preserve"> him </w:t>
      </w:r>
      <w:r w:rsidR="00B574FD">
        <w:t xml:space="preserve">as </w:t>
      </w:r>
      <w:r w:rsidR="00152F00">
        <w:t>inactive, effective three days after</w:t>
      </w:r>
      <w:r w:rsidR="005229EE">
        <w:t xml:space="preserve"> service of</w:t>
      </w:r>
      <w:r w:rsidR="00152F00">
        <w:t xml:space="preserve"> the</w:t>
      </w:r>
      <w:r w:rsidR="00877CC9">
        <w:t xml:space="preserve"> Default O</w:t>
      </w:r>
      <w:r w:rsidR="00152F00">
        <w:t xml:space="preserve">rder.  On February 15, 2012, the Hearing Department properly served the Default Order </w:t>
      </w:r>
      <w:r w:rsidR="00C71375">
        <w:t xml:space="preserve">on </w:t>
      </w:r>
      <w:r w:rsidR="00DA2FFA">
        <w:t xml:space="preserve">Carver at his </w:t>
      </w:r>
      <w:r w:rsidR="002C7034">
        <w:t xml:space="preserve">new </w:t>
      </w:r>
      <w:r w:rsidR="00DA2FFA">
        <w:t xml:space="preserve">membership address </w:t>
      </w:r>
      <w:r w:rsidR="00152F00">
        <w:t xml:space="preserve">via </w:t>
      </w:r>
      <w:r w:rsidR="00152F00" w:rsidRPr="00821C57">
        <w:t>both certified</w:t>
      </w:r>
      <w:r w:rsidR="00152F00">
        <w:t xml:space="preserve"> and U.S. Mail, along with a signed proof of service and a copy of its letter notifying the Supreme Court of </w:t>
      </w:r>
      <w:r w:rsidR="00D01DA7">
        <w:t xml:space="preserve">his </w:t>
      </w:r>
      <w:r w:rsidR="00152F00">
        <w:t>impending inactive s</w:t>
      </w:r>
      <w:r w:rsidR="00C71375">
        <w:t xml:space="preserve">tatus.  </w:t>
      </w:r>
      <w:r w:rsidR="00C60AD4">
        <w:t xml:space="preserve">By this time, </w:t>
      </w:r>
      <w:r w:rsidR="00CC787E">
        <w:t xml:space="preserve">Carver had changed his membership address from the private mailbox company to a U.S. Mail post office box that he knew could not accept certified mail.  </w:t>
      </w:r>
      <w:r w:rsidR="00C71375">
        <w:t>At trial, Carver testified that he did not sign for or pick up mail from his post office box from January 2012 until roughly March 10, 2012</w:t>
      </w:r>
      <w:r w:rsidR="00DA2FFA">
        <w:t>.</w:t>
      </w:r>
      <w:r w:rsidR="00C71375">
        <w:t xml:space="preserve">  </w:t>
      </w:r>
      <w:r w:rsidR="005229EE">
        <w:t>On</w:t>
      </w:r>
      <w:r w:rsidR="00EB7F81">
        <w:t xml:space="preserve"> February 18, 2012</w:t>
      </w:r>
      <w:r w:rsidR="009D6BEB">
        <w:t xml:space="preserve">, </w:t>
      </w:r>
      <w:r w:rsidR="00EB7F81">
        <w:t xml:space="preserve">Carver was enrolled as inactive, pursuant to </w:t>
      </w:r>
      <w:r w:rsidR="00C62013">
        <w:t xml:space="preserve">Business and Professions Code, </w:t>
      </w:r>
      <w:r w:rsidR="00EB7F81">
        <w:t>section 6007, subdivision (e)</w:t>
      </w:r>
      <w:r w:rsidR="0084005D">
        <w:rPr>
          <w:rStyle w:val="FootnoteReference"/>
        </w:rPr>
        <w:footnoteReference w:id="3"/>
      </w:r>
      <w:r w:rsidR="00EB7F81">
        <w:t xml:space="preserve"> (involuntary inactive enrollment required when defau</w:t>
      </w:r>
      <w:r w:rsidR="009D6BEB">
        <w:t>lt has been entered and served)</w:t>
      </w:r>
      <w:r w:rsidR="00E27A1C">
        <w:t>,</w:t>
      </w:r>
      <w:r w:rsidR="009D6BEB">
        <w:t xml:space="preserve"> and </w:t>
      </w:r>
      <w:r w:rsidR="002358D5">
        <w:t xml:space="preserve">he </w:t>
      </w:r>
      <w:r w:rsidR="00D01DA7">
        <w:t>became in</w:t>
      </w:r>
      <w:r w:rsidR="009D6BEB">
        <w:t>eligible to practice law.</w:t>
      </w:r>
      <w:r w:rsidR="00C71375">
        <w:t xml:space="preserve">  </w:t>
      </w:r>
    </w:p>
    <w:p w:rsidR="00877CC9" w:rsidRDefault="00877CC9">
      <w:r>
        <w:br w:type="page"/>
      </w:r>
    </w:p>
    <w:p w:rsidR="00C22B8E" w:rsidRPr="00DA2FFA" w:rsidRDefault="008200CC" w:rsidP="008200CC">
      <w:pPr>
        <w:spacing w:line="480" w:lineRule="auto"/>
      </w:pPr>
      <w:r>
        <w:lastRenderedPageBreak/>
        <w:tab/>
      </w:r>
      <w:r w:rsidR="00DA2FFA" w:rsidRPr="00DA2FFA">
        <w:rPr>
          <w:b/>
        </w:rPr>
        <w:t xml:space="preserve">3.  </w:t>
      </w:r>
      <w:r w:rsidR="00C22B8E" w:rsidRPr="00DA2FFA">
        <w:rPr>
          <w:b/>
        </w:rPr>
        <w:t xml:space="preserve">Carver </w:t>
      </w:r>
      <w:r w:rsidR="0076674C" w:rsidRPr="00DA2FFA">
        <w:rPr>
          <w:b/>
        </w:rPr>
        <w:t>Served</w:t>
      </w:r>
      <w:r w:rsidR="007D4AFA">
        <w:rPr>
          <w:b/>
        </w:rPr>
        <w:t xml:space="preserve"> and</w:t>
      </w:r>
      <w:r w:rsidR="0076674C" w:rsidRPr="00DA2FFA">
        <w:rPr>
          <w:b/>
        </w:rPr>
        <w:t xml:space="preserve"> Filed</w:t>
      </w:r>
      <w:r w:rsidR="00C22B8E" w:rsidRPr="00DA2FFA">
        <w:rPr>
          <w:b/>
        </w:rPr>
        <w:t xml:space="preserve"> Documents and Appeared in Court </w:t>
      </w:r>
      <w:r w:rsidR="00751013">
        <w:rPr>
          <w:b/>
        </w:rPr>
        <w:t>W</w:t>
      </w:r>
      <w:r w:rsidR="00DA2FFA">
        <w:rPr>
          <w:b/>
        </w:rPr>
        <w:t xml:space="preserve">hile Inactive </w:t>
      </w:r>
    </w:p>
    <w:p w:rsidR="000C03F3" w:rsidRDefault="008200CC" w:rsidP="008200CC">
      <w:pPr>
        <w:spacing w:line="480" w:lineRule="auto"/>
      </w:pPr>
      <w:r>
        <w:tab/>
      </w:r>
      <w:r w:rsidR="00C22B8E">
        <w:t xml:space="preserve">On March 1, 2012, two </w:t>
      </w:r>
      <w:r w:rsidR="00152F00">
        <w:t xml:space="preserve">weeks </w:t>
      </w:r>
      <w:r w:rsidR="00D37E9A">
        <w:t xml:space="preserve">after </w:t>
      </w:r>
      <w:r w:rsidR="00B10701">
        <w:t xml:space="preserve">being enrolled </w:t>
      </w:r>
      <w:r w:rsidR="00D37E9A">
        <w:t xml:space="preserve">inactive, </w:t>
      </w:r>
      <w:r w:rsidR="00C22B8E">
        <w:t>Carver</w:t>
      </w:r>
      <w:r w:rsidR="0059784E">
        <w:t xml:space="preserve"> served a notice of </w:t>
      </w:r>
      <w:r w:rsidR="00906812">
        <w:t xml:space="preserve">his </w:t>
      </w:r>
      <w:r w:rsidR="0059784E">
        <w:t xml:space="preserve">limited scope representation upon the Department of Child </w:t>
      </w:r>
      <w:r w:rsidR="000C4009">
        <w:t xml:space="preserve">Support </w:t>
      </w:r>
      <w:r w:rsidR="0059784E">
        <w:t xml:space="preserve">Services, </w:t>
      </w:r>
      <w:r w:rsidR="001523C3">
        <w:t>informing</w:t>
      </w:r>
      <w:r w:rsidR="0059784E">
        <w:t xml:space="preserve"> </w:t>
      </w:r>
      <w:r w:rsidR="001523C3">
        <w:t>it</w:t>
      </w:r>
      <w:r w:rsidR="0059784E">
        <w:t xml:space="preserve"> that he intended to appear </w:t>
      </w:r>
      <w:r w:rsidR="00821C57">
        <w:t xml:space="preserve">at an upcoming hearing </w:t>
      </w:r>
      <w:r w:rsidR="0059784E">
        <w:t xml:space="preserve">on behalf of his client.  On March 2, 2012, Carver made two appearances </w:t>
      </w:r>
      <w:r w:rsidR="00821C57">
        <w:t>for</w:t>
      </w:r>
      <w:r w:rsidR="0059784E">
        <w:t xml:space="preserve"> </w:t>
      </w:r>
      <w:r w:rsidR="009D6BEB">
        <w:t>his client</w:t>
      </w:r>
      <w:r w:rsidR="0059784E">
        <w:t xml:space="preserve"> in Orange County Superior Court</w:t>
      </w:r>
      <w:r w:rsidR="00E70731">
        <w:t>:</w:t>
      </w:r>
      <w:r w:rsidR="0059784E">
        <w:t xml:space="preserve"> </w:t>
      </w:r>
      <w:r w:rsidR="00E70731">
        <w:t>f</w:t>
      </w:r>
      <w:r w:rsidR="0004406E">
        <w:t>irst</w:t>
      </w:r>
      <w:r w:rsidR="0059784E">
        <w:t xml:space="preserve">, before a court commissioner, </w:t>
      </w:r>
      <w:r w:rsidR="00D01DA7">
        <w:t>by filing</w:t>
      </w:r>
      <w:r w:rsidR="0059784E">
        <w:t xml:space="preserve"> an objection </w:t>
      </w:r>
      <w:r w:rsidR="005229EE">
        <w:t xml:space="preserve">and a supporting declaration </w:t>
      </w:r>
      <w:r w:rsidR="0059784E">
        <w:t>seeking to disqualify the commissioner</w:t>
      </w:r>
      <w:r w:rsidR="00E70731">
        <w:t>; and</w:t>
      </w:r>
      <w:r w:rsidR="0059784E">
        <w:t xml:space="preserve"> </w:t>
      </w:r>
      <w:r w:rsidR="00E70731">
        <w:t>s</w:t>
      </w:r>
      <w:r w:rsidR="0004406E">
        <w:t>econd,</w:t>
      </w:r>
      <w:r w:rsidR="000E04D6">
        <w:t xml:space="preserve"> </w:t>
      </w:r>
      <w:r w:rsidR="005229EE">
        <w:t xml:space="preserve">when </w:t>
      </w:r>
      <w:r w:rsidR="009D6BEB">
        <w:t xml:space="preserve">his </w:t>
      </w:r>
      <w:r w:rsidR="0059784E">
        <w:t>case was transferred to the Honorable David Belz</w:t>
      </w:r>
      <w:r w:rsidR="005229EE">
        <w:t>,</w:t>
      </w:r>
      <w:r w:rsidR="0076674C">
        <w:t xml:space="preserve"> </w:t>
      </w:r>
      <w:r w:rsidR="00D01DA7">
        <w:t xml:space="preserve">by stating </w:t>
      </w:r>
      <w:r w:rsidR="000E04D6">
        <w:t>his appearance</w:t>
      </w:r>
      <w:r w:rsidR="005229EE">
        <w:t xml:space="preserve"> for his client before the judge</w:t>
      </w:r>
      <w:r w:rsidR="0059784E">
        <w:t xml:space="preserve">.  Judge Belz informed </w:t>
      </w:r>
      <w:r w:rsidR="000E04D6">
        <w:t xml:space="preserve">Carver </w:t>
      </w:r>
      <w:r w:rsidR="0059784E">
        <w:t xml:space="preserve">that he was not enrolled as an active member of the </w:t>
      </w:r>
      <w:r w:rsidR="0084005D">
        <w:t xml:space="preserve">State </w:t>
      </w:r>
      <w:r w:rsidR="0059784E">
        <w:t>Bar.</w:t>
      </w:r>
      <w:r w:rsidR="0059784E">
        <w:rPr>
          <w:rStyle w:val="FootnoteReference"/>
        </w:rPr>
        <w:footnoteReference w:id="4"/>
      </w:r>
      <w:r w:rsidR="0059784E">
        <w:t xml:space="preserve">  Carver </w:t>
      </w:r>
      <w:r w:rsidR="00B574FD">
        <w:t>a</w:t>
      </w:r>
      <w:r w:rsidR="00F8481F">
        <w:t>cted</w:t>
      </w:r>
      <w:r w:rsidR="0059784E">
        <w:t xml:space="preserve"> surprise</w:t>
      </w:r>
      <w:r w:rsidR="00B574FD">
        <w:t>d</w:t>
      </w:r>
      <w:r w:rsidR="00A74162">
        <w:t>,</w:t>
      </w:r>
      <w:r w:rsidR="0059784E">
        <w:t xml:space="preserve"> and</w:t>
      </w:r>
      <w:r w:rsidR="002E6A80">
        <w:t xml:space="preserve"> </w:t>
      </w:r>
      <w:r w:rsidR="0059784E">
        <w:t>claimed</w:t>
      </w:r>
      <w:r w:rsidR="009D6BEB">
        <w:t xml:space="preserve"> </w:t>
      </w:r>
      <w:r w:rsidR="0017668C">
        <w:t xml:space="preserve">that </w:t>
      </w:r>
      <w:r w:rsidR="0059784E">
        <w:t xml:space="preserve">a </w:t>
      </w:r>
      <w:r w:rsidR="0030742A">
        <w:t xml:space="preserve">membership dues </w:t>
      </w:r>
      <w:r w:rsidR="0059784E">
        <w:t>issue must have caused the status change.</w:t>
      </w:r>
      <w:r w:rsidR="005D4353">
        <w:t xml:space="preserve">  </w:t>
      </w:r>
    </w:p>
    <w:p w:rsidR="005D4353" w:rsidRPr="000C03F3" w:rsidRDefault="008200CC" w:rsidP="008200CC">
      <w:pPr>
        <w:spacing w:line="480" w:lineRule="auto"/>
      </w:pPr>
      <w:r>
        <w:rPr>
          <w:b/>
        </w:rPr>
        <w:tab/>
      </w:r>
      <w:r w:rsidR="000C03F3" w:rsidRPr="000C03F3">
        <w:rPr>
          <w:b/>
        </w:rPr>
        <w:t xml:space="preserve">4.  </w:t>
      </w:r>
      <w:r w:rsidR="005D4353" w:rsidRPr="000C03F3">
        <w:rPr>
          <w:b/>
        </w:rPr>
        <w:t>Discipline Imposed</w:t>
      </w:r>
      <w:r w:rsidR="005D4353">
        <w:rPr>
          <w:b/>
        </w:rPr>
        <w:t xml:space="preserve"> in </w:t>
      </w:r>
      <w:r w:rsidR="005D4353">
        <w:rPr>
          <w:b/>
          <w:i/>
        </w:rPr>
        <w:t>Carver II</w:t>
      </w:r>
    </w:p>
    <w:p w:rsidR="00503655" w:rsidRDefault="008200CC" w:rsidP="008200CC">
      <w:pPr>
        <w:spacing w:line="480" w:lineRule="auto"/>
      </w:pPr>
      <w:r>
        <w:tab/>
      </w:r>
      <w:r w:rsidR="00D01DA7">
        <w:t>A</w:t>
      </w:r>
      <w:r w:rsidR="000E71F5">
        <w:t xml:space="preserve"> </w:t>
      </w:r>
      <w:r w:rsidR="005D4353">
        <w:t>hearing judge</w:t>
      </w:r>
      <w:r w:rsidR="00F847FD">
        <w:t xml:space="preserve"> </w:t>
      </w:r>
      <w:r w:rsidR="00D01DA7">
        <w:t xml:space="preserve">later </w:t>
      </w:r>
      <w:r w:rsidR="005D4353">
        <w:t xml:space="preserve">granted Carver limited relief from </w:t>
      </w:r>
      <w:r w:rsidR="000E71F5">
        <w:t xml:space="preserve">his </w:t>
      </w:r>
      <w:r w:rsidR="000E71F5">
        <w:rPr>
          <w:i/>
        </w:rPr>
        <w:t xml:space="preserve">Carver II </w:t>
      </w:r>
      <w:r w:rsidR="005D4353">
        <w:t xml:space="preserve">default </w:t>
      </w:r>
    </w:p>
    <w:p w:rsidR="001E3F0F" w:rsidRDefault="005D4353" w:rsidP="008200CC">
      <w:pPr>
        <w:spacing w:line="480" w:lineRule="auto"/>
      </w:pPr>
      <w:r>
        <w:t>(</w:t>
      </w:r>
      <w:r w:rsidRPr="00C7785A">
        <w:t xml:space="preserve">rule </w:t>
      </w:r>
      <w:r w:rsidR="004F5174">
        <w:t xml:space="preserve">5.83(H)(3)), found </w:t>
      </w:r>
      <w:r w:rsidR="003E21D5">
        <w:t>him</w:t>
      </w:r>
      <w:r w:rsidR="004F5174">
        <w:t xml:space="preserve"> culpable of violating his reproval conditions</w:t>
      </w:r>
      <w:r w:rsidR="000C03F3">
        <w:t>,</w:t>
      </w:r>
      <w:r w:rsidR="004F5174">
        <w:t xml:space="preserve"> and recommended discipline.  </w:t>
      </w:r>
      <w:r w:rsidR="00935886">
        <w:t>In November 2014, w</w:t>
      </w:r>
      <w:r w:rsidR="00A978F5">
        <w:t xml:space="preserve">e </w:t>
      </w:r>
      <w:r>
        <w:t xml:space="preserve">affirmed </w:t>
      </w:r>
      <w:r w:rsidR="003E21D5">
        <w:t xml:space="preserve">culpability </w:t>
      </w:r>
      <w:r w:rsidR="00A978F5">
        <w:t xml:space="preserve">and </w:t>
      </w:r>
      <w:r>
        <w:t>recommended discipline including a 90-day actual suspension.</w:t>
      </w:r>
      <w:r>
        <w:rPr>
          <w:i/>
        </w:rPr>
        <w:t xml:space="preserve"> </w:t>
      </w:r>
      <w:r>
        <w:t xml:space="preserve"> </w:t>
      </w:r>
      <w:r w:rsidR="00503655">
        <w:t>(</w:t>
      </w:r>
      <w:r w:rsidR="00503655">
        <w:rPr>
          <w:i/>
        </w:rPr>
        <w:t>In the Matter of Carver</w:t>
      </w:r>
      <w:r w:rsidR="00503655">
        <w:t xml:space="preserve"> (Review Dept. 2014) 5 Cal. State Bar Ct. Rptr. 348, 354.)</w:t>
      </w:r>
      <w:r w:rsidR="00C60AD4">
        <w:rPr>
          <w:rStyle w:val="FootnoteReference"/>
        </w:rPr>
        <w:footnoteReference w:id="5"/>
      </w:r>
      <w:r w:rsidR="00503655">
        <w:t xml:space="preserve">  </w:t>
      </w:r>
    </w:p>
    <w:p w:rsidR="008200CC" w:rsidRDefault="007F10D2" w:rsidP="008200CC">
      <w:pPr>
        <w:spacing w:line="480" w:lineRule="auto"/>
        <w:jc w:val="center"/>
        <w:rPr>
          <w:b/>
        </w:rPr>
      </w:pPr>
      <w:r>
        <w:rPr>
          <w:b/>
        </w:rPr>
        <w:t xml:space="preserve">III.  </w:t>
      </w:r>
      <w:r w:rsidR="002358D5">
        <w:rPr>
          <w:b/>
        </w:rPr>
        <w:t xml:space="preserve">CARVER IS </w:t>
      </w:r>
      <w:r>
        <w:rPr>
          <w:b/>
        </w:rPr>
        <w:t>CULPABL</w:t>
      </w:r>
      <w:r w:rsidR="002358D5">
        <w:rPr>
          <w:b/>
        </w:rPr>
        <w:t>E OF UPL</w:t>
      </w:r>
    </w:p>
    <w:p w:rsidR="00A62C4E" w:rsidRPr="00F72F55" w:rsidRDefault="007F10D2" w:rsidP="008200CC">
      <w:pPr>
        <w:spacing w:line="480" w:lineRule="auto"/>
        <w:rPr>
          <w:b/>
        </w:rPr>
      </w:pPr>
      <w:r>
        <w:rPr>
          <w:b/>
        </w:rPr>
        <w:t>A</w:t>
      </w:r>
      <w:r w:rsidR="00A62C4E">
        <w:rPr>
          <w:b/>
        </w:rPr>
        <w:t>.</w:t>
      </w:r>
      <w:r w:rsidR="00A62C4E">
        <w:rPr>
          <w:b/>
        </w:rPr>
        <w:tab/>
      </w:r>
      <w:r w:rsidR="00E71462">
        <w:rPr>
          <w:b/>
        </w:rPr>
        <w:t xml:space="preserve">Carver </w:t>
      </w:r>
      <w:r w:rsidR="004E1E18">
        <w:rPr>
          <w:b/>
        </w:rPr>
        <w:t>Committed</w:t>
      </w:r>
      <w:r w:rsidR="00E71462">
        <w:rPr>
          <w:b/>
        </w:rPr>
        <w:t xml:space="preserve"> UPL</w:t>
      </w:r>
      <w:r w:rsidR="00405558">
        <w:rPr>
          <w:b/>
        </w:rPr>
        <w:t xml:space="preserve"> (Count One)</w:t>
      </w:r>
    </w:p>
    <w:p w:rsidR="00145C95" w:rsidRDefault="008200CC" w:rsidP="008200CC">
      <w:pPr>
        <w:spacing w:line="480" w:lineRule="auto"/>
      </w:pPr>
      <w:r>
        <w:tab/>
      </w:r>
      <w:r w:rsidR="00D92218">
        <w:t>Like the hearing judge, we find</w:t>
      </w:r>
      <w:r w:rsidR="00DB035C">
        <w:t xml:space="preserve"> </w:t>
      </w:r>
      <w:r w:rsidR="005B3F41">
        <w:t>t</w:t>
      </w:r>
      <w:r w:rsidR="00BD4005">
        <w:t xml:space="preserve">hat </w:t>
      </w:r>
      <w:r w:rsidR="00950B61">
        <w:t xml:space="preserve">Carver </w:t>
      </w:r>
      <w:r w:rsidR="00010544">
        <w:t xml:space="preserve">held himself out as entitled to practice law and actually practiced law when he was </w:t>
      </w:r>
      <w:r w:rsidR="00D92218">
        <w:t xml:space="preserve">not </w:t>
      </w:r>
      <w:r w:rsidR="00742E6B">
        <w:t xml:space="preserve">an active </w:t>
      </w:r>
      <w:r w:rsidR="00010544">
        <w:t>member of the State Bar</w:t>
      </w:r>
      <w:r w:rsidR="00DB035C">
        <w:t>, as alleged in Count One of the NDC</w:t>
      </w:r>
      <w:r w:rsidR="000E71F5">
        <w:t xml:space="preserve">.  By </w:t>
      </w:r>
      <w:r w:rsidR="00DB035C">
        <w:t xml:space="preserve">filing and serving court documents and making court appearances </w:t>
      </w:r>
      <w:r w:rsidR="00DB035C">
        <w:lastRenderedPageBreak/>
        <w:t>on his client’s behalf,</w:t>
      </w:r>
      <w:r w:rsidR="000E71F5">
        <w:t xml:space="preserve"> Carver </w:t>
      </w:r>
      <w:r w:rsidR="00010544">
        <w:t>violat</w:t>
      </w:r>
      <w:r w:rsidR="000E71F5">
        <w:t>ed</w:t>
      </w:r>
      <w:r w:rsidR="00010544">
        <w:t xml:space="preserve"> sections 6068, subdivision (a), 6125, and 6126.</w:t>
      </w:r>
      <w:r w:rsidR="00D970C3">
        <w:rPr>
          <w:rStyle w:val="FootnoteReference"/>
        </w:rPr>
        <w:footnoteReference w:id="6"/>
      </w:r>
      <w:r w:rsidR="00D970C3">
        <w:t xml:space="preserve"> </w:t>
      </w:r>
      <w:r w:rsidR="00010544">
        <w:t xml:space="preserve"> </w:t>
      </w:r>
      <w:r w:rsidR="00A62C4E">
        <w:t>(</w:t>
      </w:r>
      <w:r w:rsidR="00A62C4E">
        <w:rPr>
          <w:i/>
        </w:rPr>
        <w:t>In re Utz</w:t>
      </w:r>
      <w:r w:rsidR="00A62C4E">
        <w:t xml:space="preserve"> (1989) 48 Cal.3d 468, 483</w:t>
      </w:r>
      <w:r w:rsidR="0062653B">
        <w:t>, fn. 11</w:t>
      </w:r>
      <w:r w:rsidR="00A62C4E">
        <w:t xml:space="preserve"> [practice of law includes </w:t>
      </w:r>
      <w:r w:rsidR="00A62C4E" w:rsidRPr="0014648D">
        <w:t xml:space="preserve">doing and performing services in </w:t>
      </w:r>
      <w:r w:rsidR="00A62C4E">
        <w:t>any matter pending in court, providing legal advice and counsel, and preparing legal instruments through which rights may be secured].)</w:t>
      </w:r>
      <w:r w:rsidR="00EE2FA2">
        <w:t xml:space="preserve">  </w:t>
      </w:r>
      <w:r w:rsidR="00FC614C">
        <w:t>We</w:t>
      </w:r>
      <w:r w:rsidR="00196BF7">
        <w:t xml:space="preserve"> assign no </w:t>
      </w:r>
      <w:r w:rsidR="00D92218">
        <w:t xml:space="preserve">disciplinary </w:t>
      </w:r>
      <w:r w:rsidR="00196BF7">
        <w:t>weight for</w:t>
      </w:r>
      <w:r w:rsidR="00D01DA7">
        <w:t xml:space="preserve"> these</w:t>
      </w:r>
      <w:r w:rsidR="00196BF7">
        <w:t xml:space="preserve"> violation</w:t>
      </w:r>
      <w:r w:rsidR="00D01DA7">
        <w:t>s</w:t>
      </w:r>
      <w:r w:rsidR="00FC614C">
        <w:t xml:space="preserve">, however, </w:t>
      </w:r>
      <w:r w:rsidR="00196BF7">
        <w:t xml:space="preserve">as </w:t>
      </w:r>
      <w:r w:rsidR="00D01DA7">
        <w:t>they are</w:t>
      </w:r>
      <w:r w:rsidR="00196BF7">
        <w:t xml:space="preserve"> based on the same facts that underlie our culpability finding</w:t>
      </w:r>
      <w:r w:rsidR="005D1EA4">
        <w:t xml:space="preserve"> for moral turpitude</w:t>
      </w:r>
      <w:r w:rsidR="00B45FF1">
        <w:t>,</w:t>
      </w:r>
      <w:r w:rsidR="00196BF7">
        <w:t xml:space="preserve"> discussed below, </w:t>
      </w:r>
      <w:r w:rsidR="00F656D5">
        <w:t>which</w:t>
      </w:r>
      <w:r w:rsidR="00441937">
        <w:t xml:space="preserve"> </w:t>
      </w:r>
      <w:r w:rsidR="00B36C52">
        <w:t>supports the same or greater discipline.  (</w:t>
      </w:r>
      <w:r w:rsidR="00B36C52">
        <w:rPr>
          <w:i/>
          <w:iCs/>
        </w:rPr>
        <w:t>In the Matter of Sampson</w:t>
      </w:r>
      <w:r w:rsidR="00B36C52">
        <w:t xml:space="preserve"> (Review Dept. 1994) 3 Cal. State Bar Ct. Rptr. 119, 127 [declinin</w:t>
      </w:r>
      <w:r w:rsidR="00441937">
        <w:t xml:space="preserve">g to assign additional </w:t>
      </w:r>
      <w:r w:rsidR="006948F8">
        <w:t xml:space="preserve">disciplinary </w:t>
      </w:r>
      <w:r w:rsidR="00441937">
        <w:t>weight for</w:t>
      </w:r>
      <w:r w:rsidR="00B36C52">
        <w:t xml:space="preserve"> lesser-included violation].)</w:t>
      </w:r>
    </w:p>
    <w:p w:rsidR="004E1E18" w:rsidRPr="004E1E18" w:rsidRDefault="009631A4" w:rsidP="004E1E18">
      <w:pPr>
        <w:spacing w:after="240"/>
        <w:ind w:left="720" w:hanging="720"/>
        <w:rPr>
          <w:b/>
        </w:rPr>
      </w:pPr>
      <w:r>
        <w:rPr>
          <w:b/>
        </w:rPr>
        <w:t>B</w:t>
      </w:r>
      <w:r w:rsidR="00F82032">
        <w:rPr>
          <w:b/>
        </w:rPr>
        <w:t>.</w:t>
      </w:r>
      <w:r w:rsidR="00F82032">
        <w:rPr>
          <w:b/>
        </w:rPr>
        <w:tab/>
        <w:t xml:space="preserve">Carver’s UPL Amounts to </w:t>
      </w:r>
      <w:r w:rsidR="00405558">
        <w:rPr>
          <w:b/>
        </w:rPr>
        <w:t xml:space="preserve">Moral </w:t>
      </w:r>
      <w:r w:rsidR="00F82032">
        <w:rPr>
          <w:b/>
        </w:rPr>
        <w:t>Turpitude</w:t>
      </w:r>
      <w:r w:rsidR="00405558">
        <w:rPr>
          <w:b/>
        </w:rPr>
        <w:t xml:space="preserve"> (Count Two)</w:t>
      </w:r>
    </w:p>
    <w:p w:rsidR="002910B3" w:rsidRPr="000F2D46" w:rsidRDefault="009631A4" w:rsidP="009631A4">
      <w:pPr>
        <w:spacing w:line="480" w:lineRule="auto"/>
      </w:pPr>
      <w:r>
        <w:tab/>
      </w:r>
      <w:r w:rsidR="00405558">
        <w:t xml:space="preserve">The </w:t>
      </w:r>
      <w:r w:rsidR="00D92218">
        <w:t xml:space="preserve">hearing judge found, as alleged in Count </w:t>
      </w:r>
      <w:r w:rsidR="005D1EA4">
        <w:t>Two</w:t>
      </w:r>
      <w:r w:rsidR="00D92218">
        <w:t xml:space="preserve"> of </w:t>
      </w:r>
      <w:r w:rsidR="007263D5">
        <w:t xml:space="preserve">the </w:t>
      </w:r>
      <w:r w:rsidR="00405558">
        <w:t>NDC</w:t>
      </w:r>
      <w:r w:rsidR="00D92218">
        <w:t>,</w:t>
      </w:r>
      <w:r w:rsidR="00771E9E">
        <w:t xml:space="preserve"> </w:t>
      </w:r>
      <w:r w:rsidR="00405558">
        <w:t xml:space="preserve">that </w:t>
      </w:r>
      <w:r w:rsidR="00742E6B">
        <w:t>Carver committed an act of moral turpitude</w:t>
      </w:r>
      <w:r w:rsidR="00B45FF1">
        <w:t xml:space="preserve"> in violation of section 6106</w:t>
      </w:r>
      <w:r w:rsidR="004D3D3B">
        <w:rPr>
          <w:rStyle w:val="FootnoteReference"/>
        </w:rPr>
        <w:footnoteReference w:id="7"/>
      </w:r>
      <w:r w:rsidR="00742E6B">
        <w:t xml:space="preserve"> </w:t>
      </w:r>
      <w:r w:rsidR="005D1EA4">
        <w:t>by</w:t>
      </w:r>
      <w:r w:rsidR="00742E6B">
        <w:t xml:space="preserve"> engag</w:t>
      </w:r>
      <w:r w:rsidR="005D1EA4">
        <w:t>ing</w:t>
      </w:r>
      <w:r w:rsidR="00742E6B">
        <w:t xml:space="preserve"> in </w:t>
      </w:r>
      <w:r w:rsidR="00C22B8E">
        <w:t xml:space="preserve">UPL </w:t>
      </w:r>
      <w:r w:rsidR="00A6401E">
        <w:t>when</w:t>
      </w:r>
      <w:r w:rsidR="00C22B8E">
        <w:t xml:space="preserve"> he </w:t>
      </w:r>
      <w:r w:rsidR="00742E6B">
        <w:t>knew, or was grossly negligent in not knowing</w:t>
      </w:r>
      <w:r w:rsidR="00C22B8E">
        <w:t xml:space="preserve">, that </w:t>
      </w:r>
      <w:r w:rsidR="00742E6B">
        <w:t xml:space="preserve">he was </w:t>
      </w:r>
      <w:r w:rsidR="00C22B8E">
        <w:t xml:space="preserve">an inactive </w:t>
      </w:r>
      <w:r w:rsidR="00742E6B">
        <w:t>member of the State Bar.</w:t>
      </w:r>
      <w:r w:rsidR="00DD7E40">
        <w:t xml:space="preserve"> </w:t>
      </w:r>
      <w:r w:rsidR="00742E6B">
        <w:t xml:space="preserve"> </w:t>
      </w:r>
      <w:r w:rsidR="00296A2F">
        <w:t xml:space="preserve">OCTC </w:t>
      </w:r>
      <w:r w:rsidR="00D01DA7">
        <w:t xml:space="preserve">argues </w:t>
      </w:r>
      <w:r w:rsidR="00296A2F">
        <w:t>that Carver “knew of the default and inactive enrollment and intentionally practiced law</w:t>
      </w:r>
      <w:r w:rsidR="00D01DA7">
        <w:t>,</w:t>
      </w:r>
      <w:r w:rsidR="00296A2F">
        <w:t>”</w:t>
      </w:r>
      <w:r w:rsidR="00EE6C8A">
        <w:t xml:space="preserve"> </w:t>
      </w:r>
      <w:r w:rsidR="00DD7E40">
        <w:t xml:space="preserve">as </w:t>
      </w:r>
      <w:r w:rsidR="00D01DA7">
        <w:t>opposed to acting with gross negligence.</w:t>
      </w:r>
      <w:r w:rsidR="00D01DA7">
        <w:rPr>
          <w:rStyle w:val="FootnoteReference"/>
        </w:rPr>
        <w:footnoteReference w:id="8"/>
      </w:r>
      <w:r w:rsidR="00EE6C8A">
        <w:t xml:space="preserve"> </w:t>
      </w:r>
      <w:r w:rsidR="00DD7E40">
        <w:t xml:space="preserve"> </w:t>
      </w:r>
      <w:r w:rsidR="00C93BC1">
        <w:t>Resolving all reasonable doubt</w:t>
      </w:r>
      <w:r w:rsidR="00742E6B">
        <w:t>s</w:t>
      </w:r>
      <w:r w:rsidR="00C93BC1">
        <w:t xml:space="preserve"> in Carver’s favor (</w:t>
      </w:r>
      <w:r w:rsidR="00C93BC1">
        <w:rPr>
          <w:i/>
        </w:rPr>
        <w:t>Lee v. State Bar</w:t>
      </w:r>
      <w:r w:rsidR="00E913F2">
        <w:rPr>
          <w:i/>
        </w:rPr>
        <w:t xml:space="preserve"> </w:t>
      </w:r>
      <w:r w:rsidR="00851F57" w:rsidRPr="00851F57">
        <w:t>(1970</w:t>
      </w:r>
      <w:r w:rsidR="00E913F2" w:rsidRPr="00851F57">
        <w:t>)</w:t>
      </w:r>
      <w:r w:rsidR="00C93BC1" w:rsidRPr="00057BCC">
        <w:t xml:space="preserve"> 2 Cal.3d 927</w:t>
      </w:r>
      <w:r w:rsidR="00C93BC1">
        <w:t xml:space="preserve">, 939), </w:t>
      </w:r>
      <w:r w:rsidR="00296A2F">
        <w:t xml:space="preserve">we find that </w:t>
      </w:r>
      <w:r w:rsidR="005029B5">
        <w:t xml:space="preserve">OCTC </w:t>
      </w:r>
      <w:r w:rsidR="007A144A">
        <w:t xml:space="preserve">did not prove </w:t>
      </w:r>
      <w:r w:rsidR="00212060">
        <w:t xml:space="preserve">that </w:t>
      </w:r>
      <w:r w:rsidR="009D0DBB">
        <w:t>Carver knew</w:t>
      </w:r>
      <w:r w:rsidR="00296A2F">
        <w:t xml:space="preserve"> </w:t>
      </w:r>
      <w:r w:rsidR="00296A2F" w:rsidRPr="003E21D5">
        <w:rPr>
          <w:i/>
        </w:rPr>
        <w:t>in fact</w:t>
      </w:r>
      <w:r w:rsidR="00296A2F">
        <w:t xml:space="preserve"> that</w:t>
      </w:r>
      <w:r w:rsidR="009902AA">
        <w:t xml:space="preserve"> </w:t>
      </w:r>
      <w:r w:rsidR="00B10701">
        <w:t xml:space="preserve">he </w:t>
      </w:r>
      <w:r w:rsidR="009902AA">
        <w:t xml:space="preserve">had been enrolled inactive </w:t>
      </w:r>
      <w:r w:rsidR="00212060">
        <w:t xml:space="preserve">at the time </w:t>
      </w:r>
      <w:r w:rsidR="009902AA">
        <w:t xml:space="preserve">he </w:t>
      </w:r>
      <w:r w:rsidR="00212060">
        <w:t>committed UPL</w:t>
      </w:r>
      <w:r w:rsidR="002F1D60">
        <w:t xml:space="preserve">.  </w:t>
      </w:r>
    </w:p>
    <w:p w:rsidR="008A4040" w:rsidRDefault="009631A4" w:rsidP="009631A4">
      <w:pPr>
        <w:spacing w:line="480" w:lineRule="auto"/>
      </w:pPr>
      <w:r>
        <w:lastRenderedPageBreak/>
        <w:tab/>
      </w:r>
      <w:r w:rsidR="00111347">
        <w:t xml:space="preserve">But </w:t>
      </w:r>
      <w:r w:rsidR="002C7034">
        <w:t xml:space="preserve">the record establishes that </w:t>
      </w:r>
      <w:r w:rsidR="00B10701">
        <w:t xml:space="preserve">Carver </w:t>
      </w:r>
      <w:r w:rsidR="00961A86">
        <w:t>was aware</w:t>
      </w:r>
      <w:r w:rsidR="002C7034">
        <w:t xml:space="preserve"> that</w:t>
      </w:r>
      <w:r w:rsidR="005E6F35">
        <w:t xml:space="preserve"> </w:t>
      </w:r>
      <w:r w:rsidR="00111347">
        <w:t>OCTC intended to move for his default in mid-January 2012</w:t>
      </w:r>
      <w:r w:rsidR="00DD53B2">
        <w:t>,</w:t>
      </w:r>
      <w:r w:rsidR="00111347">
        <w:t xml:space="preserve"> and </w:t>
      </w:r>
      <w:r w:rsidR="00F43CCD">
        <w:t xml:space="preserve">he </w:t>
      </w:r>
      <w:r w:rsidR="004D3D3B">
        <w:t>therefore knew</w:t>
      </w:r>
      <w:r w:rsidR="00111347">
        <w:t xml:space="preserve"> </w:t>
      </w:r>
      <w:r w:rsidR="005E6F35">
        <w:t xml:space="preserve">there was a high probability </w:t>
      </w:r>
      <w:r w:rsidR="00111347">
        <w:t>he would be ordered inactive.</w:t>
      </w:r>
      <w:r w:rsidR="001B760D">
        <w:t xml:space="preserve">  </w:t>
      </w:r>
      <w:r w:rsidR="00A95EB3">
        <w:t>Moreover, he purposely</w:t>
      </w:r>
      <w:r w:rsidR="00111347">
        <w:t xml:space="preserve"> avoided </w:t>
      </w:r>
      <w:r w:rsidR="00024958">
        <w:t xml:space="preserve">receiving notice </w:t>
      </w:r>
      <w:r w:rsidR="00A95EB3">
        <w:t xml:space="preserve">from the State Bar that would advise him of </w:t>
      </w:r>
      <w:r w:rsidR="00111347">
        <w:t xml:space="preserve">any </w:t>
      </w:r>
      <w:r w:rsidR="00F43CCD">
        <w:t>alteration</w:t>
      </w:r>
      <w:r w:rsidR="00111347">
        <w:t xml:space="preserve"> to his status </w:t>
      </w:r>
      <w:r w:rsidR="00961A86">
        <w:t>by</w:t>
      </w:r>
      <w:r w:rsidR="004D3D3B">
        <w:t xml:space="preserve"> </w:t>
      </w:r>
      <w:r w:rsidR="00024958">
        <w:t>chang</w:t>
      </w:r>
      <w:r w:rsidR="00961A86">
        <w:t>ing</w:t>
      </w:r>
      <w:r w:rsidR="004D3D3B">
        <w:t xml:space="preserve"> </w:t>
      </w:r>
      <w:r w:rsidR="00111347">
        <w:t>his membership address of record to one that could not receive certified mail,</w:t>
      </w:r>
      <w:r w:rsidR="00EE6C8A">
        <w:t xml:space="preserve"> </w:t>
      </w:r>
      <w:r w:rsidR="00961A86">
        <w:t xml:space="preserve">by </w:t>
      </w:r>
      <w:r w:rsidR="00EE6C8A">
        <w:t>fail</w:t>
      </w:r>
      <w:r w:rsidR="00961A86">
        <w:t>ing</w:t>
      </w:r>
      <w:r w:rsidR="00111347">
        <w:t xml:space="preserve"> to pick up </w:t>
      </w:r>
      <w:r w:rsidR="008B3329">
        <w:t>or</w:t>
      </w:r>
      <w:r w:rsidR="00111347">
        <w:t xml:space="preserve"> review mail sent to that address, and </w:t>
      </w:r>
      <w:r w:rsidR="00961A86">
        <w:t xml:space="preserve">by </w:t>
      </w:r>
      <w:r w:rsidR="00111347">
        <w:t xml:space="preserve">not </w:t>
      </w:r>
      <w:r w:rsidR="00EE6C8A">
        <w:t>check</w:t>
      </w:r>
      <w:r w:rsidR="00961A86">
        <w:t>ing</w:t>
      </w:r>
      <w:r w:rsidR="00111347">
        <w:t xml:space="preserve"> </w:t>
      </w:r>
      <w:r w:rsidR="00503655">
        <w:t>the</w:t>
      </w:r>
      <w:r w:rsidR="00111347">
        <w:t xml:space="preserve"> status</w:t>
      </w:r>
      <w:r w:rsidR="00503655">
        <w:t xml:space="preserve"> of his license</w:t>
      </w:r>
      <w:r w:rsidR="00111347">
        <w:t xml:space="preserve"> before practicing law</w:t>
      </w:r>
      <w:r w:rsidR="00771E9E">
        <w:t>.</w:t>
      </w:r>
      <w:r w:rsidR="00D421FF">
        <w:rPr>
          <w:rStyle w:val="FootnoteReference"/>
        </w:rPr>
        <w:footnoteReference w:id="9"/>
      </w:r>
      <w:r w:rsidR="00D421FF">
        <w:t xml:space="preserve"> </w:t>
      </w:r>
      <w:r w:rsidR="00771E9E">
        <w:t xml:space="preserve"> </w:t>
      </w:r>
      <w:r w:rsidR="00DB4FDF">
        <w:t xml:space="preserve">Indeed, </w:t>
      </w:r>
      <w:r w:rsidR="00B10701">
        <w:t>he</w:t>
      </w:r>
      <w:r w:rsidR="009902AA">
        <w:t xml:space="preserve"> </w:t>
      </w:r>
      <w:r w:rsidR="009532D8">
        <w:t>willful</w:t>
      </w:r>
      <w:r w:rsidR="00DB4FDF">
        <w:t>ly</w:t>
      </w:r>
      <w:r w:rsidR="009532D8">
        <w:t xml:space="preserve"> blind</w:t>
      </w:r>
      <w:r w:rsidR="00DB4FDF">
        <w:t>ed</w:t>
      </w:r>
      <w:r w:rsidR="007D058F">
        <w:t xml:space="preserve"> </w:t>
      </w:r>
      <w:r w:rsidR="00DB4FDF">
        <w:t xml:space="preserve">himself </w:t>
      </w:r>
      <w:r w:rsidR="00912067">
        <w:t xml:space="preserve">to the </w:t>
      </w:r>
      <w:r w:rsidR="00DB4FDF">
        <w:t xml:space="preserve">fact </w:t>
      </w:r>
      <w:r w:rsidR="00771E9E">
        <w:t xml:space="preserve">that </w:t>
      </w:r>
      <w:r w:rsidR="00DB4FDF">
        <w:t>he was not eligible to practice</w:t>
      </w:r>
      <w:r w:rsidR="00912067">
        <w:t xml:space="preserve">.  </w:t>
      </w:r>
      <w:r w:rsidR="00877CC9">
        <w:t xml:space="preserve">Thus, </w:t>
      </w:r>
      <w:r w:rsidR="00961A86">
        <w:t xml:space="preserve">Carver is culpable of moral turpitude </w:t>
      </w:r>
      <w:r w:rsidR="00AF1371">
        <w:t>by</w:t>
      </w:r>
      <w:r w:rsidR="009E0B4B">
        <w:t xml:space="preserve"> </w:t>
      </w:r>
      <w:r w:rsidR="00294DD7">
        <w:t>c</w:t>
      </w:r>
      <w:r w:rsidR="00D34137">
        <w:t xml:space="preserve">ommitting </w:t>
      </w:r>
      <w:r w:rsidR="005E6F35">
        <w:t>UPL through willful blindness</w:t>
      </w:r>
      <w:r w:rsidR="00F1291E">
        <w:t>, which is tantamount to</w:t>
      </w:r>
      <w:r w:rsidR="009E0B4B">
        <w:t xml:space="preserve"> </w:t>
      </w:r>
      <w:r w:rsidR="00877CC9">
        <w:t xml:space="preserve">having </w:t>
      </w:r>
      <w:r w:rsidR="009E0B4B">
        <w:t xml:space="preserve">actual knowledge that he </w:t>
      </w:r>
      <w:r w:rsidR="00C76F4F">
        <w:t>was</w:t>
      </w:r>
      <w:r w:rsidR="009E0B4B">
        <w:t xml:space="preserve"> </w:t>
      </w:r>
      <w:r w:rsidR="003623AA">
        <w:t>in</w:t>
      </w:r>
      <w:r w:rsidR="009E0B4B">
        <w:t>eligible to practice law.</w:t>
      </w:r>
      <w:r w:rsidR="00CF3119">
        <w:t xml:space="preserve">  </w:t>
      </w:r>
      <w:r w:rsidR="00397CBF">
        <w:t>(Cf.</w:t>
      </w:r>
      <w:r w:rsidR="00F25F3B">
        <w:t>, e.g.,</w:t>
      </w:r>
      <w:r w:rsidR="00397CBF">
        <w:t xml:space="preserve"> </w:t>
      </w:r>
      <w:r w:rsidR="00397CBF" w:rsidRPr="00020A52">
        <w:rPr>
          <w:i/>
        </w:rPr>
        <w:t>Global-Tech Appliances, Inc. v. SEB S.A.</w:t>
      </w:r>
      <w:r w:rsidR="00397CBF">
        <w:t xml:space="preserve"> (2011) 563 U.S. 754, </w:t>
      </w:r>
      <w:r w:rsidR="008852A1">
        <w:t>76</w:t>
      </w:r>
      <w:r w:rsidR="00F53776">
        <w:t>6-768</w:t>
      </w:r>
      <w:r w:rsidR="00F16C15">
        <w:t xml:space="preserve"> [finding willful blindness equivalent to knowledge in patent infringement case]</w:t>
      </w:r>
      <w:r w:rsidR="0065787B">
        <w:t xml:space="preserve">; </w:t>
      </w:r>
      <w:r w:rsidR="00CA3CEA">
        <w:rPr>
          <w:i/>
        </w:rPr>
        <w:t>Levy v. Irvine</w:t>
      </w:r>
      <w:r w:rsidR="00F16C15">
        <w:t xml:space="preserve"> (1901) 134 Cal.</w:t>
      </w:r>
      <w:r w:rsidR="00F53776">
        <w:t xml:space="preserve"> </w:t>
      </w:r>
      <w:r w:rsidR="00F16C15">
        <w:t>664, 671-672 [finding creditor’</w:t>
      </w:r>
      <w:r w:rsidR="00D93A46">
        <w:t>s “willing ignorance is to be regarded as equivalent to actual knowledge” of debtor’</w:t>
      </w:r>
      <w:r w:rsidR="00B76AED">
        <w:t>s insolvency</w:t>
      </w:r>
      <w:r w:rsidR="00DD7E40">
        <w:t>].)</w:t>
      </w:r>
      <w:r w:rsidR="001F1F88">
        <w:t xml:space="preserve"> </w:t>
      </w:r>
    </w:p>
    <w:p w:rsidR="000E2D63" w:rsidRDefault="00E64069" w:rsidP="00D01E33">
      <w:pPr>
        <w:spacing w:line="480" w:lineRule="auto"/>
        <w:jc w:val="center"/>
        <w:rPr>
          <w:b/>
        </w:rPr>
      </w:pPr>
      <w:r>
        <w:rPr>
          <w:b/>
        </w:rPr>
        <w:t>I</w:t>
      </w:r>
      <w:r w:rsidR="009631A4">
        <w:rPr>
          <w:b/>
        </w:rPr>
        <w:t>V</w:t>
      </w:r>
      <w:r w:rsidR="00EA706A">
        <w:rPr>
          <w:b/>
        </w:rPr>
        <w:t xml:space="preserve">.  SIGNIFICANT AGGRAVATION OUTWEIGHS LIMITED </w:t>
      </w:r>
      <w:r w:rsidR="00A95CB6">
        <w:rPr>
          <w:b/>
        </w:rPr>
        <w:t>MITIGATION</w:t>
      </w:r>
    </w:p>
    <w:p w:rsidR="00503655" w:rsidRDefault="00E96481" w:rsidP="00F90015">
      <w:pPr>
        <w:spacing w:line="480" w:lineRule="auto"/>
      </w:pPr>
      <w:r>
        <w:tab/>
      </w:r>
      <w:r w:rsidR="0097368F">
        <w:t xml:space="preserve">Standard </w:t>
      </w:r>
      <w:r w:rsidR="0097368F" w:rsidRPr="00BE77CB">
        <w:t>1.5</w:t>
      </w:r>
      <w:r w:rsidR="00877CC9">
        <w:t xml:space="preserve"> of the Rules of Procedure of the State Bar, title IV, Standards for Attorney Sanctions for Professional Misconduct</w:t>
      </w:r>
      <w:r w:rsidR="006C7982" w:rsidRPr="006C7982">
        <w:rPr>
          <w:vertAlign w:val="superscript"/>
        </w:rPr>
        <w:footnoteReference w:id="10"/>
      </w:r>
      <w:r w:rsidR="006C7982">
        <w:t xml:space="preserve"> </w:t>
      </w:r>
      <w:r w:rsidRPr="00BE77CB">
        <w:t xml:space="preserve">requires OCTC to establish aggravating circumstances by </w:t>
      </w:r>
      <w:r>
        <w:t>clear and convincing evidence.</w:t>
      </w:r>
      <w:r w:rsidR="004912FC">
        <w:t xml:space="preserve"> </w:t>
      </w:r>
      <w:r>
        <w:t xml:space="preserve"> </w:t>
      </w:r>
      <w:r w:rsidRPr="00A532D0">
        <w:t xml:space="preserve">Standard 1.6 requires </w:t>
      </w:r>
      <w:r>
        <w:t xml:space="preserve">Carver </w:t>
      </w:r>
      <w:r w:rsidRPr="00A532D0">
        <w:t>to meet the sa</w:t>
      </w:r>
      <w:r>
        <w:t>me burden to prove mitigation.</w:t>
      </w:r>
      <w:r w:rsidRPr="00BE77CB">
        <w:t xml:space="preserve">  </w:t>
      </w:r>
    </w:p>
    <w:p w:rsidR="00503655" w:rsidRDefault="00503655">
      <w:r>
        <w:br w:type="page"/>
      </w:r>
    </w:p>
    <w:p w:rsidR="00F94F66" w:rsidRDefault="00416B16" w:rsidP="00F90015">
      <w:pPr>
        <w:spacing w:line="480" w:lineRule="auto"/>
      </w:pPr>
      <w:r>
        <w:rPr>
          <w:b/>
        </w:rPr>
        <w:lastRenderedPageBreak/>
        <w:t>A.</w:t>
      </w:r>
      <w:r>
        <w:rPr>
          <w:b/>
        </w:rPr>
        <w:tab/>
        <w:t>Aggravating Circumstances</w:t>
      </w:r>
    </w:p>
    <w:p w:rsidR="009631A4" w:rsidRDefault="00416B16" w:rsidP="009631A4">
      <w:pPr>
        <w:spacing w:line="480" w:lineRule="auto"/>
        <w:rPr>
          <w:b/>
        </w:rPr>
      </w:pPr>
      <w:r>
        <w:tab/>
      </w:r>
      <w:r>
        <w:rPr>
          <w:b/>
        </w:rPr>
        <w:t>1.</w:t>
      </w:r>
      <w:r w:rsidR="009631A4">
        <w:rPr>
          <w:b/>
        </w:rPr>
        <w:t xml:space="preserve">  </w:t>
      </w:r>
      <w:r w:rsidR="002D620E">
        <w:rPr>
          <w:b/>
        </w:rPr>
        <w:t xml:space="preserve">Prior Discipline </w:t>
      </w:r>
    </w:p>
    <w:p w:rsidR="00C4607A" w:rsidRPr="009631A4" w:rsidRDefault="009631A4" w:rsidP="009631A4">
      <w:pPr>
        <w:spacing w:line="480" w:lineRule="auto"/>
        <w:rPr>
          <w:b/>
        </w:rPr>
      </w:pPr>
      <w:r>
        <w:rPr>
          <w:b/>
        </w:rPr>
        <w:tab/>
      </w:r>
      <w:r w:rsidR="00BD3629">
        <w:t>Carver’s misconduct</w:t>
      </w:r>
      <w:r w:rsidR="00297BA2">
        <w:t xml:space="preserve"> </w:t>
      </w:r>
      <w:r w:rsidR="00850FAF">
        <w:t xml:space="preserve">is </w:t>
      </w:r>
      <w:r w:rsidR="00BD3629">
        <w:t xml:space="preserve">significantly aggravated by </w:t>
      </w:r>
      <w:r w:rsidR="00850FAF">
        <w:t xml:space="preserve">his two </w:t>
      </w:r>
      <w:r w:rsidR="00297BA2">
        <w:t xml:space="preserve">prior </w:t>
      </w:r>
      <w:r w:rsidR="00BD3629">
        <w:t>discipline records</w:t>
      </w:r>
      <w:r w:rsidR="00503655">
        <w:t xml:space="preserve"> because they</w:t>
      </w:r>
      <w:r w:rsidR="00853B19">
        <w:t xml:space="preserve"> demonstrate</w:t>
      </w:r>
      <w:r w:rsidR="00DD7E40">
        <w:t xml:space="preserve"> his ongoing disrespect for the law</w:t>
      </w:r>
      <w:r w:rsidR="006D4EDD">
        <w:t xml:space="preserve">. </w:t>
      </w:r>
      <w:r w:rsidR="00DD7E40">
        <w:t xml:space="preserve"> </w:t>
      </w:r>
      <w:r w:rsidR="006D4EDD">
        <w:t>(Std. 1.5(a) [</w:t>
      </w:r>
      <w:r w:rsidR="000B13AF">
        <w:t>prior record of discipline</w:t>
      </w:r>
      <w:r w:rsidR="00EE6C8A">
        <w:t xml:space="preserve"> is aggravating circumstance</w:t>
      </w:r>
      <w:r w:rsidR="000B13AF">
        <w:t>]</w:t>
      </w:r>
      <w:r w:rsidR="00EE6C8A">
        <w:t>.</w:t>
      </w:r>
      <w:r w:rsidR="000B13AF">
        <w:t xml:space="preserve">)  </w:t>
      </w:r>
      <w:r w:rsidR="00DD7E40">
        <w:t xml:space="preserve">In </w:t>
      </w:r>
      <w:r w:rsidR="00DD7E40">
        <w:rPr>
          <w:i/>
        </w:rPr>
        <w:t>Carver I</w:t>
      </w:r>
      <w:r w:rsidR="00DD7E40">
        <w:t>,</w:t>
      </w:r>
      <w:r w:rsidR="0023102F">
        <w:t xml:space="preserve"> </w:t>
      </w:r>
      <w:r w:rsidR="000B13AF">
        <w:t xml:space="preserve">Carver </w:t>
      </w:r>
      <w:r w:rsidR="005E27F5">
        <w:t>defi</w:t>
      </w:r>
      <w:r w:rsidR="00DD7E40">
        <w:t>ed</w:t>
      </w:r>
      <w:r w:rsidR="00E06DE7">
        <w:t xml:space="preserve"> a police order</w:t>
      </w:r>
      <w:r w:rsidR="00853B19">
        <w:t>,</w:t>
      </w:r>
      <w:r w:rsidR="00DD7E40">
        <w:t xml:space="preserve"> evidenc</w:t>
      </w:r>
      <w:r w:rsidR="00853B19">
        <w:t>ing</w:t>
      </w:r>
      <w:r w:rsidR="00DD7E40">
        <w:t xml:space="preserve"> his </w:t>
      </w:r>
      <w:r w:rsidR="005E27F5">
        <w:t>“lack of respect for the rule of law</w:t>
      </w:r>
      <w:r w:rsidR="000465A6">
        <w:t>, which reflect[ed] negatively on the legal profession</w:t>
      </w:r>
      <w:r w:rsidR="00F53776">
        <w:t>.</w:t>
      </w:r>
      <w:r w:rsidR="00EE6C8A">
        <w:t>”</w:t>
      </w:r>
      <w:r w:rsidR="00F43CCD">
        <w:t xml:space="preserve"> </w:t>
      </w:r>
      <w:r w:rsidR="00732FD1">
        <w:t xml:space="preserve"> </w:t>
      </w:r>
      <w:r w:rsidR="00F1464C">
        <w:t>(</w:t>
      </w:r>
      <w:r w:rsidR="00F1464C">
        <w:rPr>
          <w:i/>
        </w:rPr>
        <w:t>In the Matter of Carver</w:t>
      </w:r>
      <w:r w:rsidR="00F1464C">
        <w:t xml:space="preserve">, </w:t>
      </w:r>
      <w:r w:rsidR="00F1464C">
        <w:rPr>
          <w:i/>
        </w:rPr>
        <w:t>supra</w:t>
      </w:r>
      <w:r w:rsidR="00F1464C">
        <w:t>, 5 Cal. State Bar Ct. Rptr. at p.</w:t>
      </w:r>
      <w:r w:rsidR="00BD3629">
        <w:t xml:space="preserve"> </w:t>
      </w:r>
      <w:r w:rsidR="000465A6">
        <w:t>355</w:t>
      </w:r>
      <w:r w:rsidR="00F53776">
        <w:t>.</w:t>
      </w:r>
      <w:r w:rsidR="00BD3629">
        <w:t>)</w:t>
      </w:r>
      <w:r w:rsidR="006D4EDD">
        <w:t xml:space="preserve">  </w:t>
      </w:r>
      <w:r w:rsidR="00DD7E40">
        <w:t xml:space="preserve">Then he disobeyed </w:t>
      </w:r>
      <w:r w:rsidR="00650219">
        <w:t>disciplinary orders</w:t>
      </w:r>
      <w:r w:rsidR="00FE7F4A">
        <w:t xml:space="preserve"> in </w:t>
      </w:r>
      <w:r w:rsidR="00FE7F4A">
        <w:rPr>
          <w:i/>
        </w:rPr>
        <w:t>Carver II</w:t>
      </w:r>
      <w:r w:rsidR="005775FD" w:rsidRPr="005775FD">
        <w:t>,</w:t>
      </w:r>
      <w:r w:rsidR="00FE7F4A" w:rsidRPr="005775FD">
        <w:t xml:space="preserve"> </w:t>
      </w:r>
      <w:r w:rsidR="00FE7F4A">
        <w:t xml:space="preserve">and </w:t>
      </w:r>
      <w:r w:rsidR="000B0E17">
        <w:t>disregarded a court order</w:t>
      </w:r>
      <w:r w:rsidR="00AD586D">
        <w:t xml:space="preserve"> </w:t>
      </w:r>
      <w:r w:rsidR="00FE7F4A">
        <w:t xml:space="preserve">in </w:t>
      </w:r>
      <w:r w:rsidR="006D4EDD">
        <w:t>the</w:t>
      </w:r>
      <w:r w:rsidR="00FE7F4A">
        <w:t xml:space="preserve"> present case</w:t>
      </w:r>
      <w:r w:rsidR="00A26CEE">
        <w:t xml:space="preserve">. </w:t>
      </w:r>
      <w:r w:rsidR="00006CB8">
        <w:t xml:space="preserve"> </w:t>
      </w:r>
      <w:r w:rsidR="00943D8D" w:rsidRPr="00DD7E40">
        <w:t>(</w:t>
      </w:r>
      <w:r w:rsidR="00943D8D">
        <w:rPr>
          <w:i/>
        </w:rPr>
        <w:t>In the Matter of Gadda</w:t>
      </w:r>
      <w:r w:rsidR="00943D8D">
        <w:t xml:space="preserve"> (Review Dept. 2002) 4 Cal. State Bar Ct. Rptr. 416, 443-444 [similarities between prior and current misconduct render previous discipline more serious, as they indicate prior discipline did not rehabilitate]</w:t>
      </w:r>
      <w:r w:rsidR="00C90310">
        <w:t xml:space="preserve">; </w:t>
      </w:r>
      <w:r w:rsidR="00C90310">
        <w:rPr>
          <w:i/>
        </w:rPr>
        <w:t>Barnum v. State Bar</w:t>
      </w:r>
      <w:r w:rsidR="00C90310">
        <w:t xml:space="preserve"> (1990) 52 Cal.3d 104</w:t>
      </w:r>
      <w:r w:rsidR="00C90310" w:rsidRPr="00E64E0E">
        <w:t>, 112</w:t>
      </w:r>
      <w:r w:rsidR="00C90310">
        <w:t xml:space="preserve"> [“</w:t>
      </w:r>
      <w:r w:rsidR="00C90310" w:rsidRPr="004B2A18">
        <w:t>Other than outright deceit, it is difficult to imagine conduct in the course of legal representation more unbefit</w:t>
      </w:r>
      <w:r w:rsidR="00C90310">
        <w:t>ting an attorney” than willful violation of court orders</w:t>
      </w:r>
      <w:r w:rsidR="00554DA3">
        <w:t>].)</w:t>
      </w:r>
      <w:r w:rsidR="004215A6">
        <w:t xml:space="preserve"> </w:t>
      </w:r>
      <w:r w:rsidR="00E76BB2">
        <w:t xml:space="preserve"> Finally, he was </w:t>
      </w:r>
      <w:r w:rsidR="006C6471">
        <w:t>dishonest</w:t>
      </w:r>
      <w:r w:rsidR="00020A52">
        <w:t xml:space="preserve"> </w:t>
      </w:r>
      <w:r w:rsidR="00C4607A">
        <w:t>during the proceedings</w:t>
      </w:r>
      <w:r w:rsidR="00780D91">
        <w:t xml:space="preserve"> in </w:t>
      </w:r>
      <w:r w:rsidR="00780D91">
        <w:rPr>
          <w:i/>
        </w:rPr>
        <w:t>Carver II</w:t>
      </w:r>
      <w:r w:rsidR="00636604">
        <w:t xml:space="preserve"> </w:t>
      </w:r>
      <w:r w:rsidR="006D4EDD">
        <w:t>and</w:t>
      </w:r>
      <w:r w:rsidR="00636604">
        <w:t xml:space="preserve"> </w:t>
      </w:r>
      <w:r w:rsidR="00D516FD">
        <w:t xml:space="preserve">attempted to </w:t>
      </w:r>
      <w:r w:rsidR="00EB4F2A">
        <w:t>portray</w:t>
      </w:r>
      <w:r w:rsidR="00D516FD">
        <w:t xml:space="preserve"> </w:t>
      </w:r>
      <w:r w:rsidR="006C6471">
        <w:t>his</w:t>
      </w:r>
      <w:r w:rsidR="00D516FD">
        <w:t xml:space="preserve"> misstatements as </w:t>
      </w:r>
      <w:r w:rsidR="00352706">
        <w:t xml:space="preserve">merely </w:t>
      </w:r>
      <w:r w:rsidR="006C7982">
        <w:t>“</w:t>
      </w:r>
      <w:r w:rsidR="00D516FD">
        <w:t>technically inaccurate</w:t>
      </w:r>
      <w:r w:rsidR="00E76BB2">
        <w:t>,</w:t>
      </w:r>
      <w:r w:rsidR="00D516FD">
        <w:t>”</w:t>
      </w:r>
      <w:r w:rsidR="00E76BB2">
        <w:t xml:space="preserve"> revealing his </w:t>
      </w:r>
      <w:r w:rsidR="00D516FD">
        <w:t>“inability to understand the high degree of honesty expected of attorneys . . . .”  (</w:t>
      </w:r>
      <w:r w:rsidR="00D516FD">
        <w:rPr>
          <w:i/>
        </w:rPr>
        <w:t>In the Matter of Carver</w:t>
      </w:r>
      <w:r w:rsidR="00D516FD">
        <w:t xml:space="preserve">, </w:t>
      </w:r>
      <w:r w:rsidR="00D516FD">
        <w:rPr>
          <w:i/>
        </w:rPr>
        <w:t>supra</w:t>
      </w:r>
      <w:r w:rsidR="00D516FD">
        <w:t>, 5 Cal. State Bar Ct. Rptr. at p. 355.)</w:t>
      </w:r>
    </w:p>
    <w:p w:rsidR="009631A4" w:rsidRDefault="002D620E" w:rsidP="009631A4">
      <w:pPr>
        <w:spacing w:line="480" w:lineRule="auto"/>
      </w:pPr>
      <w:r>
        <w:rPr>
          <w:b/>
        </w:rPr>
        <w:tab/>
        <w:t>2.</w:t>
      </w:r>
      <w:r w:rsidR="009631A4">
        <w:rPr>
          <w:b/>
        </w:rPr>
        <w:t xml:space="preserve">  </w:t>
      </w:r>
      <w:r w:rsidR="009E0A61">
        <w:rPr>
          <w:b/>
        </w:rPr>
        <w:t xml:space="preserve">Concealment </w:t>
      </w:r>
    </w:p>
    <w:p w:rsidR="000068F2" w:rsidRDefault="009631A4" w:rsidP="009631A4">
      <w:pPr>
        <w:spacing w:line="480" w:lineRule="auto"/>
      </w:pPr>
      <w:r>
        <w:tab/>
      </w:r>
      <w:r w:rsidR="003D1DE4">
        <w:t xml:space="preserve">Carver concealed the reason for his inactive status from Judge Belz when he claimed that it must </w:t>
      </w:r>
      <w:r w:rsidR="006D4EDD">
        <w:t xml:space="preserve">have </w:t>
      </w:r>
      <w:r w:rsidR="003D1DE4">
        <w:t>be</w:t>
      </w:r>
      <w:r w:rsidR="006D4EDD">
        <w:t>en</w:t>
      </w:r>
      <w:r w:rsidR="003D1DE4">
        <w:t xml:space="preserve"> related to non-</w:t>
      </w:r>
      <w:r w:rsidR="009B0790" w:rsidRPr="004D5781">
        <w:t xml:space="preserve">payment of his </w:t>
      </w:r>
      <w:r w:rsidR="00A10A0E" w:rsidRPr="004D5781">
        <w:t>State Bar dues</w:t>
      </w:r>
      <w:r w:rsidR="00C707CF" w:rsidRPr="004D5781">
        <w:t xml:space="preserve">.  </w:t>
      </w:r>
      <w:r w:rsidR="00D516FD">
        <w:t xml:space="preserve">(Std. 1.5(f) [concealment is aggravating circumstance].)  </w:t>
      </w:r>
      <w:r w:rsidR="00CC1808">
        <w:t>Hi</w:t>
      </w:r>
      <w:r w:rsidR="000068F2">
        <w:t>s</w:t>
      </w:r>
      <w:r w:rsidR="00864F4B">
        <w:t xml:space="preserve"> claim wa</w:t>
      </w:r>
      <w:r w:rsidR="00C420FE">
        <w:t xml:space="preserve">s disingenuous </w:t>
      </w:r>
      <w:r w:rsidR="00006CB8">
        <w:t xml:space="preserve">because </w:t>
      </w:r>
      <w:r w:rsidR="000170C6">
        <w:t>he</w:t>
      </w:r>
      <w:r w:rsidR="000068F2" w:rsidRPr="000068F2">
        <w:t xml:space="preserve"> </w:t>
      </w:r>
      <w:r w:rsidR="000068F2">
        <w:t xml:space="preserve">knew that </w:t>
      </w:r>
      <w:r w:rsidR="000068F2" w:rsidRPr="004D5781">
        <w:t xml:space="preserve">OCTC </w:t>
      </w:r>
      <w:r w:rsidR="00AD586D">
        <w:t>intended</w:t>
      </w:r>
      <w:r w:rsidR="000068F2" w:rsidRPr="004D5781">
        <w:t xml:space="preserve"> to move for his default</w:t>
      </w:r>
      <w:r w:rsidR="000068F2">
        <w:t xml:space="preserve"> in </w:t>
      </w:r>
      <w:r w:rsidR="00292683" w:rsidRPr="004D5781">
        <w:rPr>
          <w:i/>
        </w:rPr>
        <w:t>Carver II</w:t>
      </w:r>
      <w:r w:rsidR="000068F2">
        <w:t xml:space="preserve">, </w:t>
      </w:r>
      <w:r w:rsidR="005775FD">
        <w:t>which</w:t>
      </w:r>
      <w:r w:rsidR="00AD586D">
        <w:t xml:space="preserve"> would have </w:t>
      </w:r>
      <w:r w:rsidR="005775FD">
        <w:t>caused his</w:t>
      </w:r>
      <w:r w:rsidR="000068F2">
        <w:t xml:space="preserve"> inactive</w:t>
      </w:r>
      <w:r w:rsidR="005775FD">
        <w:t xml:space="preserve"> enrollment</w:t>
      </w:r>
      <w:r w:rsidR="000068F2">
        <w:t>.</w:t>
      </w:r>
      <w:r w:rsidR="00D420C7" w:rsidRPr="004D5781">
        <w:t xml:space="preserve"> </w:t>
      </w:r>
      <w:r w:rsidR="000068F2">
        <w:t xml:space="preserve"> </w:t>
      </w:r>
      <w:r w:rsidR="003D1DE4">
        <w:t xml:space="preserve">We assign moderate aggravation </w:t>
      </w:r>
      <w:r w:rsidR="000170C6">
        <w:t>for</w:t>
      </w:r>
      <w:r w:rsidR="003D1DE4">
        <w:t xml:space="preserve"> </w:t>
      </w:r>
      <w:r w:rsidR="00006CB8">
        <w:t xml:space="preserve">Carver’s </w:t>
      </w:r>
      <w:r w:rsidR="003D1DE4">
        <w:t>concealment.</w:t>
      </w:r>
      <w:r w:rsidR="000068F2">
        <w:rPr>
          <w:rStyle w:val="FootnoteReference"/>
        </w:rPr>
        <w:footnoteReference w:id="11"/>
      </w:r>
      <w:r w:rsidR="000068F2">
        <w:t xml:space="preserve"> </w:t>
      </w:r>
    </w:p>
    <w:p w:rsidR="009E0A61" w:rsidRPr="009E0A61" w:rsidRDefault="000F3643" w:rsidP="00573470">
      <w:pPr>
        <w:spacing w:line="480" w:lineRule="auto"/>
        <w:ind w:firstLine="720"/>
        <w:rPr>
          <w:b/>
        </w:rPr>
      </w:pPr>
      <w:r>
        <w:rPr>
          <w:b/>
        </w:rPr>
        <w:lastRenderedPageBreak/>
        <w:t xml:space="preserve">3.  </w:t>
      </w:r>
      <w:r w:rsidR="006C6471">
        <w:rPr>
          <w:b/>
        </w:rPr>
        <w:t>Indifference</w:t>
      </w:r>
      <w:r w:rsidR="009E0A61">
        <w:rPr>
          <w:b/>
        </w:rPr>
        <w:t xml:space="preserve"> </w:t>
      </w:r>
    </w:p>
    <w:p w:rsidR="004B6776" w:rsidRPr="006666B1" w:rsidRDefault="007A39AF" w:rsidP="001E7594">
      <w:pPr>
        <w:spacing w:line="480" w:lineRule="auto"/>
        <w:ind w:firstLine="720"/>
      </w:pPr>
      <w:r>
        <w:t>We agree with t</w:t>
      </w:r>
      <w:r w:rsidR="003D1DE4">
        <w:t>he hearing judge that</w:t>
      </w:r>
      <w:r w:rsidR="008E17CB">
        <w:t xml:space="preserve"> </w:t>
      </w:r>
      <w:r w:rsidR="00F71DC2">
        <w:t xml:space="preserve">Carver demonstrated </w:t>
      </w:r>
      <w:r w:rsidR="003D1DE4">
        <w:t>indifference</w:t>
      </w:r>
      <w:r w:rsidR="005775FD">
        <w:t xml:space="preserve"> toward his misconduct</w:t>
      </w:r>
      <w:r w:rsidR="003D1DE4">
        <w:t xml:space="preserve"> </w:t>
      </w:r>
      <w:r w:rsidR="00F71DC2">
        <w:t xml:space="preserve">by maintaining an </w:t>
      </w:r>
      <w:r w:rsidR="008E17CB">
        <w:t>untenable legal claim</w:t>
      </w:r>
      <w:r w:rsidR="00F71DC2">
        <w:t>—</w:t>
      </w:r>
      <w:r w:rsidR="008E17CB">
        <w:t xml:space="preserve">that he was not properly served with pleadings in </w:t>
      </w:r>
      <w:r w:rsidR="008E17CB">
        <w:rPr>
          <w:i/>
        </w:rPr>
        <w:t>Carver II</w:t>
      </w:r>
      <w:r w:rsidR="009268DD">
        <w:rPr>
          <w:i/>
        </w:rPr>
        <w:t xml:space="preserve"> </w:t>
      </w:r>
      <w:r w:rsidR="009268DD">
        <w:t>and th</w:t>
      </w:r>
      <w:r w:rsidR="00F249AA">
        <w:t>erefore wa</w:t>
      </w:r>
      <w:r w:rsidR="009268DD">
        <w:t xml:space="preserve">s not required to obey </w:t>
      </w:r>
      <w:r w:rsidR="00F249AA">
        <w:t>any</w:t>
      </w:r>
      <w:r w:rsidR="009268DD">
        <w:t xml:space="preserve"> </w:t>
      </w:r>
      <w:r w:rsidR="00B574FD">
        <w:t>d</w:t>
      </w:r>
      <w:r w:rsidR="009268DD">
        <w:t xml:space="preserve">efault </w:t>
      </w:r>
      <w:r w:rsidR="00B574FD">
        <w:t>o</w:t>
      </w:r>
      <w:r w:rsidR="009268DD">
        <w:t>rder enrolling him as inactive</w:t>
      </w:r>
      <w:r w:rsidR="00472C37">
        <w:t xml:space="preserve">.  </w:t>
      </w:r>
      <w:r w:rsidR="008E17CB">
        <w:t>(Std. 1.5(k)</w:t>
      </w:r>
      <w:r>
        <w:t xml:space="preserve"> [indifference toward rectification or atonement for consequences of misconduct is aggravating circumstance]</w:t>
      </w:r>
      <w:r w:rsidR="008E17CB">
        <w:t xml:space="preserve">; </w:t>
      </w:r>
      <w:r w:rsidR="008E17CB" w:rsidRPr="00D102A1">
        <w:rPr>
          <w:i/>
          <w:szCs w:val="24"/>
        </w:rPr>
        <w:t>In the Matter of Bach</w:t>
      </w:r>
      <w:r w:rsidR="00EB4F2A">
        <w:rPr>
          <w:i/>
          <w:szCs w:val="24"/>
        </w:rPr>
        <w:t xml:space="preserve"> </w:t>
      </w:r>
      <w:r w:rsidR="00EB4F2A">
        <w:rPr>
          <w:szCs w:val="24"/>
        </w:rPr>
        <w:t>(Review Dept. 1991)</w:t>
      </w:r>
      <w:r w:rsidR="008E17CB" w:rsidRPr="00D102A1">
        <w:rPr>
          <w:szCs w:val="24"/>
        </w:rPr>
        <w:t xml:space="preserve"> 1 Cal. State Bar Ct. Rptr. 631</w:t>
      </w:r>
      <w:r w:rsidR="00352706">
        <w:rPr>
          <w:szCs w:val="24"/>
        </w:rPr>
        <w:t>, 647</w:t>
      </w:r>
      <w:r w:rsidR="008E17CB" w:rsidRPr="00D102A1">
        <w:rPr>
          <w:szCs w:val="24"/>
        </w:rPr>
        <w:t xml:space="preserve"> [use of </w:t>
      </w:r>
      <w:r w:rsidR="008E17CB">
        <w:rPr>
          <w:szCs w:val="24"/>
        </w:rPr>
        <w:t>unsupported arguments to evade culpability reveal</w:t>
      </w:r>
      <w:r w:rsidR="00352706">
        <w:rPr>
          <w:szCs w:val="24"/>
        </w:rPr>
        <w:t>s</w:t>
      </w:r>
      <w:r w:rsidR="008E17CB" w:rsidRPr="00D102A1">
        <w:rPr>
          <w:szCs w:val="24"/>
        </w:rPr>
        <w:t xml:space="preserve"> lack of app</w:t>
      </w:r>
      <w:r w:rsidR="008E17CB">
        <w:rPr>
          <w:szCs w:val="24"/>
        </w:rPr>
        <w:t>reciation for misconduct and ethical obligations</w:t>
      </w:r>
      <w:r w:rsidR="008E17CB" w:rsidRPr="00D102A1">
        <w:rPr>
          <w:szCs w:val="24"/>
        </w:rPr>
        <w:t>]</w:t>
      </w:r>
      <w:r w:rsidR="00277294">
        <w:t xml:space="preserve">; </w:t>
      </w:r>
      <w:r w:rsidR="00277294" w:rsidRPr="004F0F52">
        <w:rPr>
          <w:i/>
        </w:rPr>
        <w:t>Weber v. State Bar</w:t>
      </w:r>
      <w:r w:rsidR="00277294">
        <w:t xml:space="preserve"> (1988) 47 Cal.3d 492, 506 </w:t>
      </w:r>
      <w:r w:rsidR="00277294" w:rsidRPr="00C83562">
        <w:rPr>
          <w:rFonts w:eastAsia="Times New Roman"/>
          <w:bCs/>
          <w:szCs w:val="24"/>
        </w:rPr>
        <w:t>[lack of remorse and failure to acknowledge wrongdoing are aggravating factors].</w:t>
      </w:r>
      <w:r w:rsidR="00277294">
        <w:rPr>
          <w:rFonts w:eastAsia="Times New Roman"/>
          <w:bCs/>
          <w:szCs w:val="24"/>
        </w:rPr>
        <w:t>)</w:t>
      </w:r>
      <w:r w:rsidR="008E17CB">
        <w:rPr>
          <w:i/>
        </w:rPr>
        <w:t xml:space="preserve">  </w:t>
      </w:r>
      <w:r w:rsidR="001E7594">
        <w:t>Moreover</w:t>
      </w:r>
      <w:r w:rsidR="00394A15">
        <w:t xml:space="preserve">, </w:t>
      </w:r>
      <w:r w:rsidR="00E76BB2">
        <w:t xml:space="preserve">Carver has underscored </w:t>
      </w:r>
      <w:r w:rsidR="008E17CB">
        <w:t xml:space="preserve">his indifference </w:t>
      </w:r>
      <w:r w:rsidR="00E76BB2">
        <w:t>by failing to respond to this appeal</w:t>
      </w:r>
      <w:r w:rsidR="008E17CB">
        <w:t>.</w:t>
      </w:r>
      <w:r w:rsidR="00B14AEC">
        <w:t xml:space="preserve">  </w:t>
      </w:r>
      <w:r w:rsidR="007C61CD">
        <w:t xml:space="preserve">We assign </w:t>
      </w:r>
      <w:r w:rsidR="00E76BB2">
        <w:t xml:space="preserve">considerable aggravating weight </w:t>
      </w:r>
      <w:r w:rsidR="00F66F37">
        <w:t xml:space="preserve">to Carver’s </w:t>
      </w:r>
      <w:r w:rsidR="00A4095E">
        <w:t xml:space="preserve">overall </w:t>
      </w:r>
      <w:r w:rsidR="00F66F37">
        <w:t>indifference</w:t>
      </w:r>
      <w:r w:rsidR="007C61CD">
        <w:t>.</w:t>
      </w:r>
      <w:r w:rsidR="00F249AA">
        <w:rPr>
          <w:rStyle w:val="FootnoteReference"/>
        </w:rPr>
        <w:footnoteReference w:id="12"/>
      </w:r>
    </w:p>
    <w:p w:rsidR="001134AB" w:rsidRDefault="001134AB" w:rsidP="001134AB">
      <w:pPr>
        <w:spacing w:line="480" w:lineRule="auto"/>
        <w:rPr>
          <w:b/>
        </w:rPr>
      </w:pPr>
      <w:r>
        <w:rPr>
          <w:b/>
        </w:rPr>
        <w:t>B.</w:t>
      </w:r>
      <w:r>
        <w:rPr>
          <w:b/>
        </w:rPr>
        <w:tab/>
        <w:t>Mitigating Circumstances</w:t>
      </w:r>
    </w:p>
    <w:p w:rsidR="009631A4" w:rsidRDefault="001134AB" w:rsidP="009631A4">
      <w:pPr>
        <w:spacing w:line="480" w:lineRule="auto"/>
        <w:rPr>
          <w:b/>
        </w:rPr>
      </w:pPr>
      <w:r>
        <w:rPr>
          <w:b/>
        </w:rPr>
        <w:tab/>
        <w:t>1.</w:t>
      </w:r>
      <w:r w:rsidR="009631A4">
        <w:rPr>
          <w:b/>
        </w:rPr>
        <w:t xml:space="preserve">  </w:t>
      </w:r>
      <w:r w:rsidR="00CF40AD">
        <w:rPr>
          <w:b/>
        </w:rPr>
        <w:t xml:space="preserve">Good Character </w:t>
      </w:r>
    </w:p>
    <w:p w:rsidR="009631A4" w:rsidRDefault="009631A4" w:rsidP="009631A4">
      <w:pPr>
        <w:spacing w:line="480" w:lineRule="auto"/>
        <w:rPr>
          <w:b/>
        </w:rPr>
      </w:pPr>
      <w:r>
        <w:rPr>
          <w:b/>
        </w:rPr>
        <w:tab/>
      </w:r>
      <w:r w:rsidR="007C30BA">
        <w:t>Carver is entitled to mitigation</w:t>
      </w:r>
      <w:r w:rsidR="00472C37">
        <w:t xml:space="preserve"> </w:t>
      </w:r>
      <w:r w:rsidR="00EC1CCB">
        <w:t>if he proved</w:t>
      </w:r>
      <w:r w:rsidR="007C30BA">
        <w:t xml:space="preserve"> “extraordinary good character attested to by a wide range of references in the legal and general communities, who are aware of the full extent of the misconduct.”</w:t>
      </w:r>
      <w:r w:rsidR="007C30BA" w:rsidRPr="007C30BA">
        <w:t xml:space="preserve"> </w:t>
      </w:r>
      <w:r w:rsidR="007C30BA">
        <w:t xml:space="preserve"> (Std. 1.6(f).)  </w:t>
      </w:r>
      <w:r w:rsidR="00EB179E">
        <w:t>He</w:t>
      </w:r>
      <w:r w:rsidR="001354E3">
        <w:t xml:space="preserve"> presented</w:t>
      </w:r>
      <w:r w:rsidR="00314B18">
        <w:t xml:space="preserve"> </w:t>
      </w:r>
      <w:r w:rsidR="00422003">
        <w:t xml:space="preserve">the testimony of one character witness and </w:t>
      </w:r>
      <w:r w:rsidR="00472C37">
        <w:t xml:space="preserve">the </w:t>
      </w:r>
      <w:r w:rsidR="00422003">
        <w:t>declarations of four others</w:t>
      </w:r>
      <w:r w:rsidR="00A0598D">
        <w:t>.</w:t>
      </w:r>
      <w:r w:rsidR="00422003">
        <w:t xml:space="preserve"> </w:t>
      </w:r>
      <w:r w:rsidR="00A0598D">
        <w:t xml:space="preserve"> </w:t>
      </w:r>
      <w:r w:rsidR="00422003">
        <w:t>Those witnesses included</w:t>
      </w:r>
      <w:r w:rsidR="001D4D9F">
        <w:t xml:space="preserve"> </w:t>
      </w:r>
      <w:r w:rsidR="00321B3A">
        <w:t>an attorney, a law graduate</w:t>
      </w:r>
      <w:r w:rsidR="00A92B7D">
        <w:t xml:space="preserve"> employed by the Sta</w:t>
      </w:r>
      <w:r w:rsidR="00DB26E2">
        <w:t xml:space="preserve">te of Arizona, a paralegal, and </w:t>
      </w:r>
      <w:r w:rsidR="00F975C6">
        <w:t xml:space="preserve">two </w:t>
      </w:r>
      <w:r w:rsidR="00F46187">
        <w:t>clients</w:t>
      </w:r>
      <w:r w:rsidR="00B9148F">
        <w:t>.</w:t>
      </w:r>
      <w:r w:rsidR="001D4D9F">
        <w:rPr>
          <w:rStyle w:val="FootnoteReference"/>
        </w:rPr>
        <w:footnoteReference w:id="13"/>
      </w:r>
      <w:r w:rsidR="001D4D9F">
        <w:t xml:space="preserve">  </w:t>
      </w:r>
      <w:r w:rsidR="00047D85">
        <w:t>E</w:t>
      </w:r>
      <w:r w:rsidR="00F41DD9">
        <w:t xml:space="preserve">ach attested that Carver is honest and has </w:t>
      </w:r>
      <w:r w:rsidR="00F41DD9">
        <w:lastRenderedPageBreak/>
        <w:t xml:space="preserve">good character.  </w:t>
      </w:r>
      <w:r w:rsidR="00F1607A">
        <w:t xml:space="preserve">One </w:t>
      </w:r>
      <w:r w:rsidR="0034287E">
        <w:t xml:space="preserve">client testified </w:t>
      </w:r>
      <w:r w:rsidR="009B1F79">
        <w:t xml:space="preserve">that </w:t>
      </w:r>
      <w:r w:rsidR="0034287E">
        <w:t>Carver was “very fair, and went beyond the call of duty</w:t>
      </w:r>
      <w:r w:rsidR="00321B3A">
        <w:t>.</w:t>
      </w:r>
      <w:r w:rsidR="0034287E">
        <w:t xml:space="preserve">”  </w:t>
      </w:r>
    </w:p>
    <w:p w:rsidR="00C66738" w:rsidRDefault="009631A4" w:rsidP="009631A4">
      <w:pPr>
        <w:spacing w:line="480" w:lineRule="auto"/>
        <w:rPr>
          <w:b/>
        </w:rPr>
      </w:pPr>
      <w:r>
        <w:rPr>
          <w:b/>
        </w:rPr>
        <w:tab/>
      </w:r>
      <w:r w:rsidR="00E76BB2">
        <w:t xml:space="preserve">The </w:t>
      </w:r>
      <w:r w:rsidR="00FB0E28">
        <w:t>hearing judge</w:t>
      </w:r>
      <w:r w:rsidR="00D37E9A">
        <w:t xml:space="preserve"> </w:t>
      </w:r>
      <w:r w:rsidR="00E76BB2">
        <w:t xml:space="preserve">found </w:t>
      </w:r>
      <w:r w:rsidR="00D37E9A">
        <w:t xml:space="preserve">that </w:t>
      </w:r>
      <w:r w:rsidR="00682B48">
        <w:t>this</w:t>
      </w:r>
      <w:r w:rsidR="00FB0E28">
        <w:t xml:space="preserve"> </w:t>
      </w:r>
      <w:r w:rsidR="00650AD3">
        <w:t xml:space="preserve">character </w:t>
      </w:r>
      <w:r w:rsidR="00FB0E28">
        <w:t xml:space="preserve">evidence warrants </w:t>
      </w:r>
      <w:r w:rsidR="005970A9">
        <w:t>only</w:t>
      </w:r>
      <w:r w:rsidR="00BF27D1">
        <w:t xml:space="preserve"> moderate</w:t>
      </w:r>
      <w:r w:rsidR="00FB0E28">
        <w:t xml:space="preserve"> </w:t>
      </w:r>
      <w:r w:rsidR="004D4F2C">
        <w:t>mitigating weight</w:t>
      </w:r>
      <w:r w:rsidR="00422003">
        <w:t xml:space="preserve"> </w:t>
      </w:r>
      <w:r w:rsidR="00EB179E">
        <w:t xml:space="preserve">because </w:t>
      </w:r>
      <w:r w:rsidR="00575A6C">
        <w:t>the witnesses</w:t>
      </w:r>
      <w:r w:rsidR="00FB0E28">
        <w:t xml:space="preserve"> did not </w:t>
      </w:r>
      <w:r w:rsidR="00556685">
        <w:t xml:space="preserve">represent a </w:t>
      </w:r>
      <w:r w:rsidR="00BE4428">
        <w:t>broad cross-section of t</w:t>
      </w:r>
      <w:r w:rsidR="00FB0E28">
        <w:t>he legal and general communiti</w:t>
      </w:r>
      <w:r w:rsidR="004D4F2C">
        <w:t>es.</w:t>
      </w:r>
      <w:r w:rsidR="00BE4428">
        <w:t xml:space="preserve">  </w:t>
      </w:r>
      <w:r w:rsidR="007C2DDD">
        <w:t>(</w:t>
      </w:r>
      <w:r w:rsidR="00FC58B5">
        <w:rPr>
          <w:i/>
          <w:color w:val="000000"/>
          <w:szCs w:val="24"/>
        </w:rPr>
        <w:t>In the Matter of Riordan</w:t>
      </w:r>
      <w:r w:rsidR="00FC58B5">
        <w:rPr>
          <w:color w:val="000000"/>
          <w:szCs w:val="24"/>
        </w:rPr>
        <w:t xml:space="preserve"> (Review Dept. 2007) 5 Cal. State Bar Ct. Rptr. 41, 50 [assigning </w:t>
      </w:r>
      <w:r w:rsidR="00FC58B5" w:rsidRPr="00E258A6">
        <w:rPr>
          <w:color w:val="000000"/>
          <w:szCs w:val="24"/>
        </w:rPr>
        <w:t xml:space="preserve">diminished mitigation </w:t>
      </w:r>
      <w:r w:rsidR="00F60E39">
        <w:rPr>
          <w:color w:val="000000"/>
          <w:szCs w:val="24"/>
        </w:rPr>
        <w:t>for</w:t>
      </w:r>
      <w:r w:rsidR="00FC58B5">
        <w:rPr>
          <w:color w:val="000000"/>
          <w:szCs w:val="24"/>
        </w:rPr>
        <w:t xml:space="preserve"> character </w:t>
      </w:r>
      <w:r w:rsidR="00F60E39">
        <w:rPr>
          <w:color w:val="000000"/>
          <w:szCs w:val="24"/>
        </w:rPr>
        <w:t xml:space="preserve">evidence </w:t>
      </w:r>
      <w:r w:rsidR="00FC58B5">
        <w:rPr>
          <w:color w:val="000000"/>
          <w:szCs w:val="24"/>
        </w:rPr>
        <w:t xml:space="preserve">from four witnesses who </w:t>
      </w:r>
      <w:r w:rsidR="00FC58B5" w:rsidRPr="00E258A6">
        <w:rPr>
          <w:color w:val="000000"/>
          <w:szCs w:val="24"/>
        </w:rPr>
        <w:t xml:space="preserve">did not constitute wide range of references in </w:t>
      </w:r>
      <w:r w:rsidR="00FC58B5">
        <w:rPr>
          <w:color w:val="000000"/>
          <w:szCs w:val="24"/>
        </w:rPr>
        <w:t>legal and general communities]</w:t>
      </w:r>
      <w:r w:rsidR="007210FE">
        <w:rPr>
          <w:color w:val="000000"/>
          <w:szCs w:val="24"/>
        </w:rPr>
        <w:t>.)</w:t>
      </w:r>
      <w:r w:rsidR="00E76BB2">
        <w:rPr>
          <w:color w:val="000000"/>
          <w:szCs w:val="24"/>
        </w:rPr>
        <w:t xml:space="preserve">  We agree.</w:t>
      </w:r>
      <w:r w:rsidR="00EB179E">
        <w:rPr>
          <w:rStyle w:val="FootnoteReference"/>
        </w:rPr>
        <w:footnoteReference w:id="14"/>
      </w:r>
      <w:r w:rsidR="00EB179E">
        <w:rPr>
          <w:b/>
        </w:rPr>
        <w:t xml:space="preserve"> </w:t>
      </w:r>
    </w:p>
    <w:p w:rsidR="009631A4" w:rsidRDefault="00024FAE" w:rsidP="00BD1225">
      <w:pPr>
        <w:spacing w:line="480" w:lineRule="auto"/>
        <w:ind w:firstLine="720"/>
      </w:pPr>
      <w:r>
        <w:rPr>
          <w:b/>
        </w:rPr>
        <w:t>2.</w:t>
      </w:r>
      <w:r w:rsidR="009631A4">
        <w:rPr>
          <w:b/>
        </w:rPr>
        <w:t xml:space="preserve">  </w:t>
      </w:r>
      <w:r>
        <w:rPr>
          <w:b/>
        </w:rPr>
        <w:t xml:space="preserve">No Mitigation for </w:t>
      </w:r>
      <w:r w:rsidR="007C30BA">
        <w:rPr>
          <w:b/>
        </w:rPr>
        <w:t xml:space="preserve">Extreme </w:t>
      </w:r>
      <w:r>
        <w:rPr>
          <w:b/>
        </w:rPr>
        <w:t>Emotional Dif</w:t>
      </w:r>
      <w:r w:rsidR="00162DF6">
        <w:rPr>
          <w:b/>
        </w:rPr>
        <w:t>f</w:t>
      </w:r>
      <w:r>
        <w:rPr>
          <w:b/>
        </w:rPr>
        <w:t xml:space="preserve">iculties </w:t>
      </w:r>
    </w:p>
    <w:p w:rsidR="003759A6" w:rsidRPr="003E5380" w:rsidRDefault="009631A4" w:rsidP="009631A4">
      <w:pPr>
        <w:spacing w:line="480" w:lineRule="auto"/>
      </w:pPr>
      <w:r>
        <w:tab/>
      </w:r>
      <w:r w:rsidR="00855C72">
        <w:t xml:space="preserve">Carver may receive mitigation for </w:t>
      </w:r>
      <w:r w:rsidR="00D37E9A">
        <w:t>ex</w:t>
      </w:r>
      <w:r w:rsidR="00A4095E">
        <w:t>treme emotional difficulties if</w:t>
      </w:r>
      <w:r w:rsidR="00EC1CCB">
        <w:t>:</w:t>
      </w:r>
      <w:r w:rsidR="00D37E9A">
        <w:t xml:space="preserve"> (1) he suffered from them at </w:t>
      </w:r>
      <w:r w:rsidR="00EC1CCB">
        <w:t xml:space="preserve">the time of his misconduct; </w:t>
      </w:r>
      <w:r w:rsidR="00D37E9A">
        <w:t xml:space="preserve">(2) the </w:t>
      </w:r>
      <w:r w:rsidR="007C30BA">
        <w:t>difficulties are established by expert testimony as being directly</w:t>
      </w:r>
      <w:r w:rsidR="00D37E9A">
        <w:t xml:space="preserve"> responsible for </w:t>
      </w:r>
      <w:r w:rsidR="00A4095E">
        <w:t>the</w:t>
      </w:r>
      <w:r w:rsidR="00D37E9A">
        <w:t xml:space="preserve"> misconduct; </w:t>
      </w:r>
      <w:r w:rsidR="007C30BA">
        <w:t xml:space="preserve">and </w:t>
      </w:r>
      <w:r w:rsidR="00D37E9A">
        <w:t>(3) the</w:t>
      </w:r>
      <w:r w:rsidR="00A4095E">
        <w:t xml:space="preserve"> difficulties</w:t>
      </w:r>
      <w:r w:rsidR="007C30BA">
        <w:t xml:space="preserve"> no longer pose a risk for future misconduct.  (Std. 1.6(d).)  </w:t>
      </w:r>
      <w:r w:rsidR="00A0598D">
        <w:t xml:space="preserve">The </w:t>
      </w:r>
      <w:r w:rsidR="007C30BA">
        <w:t xml:space="preserve">hearing judge </w:t>
      </w:r>
      <w:r w:rsidR="00A0598D">
        <w:t xml:space="preserve">assigned </w:t>
      </w:r>
      <w:r w:rsidR="00214BE8">
        <w:t>substantial mitigation</w:t>
      </w:r>
      <w:r w:rsidR="00A0598D">
        <w:t xml:space="preserve"> to Carver’s </w:t>
      </w:r>
      <w:r w:rsidR="00FD52C1">
        <w:t>stressful personal circumstances at</w:t>
      </w:r>
      <w:r w:rsidR="00F016D8">
        <w:t xml:space="preserve"> the time of the misconduct</w:t>
      </w:r>
      <w:r w:rsidR="009F3823">
        <w:t xml:space="preserve">.  </w:t>
      </w:r>
      <w:r w:rsidR="007C30BA">
        <w:t>We afford</w:t>
      </w:r>
      <w:r w:rsidR="00FD6D5B">
        <w:t xml:space="preserve"> no mitigation</w:t>
      </w:r>
      <w:r w:rsidR="0062536F">
        <w:t xml:space="preserve"> on this point</w:t>
      </w:r>
      <w:r w:rsidR="00D37E9A">
        <w:t xml:space="preserve"> </w:t>
      </w:r>
      <w:r w:rsidR="00EC1CCB">
        <w:t xml:space="preserve">because </w:t>
      </w:r>
      <w:r w:rsidR="00394A15">
        <w:t xml:space="preserve">Carver did not </w:t>
      </w:r>
      <w:r w:rsidR="0062536F">
        <w:t>establish</w:t>
      </w:r>
      <w:r w:rsidR="00394A15">
        <w:t xml:space="preserve"> a nexus between </w:t>
      </w:r>
      <w:r w:rsidR="0062536F">
        <w:t>his</w:t>
      </w:r>
      <w:r w:rsidR="007C61CD">
        <w:t xml:space="preserve"> difficulties </w:t>
      </w:r>
      <w:r w:rsidR="00394A15">
        <w:t>and his misconduct</w:t>
      </w:r>
      <w:r w:rsidR="00321B3A">
        <w:t>; he</w:t>
      </w:r>
      <w:r w:rsidR="00E76BB2">
        <w:t xml:space="preserve"> did not commit UPL out of distraction due to personal stressors, but rather because he deliberately avoided </w:t>
      </w:r>
      <w:r w:rsidR="00F249AA">
        <w:t xml:space="preserve">receiving </w:t>
      </w:r>
      <w:r w:rsidR="00472C37">
        <w:t>notice</w:t>
      </w:r>
      <w:r w:rsidR="00E76BB2">
        <w:t xml:space="preserve"> that</w:t>
      </w:r>
      <w:r w:rsidR="00472C37">
        <w:t xml:space="preserve"> </w:t>
      </w:r>
      <w:r w:rsidR="00E76BB2">
        <w:t>his law license was inactive.</w:t>
      </w:r>
      <w:r w:rsidR="009F3823">
        <w:t xml:space="preserve">  </w:t>
      </w:r>
      <w:r w:rsidR="00855C72">
        <w:t xml:space="preserve">  </w:t>
      </w:r>
    </w:p>
    <w:p w:rsidR="009B494F" w:rsidRDefault="00E64069" w:rsidP="00FE2766">
      <w:pPr>
        <w:spacing w:line="480" w:lineRule="auto"/>
        <w:jc w:val="center"/>
        <w:rPr>
          <w:b/>
        </w:rPr>
      </w:pPr>
      <w:r>
        <w:rPr>
          <w:b/>
        </w:rPr>
        <w:t>V.</w:t>
      </w:r>
      <w:r w:rsidR="009631A4">
        <w:rPr>
          <w:b/>
        </w:rPr>
        <w:t xml:space="preserve">  </w:t>
      </w:r>
      <w:r w:rsidR="00F20B63">
        <w:rPr>
          <w:b/>
        </w:rPr>
        <w:t>DISCIPLINE</w:t>
      </w:r>
    </w:p>
    <w:p w:rsidR="0062653B" w:rsidRDefault="00F66F37" w:rsidP="00F66F37">
      <w:pPr>
        <w:spacing w:line="480" w:lineRule="auto"/>
      </w:pPr>
      <w:r>
        <w:tab/>
      </w:r>
      <w:r w:rsidRPr="00A07F4B">
        <w:t>The purpose of attorney discipline is not to punish the attorney, but to protect the public, the courts, and th</w:t>
      </w:r>
      <w:r>
        <w:t>e legal profession.</w:t>
      </w:r>
      <w:r w:rsidR="009B1F79">
        <w:t xml:space="preserve"> </w:t>
      </w:r>
      <w:r>
        <w:t xml:space="preserve"> (Std. 1.1.)  </w:t>
      </w:r>
      <w:r w:rsidRPr="00A07F4B">
        <w:t>We balance all relevant factors, including mitigating and aggravating circumstances, on a case-by-case basis to ensure that the discipline imposed is consistent with its purpose</w:t>
      </w:r>
      <w:r w:rsidR="00CF7C19" w:rsidRPr="00A07F4B">
        <w:t>.</w:t>
      </w:r>
      <w:r w:rsidR="00CF7C19">
        <w:t xml:space="preserve"> </w:t>
      </w:r>
      <w:r w:rsidR="0062653B">
        <w:t xml:space="preserve"> </w:t>
      </w:r>
      <w:r w:rsidRPr="00A07F4B">
        <w:t>(</w:t>
      </w:r>
      <w:r w:rsidRPr="000F75B6">
        <w:rPr>
          <w:i/>
        </w:rPr>
        <w:t>In re Young</w:t>
      </w:r>
      <w:r w:rsidRPr="00A07F4B">
        <w:t xml:space="preserve"> (1989) 49 Cal.3d</w:t>
      </w:r>
      <w:r>
        <w:t xml:space="preserve"> 257, 266.)</w:t>
      </w:r>
    </w:p>
    <w:p w:rsidR="00F66F37" w:rsidRPr="00F66F37" w:rsidRDefault="00F66F37" w:rsidP="00F66F37">
      <w:pPr>
        <w:spacing w:line="480" w:lineRule="auto"/>
      </w:pPr>
      <w:r>
        <w:t xml:space="preserve">  </w:t>
      </w:r>
    </w:p>
    <w:p w:rsidR="006C346A" w:rsidRPr="00EA706A" w:rsidRDefault="006C346A" w:rsidP="00CF1630">
      <w:pPr>
        <w:spacing w:line="480" w:lineRule="auto"/>
        <w:rPr>
          <w:b/>
        </w:rPr>
      </w:pPr>
      <w:r>
        <w:rPr>
          <w:b/>
        </w:rPr>
        <w:lastRenderedPageBreak/>
        <w:t>A.</w:t>
      </w:r>
      <w:r>
        <w:rPr>
          <w:b/>
        </w:rPr>
        <w:tab/>
      </w:r>
      <w:r w:rsidR="003B4537">
        <w:rPr>
          <w:b/>
        </w:rPr>
        <w:t>Rule 5.106</w:t>
      </w:r>
    </w:p>
    <w:p w:rsidR="006C346A" w:rsidRDefault="00CF1630" w:rsidP="006C346A">
      <w:pPr>
        <w:spacing w:line="480" w:lineRule="auto"/>
      </w:pPr>
      <w:r>
        <w:tab/>
      </w:r>
      <w:r w:rsidR="00A4095E">
        <w:t>As noted, t</w:t>
      </w:r>
      <w:r>
        <w:t xml:space="preserve">he </w:t>
      </w:r>
      <w:r w:rsidR="00413669">
        <w:t xml:space="preserve">hearing </w:t>
      </w:r>
      <w:r w:rsidR="006C346A">
        <w:t xml:space="preserve">judge </w:t>
      </w:r>
      <w:r w:rsidR="00D421FF">
        <w:t>should have</w:t>
      </w:r>
      <w:r w:rsidR="00D37E9A">
        <w:t xml:space="preserve"> consider</w:t>
      </w:r>
      <w:r w:rsidR="00D421FF">
        <w:t>ed</w:t>
      </w:r>
      <w:r w:rsidR="00D37E9A">
        <w:t xml:space="preserve"> </w:t>
      </w:r>
      <w:r w:rsidR="006C346A">
        <w:rPr>
          <w:i/>
        </w:rPr>
        <w:t xml:space="preserve">Carver II </w:t>
      </w:r>
      <w:r>
        <w:t xml:space="preserve">as a prior </w:t>
      </w:r>
      <w:r w:rsidR="000C6648">
        <w:t xml:space="preserve">discipline </w:t>
      </w:r>
      <w:r w:rsidR="00E81961">
        <w:t>record</w:t>
      </w:r>
      <w:r w:rsidR="00D421FF">
        <w:t xml:space="preserve">. </w:t>
      </w:r>
      <w:r w:rsidR="00E81961">
        <w:t xml:space="preserve"> </w:t>
      </w:r>
      <w:r w:rsidR="00020A52">
        <w:t>R</w:t>
      </w:r>
      <w:r w:rsidR="006C346A">
        <w:t xml:space="preserve">ule 5.106(A) expressly defines a “prior record of discipline” to include, inter alia, “findings </w:t>
      </w:r>
      <w:r w:rsidR="0062653B">
        <w:t>and</w:t>
      </w:r>
      <w:r w:rsidR="006C346A">
        <w:t xml:space="preserve"> decisions (</w:t>
      </w:r>
      <w:r w:rsidR="006C346A" w:rsidRPr="00290580">
        <w:rPr>
          <w:i/>
        </w:rPr>
        <w:t>final or not</w:t>
      </w:r>
      <w:r w:rsidR="006C346A">
        <w:t>) reflect</w:t>
      </w:r>
      <w:r w:rsidR="00C84C9C">
        <w:t>ing</w:t>
      </w:r>
      <w:r w:rsidR="006C346A">
        <w:t xml:space="preserve"> or recommending that discipline be imposed on a party,” including “recommended discipline that the Court of last resort in the jurisdiction has not yet approved.”  (Italics added.)</w:t>
      </w:r>
      <w:r w:rsidR="000B7D99">
        <w:rPr>
          <w:rStyle w:val="FootnoteReference"/>
        </w:rPr>
        <w:footnoteReference w:id="15"/>
      </w:r>
      <w:r w:rsidR="006C346A">
        <w:t xml:space="preserve">  </w:t>
      </w:r>
      <w:r w:rsidR="00C84C9C">
        <w:t>R</w:t>
      </w:r>
      <w:r w:rsidR="00412838">
        <w:t>ule</w:t>
      </w:r>
      <w:r w:rsidR="00C84C9C">
        <w:t xml:space="preserve"> 5.106(E)</w:t>
      </w:r>
      <w:r w:rsidR="006C346A">
        <w:t xml:space="preserve"> </w:t>
      </w:r>
      <w:r w:rsidR="005970A9">
        <w:t xml:space="preserve">directs the judge to </w:t>
      </w:r>
      <w:r>
        <w:t>analyze</w:t>
      </w:r>
      <w:r w:rsidR="006C346A">
        <w:t xml:space="preserve"> non-final prior records of discipline</w:t>
      </w:r>
      <w:r w:rsidR="005970A9">
        <w:t xml:space="preserve"> in making a discipline recommendation</w:t>
      </w:r>
      <w:r w:rsidR="00CC1808">
        <w:t>,</w:t>
      </w:r>
      <w:r w:rsidR="00152F00">
        <w:t xml:space="preserve"> as follows:</w:t>
      </w:r>
      <w:r w:rsidR="006C346A">
        <w:t xml:space="preserve"> </w:t>
      </w:r>
    </w:p>
    <w:p w:rsidR="006C346A" w:rsidRDefault="006C346A" w:rsidP="00CC1808">
      <w:pPr>
        <w:ind w:left="720" w:right="720"/>
      </w:pPr>
      <w:r>
        <w:t xml:space="preserve">A record of prior discipline is not made inadmissible by the fact that the discipline has been recommended but has not yet been imposed.  If a record of prior discipline that is not yet final is admitted, the Court shall specify the disposition: </w:t>
      </w:r>
    </w:p>
    <w:p w:rsidR="006C346A" w:rsidRDefault="006C346A" w:rsidP="00CC1808">
      <w:pPr>
        <w:ind w:left="720" w:right="720"/>
      </w:pPr>
      <w:r>
        <w:t>(1)</w:t>
      </w:r>
      <w:r w:rsidR="00434573">
        <w:tab/>
      </w:r>
      <w:r>
        <w:t xml:space="preserve">if the non-final prior discipline recommendation is adopted; and </w:t>
      </w:r>
    </w:p>
    <w:p w:rsidR="006C346A" w:rsidRDefault="006C346A" w:rsidP="00CC1808">
      <w:pPr>
        <w:ind w:left="1440" w:right="720" w:hanging="720"/>
      </w:pPr>
      <w:r>
        <w:t>(2)</w:t>
      </w:r>
      <w:r w:rsidR="00434573">
        <w:tab/>
      </w:r>
      <w:r>
        <w:t xml:space="preserve">if the non-final prior discipline recommendation is dismissed or modified.  </w:t>
      </w:r>
    </w:p>
    <w:p w:rsidR="00CC1808" w:rsidRDefault="00CC1808" w:rsidP="00CC1808">
      <w:pPr>
        <w:ind w:left="1440" w:right="720" w:hanging="720"/>
      </w:pPr>
    </w:p>
    <w:p w:rsidR="008365B3" w:rsidRDefault="00E73574" w:rsidP="00E73574">
      <w:pPr>
        <w:spacing w:line="480" w:lineRule="auto"/>
      </w:pPr>
      <w:r>
        <w:tab/>
      </w:r>
      <w:r w:rsidR="00F20B63">
        <w:t>T</w:t>
      </w:r>
      <w:r w:rsidR="0079416C">
        <w:t xml:space="preserve">he </w:t>
      </w:r>
      <w:r w:rsidR="00A77103">
        <w:t xml:space="preserve">hearing </w:t>
      </w:r>
      <w:r w:rsidR="00020A52">
        <w:t>judge reasoned</w:t>
      </w:r>
      <w:r w:rsidR="0079416C">
        <w:t xml:space="preserve"> </w:t>
      </w:r>
      <w:r w:rsidR="004C4158">
        <w:t xml:space="preserve">that </w:t>
      </w:r>
      <w:r w:rsidR="00790125">
        <w:t>the rule</w:t>
      </w:r>
      <w:r w:rsidR="006C346A">
        <w:t xml:space="preserve"> </w:t>
      </w:r>
      <w:r w:rsidR="00CF1630">
        <w:t>“</w:t>
      </w:r>
      <w:r w:rsidR="006C346A">
        <w:t xml:space="preserve">does not apply to the pending review matter, because there has been no final decision of the State Bar Court, and therefore, no recommendation to the Supreme Court within the meaning of rule 5.106(E).”  </w:t>
      </w:r>
      <w:r w:rsidR="00CF1630">
        <w:t xml:space="preserve">This </w:t>
      </w:r>
      <w:r w:rsidR="006C346A">
        <w:t xml:space="preserve">analysis </w:t>
      </w:r>
      <w:r w:rsidR="00CF1630">
        <w:t xml:space="preserve">is </w:t>
      </w:r>
      <w:r w:rsidR="006C346A">
        <w:t xml:space="preserve">contrary to the </w:t>
      </w:r>
      <w:r w:rsidR="00650AD3">
        <w:t xml:space="preserve">rule’s </w:t>
      </w:r>
      <w:r w:rsidR="006C346A">
        <w:t>language</w:t>
      </w:r>
      <w:r w:rsidR="00321B3A">
        <w:t xml:space="preserve"> </w:t>
      </w:r>
      <w:r w:rsidR="00F249AA">
        <w:t>and</w:t>
      </w:r>
      <w:r w:rsidR="006C346A">
        <w:t xml:space="preserve"> to the decisional law</w:t>
      </w:r>
      <w:r w:rsidR="000C6648">
        <w:t xml:space="preserve"> establishing that finality is not required for the </w:t>
      </w:r>
      <w:r w:rsidR="004C4158">
        <w:t>judge</w:t>
      </w:r>
      <w:r w:rsidR="000C6648">
        <w:t xml:space="preserve"> to consider cases pending in review as prior </w:t>
      </w:r>
      <w:r w:rsidR="00F249AA">
        <w:t xml:space="preserve">discipline </w:t>
      </w:r>
      <w:r w:rsidR="000C6648">
        <w:t>records</w:t>
      </w:r>
      <w:r w:rsidR="006C346A">
        <w:t xml:space="preserve">.  (E.g., </w:t>
      </w:r>
      <w:r w:rsidR="006C346A">
        <w:rPr>
          <w:i/>
        </w:rPr>
        <w:t>In the Matter of Farrell</w:t>
      </w:r>
      <w:r w:rsidR="006C346A">
        <w:t xml:space="preserve"> (Review Dept. 1991) 1 Cal. State Bar Ct. Rptr. 490, 497-498 [hearing judge properly considered matter as prior discipline, even though only Hearing Department decision and recommendation had been issued].)  </w:t>
      </w:r>
      <w:r w:rsidR="0079416C">
        <w:t xml:space="preserve">Further, </w:t>
      </w:r>
      <w:r w:rsidR="00650AD3">
        <w:t xml:space="preserve">the </w:t>
      </w:r>
      <w:r w:rsidR="00253096">
        <w:t xml:space="preserve">hearing </w:t>
      </w:r>
      <w:r w:rsidR="00650AD3">
        <w:t xml:space="preserve">judge’s approach </w:t>
      </w:r>
      <w:r w:rsidR="00D26ACA">
        <w:t xml:space="preserve">would deprive the Supreme Court of </w:t>
      </w:r>
      <w:r w:rsidR="00CC1808">
        <w:t xml:space="preserve">the required </w:t>
      </w:r>
      <w:r w:rsidR="00D26ACA">
        <w:t xml:space="preserve">alternate recommendations where </w:t>
      </w:r>
      <w:r w:rsidR="00532A53">
        <w:t>neither party seeks review and the Hearing Department’s decision becomes the final recommendation</w:t>
      </w:r>
      <w:r w:rsidR="00552DBE">
        <w:t xml:space="preserve">.  </w:t>
      </w:r>
      <w:r w:rsidR="006C346A">
        <w:t>(</w:t>
      </w:r>
      <w:r w:rsidR="00552DBE">
        <w:t>R</w:t>
      </w:r>
      <w:r w:rsidR="006C346A">
        <w:t>ule 5.111(C)</w:t>
      </w:r>
      <w:r w:rsidR="00552DBE">
        <w:t xml:space="preserve"> [decision final unless timely request for review filed]</w:t>
      </w:r>
      <w:r w:rsidR="000F3643">
        <w:t>.</w:t>
      </w:r>
      <w:r w:rsidR="006C346A">
        <w:t>)</w:t>
      </w:r>
      <w:r w:rsidR="005B46D1">
        <w:t xml:space="preserve"> </w:t>
      </w:r>
      <w:r w:rsidR="00A77103">
        <w:t xml:space="preserve"> We conclude that</w:t>
      </w:r>
      <w:r w:rsidR="00C84C9C">
        <w:t xml:space="preserve"> </w:t>
      </w:r>
      <w:r w:rsidR="00434573">
        <w:t xml:space="preserve">the discipline in </w:t>
      </w:r>
      <w:r w:rsidR="009D0FBA">
        <w:rPr>
          <w:i/>
        </w:rPr>
        <w:t xml:space="preserve">Carver II </w:t>
      </w:r>
      <w:r w:rsidR="009D0FBA">
        <w:t>was</w:t>
      </w:r>
      <w:r w:rsidR="00E81C94">
        <w:t xml:space="preserve"> a </w:t>
      </w:r>
      <w:r w:rsidR="00E81C94">
        <w:lastRenderedPageBreak/>
        <w:t>“prior record of d</w:t>
      </w:r>
      <w:r w:rsidR="003451A2">
        <w:t>iscipline” under rule 5.1</w:t>
      </w:r>
      <w:r w:rsidR="00552DBE">
        <w:t>06(A)</w:t>
      </w:r>
      <w:r w:rsidR="009D0FBA">
        <w:t>, and</w:t>
      </w:r>
      <w:r w:rsidR="00D22E25">
        <w:t xml:space="preserve"> </w:t>
      </w:r>
      <w:r w:rsidR="009D0FBA">
        <w:t xml:space="preserve">the hearing judge was </w:t>
      </w:r>
      <w:r w:rsidR="00E81C94">
        <w:t xml:space="preserve">obligated to </w:t>
      </w:r>
      <w:r w:rsidR="009D0FBA">
        <w:t xml:space="preserve">consider it </w:t>
      </w:r>
      <w:r w:rsidR="00D97C59">
        <w:t xml:space="preserve">and specify alternate dispositions as provided in </w:t>
      </w:r>
      <w:r w:rsidR="00F61D43">
        <w:t>rule</w:t>
      </w:r>
      <w:r w:rsidR="00A77103">
        <w:t xml:space="preserve"> 5.106(E)</w:t>
      </w:r>
      <w:r w:rsidR="00E81C94">
        <w:t>.</w:t>
      </w:r>
      <w:r w:rsidR="00552DBE">
        <w:rPr>
          <w:rStyle w:val="FootnoteReference"/>
        </w:rPr>
        <w:footnoteReference w:id="16"/>
      </w:r>
    </w:p>
    <w:p w:rsidR="00B02FF8" w:rsidRPr="00E06DE7" w:rsidRDefault="00E06DE7" w:rsidP="00E06DE7">
      <w:pPr>
        <w:spacing w:line="480" w:lineRule="auto"/>
        <w:rPr>
          <w:b/>
        </w:rPr>
      </w:pPr>
      <w:r>
        <w:rPr>
          <w:b/>
        </w:rPr>
        <w:t>B.</w:t>
      </w:r>
      <w:r>
        <w:rPr>
          <w:b/>
        </w:rPr>
        <w:tab/>
      </w:r>
      <w:r w:rsidR="00F20B63">
        <w:rPr>
          <w:b/>
        </w:rPr>
        <w:t>Disbarment Is Appropriate Pursuant to</w:t>
      </w:r>
      <w:r w:rsidR="00152F00">
        <w:rPr>
          <w:b/>
        </w:rPr>
        <w:t xml:space="preserve"> </w:t>
      </w:r>
      <w:r>
        <w:rPr>
          <w:b/>
        </w:rPr>
        <w:t>Standard 1.8(b)</w:t>
      </w:r>
      <w:r w:rsidR="00232BEA" w:rsidRPr="00232BEA">
        <w:t xml:space="preserve"> </w:t>
      </w:r>
    </w:p>
    <w:p w:rsidR="00297E16" w:rsidRDefault="00045782" w:rsidP="00045782">
      <w:pPr>
        <w:spacing w:line="480" w:lineRule="auto"/>
      </w:pPr>
      <w:r>
        <w:rPr>
          <w:rFonts w:eastAsia="Times New Roman"/>
          <w:szCs w:val="24"/>
        </w:rPr>
        <w:tab/>
      </w:r>
      <w:r w:rsidR="00F66F37">
        <w:rPr>
          <w:rFonts w:eastAsia="Times New Roman"/>
          <w:szCs w:val="24"/>
        </w:rPr>
        <w:t>Our</w:t>
      </w:r>
      <w:r w:rsidR="00CC1808">
        <w:rPr>
          <w:rFonts w:eastAsia="Times New Roman"/>
          <w:szCs w:val="24"/>
        </w:rPr>
        <w:t xml:space="preserve"> disciplinary</w:t>
      </w:r>
      <w:r w:rsidR="00F66F37">
        <w:rPr>
          <w:rFonts w:eastAsia="Times New Roman"/>
          <w:szCs w:val="24"/>
        </w:rPr>
        <w:t xml:space="preserve"> analysis begins with the </w:t>
      </w:r>
      <w:r w:rsidR="00321490">
        <w:rPr>
          <w:rFonts w:eastAsia="Times New Roman"/>
          <w:szCs w:val="24"/>
        </w:rPr>
        <w:t>standards</w:t>
      </w:r>
      <w:r w:rsidR="00396607">
        <w:rPr>
          <w:rFonts w:eastAsia="Times New Roman"/>
          <w:szCs w:val="24"/>
        </w:rPr>
        <w:t xml:space="preserve">. </w:t>
      </w:r>
      <w:r w:rsidR="00321490">
        <w:rPr>
          <w:rFonts w:eastAsia="Times New Roman"/>
          <w:szCs w:val="24"/>
        </w:rPr>
        <w:t xml:space="preserve"> </w:t>
      </w:r>
      <w:r w:rsidR="004715EA">
        <w:rPr>
          <w:rFonts w:eastAsia="Times New Roman"/>
          <w:szCs w:val="24"/>
        </w:rPr>
        <w:t xml:space="preserve">While they </w:t>
      </w:r>
      <w:r w:rsidR="00A77103">
        <w:rPr>
          <w:rFonts w:eastAsia="Times New Roman"/>
          <w:szCs w:val="24"/>
        </w:rPr>
        <w:t>are</w:t>
      </w:r>
      <w:r w:rsidR="004715EA">
        <w:rPr>
          <w:rFonts w:eastAsia="Times New Roman"/>
          <w:szCs w:val="24"/>
        </w:rPr>
        <w:t xml:space="preserve"> guidelines </w:t>
      </w:r>
      <w:r w:rsidR="0059187B">
        <w:rPr>
          <w:rFonts w:eastAsia="Times New Roman"/>
          <w:szCs w:val="24"/>
        </w:rPr>
        <w:t>for discipline</w:t>
      </w:r>
      <w:r w:rsidR="004715EA">
        <w:rPr>
          <w:rFonts w:eastAsia="Times New Roman"/>
          <w:szCs w:val="24"/>
        </w:rPr>
        <w:t xml:space="preserve"> </w:t>
      </w:r>
      <w:r w:rsidR="007D34FF">
        <w:rPr>
          <w:rFonts w:eastAsia="Times New Roman"/>
          <w:szCs w:val="24"/>
        </w:rPr>
        <w:t xml:space="preserve">and </w:t>
      </w:r>
      <w:r w:rsidR="004715EA">
        <w:rPr>
          <w:rFonts w:eastAsia="Times New Roman"/>
          <w:szCs w:val="24"/>
        </w:rPr>
        <w:t>are not mandatory, we</w:t>
      </w:r>
      <w:r w:rsidR="00396607">
        <w:rPr>
          <w:rFonts w:eastAsia="Times New Roman"/>
          <w:szCs w:val="24"/>
        </w:rPr>
        <w:t xml:space="preserve"> give them great weight to promote consistency.  </w:t>
      </w:r>
      <w:r w:rsidR="00396607" w:rsidRPr="00E213BB">
        <w:rPr>
          <w:rFonts w:eastAsia="Times New Roman"/>
          <w:szCs w:val="24"/>
        </w:rPr>
        <w:t>(</w:t>
      </w:r>
      <w:r w:rsidR="00396607" w:rsidRPr="00E213BB">
        <w:rPr>
          <w:rFonts w:eastAsia="Times New Roman"/>
          <w:i/>
          <w:szCs w:val="24"/>
        </w:rPr>
        <w:t>In re Silverton</w:t>
      </w:r>
      <w:r w:rsidR="00396607" w:rsidRPr="00E213BB">
        <w:rPr>
          <w:rFonts w:eastAsia="Times New Roman"/>
          <w:szCs w:val="24"/>
        </w:rPr>
        <w:t xml:space="preserve"> (2005) 36 Cal.4th 81, 91</w:t>
      </w:r>
      <w:r w:rsidR="00C84C9C">
        <w:rPr>
          <w:rFonts w:eastAsia="Times New Roman"/>
          <w:szCs w:val="24"/>
        </w:rPr>
        <w:t>-92</w:t>
      </w:r>
      <w:r w:rsidR="00396607">
        <w:rPr>
          <w:rFonts w:eastAsia="Times New Roman"/>
          <w:szCs w:val="24"/>
        </w:rPr>
        <w:t xml:space="preserve">.)  </w:t>
      </w:r>
      <w:r w:rsidR="004715EA">
        <w:rPr>
          <w:rFonts w:eastAsia="Times New Roman"/>
          <w:szCs w:val="24"/>
        </w:rPr>
        <w:t xml:space="preserve">Importantly, the </w:t>
      </w:r>
      <w:r w:rsidR="00396607">
        <w:rPr>
          <w:rFonts w:eastAsia="Times New Roman"/>
          <w:szCs w:val="24"/>
        </w:rPr>
        <w:t>Supreme Court has instructed</w:t>
      </w:r>
      <w:r w:rsidR="00E027B7">
        <w:rPr>
          <w:rFonts w:eastAsia="Times New Roman"/>
          <w:szCs w:val="24"/>
        </w:rPr>
        <w:t xml:space="preserve"> us to </w:t>
      </w:r>
      <w:r w:rsidR="00396607">
        <w:rPr>
          <w:rFonts w:eastAsia="Times New Roman"/>
          <w:szCs w:val="24"/>
        </w:rPr>
        <w:t xml:space="preserve">follow </w:t>
      </w:r>
      <w:r w:rsidR="007D34FF">
        <w:rPr>
          <w:rFonts w:eastAsia="Times New Roman"/>
          <w:szCs w:val="24"/>
        </w:rPr>
        <w:t>the standards</w:t>
      </w:r>
      <w:r w:rsidR="00396607">
        <w:rPr>
          <w:rFonts w:eastAsia="Times New Roman"/>
          <w:szCs w:val="24"/>
        </w:rPr>
        <w:t xml:space="preserve"> “</w:t>
      </w:r>
      <w:r w:rsidR="001B458D">
        <w:t>whenever possible”</w:t>
      </w:r>
      <w:r w:rsidR="00F66F37">
        <w:t xml:space="preserve"> </w:t>
      </w:r>
      <w:r w:rsidR="001B458D">
        <w:t>(</w:t>
      </w:r>
      <w:r w:rsidR="001B458D" w:rsidRPr="005E49DE">
        <w:rPr>
          <w:i/>
        </w:rPr>
        <w:t>In re Young</w:t>
      </w:r>
      <w:r w:rsidR="00C84C9C">
        <w:rPr>
          <w:i/>
        </w:rPr>
        <w:t>, supra</w:t>
      </w:r>
      <w:r w:rsidR="00AF35D0">
        <w:t>,</w:t>
      </w:r>
      <w:r w:rsidR="001B458D">
        <w:t xml:space="preserve"> 49 Cal.3d </w:t>
      </w:r>
      <w:r w:rsidR="00AF35D0">
        <w:t xml:space="preserve">at p. </w:t>
      </w:r>
      <w:r w:rsidR="004559F8">
        <w:t>267, fn. 11</w:t>
      </w:r>
      <w:r w:rsidR="001B458D">
        <w:t>)</w:t>
      </w:r>
      <w:r w:rsidR="00F66F37">
        <w:t xml:space="preserve">, and </w:t>
      </w:r>
      <w:r w:rsidR="00591608">
        <w:t xml:space="preserve">also </w:t>
      </w:r>
      <w:r w:rsidR="00F66F37">
        <w:t>to</w:t>
      </w:r>
      <w:r w:rsidR="00A77103">
        <w:t xml:space="preserve"> </w:t>
      </w:r>
      <w:r w:rsidR="00297E16">
        <w:t>look to comparable case law for guidance.</w:t>
      </w:r>
      <w:r w:rsidR="004559F8">
        <w:t xml:space="preserve"> </w:t>
      </w:r>
      <w:r w:rsidR="00297E16">
        <w:t xml:space="preserve"> (</w:t>
      </w:r>
      <w:r w:rsidR="00AF35D0">
        <w:t xml:space="preserve">See </w:t>
      </w:r>
      <w:r w:rsidR="00297E16">
        <w:rPr>
          <w:i/>
        </w:rPr>
        <w:t>Snyder v. State Bar</w:t>
      </w:r>
      <w:r w:rsidR="00297E16">
        <w:t xml:space="preserve"> (19</w:t>
      </w:r>
      <w:r w:rsidR="00AF35D0">
        <w:t>9</w:t>
      </w:r>
      <w:r w:rsidR="00297E16">
        <w:t xml:space="preserve">0) 49 Cal.3d 1302, 1310-1311.)  </w:t>
      </w:r>
      <w:r w:rsidR="001B458D">
        <w:t xml:space="preserve"> </w:t>
      </w:r>
    </w:p>
    <w:p w:rsidR="00AB3422" w:rsidRDefault="00045782" w:rsidP="00045782">
      <w:pPr>
        <w:spacing w:line="480" w:lineRule="auto"/>
        <w:rPr>
          <w:rFonts w:eastAsia="Times New Roman"/>
          <w:szCs w:val="24"/>
        </w:rPr>
      </w:pPr>
      <w:r>
        <w:tab/>
      </w:r>
      <w:r w:rsidR="009268DD">
        <w:t>W</w:t>
      </w:r>
      <w:r w:rsidR="00683A8B">
        <w:t xml:space="preserve">e </w:t>
      </w:r>
      <w:r w:rsidR="00A77103">
        <w:t>use</w:t>
      </w:r>
      <w:r w:rsidR="00683A8B">
        <w:t xml:space="preserve"> a three</w:t>
      </w:r>
      <w:r w:rsidR="00A53744">
        <w:rPr>
          <w:rFonts w:eastAsia="Times New Roman"/>
          <w:szCs w:val="24"/>
        </w:rPr>
        <w:t xml:space="preserve">-step </w:t>
      </w:r>
      <w:r w:rsidR="00683A8B">
        <w:rPr>
          <w:rFonts w:eastAsia="Times New Roman"/>
          <w:szCs w:val="24"/>
        </w:rPr>
        <w:t>approach to analyz</w:t>
      </w:r>
      <w:r w:rsidR="00A77103">
        <w:rPr>
          <w:rFonts w:eastAsia="Times New Roman"/>
          <w:szCs w:val="24"/>
        </w:rPr>
        <w:t>e</w:t>
      </w:r>
      <w:r w:rsidR="00683A8B">
        <w:rPr>
          <w:rFonts w:eastAsia="Times New Roman"/>
          <w:szCs w:val="24"/>
        </w:rPr>
        <w:t xml:space="preserve"> the </w:t>
      </w:r>
      <w:r w:rsidR="0059187B">
        <w:rPr>
          <w:rFonts w:eastAsia="Times New Roman"/>
          <w:szCs w:val="24"/>
        </w:rPr>
        <w:t>standards</w:t>
      </w:r>
      <w:r w:rsidR="004715EA">
        <w:rPr>
          <w:rFonts w:eastAsia="Times New Roman"/>
          <w:szCs w:val="24"/>
        </w:rPr>
        <w:t>.</w:t>
      </w:r>
      <w:r w:rsidR="00297E16">
        <w:rPr>
          <w:rFonts w:eastAsia="Times New Roman"/>
          <w:szCs w:val="24"/>
        </w:rPr>
        <w:t xml:space="preserve"> </w:t>
      </w:r>
      <w:r w:rsidR="002D4281">
        <w:rPr>
          <w:rFonts w:eastAsia="Times New Roman"/>
          <w:szCs w:val="24"/>
        </w:rPr>
        <w:t xml:space="preserve"> </w:t>
      </w:r>
    </w:p>
    <w:p w:rsidR="003B11EB" w:rsidRDefault="00045782" w:rsidP="00045782">
      <w:pPr>
        <w:spacing w:line="480" w:lineRule="auto"/>
        <w:rPr>
          <w:rFonts w:eastAsia="Times New Roman"/>
          <w:szCs w:val="24"/>
        </w:rPr>
      </w:pPr>
      <w:r>
        <w:rPr>
          <w:rFonts w:eastAsia="Times New Roman"/>
          <w:szCs w:val="24"/>
        </w:rPr>
        <w:tab/>
      </w:r>
      <w:r w:rsidR="00683A8B">
        <w:rPr>
          <w:rFonts w:eastAsia="Times New Roman"/>
          <w:szCs w:val="24"/>
        </w:rPr>
        <w:t>F</w:t>
      </w:r>
      <w:r w:rsidR="00BB53F7">
        <w:rPr>
          <w:rFonts w:eastAsia="Times New Roman"/>
          <w:szCs w:val="24"/>
        </w:rPr>
        <w:t xml:space="preserve">irst, we </w:t>
      </w:r>
      <w:r w:rsidR="00A53744">
        <w:rPr>
          <w:rFonts w:eastAsia="Times New Roman"/>
          <w:szCs w:val="24"/>
        </w:rPr>
        <w:t>determine</w:t>
      </w:r>
      <w:r w:rsidR="00020A52">
        <w:rPr>
          <w:rFonts w:eastAsia="Times New Roman"/>
          <w:szCs w:val="24"/>
        </w:rPr>
        <w:t xml:space="preserve"> </w:t>
      </w:r>
      <w:r w:rsidR="00D4634F">
        <w:rPr>
          <w:rFonts w:eastAsia="Times New Roman"/>
          <w:szCs w:val="24"/>
        </w:rPr>
        <w:t>which standard</w:t>
      </w:r>
      <w:r w:rsidR="00321B3A">
        <w:rPr>
          <w:rFonts w:eastAsia="Times New Roman"/>
          <w:szCs w:val="24"/>
        </w:rPr>
        <w:t xml:space="preserve"> </w:t>
      </w:r>
      <w:r w:rsidR="00F23A41">
        <w:rPr>
          <w:rFonts w:eastAsia="Times New Roman"/>
          <w:szCs w:val="24"/>
        </w:rPr>
        <w:t>(</w:t>
      </w:r>
      <w:r w:rsidR="00321B3A">
        <w:rPr>
          <w:rFonts w:eastAsia="Times New Roman"/>
          <w:szCs w:val="24"/>
        </w:rPr>
        <w:t>or standard</w:t>
      </w:r>
      <w:r w:rsidR="00F23A41">
        <w:rPr>
          <w:rFonts w:eastAsia="Times New Roman"/>
          <w:szCs w:val="24"/>
        </w:rPr>
        <w:t>s)</w:t>
      </w:r>
      <w:r w:rsidR="00E04402">
        <w:rPr>
          <w:rFonts w:eastAsia="Times New Roman"/>
          <w:szCs w:val="24"/>
        </w:rPr>
        <w:t xml:space="preserve"> </w:t>
      </w:r>
      <w:r w:rsidR="00046889">
        <w:rPr>
          <w:rFonts w:eastAsia="Times New Roman"/>
          <w:szCs w:val="24"/>
        </w:rPr>
        <w:t>specif</w:t>
      </w:r>
      <w:r w:rsidR="00D97C59">
        <w:rPr>
          <w:rFonts w:eastAsia="Times New Roman"/>
          <w:szCs w:val="24"/>
        </w:rPr>
        <w:t>ies</w:t>
      </w:r>
      <w:r w:rsidR="00046889">
        <w:rPr>
          <w:rFonts w:eastAsia="Times New Roman"/>
          <w:szCs w:val="24"/>
        </w:rPr>
        <w:t xml:space="preserve"> the </w:t>
      </w:r>
      <w:r w:rsidR="006A565F">
        <w:rPr>
          <w:rFonts w:eastAsia="Times New Roman"/>
          <w:szCs w:val="24"/>
        </w:rPr>
        <w:t xml:space="preserve">most severe </w:t>
      </w:r>
      <w:r w:rsidR="00046889">
        <w:rPr>
          <w:rFonts w:eastAsia="Times New Roman"/>
          <w:szCs w:val="24"/>
        </w:rPr>
        <w:t xml:space="preserve">sanction for the </w:t>
      </w:r>
      <w:r w:rsidR="00E04402">
        <w:rPr>
          <w:rFonts w:eastAsia="Times New Roman"/>
          <w:szCs w:val="24"/>
        </w:rPr>
        <w:t>at-issue misconduct</w:t>
      </w:r>
      <w:r w:rsidR="00E027B7">
        <w:rPr>
          <w:rFonts w:eastAsia="Times New Roman"/>
          <w:szCs w:val="24"/>
        </w:rPr>
        <w:t>.</w:t>
      </w:r>
      <w:r w:rsidR="0016515E">
        <w:rPr>
          <w:rFonts w:eastAsia="Times New Roman"/>
          <w:szCs w:val="24"/>
        </w:rPr>
        <w:t xml:space="preserve">  </w:t>
      </w:r>
      <w:r w:rsidR="0016515E">
        <w:t>(Std. 1.7(a) [most severe sanction shall be imposed where multiple sanctions apply].)</w:t>
      </w:r>
      <w:r w:rsidR="004F05F5">
        <w:rPr>
          <w:rFonts w:eastAsia="Times New Roman"/>
          <w:szCs w:val="24"/>
        </w:rPr>
        <w:t xml:space="preserve">  </w:t>
      </w:r>
      <w:r w:rsidR="0016515E">
        <w:rPr>
          <w:rFonts w:eastAsia="Times New Roman"/>
          <w:szCs w:val="24"/>
        </w:rPr>
        <w:t>Here</w:t>
      </w:r>
      <w:r w:rsidR="003D0581">
        <w:rPr>
          <w:rFonts w:eastAsia="Times New Roman"/>
          <w:szCs w:val="24"/>
        </w:rPr>
        <w:t xml:space="preserve">, </w:t>
      </w:r>
      <w:r w:rsidR="008B5724">
        <w:rPr>
          <w:rFonts w:eastAsia="Times New Roman"/>
          <w:szCs w:val="24"/>
        </w:rPr>
        <w:t xml:space="preserve">that standard is </w:t>
      </w:r>
      <w:r w:rsidR="00DE5FF1">
        <w:t>1.8(b)</w:t>
      </w:r>
      <w:r w:rsidR="00AB3422">
        <w:t xml:space="preserve"> </w:t>
      </w:r>
      <w:r w:rsidR="00D97C59">
        <w:t>as</w:t>
      </w:r>
      <w:r w:rsidR="00AB3422">
        <w:t xml:space="preserve"> it </w:t>
      </w:r>
      <w:r w:rsidR="008B5724">
        <w:t xml:space="preserve">addresses Carver’s disciplinary history and it </w:t>
      </w:r>
      <w:r w:rsidR="00AB3422">
        <w:t xml:space="preserve">calls for </w:t>
      </w:r>
      <w:r w:rsidR="00A0729C">
        <w:t xml:space="preserve">disbarment, </w:t>
      </w:r>
      <w:r w:rsidR="00F23A41">
        <w:t xml:space="preserve">which is </w:t>
      </w:r>
      <w:r w:rsidR="00AB3422">
        <w:t xml:space="preserve">the most severe of the </w:t>
      </w:r>
      <w:r w:rsidR="002303A0">
        <w:t xml:space="preserve">applicable </w:t>
      </w:r>
      <w:r w:rsidR="00AB3422">
        <w:t>sanctions.</w:t>
      </w:r>
      <w:r w:rsidR="00AB3422">
        <w:rPr>
          <w:rStyle w:val="FootnoteReference"/>
        </w:rPr>
        <w:footnoteReference w:id="17"/>
      </w:r>
      <w:r w:rsidR="00AB3422" w:rsidRPr="00176AEE">
        <w:rPr>
          <w:rFonts w:eastAsia="Times New Roman"/>
          <w:szCs w:val="24"/>
        </w:rPr>
        <w:t xml:space="preserve"> </w:t>
      </w:r>
      <w:r w:rsidR="00AB3422">
        <w:rPr>
          <w:rFonts w:eastAsia="Times New Roman"/>
          <w:szCs w:val="24"/>
        </w:rPr>
        <w:t xml:space="preserve"> </w:t>
      </w:r>
      <w:r w:rsidR="00AB3422">
        <w:t xml:space="preserve">Standard 1.8(b) provides that </w:t>
      </w:r>
      <w:r w:rsidR="00180280">
        <w:t xml:space="preserve">disbarment is appropriate </w:t>
      </w:r>
      <w:r w:rsidR="00F30C54">
        <w:rPr>
          <w:rFonts w:eastAsia="Times New Roman"/>
          <w:szCs w:val="24"/>
        </w:rPr>
        <w:t xml:space="preserve">where an attorney has two or more prior records of discipline if: (1) an actual suspension was ordered in any of the prior disciplinary matters; </w:t>
      </w:r>
      <w:r w:rsidR="00F30C54" w:rsidRPr="009D381F">
        <w:rPr>
          <w:rFonts w:eastAsia="Times New Roman"/>
          <w:i/>
          <w:szCs w:val="24"/>
        </w:rPr>
        <w:t>or</w:t>
      </w:r>
      <w:r w:rsidR="00F30C54">
        <w:rPr>
          <w:rFonts w:eastAsia="Times New Roman"/>
          <w:szCs w:val="24"/>
        </w:rPr>
        <w:t xml:space="preserve"> </w:t>
      </w:r>
    </w:p>
    <w:p w:rsidR="00584E9A" w:rsidRPr="00E06DAE" w:rsidRDefault="00F30C54" w:rsidP="00045782">
      <w:pPr>
        <w:spacing w:line="480" w:lineRule="auto"/>
        <w:rPr>
          <w:rFonts w:eastAsia="Times New Roman"/>
          <w:szCs w:val="24"/>
        </w:rPr>
      </w:pPr>
      <w:r>
        <w:rPr>
          <w:rFonts w:eastAsia="Times New Roman"/>
          <w:szCs w:val="24"/>
        </w:rPr>
        <w:lastRenderedPageBreak/>
        <w:t xml:space="preserve">(2) the prior and current disciplinary matters demonstrate a pattern of misconduct; </w:t>
      </w:r>
      <w:r w:rsidRPr="009D381F">
        <w:rPr>
          <w:rFonts w:eastAsia="Times New Roman"/>
          <w:i/>
          <w:szCs w:val="24"/>
        </w:rPr>
        <w:t xml:space="preserve">or </w:t>
      </w:r>
      <w:r>
        <w:rPr>
          <w:rFonts w:eastAsia="Times New Roman"/>
          <w:szCs w:val="24"/>
        </w:rPr>
        <w:t>(3) the prior and current disciplinary matters demonstrate the attorney’s unwillingness or inability to conform to ethical responsibilities.  Carver has</w:t>
      </w:r>
      <w:r w:rsidR="001862F3">
        <w:t xml:space="preserve"> </w:t>
      </w:r>
      <w:r w:rsidR="00DE5FF1">
        <w:t>two prior records of discipline</w:t>
      </w:r>
      <w:r w:rsidR="001862F3">
        <w:t xml:space="preserve">, </w:t>
      </w:r>
      <w:r w:rsidR="004C6124">
        <w:rPr>
          <w:rFonts w:eastAsia="Times New Roman"/>
          <w:szCs w:val="24"/>
        </w:rPr>
        <w:t xml:space="preserve">an actual suspension was </w:t>
      </w:r>
      <w:r w:rsidR="0043032D">
        <w:rPr>
          <w:rFonts w:eastAsia="Times New Roman"/>
          <w:szCs w:val="24"/>
        </w:rPr>
        <w:t>imposed</w:t>
      </w:r>
      <w:r w:rsidR="004C6124">
        <w:rPr>
          <w:rFonts w:eastAsia="Times New Roman"/>
          <w:szCs w:val="24"/>
        </w:rPr>
        <w:t xml:space="preserve"> </w:t>
      </w:r>
      <w:r w:rsidR="009A1073">
        <w:rPr>
          <w:rFonts w:eastAsia="Times New Roman"/>
          <w:szCs w:val="24"/>
        </w:rPr>
        <w:t xml:space="preserve">in </w:t>
      </w:r>
      <w:r w:rsidR="009A1073">
        <w:rPr>
          <w:rFonts w:eastAsia="Times New Roman"/>
          <w:i/>
          <w:szCs w:val="24"/>
        </w:rPr>
        <w:t>Carver II</w:t>
      </w:r>
      <w:r w:rsidR="001862F3">
        <w:rPr>
          <w:rFonts w:eastAsia="Times New Roman"/>
          <w:szCs w:val="24"/>
        </w:rPr>
        <w:t xml:space="preserve">, </w:t>
      </w:r>
      <w:r w:rsidR="0043032D">
        <w:rPr>
          <w:rFonts w:eastAsia="Times New Roman"/>
          <w:szCs w:val="24"/>
        </w:rPr>
        <w:t xml:space="preserve">and </w:t>
      </w:r>
      <w:r w:rsidR="00AB3422">
        <w:rPr>
          <w:rFonts w:eastAsia="Times New Roman"/>
          <w:szCs w:val="24"/>
        </w:rPr>
        <w:t>his</w:t>
      </w:r>
      <w:r w:rsidR="004C6124">
        <w:rPr>
          <w:rFonts w:eastAsia="Times New Roman"/>
          <w:szCs w:val="24"/>
        </w:rPr>
        <w:t xml:space="preserve"> prior and current disciplinary matters </w:t>
      </w:r>
      <w:r w:rsidR="004A3F83">
        <w:rPr>
          <w:rFonts w:eastAsia="Times New Roman"/>
          <w:szCs w:val="24"/>
        </w:rPr>
        <w:t>reveal that</w:t>
      </w:r>
      <w:r w:rsidR="004C6124">
        <w:rPr>
          <w:rFonts w:eastAsia="Times New Roman"/>
          <w:szCs w:val="24"/>
        </w:rPr>
        <w:t xml:space="preserve"> </w:t>
      </w:r>
      <w:r w:rsidR="00AB3422">
        <w:rPr>
          <w:rFonts w:eastAsia="Times New Roman"/>
          <w:szCs w:val="24"/>
        </w:rPr>
        <w:t xml:space="preserve">he is unwilling or unable </w:t>
      </w:r>
      <w:r w:rsidR="004C6124">
        <w:rPr>
          <w:rFonts w:eastAsia="Times New Roman"/>
          <w:szCs w:val="24"/>
        </w:rPr>
        <w:t xml:space="preserve">to conform to </w:t>
      </w:r>
      <w:r w:rsidR="009A1073">
        <w:rPr>
          <w:rFonts w:eastAsia="Times New Roman"/>
          <w:szCs w:val="24"/>
        </w:rPr>
        <w:t xml:space="preserve">his </w:t>
      </w:r>
      <w:r w:rsidR="004C6124">
        <w:rPr>
          <w:rFonts w:eastAsia="Times New Roman"/>
          <w:szCs w:val="24"/>
        </w:rPr>
        <w:t>ethical responsibilities.</w:t>
      </w:r>
      <w:r w:rsidR="00AB3422">
        <w:rPr>
          <w:rFonts w:eastAsia="Times New Roman"/>
          <w:szCs w:val="24"/>
        </w:rPr>
        <w:t xml:space="preserve"> </w:t>
      </w:r>
      <w:r w:rsidR="00AB3422">
        <w:t xml:space="preserve"> </w:t>
      </w:r>
      <w:r w:rsidR="00083D2B">
        <w:t>Additionally, h</w:t>
      </w:r>
      <w:r w:rsidR="002303A0">
        <w:t>is</w:t>
      </w:r>
      <w:r w:rsidR="00584E9A">
        <w:t xml:space="preserve"> </w:t>
      </w:r>
      <w:r w:rsidR="00707ACC">
        <w:t>failure</w:t>
      </w:r>
      <w:r w:rsidR="00584E9A">
        <w:t xml:space="preserve"> to comply with </w:t>
      </w:r>
      <w:r w:rsidR="00F375A0">
        <w:t>the</w:t>
      </w:r>
      <w:r w:rsidR="008258AD">
        <w:t xml:space="preserve"> </w:t>
      </w:r>
      <w:r w:rsidR="009268DD">
        <w:rPr>
          <w:i/>
        </w:rPr>
        <w:t xml:space="preserve">Carver I </w:t>
      </w:r>
      <w:r w:rsidR="00584E9A">
        <w:t>reproval conditions</w:t>
      </w:r>
      <w:r w:rsidR="009268DD">
        <w:t xml:space="preserve"> </w:t>
      </w:r>
      <w:r w:rsidR="004559F8">
        <w:t>demonstrated</w:t>
      </w:r>
      <w:r w:rsidR="00584E9A">
        <w:t xml:space="preserve"> a lapse of character and </w:t>
      </w:r>
      <w:r w:rsidR="00570CBF">
        <w:t xml:space="preserve">a </w:t>
      </w:r>
      <w:r w:rsidR="00584E9A">
        <w:t xml:space="preserve">disrespect for the legal system that directly relate to </w:t>
      </w:r>
      <w:r w:rsidR="000C10A6">
        <w:t>his</w:t>
      </w:r>
      <w:r w:rsidR="00584E9A">
        <w:t xml:space="preserve"> fitness to practice law and </w:t>
      </w:r>
      <w:r w:rsidR="000F3643">
        <w:t xml:space="preserve">to </w:t>
      </w:r>
      <w:r w:rsidR="00584E9A">
        <w:t>ser</w:t>
      </w:r>
      <w:r w:rsidR="004559F8">
        <w:t>ve as an officer of the court</w:t>
      </w:r>
      <w:r w:rsidR="00B14AEC">
        <w:t xml:space="preserve">. </w:t>
      </w:r>
      <w:r w:rsidR="004559F8">
        <w:t xml:space="preserve"> </w:t>
      </w:r>
      <w:r w:rsidR="00584E9A">
        <w:t>(</w:t>
      </w:r>
      <w:r w:rsidR="00584E9A">
        <w:rPr>
          <w:i/>
        </w:rPr>
        <w:t>In the Matter of Carver</w:t>
      </w:r>
      <w:r w:rsidR="00584E9A">
        <w:t xml:space="preserve">, </w:t>
      </w:r>
      <w:r w:rsidR="00584E9A">
        <w:rPr>
          <w:i/>
        </w:rPr>
        <w:t>supra</w:t>
      </w:r>
      <w:r w:rsidR="00584E9A">
        <w:t>, 5 Cal</w:t>
      </w:r>
      <w:r w:rsidR="004559F8">
        <w:t>. State Bar Ct. Rptr. at p. 356</w:t>
      </w:r>
      <w:r w:rsidR="00B14AEC">
        <w:t>.</w:t>
      </w:r>
      <w:r w:rsidR="00584E9A">
        <w:t>)</w:t>
      </w:r>
      <w:r w:rsidR="000D1D7B">
        <w:t xml:space="preserve">  H</w:t>
      </w:r>
      <w:r w:rsidR="000C10A6">
        <w:t>is</w:t>
      </w:r>
      <w:r w:rsidR="00BC187A">
        <w:t xml:space="preserve"> criminal </w:t>
      </w:r>
      <w:r w:rsidR="000C10A6">
        <w:t>conduct</w:t>
      </w:r>
      <w:r w:rsidR="00584E9A">
        <w:t xml:space="preserve"> underlying </w:t>
      </w:r>
      <w:r w:rsidR="00584E9A">
        <w:rPr>
          <w:i/>
        </w:rPr>
        <w:t>Carver I</w:t>
      </w:r>
      <w:r w:rsidR="00650AD3">
        <w:rPr>
          <w:i/>
        </w:rPr>
        <w:t xml:space="preserve"> </w:t>
      </w:r>
      <w:r w:rsidR="00650AD3">
        <w:t>(</w:t>
      </w:r>
      <w:r w:rsidR="004559F8">
        <w:t>driving</w:t>
      </w:r>
      <w:r w:rsidR="00183C8D">
        <w:t xml:space="preserve"> with</w:t>
      </w:r>
      <w:r w:rsidR="00B73BE3">
        <w:t xml:space="preserve">out a valid </w:t>
      </w:r>
      <w:r w:rsidR="004559F8">
        <w:t>license and resisting</w:t>
      </w:r>
      <w:r w:rsidR="00707ACC">
        <w:t xml:space="preserve"> arrest</w:t>
      </w:r>
      <w:r w:rsidR="00650AD3">
        <w:t>)</w:t>
      </w:r>
      <w:r w:rsidR="000D1D7B">
        <w:t xml:space="preserve"> suggests the same lapse, as does </w:t>
      </w:r>
      <w:r w:rsidR="000C10A6">
        <w:t>his</w:t>
      </w:r>
      <w:r w:rsidR="00BC187A">
        <w:t xml:space="preserve"> UPL</w:t>
      </w:r>
      <w:r w:rsidR="00D633CA">
        <w:t xml:space="preserve"> involving moral turpitude</w:t>
      </w:r>
      <w:r w:rsidR="00BC187A">
        <w:t xml:space="preserve"> in the </w:t>
      </w:r>
      <w:r w:rsidR="008258AD">
        <w:t>present case</w:t>
      </w:r>
      <w:r w:rsidR="00BC187A">
        <w:t>.</w:t>
      </w:r>
      <w:r w:rsidR="0043032D">
        <w:t xml:space="preserve">  </w:t>
      </w:r>
    </w:p>
    <w:p w:rsidR="00045782" w:rsidRDefault="00045782" w:rsidP="00045782">
      <w:pPr>
        <w:spacing w:line="480" w:lineRule="auto"/>
      </w:pPr>
      <w:r>
        <w:rPr>
          <w:rFonts w:eastAsia="Times New Roman"/>
          <w:szCs w:val="24"/>
        </w:rPr>
        <w:tab/>
      </w:r>
      <w:r w:rsidR="00F20B63">
        <w:rPr>
          <w:rFonts w:eastAsia="Times New Roman"/>
          <w:szCs w:val="24"/>
        </w:rPr>
        <w:t xml:space="preserve">Second, we analyze whether </w:t>
      </w:r>
      <w:r w:rsidR="00180280">
        <w:rPr>
          <w:rFonts w:eastAsia="Times New Roman"/>
          <w:szCs w:val="24"/>
        </w:rPr>
        <w:t xml:space="preserve">Carver’s case </w:t>
      </w:r>
      <w:r w:rsidR="006E0397">
        <w:rPr>
          <w:rFonts w:eastAsia="Times New Roman"/>
          <w:szCs w:val="24"/>
        </w:rPr>
        <w:t>falls within</w:t>
      </w:r>
      <w:r w:rsidR="00C766DB">
        <w:rPr>
          <w:rFonts w:eastAsia="Times New Roman"/>
          <w:szCs w:val="24"/>
        </w:rPr>
        <w:t xml:space="preserve"> </w:t>
      </w:r>
      <w:r w:rsidR="00F20B63">
        <w:rPr>
          <w:rFonts w:eastAsia="Times New Roman"/>
          <w:szCs w:val="24"/>
        </w:rPr>
        <w:t>an exception to standard</w:t>
      </w:r>
      <w:r w:rsidR="00D633CA">
        <w:rPr>
          <w:rFonts w:eastAsia="Times New Roman"/>
          <w:szCs w:val="24"/>
        </w:rPr>
        <w:t xml:space="preserve"> </w:t>
      </w:r>
      <w:r w:rsidR="0031606E">
        <w:t>1.8(b)</w:t>
      </w:r>
      <w:r w:rsidR="00C57B0F">
        <w:t>, which</w:t>
      </w:r>
      <w:r w:rsidR="002D4281">
        <w:t xml:space="preserve"> </w:t>
      </w:r>
      <w:r w:rsidR="00321B3A">
        <w:t xml:space="preserve">permits us to </w:t>
      </w:r>
      <w:r w:rsidR="00B83505">
        <w:t>deviat</w:t>
      </w:r>
      <w:r w:rsidR="00321B3A">
        <w:t>e</w:t>
      </w:r>
      <w:r w:rsidR="00B83505">
        <w:t xml:space="preserve"> from</w:t>
      </w:r>
      <w:r w:rsidR="00180280">
        <w:t xml:space="preserve"> </w:t>
      </w:r>
      <w:r w:rsidR="00321B3A">
        <w:t>rec</w:t>
      </w:r>
      <w:r w:rsidR="00F375A0">
        <w:t xml:space="preserve">ommending </w:t>
      </w:r>
      <w:r w:rsidR="00180280">
        <w:t xml:space="preserve">disbarment </w:t>
      </w:r>
      <w:r w:rsidR="001B720E">
        <w:t xml:space="preserve">where “the most compelling mitigating circumstances clearly predominate or the misconduct underlying the prior discipline occurred during the same time period as the current misconduct.”  </w:t>
      </w:r>
      <w:r w:rsidR="006E0397">
        <w:t xml:space="preserve">Carver does not </w:t>
      </w:r>
      <w:r w:rsidR="00F859A0">
        <w:t>qualify for</w:t>
      </w:r>
      <w:r w:rsidR="006E0397">
        <w:t xml:space="preserve"> </w:t>
      </w:r>
      <w:r w:rsidR="00AF35D0">
        <w:t>an</w:t>
      </w:r>
      <w:r w:rsidR="006E0397">
        <w:t xml:space="preserve"> ex</w:t>
      </w:r>
      <w:r w:rsidR="00B83505">
        <w:t>emption</w:t>
      </w:r>
      <w:r w:rsidR="006E0397">
        <w:t xml:space="preserve"> because his</w:t>
      </w:r>
      <w:r w:rsidR="00575474">
        <w:t xml:space="preserve"> </w:t>
      </w:r>
      <w:r w:rsidR="00E3670B">
        <w:t xml:space="preserve">present </w:t>
      </w:r>
      <w:r w:rsidR="00575474">
        <w:t xml:space="preserve">misconduct did not occur at the </w:t>
      </w:r>
      <w:r w:rsidR="00EC1CCB">
        <w:t>same</w:t>
      </w:r>
      <w:r w:rsidR="00575474">
        <w:t xml:space="preserve"> time as </w:t>
      </w:r>
      <w:r w:rsidR="00272AAB">
        <w:t>the</w:t>
      </w:r>
      <w:r w:rsidR="00575474">
        <w:t xml:space="preserve"> misconduct </w:t>
      </w:r>
      <w:r w:rsidR="006E0397">
        <w:t>underlying</w:t>
      </w:r>
      <w:r w:rsidR="00575474">
        <w:t xml:space="preserve"> h</w:t>
      </w:r>
      <w:r w:rsidR="008B5724">
        <w:t xml:space="preserve">is two prior discipline cases, and </w:t>
      </w:r>
      <w:r w:rsidR="00140413">
        <w:t>his</w:t>
      </w:r>
      <w:r w:rsidR="00A910CB">
        <w:t xml:space="preserve"> mitigation for </w:t>
      </w:r>
      <w:r w:rsidR="001B720E">
        <w:rPr>
          <w:rFonts w:eastAsia="Times New Roman"/>
          <w:szCs w:val="24"/>
        </w:rPr>
        <w:t xml:space="preserve">good character </w:t>
      </w:r>
      <w:r w:rsidR="005E7C87">
        <w:rPr>
          <w:rFonts w:eastAsia="Times New Roman"/>
          <w:szCs w:val="24"/>
        </w:rPr>
        <w:t xml:space="preserve">is neither </w:t>
      </w:r>
      <w:r w:rsidR="002D4281">
        <w:rPr>
          <w:rFonts w:eastAsia="Times New Roman"/>
          <w:szCs w:val="24"/>
        </w:rPr>
        <w:t xml:space="preserve">compelling </w:t>
      </w:r>
      <w:r w:rsidR="005E7C87">
        <w:rPr>
          <w:rFonts w:eastAsia="Times New Roman"/>
          <w:szCs w:val="24"/>
        </w:rPr>
        <w:t xml:space="preserve">nor </w:t>
      </w:r>
      <w:r w:rsidR="00AF0608">
        <w:rPr>
          <w:rFonts w:eastAsia="Times New Roman"/>
          <w:szCs w:val="24"/>
        </w:rPr>
        <w:t xml:space="preserve">does </w:t>
      </w:r>
      <w:r w:rsidR="005E7C87">
        <w:rPr>
          <w:rFonts w:eastAsia="Times New Roman"/>
          <w:szCs w:val="24"/>
        </w:rPr>
        <w:t xml:space="preserve">it </w:t>
      </w:r>
      <w:r w:rsidR="00AF0608">
        <w:rPr>
          <w:rFonts w:eastAsia="Times New Roman"/>
          <w:szCs w:val="24"/>
        </w:rPr>
        <w:t>predominate</w:t>
      </w:r>
      <w:r w:rsidR="00D8522D">
        <w:rPr>
          <w:rFonts w:eastAsia="Times New Roman"/>
          <w:szCs w:val="24"/>
        </w:rPr>
        <w:t xml:space="preserve"> over the</w:t>
      </w:r>
      <w:r w:rsidR="008B7D1F">
        <w:rPr>
          <w:rFonts w:eastAsia="Times New Roman"/>
          <w:szCs w:val="24"/>
        </w:rPr>
        <w:t xml:space="preserve"> significant </w:t>
      </w:r>
      <w:r w:rsidR="008258AD">
        <w:rPr>
          <w:rFonts w:eastAsia="Times New Roman"/>
          <w:szCs w:val="24"/>
        </w:rPr>
        <w:t>aggravation</w:t>
      </w:r>
      <w:r w:rsidR="00272AAB">
        <w:rPr>
          <w:rFonts w:eastAsia="Times New Roman"/>
          <w:szCs w:val="24"/>
        </w:rPr>
        <w:t xml:space="preserve"> </w:t>
      </w:r>
      <w:r w:rsidR="00AA04D9">
        <w:rPr>
          <w:rFonts w:eastAsia="Times New Roman"/>
          <w:szCs w:val="24"/>
        </w:rPr>
        <w:t>for</w:t>
      </w:r>
      <w:r w:rsidR="00D8522D">
        <w:rPr>
          <w:rFonts w:eastAsia="Times New Roman"/>
          <w:szCs w:val="24"/>
        </w:rPr>
        <w:t xml:space="preserve"> </w:t>
      </w:r>
      <w:r w:rsidR="008B7D1F">
        <w:rPr>
          <w:rFonts w:eastAsia="Times New Roman"/>
          <w:szCs w:val="24"/>
        </w:rPr>
        <w:t xml:space="preserve">two prior </w:t>
      </w:r>
      <w:r w:rsidR="00502750">
        <w:rPr>
          <w:rFonts w:eastAsia="Times New Roman"/>
          <w:szCs w:val="24"/>
        </w:rPr>
        <w:t xml:space="preserve">discipline </w:t>
      </w:r>
      <w:r w:rsidR="008B7D1F">
        <w:rPr>
          <w:rFonts w:eastAsia="Times New Roman"/>
          <w:szCs w:val="24"/>
        </w:rPr>
        <w:t>records</w:t>
      </w:r>
      <w:r w:rsidR="0087745A">
        <w:rPr>
          <w:rFonts w:eastAsia="Times New Roman"/>
          <w:szCs w:val="24"/>
        </w:rPr>
        <w:t>,</w:t>
      </w:r>
      <w:r w:rsidR="008B7D1F">
        <w:rPr>
          <w:rFonts w:eastAsia="Times New Roman"/>
          <w:szCs w:val="24"/>
        </w:rPr>
        <w:t xml:space="preserve"> concealment, </w:t>
      </w:r>
      <w:r w:rsidR="00272AAB">
        <w:rPr>
          <w:rFonts w:eastAsia="Times New Roman"/>
          <w:szCs w:val="24"/>
        </w:rPr>
        <w:t xml:space="preserve">and </w:t>
      </w:r>
      <w:r w:rsidR="008258AD">
        <w:rPr>
          <w:rFonts w:eastAsia="Times New Roman"/>
          <w:szCs w:val="24"/>
        </w:rPr>
        <w:t>indifference</w:t>
      </w:r>
      <w:r w:rsidR="00EC193A">
        <w:rPr>
          <w:rFonts w:eastAsia="Times New Roman"/>
          <w:szCs w:val="24"/>
        </w:rPr>
        <w:t xml:space="preserve">. </w:t>
      </w:r>
      <w:r w:rsidR="001B720E">
        <w:t xml:space="preserve"> </w:t>
      </w:r>
    </w:p>
    <w:p w:rsidR="00D51818" w:rsidRDefault="00045782" w:rsidP="00045782">
      <w:pPr>
        <w:spacing w:line="480" w:lineRule="auto"/>
        <w:rPr>
          <w:szCs w:val="24"/>
        </w:rPr>
      </w:pPr>
      <w:r>
        <w:tab/>
      </w:r>
      <w:r w:rsidR="00C90EC0">
        <w:rPr>
          <w:rFonts w:eastAsia="Times New Roman"/>
          <w:szCs w:val="24"/>
        </w:rPr>
        <w:t xml:space="preserve">Third, we consider whether </w:t>
      </w:r>
      <w:r w:rsidR="00C31B79">
        <w:rPr>
          <w:rFonts w:eastAsia="Times New Roman"/>
          <w:szCs w:val="24"/>
        </w:rPr>
        <w:t xml:space="preserve">there is any reason to depart from the discipline called for by </w:t>
      </w:r>
      <w:r w:rsidR="00C90EC0">
        <w:rPr>
          <w:rFonts w:eastAsia="Times New Roman"/>
          <w:szCs w:val="24"/>
        </w:rPr>
        <w:t>standard</w:t>
      </w:r>
      <w:r w:rsidR="00AA04D9">
        <w:rPr>
          <w:rFonts w:eastAsia="Times New Roman"/>
          <w:szCs w:val="24"/>
        </w:rPr>
        <w:t xml:space="preserve"> 1.8(b).</w:t>
      </w:r>
      <w:r w:rsidR="00C90EC0">
        <w:rPr>
          <w:rFonts w:eastAsia="Times New Roman"/>
          <w:szCs w:val="24"/>
        </w:rPr>
        <w:t xml:space="preserve">  </w:t>
      </w:r>
      <w:r w:rsidR="00140413">
        <w:t xml:space="preserve">We </w:t>
      </w:r>
      <w:r w:rsidR="006F0A32">
        <w:t>acknowledge that</w:t>
      </w:r>
      <w:r w:rsidR="005E7C87">
        <w:t xml:space="preserve"> </w:t>
      </w:r>
      <w:r w:rsidR="00DB3C37" w:rsidRPr="00BE0A97">
        <w:rPr>
          <w:color w:val="000000"/>
          <w:szCs w:val="24"/>
        </w:rPr>
        <w:t xml:space="preserve">disbarment is not mandatory </w:t>
      </w:r>
      <w:r w:rsidR="004245F8">
        <w:rPr>
          <w:color w:val="000000"/>
          <w:szCs w:val="24"/>
        </w:rPr>
        <w:t>as a third discipline</w:t>
      </w:r>
      <w:r w:rsidR="00AA04D9">
        <w:rPr>
          <w:color w:val="000000"/>
          <w:szCs w:val="24"/>
        </w:rPr>
        <w:t xml:space="preserve"> under </w:t>
      </w:r>
      <w:r w:rsidR="000D1D7B">
        <w:rPr>
          <w:color w:val="000000"/>
          <w:szCs w:val="24"/>
        </w:rPr>
        <w:t xml:space="preserve">this </w:t>
      </w:r>
      <w:r w:rsidR="00AA04D9">
        <w:rPr>
          <w:color w:val="000000"/>
          <w:szCs w:val="24"/>
        </w:rPr>
        <w:t>standard</w:t>
      </w:r>
      <w:r w:rsidR="004245F8">
        <w:rPr>
          <w:color w:val="000000"/>
          <w:szCs w:val="24"/>
        </w:rPr>
        <w:t xml:space="preserve"> </w:t>
      </w:r>
      <w:r w:rsidR="00DB3C37" w:rsidRPr="00BE0A97">
        <w:rPr>
          <w:color w:val="000000"/>
          <w:szCs w:val="24"/>
        </w:rPr>
        <w:t>even where compelling mitigating circumstances</w:t>
      </w:r>
      <w:r w:rsidR="00DB3C37">
        <w:rPr>
          <w:color w:val="000000"/>
          <w:szCs w:val="24"/>
        </w:rPr>
        <w:t xml:space="preserve"> do not</w:t>
      </w:r>
      <w:r w:rsidR="00DB3C37" w:rsidRPr="00BE0A97">
        <w:rPr>
          <w:color w:val="000000"/>
          <w:szCs w:val="24"/>
        </w:rPr>
        <w:t xml:space="preserve"> clearly predominate</w:t>
      </w:r>
      <w:r w:rsidR="00DB3C37">
        <w:rPr>
          <w:color w:val="000000"/>
          <w:szCs w:val="24"/>
        </w:rPr>
        <w:t>.  (</w:t>
      </w:r>
      <w:r w:rsidR="00DB3C37">
        <w:rPr>
          <w:i/>
          <w:color w:val="000000"/>
          <w:szCs w:val="24"/>
        </w:rPr>
        <w:t>Conroy v. State Bar</w:t>
      </w:r>
      <w:r w:rsidR="00DB3C37">
        <w:rPr>
          <w:color w:val="000000"/>
          <w:szCs w:val="24"/>
        </w:rPr>
        <w:t xml:space="preserve"> (1991) 53 Cal.3d 495, 506-507 [disbarment is not mandatory in every case of two or more prior disciplines, even where no compelling mitigating circumstances clearly predominate; analysis under former std. 1.7(b)]; </w:t>
      </w:r>
      <w:r w:rsidR="00DB3C37">
        <w:rPr>
          <w:i/>
          <w:szCs w:val="24"/>
        </w:rPr>
        <w:t>In the Matter of Miller</w:t>
      </w:r>
      <w:r w:rsidR="00DB3C37">
        <w:rPr>
          <w:szCs w:val="24"/>
        </w:rPr>
        <w:t xml:space="preserve"> (Review Dept. 1990) </w:t>
      </w:r>
    </w:p>
    <w:p w:rsidR="00045782" w:rsidRDefault="00DB3C37" w:rsidP="00045782">
      <w:pPr>
        <w:spacing w:line="480" w:lineRule="auto"/>
      </w:pPr>
      <w:r>
        <w:rPr>
          <w:szCs w:val="24"/>
        </w:rPr>
        <w:lastRenderedPageBreak/>
        <w:t xml:space="preserve">1 Cal. State Bar Ct. Rptr. 131, 136 [to </w:t>
      </w:r>
      <w:r w:rsidRPr="008C1C13">
        <w:rPr>
          <w:szCs w:val="24"/>
        </w:rPr>
        <w:t xml:space="preserve">fulfill </w:t>
      </w:r>
      <w:r>
        <w:rPr>
          <w:szCs w:val="24"/>
        </w:rPr>
        <w:t>“</w:t>
      </w:r>
      <w:r w:rsidRPr="008C1C13">
        <w:rPr>
          <w:szCs w:val="24"/>
        </w:rPr>
        <w:t>purposes of lawyer discipline, we must examine the nature and chronolo</w:t>
      </w:r>
      <w:r>
        <w:rPr>
          <w:szCs w:val="24"/>
        </w:rPr>
        <w:t>gy of respondent’s record of discipline”].)</w:t>
      </w:r>
      <w:r>
        <w:rPr>
          <w:color w:val="000000"/>
          <w:szCs w:val="24"/>
        </w:rPr>
        <w:t xml:space="preserve">  </w:t>
      </w:r>
      <w:r w:rsidR="008B5724">
        <w:rPr>
          <w:color w:val="000000"/>
          <w:szCs w:val="24"/>
        </w:rPr>
        <w:t>But</w:t>
      </w:r>
      <w:r w:rsidR="00A80563">
        <w:rPr>
          <w:color w:val="000000"/>
          <w:szCs w:val="24"/>
        </w:rPr>
        <w:t xml:space="preserve"> if we deviate from</w:t>
      </w:r>
      <w:r w:rsidR="00F375A0">
        <w:rPr>
          <w:color w:val="000000"/>
          <w:szCs w:val="24"/>
        </w:rPr>
        <w:t xml:space="preserve"> recommending</w:t>
      </w:r>
      <w:r w:rsidR="00A80563">
        <w:rPr>
          <w:color w:val="000000"/>
          <w:szCs w:val="24"/>
        </w:rPr>
        <w:t xml:space="preserve"> the presumptive discipline of disbarment, we must articulate reasons for </w:t>
      </w:r>
      <w:r w:rsidR="00275725">
        <w:rPr>
          <w:color w:val="000000"/>
          <w:szCs w:val="24"/>
        </w:rPr>
        <w:t>doing so</w:t>
      </w:r>
      <w:r w:rsidR="00A80563">
        <w:rPr>
          <w:color w:val="000000"/>
          <w:szCs w:val="24"/>
        </w:rPr>
        <w:t xml:space="preserve">.  </w:t>
      </w:r>
      <w:r w:rsidR="00A80563">
        <w:t>(</w:t>
      </w:r>
      <w:r w:rsidR="00A80563" w:rsidRPr="003B0BBF">
        <w:rPr>
          <w:rFonts w:eastAsia="Times New Roman"/>
          <w:i/>
          <w:szCs w:val="24"/>
        </w:rPr>
        <w:t>Blair v. State Bar</w:t>
      </w:r>
      <w:r w:rsidR="00A80563">
        <w:rPr>
          <w:rFonts w:eastAsia="Times New Roman"/>
          <w:szCs w:val="24"/>
        </w:rPr>
        <w:t xml:space="preserve"> (1989) </w:t>
      </w:r>
      <w:r w:rsidR="00A80563" w:rsidRPr="003B0BBF">
        <w:rPr>
          <w:rFonts w:eastAsia="Times New Roman"/>
          <w:szCs w:val="24"/>
        </w:rPr>
        <w:t>49 Cal.3d 762</w:t>
      </w:r>
      <w:r w:rsidR="00A80563">
        <w:rPr>
          <w:rFonts w:eastAsia="Times New Roman"/>
          <w:szCs w:val="24"/>
        </w:rPr>
        <w:t>, 776, fn. 5 [requiring clear reasons for departure from st</w:t>
      </w:r>
      <w:r w:rsidR="00B73BE3">
        <w:rPr>
          <w:rFonts w:eastAsia="Times New Roman"/>
          <w:szCs w:val="24"/>
        </w:rPr>
        <w:t>andard</w:t>
      </w:r>
      <w:r w:rsidR="00A80563">
        <w:rPr>
          <w:rFonts w:eastAsia="Times New Roman"/>
          <w:szCs w:val="24"/>
        </w:rPr>
        <w:t xml:space="preserve">s]; see also </w:t>
      </w:r>
      <w:r w:rsidR="00A80563">
        <w:t>stds. 1.2(i)</w:t>
      </w:r>
      <w:r w:rsidR="00AF35D0">
        <w:t>,</w:t>
      </w:r>
      <w:r w:rsidR="00A80563">
        <w:t xml:space="preserve"> 1.7(c)</w:t>
      </w:r>
      <w:r w:rsidR="00A80563">
        <w:rPr>
          <w:rFonts w:eastAsia="Times New Roman"/>
          <w:szCs w:val="24"/>
        </w:rPr>
        <w:t xml:space="preserve">.)  </w:t>
      </w:r>
      <w:r w:rsidR="009416FE">
        <w:rPr>
          <w:rFonts w:eastAsia="Times New Roman"/>
          <w:szCs w:val="24"/>
        </w:rPr>
        <w:t xml:space="preserve">Having failed to file a responsive brief, Carver has not identified </w:t>
      </w:r>
      <w:r w:rsidR="00320119">
        <w:rPr>
          <w:rFonts w:eastAsia="Times New Roman"/>
          <w:szCs w:val="24"/>
        </w:rPr>
        <w:t xml:space="preserve">a </w:t>
      </w:r>
      <w:r w:rsidR="00BC7E27">
        <w:rPr>
          <w:rFonts w:eastAsia="Times New Roman"/>
          <w:szCs w:val="24"/>
        </w:rPr>
        <w:t>reason</w:t>
      </w:r>
      <w:r w:rsidR="00A328BE">
        <w:rPr>
          <w:rFonts w:eastAsia="Times New Roman"/>
          <w:szCs w:val="24"/>
        </w:rPr>
        <w:t xml:space="preserve"> for</w:t>
      </w:r>
      <w:r w:rsidR="00083D2B">
        <w:rPr>
          <w:rFonts w:eastAsia="Times New Roman"/>
          <w:szCs w:val="24"/>
        </w:rPr>
        <w:t xml:space="preserve"> us to</w:t>
      </w:r>
      <w:r w:rsidR="00A328BE">
        <w:rPr>
          <w:rFonts w:eastAsia="Times New Roman"/>
          <w:szCs w:val="24"/>
        </w:rPr>
        <w:t xml:space="preserve"> depart from</w:t>
      </w:r>
      <w:r w:rsidR="00083D2B">
        <w:rPr>
          <w:rFonts w:eastAsia="Times New Roman"/>
          <w:szCs w:val="24"/>
        </w:rPr>
        <w:t xml:space="preserve"> applying</w:t>
      </w:r>
      <w:r w:rsidR="00A328BE">
        <w:rPr>
          <w:rFonts w:eastAsia="Times New Roman"/>
          <w:szCs w:val="24"/>
        </w:rPr>
        <w:t xml:space="preserve"> </w:t>
      </w:r>
      <w:r w:rsidR="006F0A32">
        <w:rPr>
          <w:rFonts w:eastAsia="Times New Roman"/>
          <w:szCs w:val="24"/>
        </w:rPr>
        <w:t>s</w:t>
      </w:r>
      <w:r w:rsidR="009416FE">
        <w:rPr>
          <w:rFonts w:eastAsia="Times New Roman"/>
          <w:szCs w:val="24"/>
        </w:rPr>
        <w:t>tandard 1.8(b)</w:t>
      </w:r>
      <w:r w:rsidR="00B623CB">
        <w:rPr>
          <w:rFonts w:eastAsia="Times New Roman"/>
          <w:szCs w:val="24"/>
        </w:rPr>
        <w:t xml:space="preserve">, and we cannot </w:t>
      </w:r>
      <w:r w:rsidR="009416FE">
        <w:rPr>
          <w:rFonts w:eastAsia="Times New Roman"/>
          <w:szCs w:val="24"/>
        </w:rPr>
        <w:t xml:space="preserve">articulate </w:t>
      </w:r>
      <w:r w:rsidR="00BC7E27">
        <w:rPr>
          <w:rFonts w:eastAsia="Times New Roman"/>
          <w:szCs w:val="24"/>
        </w:rPr>
        <w:t>any</w:t>
      </w:r>
      <w:r w:rsidR="000F3643">
        <w:rPr>
          <w:rFonts w:eastAsia="Times New Roman"/>
          <w:szCs w:val="24"/>
        </w:rPr>
        <w:t>,</w:t>
      </w:r>
      <w:r w:rsidR="008B5724">
        <w:rPr>
          <w:rFonts w:eastAsia="Times New Roman"/>
          <w:szCs w:val="24"/>
        </w:rPr>
        <w:t xml:space="preserve"> given his </w:t>
      </w:r>
      <w:r w:rsidR="008B5724">
        <w:t>varied misconduct over several years, his</w:t>
      </w:r>
      <w:r w:rsidR="008B5724">
        <w:rPr>
          <w:rFonts w:eastAsia="Times New Roman"/>
          <w:szCs w:val="24"/>
        </w:rPr>
        <w:t xml:space="preserve"> dishonesty in </w:t>
      </w:r>
      <w:r w:rsidR="008B5724" w:rsidRPr="00D45057">
        <w:rPr>
          <w:rFonts w:eastAsia="Times New Roman"/>
          <w:i/>
          <w:szCs w:val="24"/>
        </w:rPr>
        <w:t>Carver II,</w:t>
      </w:r>
      <w:r w:rsidR="008B5724">
        <w:rPr>
          <w:rFonts w:eastAsia="Times New Roman"/>
          <w:szCs w:val="24"/>
        </w:rPr>
        <w:t xml:space="preserve"> and his bad faith and willful blindness to his professional obligations in the present case</w:t>
      </w:r>
      <w:r w:rsidR="00A80563">
        <w:rPr>
          <w:rFonts w:eastAsia="Times New Roman"/>
          <w:szCs w:val="24"/>
        </w:rPr>
        <w:t xml:space="preserve">.  </w:t>
      </w:r>
      <w:r w:rsidR="000841D8">
        <w:rPr>
          <w:rFonts w:eastAsia="Times New Roman"/>
          <w:szCs w:val="24"/>
        </w:rPr>
        <w:t xml:space="preserve">  </w:t>
      </w:r>
      <w:r w:rsidR="00CC3057">
        <w:rPr>
          <w:rFonts w:eastAsia="Times New Roman"/>
          <w:szCs w:val="24"/>
        </w:rPr>
        <w:t xml:space="preserve"> </w:t>
      </w:r>
    </w:p>
    <w:p w:rsidR="008B5724" w:rsidRDefault="00045782" w:rsidP="00045782">
      <w:pPr>
        <w:spacing w:line="480" w:lineRule="auto"/>
      </w:pPr>
      <w:r>
        <w:tab/>
      </w:r>
      <w:r w:rsidR="00E673AC">
        <w:t>The</w:t>
      </w:r>
      <w:r w:rsidR="000841D8">
        <w:t xml:space="preserve"> State Bar </w:t>
      </w:r>
      <w:r w:rsidR="00B83505">
        <w:t>and this c</w:t>
      </w:r>
      <w:r w:rsidR="000841D8">
        <w:t>ourt ha</w:t>
      </w:r>
      <w:r w:rsidR="00B83505">
        <w:t>ve</w:t>
      </w:r>
      <w:r w:rsidR="000841D8">
        <w:t xml:space="preserve"> been required to intervene </w:t>
      </w:r>
      <w:r w:rsidR="009B0945">
        <w:t>three</w:t>
      </w:r>
      <w:r w:rsidR="000841D8">
        <w:t xml:space="preserve"> times to ensure that </w:t>
      </w:r>
      <w:r w:rsidR="009B0945">
        <w:t>Carver adheres</w:t>
      </w:r>
      <w:r w:rsidR="000841D8">
        <w:t xml:space="preserve"> to the professional standards </w:t>
      </w:r>
      <w:r w:rsidR="000B08BA">
        <w:t>required of</w:t>
      </w:r>
      <w:r w:rsidR="000841D8">
        <w:t xml:space="preserve"> those who are licensed to practice law</w:t>
      </w:r>
      <w:r w:rsidR="007B1753">
        <w:t xml:space="preserve"> in California</w:t>
      </w:r>
      <w:r w:rsidR="000841D8">
        <w:t xml:space="preserve">.  </w:t>
      </w:r>
      <w:r w:rsidR="002F1046">
        <w:t>P</w:t>
      </w:r>
      <w:r w:rsidR="000841D8" w:rsidRPr="00EF2692">
        <w:t xml:space="preserve">robation and suspension </w:t>
      </w:r>
      <w:r w:rsidR="002F1046">
        <w:t>would be</w:t>
      </w:r>
      <w:r w:rsidR="008365B3">
        <w:t xml:space="preserve"> </w:t>
      </w:r>
      <w:r w:rsidR="000841D8" w:rsidRPr="00EF2692">
        <w:t xml:space="preserve">inadequate to prevent </w:t>
      </w:r>
      <w:r w:rsidR="000841D8">
        <w:t>him</w:t>
      </w:r>
      <w:r w:rsidR="000841D8" w:rsidRPr="00EF2692">
        <w:t xml:space="preserve"> from committing future misconduct that would endanger the public and </w:t>
      </w:r>
      <w:r w:rsidR="000841D8">
        <w:t xml:space="preserve">the </w:t>
      </w:r>
      <w:r w:rsidR="000841D8" w:rsidRPr="00EF2692">
        <w:t xml:space="preserve">profession.  </w:t>
      </w:r>
      <w:r w:rsidR="007B1753">
        <w:t>(</w:t>
      </w:r>
      <w:r w:rsidR="002F1046">
        <w:t xml:space="preserve">See </w:t>
      </w:r>
      <w:r w:rsidR="007B1753">
        <w:rPr>
          <w:i/>
        </w:rPr>
        <w:t>Barnum v. State Bar</w:t>
      </w:r>
      <w:r w:rsidR="008179B1" w:rsidRPr="000B010E">
        <w:t>,</w:t>
      </w:r>
      <w:r w:rsidR="008179B1">
        <w:rPr>
          <w:i/>
        </w:rPr>
        <w:t xml:space="preserve"> supra</w:t>
      </w:r>
      <w:r w:rsidR="008179B1" w:rsidRPr="000B010E">
        <w:t>,</w:t>
      </w:r>
      <w:r w:rsidR="007B1753">
        <w:t xml:space="preserve"> 52 Cal.3d </w:t>
      </w:r>
      <w:r w:rsidR="008179B1">
        <w:t xml:space="preserve">at </w:t>
      </w:r>
      <w:r w:rsidR="00AF35D0">
        <w:t>p</w:t>
      </w:r>
      <w:r w:rsidR="008179B1">
        <w:t xml:space="preserve">p. </w:t>
      </w:r>
      <w:r w:rsidR="007B1753">
        <w:t>112</w:t>
      </w:r>
      <w:r w:rsidR="00AF35D0">
        <w:t>-113</w:t>
      </w:r>
      <w:r w:rsidR="007B1753">
        <w:t xml:space="preserve"> [</w:t>
      </w:r>
      <w:r w:rsidR="00EE31FB">
        <w:t xml:space="preserve">disbarment imposed where attorney’s probation violations </w:t>
      </w:r>
      <w:r w:rsidR="0076674C">
        <w:t>left</w:t>
      </w:r>
      <w:r w:rsidR="00EE31FB">
        <w:t xml:space="preserve"> court no reason to believe he would comply with lesser discipline]</w:t>
      </w:r>
      <w:r w:rsidR="00A80563">
        <w:t>.)</w:t>
      </w:r>
      <w:r w:rsidR="00450A64">
        <w:t xml:space="preserve">  </w:t>
      </w:r>
      <w:r w:rsidR="000841D8">
        <w:t>Standard 1.8(b) and the decisional</w:t>
      </w:r>
      <w:r w:rsidR="000841D8" w:rsidRPr="00EF2692">
        <w:t xml:space="preserve"> law </w:t>
      </w:r>
      <w:r w:rsidR="000841D8">
        <w:t>support</w:t>
      </w:r>
      <w:r w:rsidR="000841D8" w:rsidRPr="00EF2692">
        <w:t xml:space="preserve"> our conclusion that the public and </w:t>
      </w:r>
      <w:r w:rsidR="000841D8">
        <w:t xml:space="preserve">the </w:t>
      </w:r>
      <w:r w:rsidR="000841D8" w:rsidRPr="00EF2692">
        <w:t xml:space="preserve">profession are best protected if </w:t>
      </w:r>
      <w:r w:rsidR="00523CF0">
        <w:t>Carver</w:t>
      </w:r>
      <w:r w:rsidR="000841D8" w:rsidRPr="00EF2692">
        <w:t xml:space="preserve"> is disbarred</w:t>
      </w:r>
      <w:r w:rsidR="00450A64">
        <w:t>.</w:t>
      </w:r>
      <w:r w:rsidR="000841D8" w:rsidRPr="00013A73">
        <w:rPr>
          <w:rStyle w:val="FootnoteReference"/>
        </w:rPr>
        <w:footnoteReference w:id="18"/>
      </w:r>
      <w:r w:rsidR="000841D8">
        <w:t xml:space="preserve"> </w:t>
      </w:r>
    </w:p>
    <w:p w:rsidR="00A95CB6" w:rsidRPr="00A95CB6" w:rsidRDefault="00A95CB6" w:rsidP="00A95CB6">
      <w:pPr>
        <w:spacing w:line="480" w:lineRule="auto"/>
        <w:jc w:val="center"/>
      </w:pPr>
      <w:r>
        <w:rPr>
          <w:b/>
        </w:rPr>
        <w:t>V</w:t>
      </w:r>
      <w:r w:rsidR="00045782">
        <w:rPr>
          <w:b/>
        </w:rPr>
        <w:t>I</w:t>
      </w:r>
      <w:r>
        <w:rPr>
          <w:b/>
        </w:rPr>
        <w:t xml:space="preserve">.  </w:t>
      </w:r>
      <w:r w:rsidR="007101C2">
        <w:rPr>
          <w:b/>
        </w:rPr>
        <w:t>RECOMMENDATION</w:t>
      </w:r>
    </w:p>
    <w:p w:rsidR="002C76DA" w:rsidRDefault="00045782" w:rsidP="00045782">
      <w:pPr>
        <w:spacing w:line="480" w:lineRule="auto"/>
        <w:rPr>
          <w:color w:val="000000"/>
          <w:szCs w:val="24"/>
        </w:rPr>
      </w:pPr>
      <w:r>
        <w:rPr>
          <w:color w:val="000000"/>
          <w:szCs w:val="24"/>
        </w:rPr>
        <w:tab/>
      </w:r>
      <w:r w:rsidR="002C76DA" w:rsidRPr="00441103">
        <w:rPr>
          <w:color w:val="000000"/>
          <w:szCs w:val="24"/>
        </w:rPr>
        <w:t xml:space="preserve">We recommend that </w:t>
      </w:r>
      <w:r w:rsidR="002C76DA">
        <w:rPr>
          <w:color w:val="000000"/>
          <w:szCs w:val="24"/>
        </w:rPr>
        <w:t>Michael R. Carver</w:t>
      </w:r>
      <w:r w:rsidR="002C76DA" w:rsidRPr="00441103">
        <w:rPr>
          <w:color w:val="000000"/>
          <w:szCs w:val="24"/>
        </w:rPr>
        <w:t xml:space="preserve"> be disbarred from the practice of law and that his name be stricken from the roll of attorneys admitted to practice in </w:t>
      </w:r>
      <w:r w:rsidR="000B08BA">
        <w:rPr>
          <w:color w:val="000000"/>
          <w:szCs w:val="24"/>
        </w:rPr>
        <w:t>California</w:t>
      </w:r>
      <w:r w:rsidR="002C76DA" w:rsidRPr="00441103">
        <w:rPr>
          <w:color w:val="000000"/>
          <w:szCs w:val="24"/>
        </w:rPr>
        <w:t>.</w:t>
      </w:r>
    </w:p>
    <w:p w:rsidR="00083D2B" w:rsidRPr="00441103" w:rsidRDefault="00083D2B" w:rsidP="00045782">
      <w:pPr>
        <w:spacing w:line="480" w:lineRule="auto"/>
        <w:rPr>
          <w:rFonts w:ascii="Times" w:hAnsi="Times"/>
          <w:sz w:val="20"/>
          <w:szCs w:val="20"/>
        </w:rPr>
      </w:pPr>
    </w:p>
    <w:p w:rsidR="008852A1" w:rsidRDefault="002C76DA" w:rsidP="002C76DA">
      <w:pPr>
        <w:spacing w:line="480" w:lineRule="auto"/>
        <w:rPr>
          <w:color w:val="000000"/>
          <w:szCs w:val="24"/>
        </w:rPr>
      </w:pPr>
      <w:bookmarkStart w:id="8" w:name="_GoBack"/>
      <w:bookmarkEnd w:id="8"/>
      <w:r w:rsidRPr="00441103">
        <w:rPr>
          <w:color w:val="000000"/>
          <w:szCs w:val="24"/>
        </w:rPr>
        <w:lastRenderedPageBreak/>
        <w:tab/>
        <w:t xml:space="preserve">We also recommend that </w:t>
      </w:r>
      <w:r w:rsidR="000B08BA">
        <w:rPr>
          <w:color w:val="000000"/>
          <w:szCs w:val="24"/>
        </w:rPr>
        <w:t>he must</w:t>
      </w:r>
      <w:r w:rsidRPr="00441103">
        <w:rPr>
          <w:color w:val="000000"/>
          <w:szCs w:val="24"/>
        </w:rPr>
        <w:t xml:space="preserve"> comply with</w:t>
      </w:r>
      <w:r w:rsidR="000B08BA">
        <w:rPr>
          <w:color w:val="000000"/>
          <w:szCs w:val="24"/>
        </w:rPr>
        <w:t xml:space="preserve"> rule 9.20 of the California Rules of Court</w:t>
      </w:r>
      <w:r w:rsidRPr="00441103">
        <w:rPr>
          <w:color w:val="000000"/>
          <w:szCs w:val="24"/>
        </w:rPr>
        <w:t xml:space="preserve"> and perform the acts specified in subdivisions (a) and (c) of that rule</w:t>
      </w:r>
      <w:r w:rsidR="000B08BA">
        <w:rPr>
          <w:color w:val="000000"/>
          <w:szCs w:val="24"/>
        </w:rPr>
        <w:t>,</w:t>
      </w:r>
      <w:r w:rsidRPr="00441103">
        <w:rPr>
          <w:color w:val="000000"/>
          <w:szCs w:val="24"/>
        </w:rPr>
        <w:t xml:space="preserve"> within 30 and 40 days, respectively, after the effective date of the Supreme Court order in this matter.</w:t>
      </w:r>
    </w:p>
    <w:p w:rsidR="008179B1" w:rsidRDefault="002C76DA" w:rsidP="008258AD">
      <w:pPr>
        <w:spacing w:line="480" w:lineRule="auto"/>
        <w:rPr>
          <w:color w:val="000000"/>
          <w:szCs w:val="24"/>
        </w:rPr>
      </w:pPr>
      <w:r w:rsidRPr="00441103">
        <w:rPr>
          <w:color w:val="000000"/>
          <w:szCs w:val="24"/>
        </w:rPr>
        <w:tab/>
        <w:t>We further recommend that costs be awarded to the State Bar in accordance w</w:t>
      </w:r>
      <w:r>
        <w:rPr>
          <w:color w:val="000000"/>
          <w:szCs w:val="24"/>
        </w:rPr>
        <w:t xml:space="preserve">ith </w:t>
      </w:r>
    </w:p>
    <w:p w:rsidR="002D2F9B" w:rsidRDefault="002C76DA" w:rsidP="008258AD">
      <w:pPr>
        <w:spacing w:line="480" w:lineRule="auto"/>
        <w:rPr>
          <w:b/>
          <w:bCs/>
          <w:color w:val="000000"/>
          <w:szCs w:val="24"/>
        </w:rPr>
      </w:pPr>
      <w:r w:rsidRPr="00441103">
        <w:rPr>
          <w:color w:val="000000"/>
          <w:szCs w:val="24"/>
        </w:rPr>
        <w:t>section 6086.10</w:t>
      </w:r>
      <w:r w:rsidR="004E3764">
        <w:rPr>
          <w:color w:val="000000"/>
          <w:szCs w:val="24"/>
        </w:rPr>
        <w:t>,</w:t>
      </w:r>
      <w:r w:rsidRPr="00441103">
        <w:rPr>
          <w:color w:val="000000"/>
          <w:szCs w:val="24"/>
        </w:rPr>
        <w:t xml:space="preserve"> and that such costs be enforceable</w:t>
      </w:r>
      <w:r w:rsidR="004E3764">
        <w:rPr>
          <w:color w:val="000000"/>
          <w:szCs w:val="24"/>
        </w:rPr>
        <w:t xml:space="preserve"> both</w:t>
      </w:r>
      <w:r w:rsidRPr="00441103">
        <w:rPr>
          <w:color w:val="000000"/>
          <w:szCs w:val="24"/>
        </w:rPr>
        <w:t xml:space="preserve"> as provided in section 6140.7 and as a money judgment.</w:t>
      </w:r>
    </w:p>
    <w:p w:rsidR="002C76DA" w:rsidRPr="00441103" w:rsidRDefault="002C76DA" w:rsidP="002C76DA">
      <w:pPr>
        <w:spacing w:line="480" w:lineRule="auto"/>
        <w:jc w:val="center"/>
        <w:rPr>
          <w:rFonts w:ascii="Times" w:hAnsi="Times"/>
          <w:sz w:val="20"/>
          <w:szCs w:val="20"/>
        </w:rPr>
      </w:pPr>
      <w:r w:rsidRPr="00441103">
        <w:rPr>
          <w:b/>
          <w:bCs/>
          <w:color w:val="000000"/>
          <w:szCs w:val="24"/>
        </w:rPr>
        <w:t>V</w:t>
      </w:r>
      <w:r w:rsidR="00045782">
        <w:rPr>
          <w:b/>
          <w:bCs/>
          <w:color w:val="000000"/>
          <w:szCs w:val="24"/>
        </w:rPr>
        <w:t>I</w:t>
      </w:r>
      <w:r>
        <w:rPr>
          <w:b/>
          <w:bCs/>
          <w:color w:val="000000"/>
          <w:szCs w:val="24"/>
        </w:rPr>
        <w:t xml:space="preserve">I.  </w:t>
      </w:r>
      <w:r w:rsidRPr="00441103">
        <w:rPr>
          <w:b/>
          <w:bCs/>
          <w:color w:val="000000"/>
          <w:szCs w:val="24"/>
        </w:rPr>
        <w:t>ORDER</w:t>
      </w:r>
    </w:p>
    <w:p w:rsidR="007E5547" w:rsidRDefault="002C76DA" w:rsidP="002C76DA">
      <w:pPr>
        <w:spacing w:line="480" w:lineRule="auto"/>
      </w:pPr>
      <w:r w:rsidRPr="00441103">
        <w:rPr>
          <w:color w:val="1F497D"/>
          <w:szCs w:val="24"/>
        </w:rPr>
        <w:tab/>
      </w:r>
      <w:r w:rsidRPr="00441103">
        <w:rPr>
          <w:color w:val="000000"/>
          <w:szCs w:val="24"/>
        </w:rPr>
        <w:t>Pursuant to section 6007, subdivisi</w:t>
      </w:r>
      <w:r w:rsidR="004E3764">
        <w:rPr>
          <w:color w:val="000000"/>
          <w:szCs w:val="24"/>
        </w:rPr>
        <w:t xml:space="preserve">on (c)(4), and rule 5.111(D)(1), </w:t>
      </w:r>
      <w:r>
        <w:rPr>
          <w:color w:val="000000"/>
          <w:szCs w:val="24"/>
        </w:rPr>
        <w:t xml:space="preserve">Carver is ordered enrolled inactive.  </w:t>
      </w:r>
      <w:r w:rsidRPr="00441103">
        <w:rPr>
          <w:color w:val="000000"/>
          <w:szCs w:val="24"/>
        </w:rPr>
        <w:t xml:space="preserve">The order of inactive enrollment is effective three days after service of this opinion. </w:t>
      </w:r>
      <w:r>
        <w:rPr>
          <w:color w:val="000000"/>
          <w:szCs w:val="24"/>
        </w:rPr>
        <w:t xml:space="preserve"> </w:t>
      </w:r>
      <w:r w:rsidR="004E3764">
        <w:rPr>
          <w:color w:val="000000"/>
          <w:szCs w:val="24"/>
        </w:rPr>
        <w:t>(R</w:t>
      </w:r>
      <w:r w:rsidRPr="00441103">
        <w:rPr>
          <w:color w:val="000000"/>
          <w:szCs w:val="24"/>
        </w:rPr>
        <w:t>ule 5.111(D)(1).)</w:t>
      </w:r>
    </w:p>
    <w:p w:rsidR="00832223" w:rsidRDefault="00502CA0" w:rsidP="00832223">
      <w:r>
        <w:tab/>
      </w:r>
      <w:r>
        <w:tab/>
      </w:r>
      <w:r>
        <w:tab/>
      </w:r>
      <w:r>
        <w:tab/>
      </w:r>
      <w:r>
        <w:tab/>
      </w:r>
      <w:r>
        <w:tab/>
      </w:r>
      <w:r w:rsidR="00832223" w:rsidRPr="007768C9">
        <w:tab/>
      </w:r>
      <w:bookmarkStart w:id="9" w:name="judge"/>
      <w:bookmarkEnd w:id="9"/>
      <w:r w:rsidR="008F03A1">
        <w:t>PURCELL, P. J.</w:t>
      </w:r>
    </w:p>
    <w:p w:rsidR="00832223" w:rsidRDefault="00832223" w:rsidP="00832223"/>
    <w:p w:rsidR="008F03A1" w:rsidRDefault="00832223" w:rsidP="008F03A1">
      <w:pPr>
        <w:spacing w:line="480" w:lineRule="auto"/>
      </w:pPr>
      <w:r>
        <w:t>WE CONCUR:</w:t>
      </w:r>
      <w:bookmarkStart w:id="10" w:name="multinames"/>
      <w:bookmarkEnd w:id="10"/>
    </w:p>
    <w:p w:rsidR="008F03A1" w:rsidRDefault="008F03A1" w:rsidP="000E0A7C">
      <w:r>
        <w:t>EPSTEIN, J.</w:t>
      </w:r>
    </w:p>
    <w:p w:rsidR="00203644" w:rsidRDefault="00203644" w:rsidP="000E0A7C"/>
    <w:p w:rsidR="00FF1A80" w:rsidRDefault="008F03A1" w:rsidP="007B6E14">
      <w:r>
        <w:t>STOVITZ, J.</w:t>
      </w:r>
      <w:r w:rsidR="00A95CB6">
        <w:rPr>
          <w:rStyle w:val="FootnoteReference"/>
        </w:rPr>
        <w:footnoteReference w:customMarkFollows="1" w:id="19"/>
        <w:t>*</w:t>
      </w:r>
    </w:p>
    <w:p w:rsidR="000310B8" w:rsidRDefault="000310B8" w:rsidP="000310B8"/>
    <w:p w:rsidR="00390727" w:rsidRPr="006F0351" w:rsidRDefault="00390727" w:rsidP="006C7ABA">
      <w:pPr>
        <w:rPr>
          <w:b/>
          <w:bCs/>
        </w:rPr>
      </w:pPr>
    </w:p>
    <w:sectPr w:rsidR="00390727" w:rsidRPr="006F0351" w:rsidSect="002A535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480" w:rsidRDefault="00200480" w:rsidP="00055C8A">
      <w:r>
        <w:separator/>
      </w:r>
    </w:p>
  </w:endnote>
  <w:endnote w:type="continuationSeparator" w:id="0">
    <w:p w:rsidR="00200480" w:rsidRDefault="00200480"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77" w:rsidRDefault="00147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7C30BA" w:rsidRDefault="007C30BA" w:rsidP="0099101B">
        <w:pPr>
          <w:pStyle w:val="Footer"/>
          <w:spacing w:before="120"/>
          <w:jc w:val="center"/>
        </w:pPr>
        <w:r>
          <w:t>-</w:t>
        </w:r>
        <w:r w:rsidR="00DE10F7">
          <w:fldChar w:fldCharType="begin"/>
        </w:r>
        <w:r w:rsidR="00DE10F7">
          <w:instrText xml:space="preserve"> PAGE   \* MERGEFORMAT </w:instrText>
        </w:r>
        <w:r w:rsidR="00DE10F7">
          <w:fldChar w:fldCharType="separate"/>
        </w:r>
        <w:r w:rsidR="00147677">
          <w:rPr>
            <w:noProof/>
          </w:rPr>
          <w:t>14</w:t>
        </w:r>
        <w:r w:rsidR="00DE10F7">
          <w:rPr>
            <w:noProof/>
          </w:rPr>
          <w:fldChar w:fldCharType="end"/>
        </w:r>
        <w: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77" w:rsidRDefault="00147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480" w:rsidRDefault="00200480" w:rsidP="00055C8A">
      <w:r>
        <w:separator/>
      </w:r>
    </w:p>
  </w:footnote>
  <w:footnote w:type="continuationSeparator" w:id="0">
    <w:p w:rsidR="00200480" w:rsidRDefault="00200480" w:rsidP="00055C8A">
      <w:r>
        <w:continuationSeparator/>
      </w:r>
    </w:p>
  </w:footnote>
  <w:footnote w:id="1">
    <w:p w:rsidR="00CD3C96" w:rsidRDefault="00CD3C96" w:rsidP="00CD3C96">
      <w:pPr>
        <w:pStyle w:val="TemplateFootnote"/>
        <w:spacing w:after="0"/>
      </w:pPr>
      <w:r>
        <w:rPr>
          <w:rStyle w:val="FootnoteReference"/>
        </w:rPr>
        <w:footnoteRef/>
      </w:r>
      <w:r>
        <w:t xml:space="preserve"> All further references to </w:t>
      </w:r>
      <w:r w:rsidRPr="00DC5424">
        <w:t>rules</w:t>
      </w:r>
      <w:r>
        <w:t xml:space="preserve"> are to the Rules of Procedure of the State Bar of California unless otherwise noted.</w:t>
      </w:r>
    </w:p>
  </w:footnote>
  <w:footnote w:id="2">
    <w:p w:rsidR="000C03F3" w:rsidRPr="00683B93" w:rsidRDefault="000C03F3" w:rsidP="000C03F3">
      <w:pPr>
        <w:pStyle w:val="FootnoteText"/>
      </w:pPr>
      <w:r>
        <w:rPr>
          <w:rStyle w:val="FootnoteReference"/>
        </w:rPr>
        <w:footnoteRef/>
      </w:r>
      <w:r>
        <w:t xml:space="preserve"> Clear and convincing evidence leaves no substantial doubt and must be sufficiently strong to command the unhesitating assent of every reasonable mind.  (</w:t>
      </w:r>
      <w:r>
        <w:rPr>
          <w:i/>
        </w:rPr>
        <w:t>Conservatorship of Wendland</w:t>
      </w:r>
      <w:r>
        <w:t xml:space="preserve"> (2001) 26 Cal.4</w:t>
      </w:r>
      <w:r w:rsidR="003B54BD">
        <w:t>th</w:t>
      </w:r>
      <w:r>
        <w:t xml:space="preserve"> 519, 552.)</w:t>
      </w:r>
    </w:p>
  </w:footnote>
  <w:footnote w:id="3">
    <w:p w:rsidR="0084005D" w:rsidRDefault="0084005D" w:rsidP="00877CC9">
      <w:pPr>
        <w:pStyle w:val="TemplateFootnote"/>
        <w:spacing w:after="0"/>
      </w:pPr>
      <w:r>
        <w:rPr>
          <w:rStyle w:val="FootnoteReference"/>
        </w:rPr>
        <w:footnoteRef/>
      </w:r>
      <w:r>
        <w:t xml:space="preserve"> All further references to sections are to the Business and Professions Code unless otherwise noted. </w:t>
      </w:r>
    </w:p>
  </w:footnote>
  <w:footnote w:id="4">
    <w:p w:rsidR="007C30BA" w:rsidRDefault="007C30BA" w:rsidP="0059784E">
      <w:pPr>
        <w:pStyle w:val="FootnoteText"/>
        <w:spacing w:after="120"/>
      </w:pPr>
      <w:r>
        <w:rPr>
          <w:rStyle w:val="FootnoteReference"/>
        </w:rPr>
        <w:footnoteRef/>
      </w:r>
      <w:r>
        <w:t xml:space="preserve"> We note that Carver’s appearance before Judge Belz occurred </w:t>
      </w:r>
      <w:r w:rsidR="00E70731">
        <w:t xml:space="preserve">on </w:t>
      </w:r>
      <w:r>
        <w:t xml:space="preserve">March 2, 2012, not </w:t>
      </w:r>
      <w:r w:rsidR="0084005D">
        <w:t>on</w:t>
      </w:r>
      <w:r w:rsidR="00FD46C6">
        <w:t xml:space="preserve"> </w:t>
      </w:r>
      <w:r>
        <w:t>April 13, 2012</w:t>
      </w:r>
      <w:r w:rsidR="00E947A6">
        <w:t>,</w:t>
      </w:r>
      <w:r>
        <w:t xml:space="preserve"> as the hearing judge found.  </w:t>
      </w:r>
    </w:p>
  </w:footnote>
  <w:footnote w:id="5">
    <w:p w:rsidR="00C60AD4" w:rsidRDefault="00C60AD4" w:rsidP="00C60AD4">
      <w:pPr>
        <w:pStyle w:val="TemplateFootnote"/>
      </w:pPr>
      <w:r>
        <w:rPr>
          <w:rStyle w:val="FootnoteReference"/>
        </w:rPr>
        <w:footnoteRef/>
      </w:r>
      <w:r>
        <w:t xml:space="preserve"> By order filed May 4, 2015, we took judicial notice of our opinion in </w:t>
      </w:r>
      <w:r w:rsidRPr="00C60AD4">
        <w:rPr>
          <w:i/>
        </w:rPr>
        <w:t>Carver II</w:t>
      </w:r>
      <w:r>
        <w:t xml:space="preserve">.  We now take judicial notice, sua sponte, of the Supreme Court’s order filed March 20, 2015 (S223636), imposing the discipline recommended in our </w:t>
      </w:r>
      <w:r>
        <w:rPr>
          <w:i/>
        </w:rPr>
        <w:t xml:space="preserve">Carver II </w:t>
      </w:r>
      <w:r>
        <w:t>opinion.  (Rule 5.156(B).)</w:t>
      </w:r>
    </w:p>
  </w:footnote>
  <w:footnote w:id="6">
    <w:p w:rsidR="00D970C3" w:rsidRDefault="00D970C3" w:rsidP="009631A4">
      <w:pPr>
        <w:pStyle w:val="TemplateFootnote"/>
      </w:pPr>
      <w:r>
        <w:rPr>
          <w:rStyle w:val="FootnoteReference"/>
        </w:rPr>
        <w:footnoteRef/>
      </w:r>
      <w:r>
        <w:t xml:space="preserve"> Section 6125 prohibits the practice of law in California without active State Bar membership; section 6126 prohibits an attorney from advertising or holding himself out as entitled to practice law without active </w:t>
      </w:r>
      <w:r w:rsidR="001E3F0F">
        <w:t xml:space="preserve">State Bar </w:t>
      </w:r>
      <w:r>
        <w:t>membership; and section 6068, subdivision (a)</w:t>
      </w:r>
      <w:r w:rsidR="005D1EA4">
        <w:t>,</w:t>
      </w:r>
      <w:r>
        <w:t xml:space="preserve"> requires that an attorney support state laws.  (See </w:t>
      </w:r>
      <w:r w:rsidRPr="0003562F">
        <w:rPr>
          <w:i/>
        </w:rPr>
        <w:t>In the Matter of Acuna</w:t>
      </w:r>
      <w:r>
        <w:t xml:space="preserve"> (Review Dept</w:t>
      </w:r>
      <w:r w:rsidR="005D1EA4">
        <w:t>.</w:t>
      </w:r>
      <w:r>
        <w:t xml:space="preserve"> 1996) </w:t>
      </w:r>
      <w:r w:rsidR="00E46C42">
        <w:t xml:space="preserve">   </w:t>
      </w:r>
      <w:r>
        <w:t>3 Cal. State Bar Ct. Rptr. 495, 506 [appropriate method of charging violations of §§ 6125 and 6126 is by charging violation of § 6068, subd. (a)].)</w:t>
      </w:r>
    </w:p>
  </w:footnote>
  <w:footnote w:id="7">
    <w:p w:rsidR="004D3D3B" w:rsidRDefault="004D3D3B" w:rsidP="009631A4">
      <w:pPr>
        <w:pStyle w:val="TemplateFootnote"/>
      </w:pPr>
      <w:r>
        <w:rPr>
          <w:rStyle w:val="FootnoteReference"/>
        </w:rPr>
        <w:footnoteRef/>
      </w:r>
      <w:r>
        <w:t xml:space="preserve"> Section 6106 provides, in pertinent part: </w:t>
      </w:r>
      <w:r w:rsidRPr="00D77E6E">
        <w:t>“The commission of any act involving moral turpitude</w:t>
      </w:r>
      <w:r>
        <w:t>,</w:t>
      </w:r>
      <w:r w:rsidRPr="00D77E6E">
        <w:t xml:space="preserve"> dishonesty or corruption</w:t>
      </w:r>
      <w:r>
        <w:t xml:space="preserve"> . . .</w:t>
      </w:r>
      <w:r w:rsidRPr="00D77E6E">
        <w:t xml:space="preserve"> constitutes a cause</w:t>
      </w:r>
      <w:r>
        <w:t xml:space="preserve"> for disbarment or suspension.”</w:t>
      </w:r>
    </w:p>
  </w:footnote>
  <w:footnote w:id="8">
    <w:p w:rsidR="00D01DA7" w:rsidRDefault="00D01DA7" w:rsidP="00F53776">
      <w:pPr>
        <w:pStyle w:val="TemplateFootnote"/>
      </w:pPr>
      <w:r>
        <w:rPr>
          <w:rStyle w:val="FootnoteReference"/>
        </w:rPr>
        <w:footnoteRef/>
      </w:r>
      <w:r>
        <w:t xml:space="preserve"> </w:t>
      </w:r>
      <w:r w:rsidR="002358D5">
        <w:t>E</w:t>
      </w:r>
      <w:r w:rsidR="00851F57">
        <w:t>ither finding may form the basis of a moral turpitude charge (</w:t>
      </w:r>
      <w:r w:rsidR="00851F57">
        <w:rPr>
          <w:i/>
        </w:rPr>
        <w:t xml:space="preserve">In the Matter of </w:t>
      </w:r>
      <w:r w:rsidR="00851F57" w:rsidRPr="00247DEB">
        <w:rPr>
          <w:i/>
        </w:rPr>
        <w:t>Mason</w:t>
      </w:r>
      <w:r w:rsidR="00851F57">
        <w:t xml:space="preserve"> (Review Dept. 1997) 3 Cal. State Bar Ct. Rptr. 639, 641-642 [</w:t>
      </w:r>
      <w:r w:rsidR="00E46C42">
        <w:t xml:space="preserve">attorney appearing in court </w:t>
      </w:r>
      <w:r w:rsidR="00851F57">
        <w:t>knowing</w:t>
      </w:r>
      <w:r w:rsidR="00E46C42">
        <w:t xml:space="preserve"> he was suspended</w:t>
      </w:r>
      <w:r w:rsidR="00851F57">
        <w:t xml:space="preserve"> involved moral turpitude]; </w:t>
      </w:r>
      <w:r w:rsidR="00851F57">
        <w:rPr>
          <w:i/>
        </w:rPr>
        <w:t>In</w:t>
      </w:r>
      <w:r w:rsidR="00851F57" w:rsidRPr="00851F57">
        <w:rPr>
          <w:i/>
        </w:rPr>
        <w:t xml:space="preserve"> the Matter of Wyrick</w:t>
      </w:r>
      <w:r w:rsidR="00851F57" w:rsidRPr="00851F57">
        <w:t xml:space="preserve"> (Review Dept. 1992) 2 Cal. State Bar Ct. Rptr. 83</w:t>
      </w:r>
      <w:r w:rsidR="00980AB3">
        <w:t>, 91</w:t>
      </w:r>
      <w:r w:rsidR="00851F57">
        <w:t xml:space="preserve"> [UPL through gross negligence may violate </w:t>
      </w:r>
      <w:r w:rsidR="00BB51DB">
        <w:t>§</w:t>
      </w:r>
      <w:r w:rsidR="00851F57">
        <w:t xml:space="preserve"> 6106]</w:t>
      </w:r>
      <w:r w:rsidR="002358D5">
        <w:t>.</w:t>
      </w:r>
      <w:r w:rsidR="00851F57">
        <w:t>)</w:t>
      </w:r>
      <w:r w:rsidR="002358D5">
        <w:t xml:space="preserve">  T</w:t>
      </w:r>
      <w:r w:rsidR="00851F57">
        <w:t>he distinction</w:t>
      </w:r>
      <w:r w:rsidR="00A95EB3">
        <w:t xml:space="preserve"> is relevant, however,</w:t>
      </w:r>
      <w:r w:rsidR="00851F57">
        <w:t xml:space="preserve"> </w:t>
      </w:r>
      <w:r>
        <w:t xml:space="preserve">to determine the appropriate discipline for UPL under the standards: “The degree of sanction [for UPL] depends on whether the member </w:t>
      </w:r>
      <w:r w:rsidRPr="00E127AB">
        <w:rPr>
          <w:i/>
        </w:rPr>
        <w:t>knowingly</w:t>
      </w:r>
      <w:r>
        <w:t xml:space="preserve"> engaged in the</w:t>
      </w:r>
      <w:r w:rsidR="00851F57">
        <w:t xml:space="preserve"> unauthorized practice of law.”  (Std. 2.10(a), (b), italics added.)  </w:t>
      </w:r>
      <w:r>
        <w:t xml:space="preserve">  </w:t>
      </w:r>
    </w:p>
  </w:footnote>
  <w:footnote w:id="9">
    <w:p w:rsidR="00D421FF" w:rsidRDefault="00D421FF" w:rsidP="00D421FF">
      <w:pPr>
        <w:pStyle w:val="FootnoteText"/>
        <w:spacing w:after="120"/>
      </w:pPr>
      <w:r>
        <w:rPr>
          <w:rStyle w:val="FootnoteReference"/>
        </w:rPr>
        <w:footnoteRef/>
      </w:r>
      <w:r>
        <w:t xml:space="preserve"> By changing his membership address to avoid service, Carver acted in bad faith in contravention of the purpose of section 6002.1, which requires each member to keep the State Bar apprised of his current address and provides that the State Bar will serve notice initiating any disciplinary proceeding via certified mail at that membership address.  (§ 6002.1, subds. (a), (c).)  </w:t>
      </w:r>
    </w:p>
  </w:footnote>
  <w:footnote w:id="10">
    <w:p w:rsidR="006C7982" w:rsidRDefault="006C7982" w:rsidP="006C7982">
      <w:pPr>
        <w:pStyle w:val="FootnoteText"/>
      </w:pPr>
      <w:r>
        <w:rPr>
          <w:rStyle w:val="FootnoteReference"/>
        </w:rPr>
        <w:footnoteRef/>
      </w:r>
      <w:r>
        <w:t xml:space="preserve"> The standards were revised and renumbered effective July 1, 2015.  Because this request for review was submitted for ruling after that date, we apply the revised version of the standards, and all further references to standards are to this source. </w:t>
      </w:r>
    </w:p>
  </w:footnote>
  <w:footnote w:id="11">
    <w:p w:rsidR="000068F2" w:rsidRDefault="000068F2" w:rsidP="009631A4">
      <w:pPr>
        <w:pStyle w:val="TemplateFootnote"/>
      </w:pPr>
      <w:r>
        <w:rPr>
          <w:rStyle w:val="FootnoteReference"/>
        </w:rPr>
        <w:footnoteRef/>
      </w:r>
      <w:r>
        <w:t xml:space="preserve"> </w:t>
      </w:r>
      <w:r w:rsidRPr="00E2393F">
        <w:t xml:space="preserve">The hearing judge found </w:t>
      </w:r>
      <w:r>
        <w:t xml:space="preserve">that </w:t>
      </w:r>
      <w:r w:rsidRPr="00E2393F">
        <w:t>Carver’s efforts to avoid serv</w:t>
      </w:r>
      <w:r w:rsidR="000170C6">
        <w:t>ice involved bad faith, dishonesty, or concealment</w:t>
      </w:r>
      <w:r w:rsidR="00EB4F2A">
        <w:t>,</w:t>
      </w:r>
      <w:r w:rsidR="000170C6">
        <w:t xml:space="preserve"> and warranted</w:t>
      </w:r>
      <w:r w:rsidRPr="00E2393F">
        <w:t xml:space="preserve"> aggravation under former standard 1.5(d) (as revised, eff</w:t>
      </w:r>
      <w:r w:rsidR="00352706">
        <w:t>.</w:t>
      </w:r>
      <w:r w:rsidRPr="00E2393F">
        <w:t xml:space="preserve"> Jan. 1, 2014).  We agree that Carver acted in bad faith</w:t>
      </w:r>
      <w:r w:rsidR="009668D1">
        <w:t>,</w:t>
      </w:r>
      <w:r w:rsidRPr="00E2393F">
        <w:t xml:space="preserve"> but a</w:t>
      </w:r>
      <w:r w:rsidR="005775FD">
        <w:t>fford</w:t>
      </w:r>
      <w:r w:rsidR="009668D1">
        <w:t xml:space="preserve"> no aggravation </w:t>
      </w:r>
      <w:r w:rsidR="005775FD">
        <w:t>for it</w:t>
      </w:r>
      <w:r w:rsidRPr="00E2393F">
        <w:t xml:space="preserve"> </w:t>
      </w:r>
      <w:r w:rsidR="000170C6">
        <w:t xml:space="preserve">because </w:t>
      </w:r>
      <w:r w:rsidR="001C6320">
        <w:t>w</w:t>
      </w:r>
      <w:r w:rsidR="000170C6">
        <w:t xml:space="preserve">e relied </w:t>
      </w:r>
      <w:r w:rsidRPr="00E2393F">
        <w:t xml:space="preserve">on </w:t>
      </w:r>
      <w:r w:rsidR="00C66738">
        <w:t>those facts</w:t>
      </w:r>
      <w:r w:rsidRPr="00E2393F">
        <w:t xml:space="preserve"> to find </w:t>
      </w:r>
      <w:r w:rsidR="00C66738">
        <w:t>him</w:t>
      </w:r>
      <w:r w:rsidRPr="00E2393F">
        <w:t xml:space="preserve"> culpable of moral turpitude.  (</w:t>
      </w:r>
      <w:r w:rsidRPr="00E2393F">
        <w:rPr>
          <w:i/>
        </w:rPr>
        <w:t>In the Matter of Sampson</w:t>
      </w:r>
      <w:r w:rsidR="00FE35F0">
        <w:t xml:space="preserve">, </w:t>
      </w:r>
      <w:r w:rsidR="00FE35F0" w:rsidRPr="000B010E">
        <w:rPr>
          <w:i/>
        </w:rPr>
        <w:t>supra</w:t>
      </w:r>
      <w:r w:rsidR="00FE35F0">
        <w:t>,</w:t>
      </w:r>
      <w:r w:rsidRPr="00E2393F">
        <w:t xml:space="preserve"> 3 Cal. State Bar Ct. Rptr. </w:t>
      </w:r>
      <w:r w:rsidR="00FE35F0">
        <w:t>at pp.</w:t>
      </w:r>
      <w:r w:rsidRPr="00E2393F">
        <w:t xml:space="preserve"> 132-133.)</w:t>
      </w:r>
    </w:p>
  </w:footnote>
  <w:footnote w:id="12">
    <w:p w:rsidR="00F249AA" w:rsidRDefault="00F249AA" w:rsidP="00D421FF">
      <w:pPr>
        <w:pStyle w:val="TemplateFootnote"/>
      </w:pPr>
      <w:r>
        <w:rPr>
          <w:rStyle w:val="FootnoteReference"/>
        </w:rPr>
        <w:footnoteRef/>
      </w:r>
      <w:r>
        <w:t xml:space="preserve"> OCTC claims Carver caused significant harm to his client, the Department of Child Support Services, the superior court, and “another party whose case could not be scheduled on [Marc</w:t>
      </w:r>
      <w:r w:rsidR="005C5DCD">
        <w:t>h 2, 2012</w:t>
      </w:r>
      <w:r>
        <w:t xml:space="preserve">] because [Carver] had taken it.”  (Std. 1.5(j) [providing aggravation for “significant harm to the client, the public, or the administration of justice”].)  We reject these claims as speculative; the record lacks clear and convincing evidence of specific harm to these parties.  </w:t>
      </w:r>
    </w:p>
  </w:footnote>
  <w:footnote w:id="13">
    <w:p w:rsidR="007C30BA" w:rsidRDefault="007C30BA" w:rsidP="002B4773">
      <w:pPr>
        <w:pStyle w:val="TemplateFootnote"/>
      </w:pPr>
      <w:r>
        <w:rPr>
          <w:rStyle w:val="FootnoteReference"/>
        </w:rPr>
        <w:footnoteRef/>
      </w:r>
      <w:r>
        <w:t xml:space="preserve"> The decision </w:t>
      </w:r>
      <w:r w:rsidR="00EB179E">
        <w:t>below</w:t>
      </w:r>
      <w:r w:rsidR="00FE35F0">
        <w:t xml:space="preserve"> mistakenly</w:t>
      </w:r>
      <w:r>
        <w:t xml:space="preserve"> states that C</w:t>
      </w:r>
      <w:r w:rsidR="00680360">
        <w:t>arver presented six</w:t>
      </w:r>
      <w:r>
        <w:t xml:space="preserve"> character witnesses.  </w:t>
      </w:r>
    </w:p>
  </w:footnote>
  <w:footnote w:id="14">
    <w:p w:rsidR="00EB179E" w:rsidRDefault="00EB179E" w:rsidP="009668D1">
      <w:pPr>
        <w:spacing w:after="120"/>
        <w:ind w:firstLine="720"/>
      </w:pPr>
      <w:r>
        <w:rPr>
          <w:rStyle w:val="FootnoteReference"/>
        </w:rPr>
        <w:footnoteRef/>
      </w:r>
      <w:r>
        <w:t xml:space="preserve"> We reject OCTC’s argument that a further reduction in mitigation is warranted because the witnesses were not aware of the full extent of Carver’s misconduct.  The </w:t>
      </w:r>
      <w:r w:rsidRPr="00CD22D0">
        <w:t xml:space="preserve">witnesses </w:t>
      </w:r>
      <w:r>
        <w:t xml:space="preserve">were </w:t>
      </w:r>
      <w:r w:rsidRPr="00CD22D0">
        <w:t xml:space="preserve">aware of the </w:t>
      </w:r>
      <w:r>
        <w:t xml:space="preserve">charges but </w:t>
      </w:r>
      <w:r w:rsidR="00CC410D">
        <w:t xml:space="preserve">still </w:t>
      </w:r>
      <w:r w:rsidRPr="00CD22D0">
        <w:t>did not believe Carver had acted unethically.</w:t>
      </w:r>
    </w:p>
  </w:footnote>
  <w:footnote w:id="15">
    <w:p w:rsidR="008B5724" w:rsidRDefault="007C30BA" w:rsidP="001B7A7A">
      <w:pPr>
        <w:pStyle w:val="TemplateFootnote"/>
      </w:pPr>
      <w:r>
        <w:rPr>
          <w:rStyle w:val="FootnoteReference"/>
        </w:rPr>
        <w:footnoteRef/>
      </w:r>
      <w:r>
        <w:t xml:space="preserve"> Similarly, </w:t>
      </w:r>
      <w:r w:rsidR="00A77103">
        <w:t>s</w:t>
      </w:r>
      <w:r>
        <w:t>tandard 1.2(g) defines “</w:t>
      </w:r>
      <w:r w:rsidR="00C84C9C">
        <w:t>[</w:t>
      </w:r>
      <w:r>
        <w:t>p</w:t>
      </w:r>
      <w:r w:rsidR="00C84C9C">
        <w:t>]</w:t>
      </w:r>
      <w:r>
        <w:t xml:space="preserve">rior record of discipline” as including recommendations of discipline (final or not). </w:t>
      </w:r>
    </w:p>
  </w:footnote>
  <w:footnote w:id="16">
    <w:p w:rsidR="007C30BA" w:rsidRDefault="007C30BA" w:rsidP="00045782">
      <w:pPr>
        <w:pStyle w:val="TemplateFootnote"/>
      </w:pPr>
      <w:r>
        <w:rPr>
          <w:rStyle w:val="FootnoteReference"/>
        </w:rPr>
        <w:footnoteRef/>
      </w:r>
      <w:r>
        <w:t xml:space="preserve"> </w:t>
      </w:r>
      <w:r w:rsidR="004F05F5">
        <w:t>The hearing judge expressed concern about the feasibility of recommending alternate disciplines, under rule 5.106(E), to address all potential “modified”</w:t>
      </w:r>
      <w:r>
        <w:t xml:space="preserve"> discipline outcomes that </w:t>
      </w:r>
      <w:r w:rsidR="004F05F5">
        <w:t>could</w:t>
      </w:r>
      <w:r>
        <w:t xml:space="preserve"> result on review.  </w:t>
      </w:r>
      <w:r w:rsidR="008B5724">
        <w:t xml:space="preserve">While </w:t>
      </w:r>
      <w:r w:rsidR="00E41B9F">
        <w:t>a</w:t>
      </w:r>
      <w:r>
        <w:t xml:space="preserve"> judge cannot anticipate</w:t>
      </w:r>
      <w:r w:rsidR="004F05F5">
        <w:t xml:space="preserve"> </w:t>
      </w:r>
      <w:r w:rsidR="008B5724">
        <w:t xml:space="preserve">every </w:t>
      </w:r>
      <w:r w:rsidR="007D4AFA">
        <w:t>possible</w:t>
      </w:r>
      <w:r>
        <w:t xml:space="preserve"> outcome</w:t>
      </w:r>
      <w:r w:rsidR="008B5724">
        <w:t>,</w:t>
      </w:r>
      <w:r>
        <w:t xml:space="preserve"> the rule requires </w:t>
      </w:r>
      <w:r w:rsidR="008B5724">
        <w:t>the</w:t>
      </w:r>
      <w:r w:rsidR="004F05F5">
        <w:t xml:space="preserve"> court to provide</w:t>
      </w:r>
      <w:r w:rsidR="00E41B9F">
        <w:t xml:space="preserve"> </w:t>
      </w:r>
      <w:r w:rsidR="00D97C59">
        <w:t xml:space="preserve">such </w:t>
      </w:r>
      <w:r>
        <w:t>alternate dispositions</w:t>
      </w:r>
      <w:r w:rsidR="00E41B9F">
        <w:t xml:space="preserve"> address</w:t>
      </w:r>
      <w:r w:rsidR="00AA04D9">
        <w:t>ing any specific</w:t>
      </w:r>
      <w:r>
        <w:t xml:space="preserve"> modified </w:t>
      </w:r>
      <w:r w:rsidR="009130E0">
        <w:t>discipline</w:t>
      </w:r>
      <w:r w:rsidR="00AA04D9">
        <w:t xml:space="preserve"> outcome (or ou</w:t>
      </w:r>
      <w:r>
        <w:t>tcomes</w:t>
      </w:r>
      <w:r w:rsidR="00AA04D9">
        <w:t xml:space="preserve">) </w:t>
      </w:r>
      <w:r w:rsidR="00D97C59">
        <w:t xml:space="preserve">that </w:t>
      </w:r>
      <w:r w:rsidR="008B5724">
        <w:t>it</w:t>
      </w:r>
      <w:r>
        <w:t xml:space="preserve"> views as reasonably likely.</w:t>
      </w:r>
      <w:r w:rsidR="00D22E25">
        <w:t xml:space="preserve">   </w:t>
      </w:r>
    </w:p>
  </w:footnote>
  <w:footnote w:id="17">
    <w:p w:rsidR="00AB3422" w:rsidRDefault="00AB3422" w:rsidP="00D97C59">
      <w:pPr>
        <w:pStyle w:val="FootnoteText"/>
        <w:spacing w:after="120"/>
      </w:pPr>
      <w:r>
        <w:rPr>
          <w:rStyle w:val="FootnoteReference"/>
        </w:rPr>
        <w:footnoteRef/>
      </w:r>
      <w:r>
        <w:t xml:space="preserve"> </w:t>
      </w:r>
      <w:r w:rsidR="00F23A41">
        <w:t xml:space="preserve">The following standards also apply: </w:t>
      </w:r>
      <w:r>
        <w:t xml:space="preserve">2.10 (disbarment or actual suspension is the presumed sanction for UPL by a member who is enrolled involuntarily as inactive under </w:t>
      </w:r>
      <w:r w:rsidR="00F23A41">
        <w:t xml:space="preserve">   </w:t>
      </w:r>
      <w:r>
        <w:t>section 6007</w:t>
      </w:r>
      <w:r w:rsidR="00D96CF9">
        <w:t xml:space="preserve">, subdivision </w:t>
      </w:r>
      <w:r>
        <w:t>(e), with the degree of sanction depending on whether the member acted knowingly)</w:t>
      </w:r>
      <w:r w:rsidR="00F23A41">
        <w:t>;</w:t>
      </w:r>
      <w:r>
        <w:t xml:space="preserve"> and </w:t>
      </w:r>
      <w:r>
        <w:rPr>
          <w:rFonts w:eastAsia="Times New Roman"/>
          <w:szCs w:val="24"/>
        </w:rPr>
        <w:t xml:space="preserve">2.11 (disbarment or </w:t>
      </w:r>
      <w:r w:rsidRPr="00C0604C">
        <w:rPr>
          <w:rFonts w:eastAsia="Times New Roman"/>
          <w:szCs w:val="24"/>
        </w:rPr>
        <w:t>actual suspension is the presumed sanction</w:t>
      </w:r>
      <w:r>
        <w:rPr>
          <w:rFonts w:eastAsia="Times New Roman"/>
          <w:szCs w:val="24"/>
        </w:rPr>
        <w:t xml:space="preserve"> for</w:t>
      </w:r>
      <w:r w:rsidR="00AF35D0">
        <w:rPr>
          <w:rFonts w:eastAsia="Times New Roman"/>
          <w:szCs w:val="24"/>
        </w:rPr>
        <w:t xml:space="preserve"> an act of</w:t>
      </w:r>
      <w:r>
        <w:rPr>
          <w:rFonts w:eastAsia="Times New Roman"/>
          <w:szCs w:val="24"/>
        </w:rPr>
        <w:t xml:space="preserve"> moral turpitude, with the degree of sanction depending on the magnitude of the misconduct</w:t>
      </w:r>
      <w:r w:rsidR="00D96CF9">
        <w:rPr>
          <w:rFonts w:eastAsia="Times New Roman"/>
          <w:szCs w:val="24"/>
        </w:rPr>
        <w:t>,</w:t>
      </w:r>
      <w:r>
        <w:rPr>
          <w:rFonts w:eastAsia="Times New Roman"/>
          <w:szCs w:val="24"/>
        </w:rPr>
        <w:t xml:space="preserve"> the extent to which it harmed or misled the victim</w:t>
      </w:r>
      <w:r w:rsidR="00D96CF9">
        <w:rPr>
          <w:rFonts w:eastAsia="Times New Roman"/>
          <w:szCs w:val="24"/>
        </w:rPr>
        <w:t>,</w:t>
      </w:r>
      <w:r>
        <w:rPr>
          <w:rFonts w:eastAsia="Times New Roman"/>
          <w:szCs w:val="24"/>
        </w:rPr>
        <w:t xml:space="preserve"> its impact on the administration of justice</w:t>
      </w:r>
      <w:r w:rsidR="00D96CF9">
        <w:rPr>
          <w:rFonts w:eastAsia="Times New Roman"/>
          <w:szCs w:val="24"/>
        </w:rPr>
        <w:t>,</w:t>
      </w:r>
      <w:r>
        <w:rPr>
          <w:rFonts w:eastAsia="Times New Roman"/>
          <w:szCs w:val="24"/>
        </w:rPr>
        <w:t xml:space="preserve"> and the extent to which it related to the member’s practice of law).  </w:t>
      </w:r>
    </w:p>
  </w:footnote>
  <w:footnote w:id="18">
    <w:p w:rsidR="000841D8" w:rsidRDefault="000841D8" w:rsidP="000841D8">
      <w:pPr>
        <w:pStyle w:val="TemplateFootnote"/>
      </w:pPr>
      <w:r>
        <w:rPr>
          <w:rStyle w:val="FootnoteReference"/>
        </w:rPr>
        <w:footnoteRef/>
      </w:r>
      <w:r w:rsidR="00C444B8">
        <w:t xml:space="preserve"> </w:t>
      </w:r>
      <w:r w:rsidR="0091095D">
        <w:t>Compare</w:t>
      </w:r>
      <w:r w:rsidR="00174522">
        <w:t xml:space="preserve"> </w:t>
      </w:r>
      <w:r w:rsidRPr="006801C1">
        <w:rPr>
          <w:i/>
        </w:rPr>
        <w:t>Barnum v. State Bar</w:t>
      </w:r>
      <w:r w:rsidR="00B90F6D" w:rsidRPr="000B010E">
        <w:t>,</w:t>
      </w:r>
      <w:r w:rsidR="00B90F6D">
        <w:rPr>
          <w:i/>
        </w:rPr>
        <w:t xml:space="preserve"> </w:t>
      </w:r>
      <w:r w:rsidR="00B90F6D" w:rsidRPr="00A80563">
        <w:rPr>
          <w:i/>
        </w:rPr>
        <w:t>supra</w:t>
      </w:r>
      <w:r w:rsidR="00B90F6D">
        <w:t>,</w:t>
      </w:r>
      <w:r>
        <w:t xml:space="preserve"> 52 Cal.3d </w:t>
      </w:r>
      <w:r w:rsidR="00B90F6D">
        <w:t>at p. 113</w:t>
      </w:r>
      <w:r>
        <w:t xml:space="preserve"> </w:t>
      </w:r>
      <w:r w:rsidR="00174522">
        <w:t>(</w:t>
      </w:r>
      <w:r>
        <w:t xml:space="preserve">disbarment </w:t>
      </w:r>
      <w:r w:rsidR="00B90F6D">
        <w:t xml:space="preserve">where </w:t>
      </w:r>
      <w:r w:rsidR="008365B3">
        <w:t xml:space="preserve">three </w:t>
      </w:r>
      <w:r w:rsidR="00107EE8">
        <w:t>prior disciplines</w:t>
      </w:r>
      <w:r w:rsidR="00A80563">
        <w:t>;</w:t>
      </w:r>
      <w:r w:rsidR="00B90F6D">
        <w:t xml:space="preserve"> </w:t>
      </w:r>
      <w:r>
        <w:t>depression was not “most compelling” mitigation when weighed against risk of recurrence of misconduct</w:t>
      </w:r>
      <w:r w:rsidR="00174522">
        <w:t>)</w:t>
      </w:r>
      <w:r w:rsidR="00A80563">
        <w:t>,</w:t>
      </w:r>
      <w:r w:rsidR="0091095D">
        <w:t xml:space="preserve"> and</w:t>
      </w:r>
      <w:r>
        <w:t xml:space="preserve"> </w:t>
      </w:r>
      <w:r w:rsidRPr="001133A2">
        <w:rPr>
          <w:i/>
        </w:rPr>
        <w:t>In the Matter of Hunter</w:t>
      </w:r>
      <w:r>
        <w:t xml:space="preserve"> (Review Dept. 1994) 3 Cal. State Bar Ct. Rptr. 63, 80 </w:t>
      </w:r>
      <w:r w:rsidR="00174522">
        <w:t>(</w:t>
      </w:r>
      <w:r w:rsidR="00954ECB">
        <w:t xml:space="preserve">disbarment </w:t>
      </w:r>
      <w:r w:rsidR="00B90F6D">
        <w:t xml:space="preserve">where </w:t>
      </w:r>
      <w:r>
        <w:t xml:space="preserve">two </w:t>
      </w:r>
      <w:r w:rsidR="00954ECB">
        <w:t>prior discipline</w:t>
      </w:r>
      <w:r w:rsidR="008365B3">
        <w:t>s</w:t>
      </w:r>
      <w:r w:rsidR="00954ECB">
        <w:t xml:space="preserve"> </w:t>
      </w:r>
      <w:r w:rsidR="00B90F6D">
        <w:t xml:space="preserve">and </w:t>
      </w:r>
      <w:r w:rsidR="00954ECB">
        <w:t xml:space="preserve">attorney </w:t>
      </w:r>
      <w:r>
        <w:t>was unable to conform conduct to ethical norms</w:t>
      </w:r>
      <w:r w:rsidR="00F22F9C">
        <w:t>; no mitigation</w:t>
      </w:r>
      <w:r w:rsidR="00174522">
        <w:t>)</w:t>
      </w:r>
      <w:r w:rsidR="001C63A2">
        <w:t>,</w:t>
      </w:r>
      <w:r w:rsidR="0091095D">
        <w:t xml:space="preserve"> with </w:t>
      </w:r>
      <w:r w:rsidR="0091095D" w:rsidRPr="00550DA6">
        <w:rPr>
          <w:i/>
        </w:rPr>
        <w:t>In</w:t>
      </w:r>
      <w:r w:rsidR="0091095D">
        <w:t xml:space="preserve"> </w:t>
      </w:r>
      <w:r w:rsidR="0091095D" w:rsidRPr="00550DA6">
        <w:rPr>
          <w:i/>
        </w:rPr>
        <w:t>the Matter of Lawrence</w:t>
      </w:r>
      <w:r w:rsidR="0091095D">
        <w:t xml:space="preserve"> (Review Dept</w:t>
      </w:r>
      <w:r w:rsidR="00550DA6">
        <w:t xml:space="preserve">. </w:t>
      </w:r>
      <w:r w:rsidR="0091095D">
        <w:t>2013</w:t>
      </w:r>
      <w:r w:rsidR="00550DA6">
        <w:t>)</w:t>
      </w:r>
      <w:r w:rsidR="0091095D">
        <w:t xml:space="preserve"> 5 Cal. State Bar Ct. Rptr</w:t>
      </w:r>
      <w:r w:rsidR="001C63A2">
        <w:t>.</w:t>
      </w:r>
      <w:r w:rsidR="00550DA6">
        <w:t xml:space="preserve"> </w:t>
      </w:r>
      <w:r w:rsidR="0088081E">
        <w:t>239, 24</w:t>
      </w:r>
      <w:r w:rsidR="000B08BA">
        <w:t>6</w:t>
      </w:r>
      <w:r w:rsidR="0088081E">
        <w:t>-248</w:t>
      </w:r>
      <w:r w:rsidR="001C63A2">
        <w:t xml:space="preserve"> (</w:t>
      </w:r>
      <w:r w:rsidR="0091095D">
        <w:t>three</w:t>
      </w:r>
      <w:r w:rsidR="00550DA6">
        <w:t>-</w:t>
      </w:r>
      <w:r w:rsidR="0091095D">
        <w:t xml:space="preserve">year actual suspension </w:t>
      </w:r>
      <w:r w:rsidR="00B90F6D">
        <w:t xml:space="preserve">where </w:t>
      </w:r>
      <w:r w:rsidR="0091095D">
        <w:t xml:space="preserve">three </w:t>
      </w:r>
      <w:r w:rsidR="00550DA6">
        <w:t xml:space="preserve">prior </w:t>
      </w:r>
      <w:r w:rsidR="0091095D">
        <w:t>discipline</w:t>
      </w:r>
      <w:r w:rsidR="008365B3">
        <w:t>s</w:t>
      </w:r>
      <w:r w:rsidR="001C63A2">
        <w:t>;</w:t>
      </w:r>
      <w:r w:rsidR="00667B83">
        <w:t xml:space="preserve"> attorney </w:t>
      </w:r>
      <w:r w:rsidR="00550DA6">
        <w:t xml:space="preserve">suffered </w:t>
      </w:r>
      <w:r w:rsidR="0091095D">
        <w:t xml:space="preserve">extreme physical </w:t>
      </w:r>
      <w:r w:rsidR="00550DA6">
        <w:t>disabilities</w:t>
      </w:r>
      <w:r w:rsidR="0091095D">
        <w:t xml:space="preserve"> </w:t>
      </w:r>
      <w:r w:rsidR="00550DA6">
        <w:t>that caused or contributed to misconduct for 30 years</w:t>
      </w:r>
      <w:r w:rsidR="001C63A2">
        <w:t xml:space="preserve"> and</w:t>
      </w:r>
      <w:r w:rsidR="00F22F9C">
        <w:t xml:space="preserve"> mitigation outweighed aggravation</w:t>
      </w:r>
      <w:r w:rsidR="00550DA6">
        <w:t>)</w:t>
      </w:r>
      <w:r>
        <w:t xml:space="preserve">.  </w:t>
      </w:r>
    </w:p>
  </w:footnote>
  <w:footnote w:id="19">
    <w:p w:rsidR="007C30BA" w:rsidRPr="001C63A2" w:rsidRDefault="001C63A2" w:rsidP="000B010E">
      <w:pPr>
        <w:tabs>
          <w:tab w:val="left" w:pos="720"/>
        </w:tabs>
        <w:rPr>
          <w:szCs w:val="24"/>
        </w:rPr>
      </w:pPr>
      <w:r>
        <w:rPr>
          <w:rStyle w:val="FootnoteReference"/>
        </w:rPr>
        <w:tab/>
      </w:r>
      <w:r w:rsidR="007C30BA">
        <w:rPr>
          <w:rStyle w:val="FootnoteReference"/>
        </w:rPr>
        <w:t>*</w:t>
      </w:r>
      <w:r w:rsidR="007C30BA">
        <w:t xml:space="preserve"> </w:t>
      </w:r>
      <w:r w:rsidRPr="00122E47">
        <w:rPr>
          <w:szCs w:val="24"/>
        </w:rPr>
        <w:t>Retired Presiding Judge of the State Bar Court, serving as Review Judge Pro Tem by appointment of the California Supreme Court</w:t>
      </w:r>
      <w:r>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77" w:rsidRDefault="001476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77" w:rsidRDefault="001476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77" w:rsidRDefault="00147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nsid w:val="385A1215"/>
    <w:multiLevelType w:val="hybridMultilevel"/>
    <w:tmpl w:val="6860C7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6">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F80252"/>
    <w:multiLevelType w:val="hybridMultilevel"/>
    <w:tmpl w:val="6860C7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3"/>
  </w:num>
  <w:num w:numId="2">
    <w:abstractNumId w:val="12"/>
  </w:num>
  <w:num w:numId="3">
    <w:abstractNumId w:val="5"/>
  </w:num>
  <w:num w:numId="4">
    <w:abstractNumId w:val="18"/>
  </w:num>
  <w:num w:numId="5">
    <w:abstractNumId w:val="4"/>
  </w:num>
  <w:num w:numId="6">
    <w:abstractNumId w:val="14"/>
  </w:num>
  <w:num w:numId="7">
    <w:abstractNumId w:val="8"/>
  </w:num>
  <w:num w:numId="8">
    <w:abstractNumId w:val="7"/>
  </w:num>
  <w:num w:numId="9">
    <w:abstractNumId w:val="16"/>
  </w:num>
  <w:num w:numId="10">
    <w:abstractNumId w:val="15"/>
  </w:num>
  <w:num w:numId="11">
    <w:abstractNumId w:val="11"/>
  </w:num>
  <w:num w:numId="12">
    <w:abstractNumId w:val="6"/>
  </w:num>
  <w:num w:numId="13">
    <w:abstractNumId w:val="22"/>
  </w:num>
  <w:num w:numId="14">
    <w:abstractNumId w:val="17"/>
  </w:num>
  <w:num w:numId="15">
    <w:abstractNumId w:val="9"/>
  </w:num>
  <w:num w:numId="16">
    <w:abstractNumId w:val="3"/>
  </w:num>
  <w:num w:numId="17">
    <w:abstractNumId w:val="0"/>
  </w:num>
  <w:num w:numId="18">
    <w:abstractNumId w:val="21"/>
  </w:num>
  <w:num w:numId="19">
    <w:abstractNumId w:val="1"/>
  </w:num>
  <w:num w:numId="20">
    <w:abstractNumId w:val="2"/>
  </w:num>
  <w:num w:numId="21">
    <w:abstractNumId w:val="20"/>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TrackMoves/>
  <w:doNotTrackFormatting/>
  <w:documentProtection w:edit="readOnly" w:enforcement="0"/>
  <w:defaultTabStop w:val="720"/>
  <w:drawingGridHorizontalSpacing w:val="120"/>
  <w:displayHorizontalDrawingGridEvery w:val="2"/>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A1"/>
    <w:rsid w:val="00000B01"/>
    <w:rsid w:val="00002C35"/>
    <w:rsid w:val="000031A0"/>
    <w:rsid w:val="00003FA0"/>
    <w:rsid w:val="00004BA9"/>
    <w:rsid w:val="00005CB9"/>
    <w:rsid w:val="00006134"/>
    <w:rsid w:val="00006489"/>
    <w:rsid w:val="000068F2"/>
    <w:rsid w:val="00006CB8"/>
    <w:rsid w:val="00010544"/>
    <w:rsid w:val="00010915"/>
    <w:rsid w:val="00012B53"/>
    <w:rsid w:val="000141DF"/>
    <w:rsid w:val="000161FD"/>
    <w:rsid w:val="000170C6"/>
    <w:rsid w:val="00017479"/>
    <w:rsid w:val="00020A52"/>
    <w:rsid w:val="00021463"/>
    <w:rsid w:val="00021CB2"/>
    <w:rsid w:val="00021D3F"/>
    <w:rsid w:val="00022CA1"/>
    <w:rsid w:val="000230CD"/>
    <w:rsid w:val="00023A6E"/>
    <w:rsid w:val="00023CB5"/>
    <w:rsid w:val="00024958"/>
    <w:rsid w:val="00024EFB"/>
    <w:rsid w:val="00024FAE"/>
    <w:rsid w:val="00024FD1"/>
    <w:rsid w:val="0002656E"/>
    <w:rsid w:val="00027125"/>
    <w:rsid w:val="000275B2"/>
    <w:rsid w:val="00027D29"/>
    <w:rsid w:val="00030314"/>
    <w:rsid w:val="00030B33"/>
    <w:rsid w:val="000310B8"/>
    <w:rsid w:val="0003339E"/>
    <w:rsid w:val="000350BF"/>
    <w:rsid w:val="00035360"/>
    <w:rsid w:val="000353C9"/>
    <w:rsid w:val="00035465"/>
    <w:rsid w:val="0003562F"/>
    <w:rsid w:val="00036113"/>
    <w:rsid w:val="00040DF6"/>
    <w:rsid w:val="00041AD2"/>
    <w:rsid w:val="00041EC3"/>
    <w:rsid w:val="00043210"/>
    <w:rsid w:val="000432A2"/>
    <w:rsid w:val="0004382E"/>
    <w:rsid w:val="0004406E"/>
    <w:rsid w:val="000440A9"/>
    <w:rsid w:val="00044C08"/>
    <w:rsid w:val="00044D68"/>
    <w:rsid w:val="00045782"/>
    <w:rsid w:val="000465A6"/>
    <w:rsid w:val="00046889"/>
    <w:rsid w:val="0004767D"/>
    <w:rsid w:val="00047D85"/>
    <w:rsid w:val="00050A6C"/>
    <w:rsid w:val="00051180"/>
    <w:rsid w:val="000517DE"/>
    <w:rsid w:val="0005328D"/>
    <w:rsid w:val="00053725"/>
    <w:rsid w:val="000544D7"/>
    <w:rsid w:val="00054927"/>
    <w:rsid w:val="00055C8A"/>
    <w:rsid w:val="00057BCC"/>
    <w:rsid w:val="00063B55"/>
    <w:rsid w:val="00064256"/>
    <w:rsid w:val="000655D7"/>
    <w:rsid w:val="00065A44"/>
    <w:rsid w:val="00067693"/>
    <w:rsid w:val="000703FE"/>
    <w:rsid w:val="000712CE"/>
    <w:rsid w:val="0007189B"/>
    <w:rsid w:val="00072473"/>
    <w:rsid w:val="00073B53"/>
    <w:rsid w:val="00073E72"/>
    <w:rsid w:val="00073F66"/>
    <w:rsid w:val="0007467C"/>
    <w:rsid w:val="00074EAC"/>
    <w:rsid w:val="00075609"/>
    <w:rsid w:val="00075799"/>
    <w:rsid w:val="0007582A"/>
    <w:rsid w:val="00075A01"/>
    <w:rsid w:val="00076491"/>
    <w:rsid w:val="00076FB9"/>
    <w:rsid w:val="00077172"/>
    <w:rsid w:val="0007748F"/>
    <w:rsid w:val="00080030"/>
    <w:rsid w:val="000812B6"/>
    <w:rsid w:val="000818AA"/>
    <w:rsid w:val="00081A20"/>
    <w:rsid w:val="00081ECD"/>
    <w:rsid w:val="00083D2B"/>
    <w:rsid w:val="000841D8"/>
    <w:rsid w:val="000846CE"/>
    <w:rsid w:val="000851A6"/>
    <w:rsid w:val="000852E6"/>
    <w:rsid w:val="00085917"/>
    <w:rsid w:val="0008600E"/>
    <w:rsid w:val="00087857"/>
    <w:rsid w:val="00087A7F"/>
    <w:rsid w:val="0009100A"/>
    <w:rsid w:val="000915AA"/>
    <w:rsid w:val="00092189"/>
    <w:rsid w:val="0009366D"/>
    <w:rsid w:val="00093BAD"/>
    <w:rsid w:val="00094E32"/>
    <w:rsid w:val="00095577"/>
    <w:rsid w:val="000960AB"/>
    <w:rsid w:val="0009672E"/>
    <w:rsid w:val="00096BB4"/>
    <w:rsid w:val="000A0580"/>
    <w:rsid w:val="000A09BE"/>
    <w:rsid w:val="000A0E6A"/>
    <w:rsid w:val="000A4F83"/>
    <w:rsid w:val="000A5822"/>
    <w:rsid w:val="000A7B8F"/>
    <w:rsid w:val="000B010E"/>
    <w:rsid w:val="000B08BA"/>
    <w:rsid w:val="000B08C7"/>
    <w:rsid w:val="000B0E17"/>
    <w:rsid w:val="000B13AF"/>
    <w:rsid w:val="000B2528"/>
    <w:rsid w:val="000B2560"/>
    <w:rsid w:val="000B28D8"/>
    <w:rsid w:val="000B337B"/>
    <w:rsid w:val="000B510F"/>
    <w:rsid w:val="000B5345"/>
    <w:rsid w:val="000B629E"/>
    <w:rsid w:val="000B77F9"/>
    <w:rsid w:val="000B7C9B"/>
    <w:rsid w:val="000B7D99"/>
    <w:rsid w:val="000C014F"/>
    <w:rsid w:val="000C03F3"/>
    <w:rsid w:val="000C10A6"/>
    <w:rsid w:val="000C14A9"/>
    <w:rsid w:val="000C3A7F"/>
    <w:rsid w:val="000C4009"/>
    <w:rsid w:val="000C4D16"/>
    <w:rsid w:val="000C4FD2"/>
    <w:rsid w:val="000C5BCE"/>
    <w:rsid w:val="000C5EE1"/>
    <w:rsid w:val="000C647B"/>
    <w:rsid w:val="000C6648"/>
    <w:rsid w:val="000C7370"/>
    <w:rsid w:val="000C7A2C"/>
    <w:rsid w:val="000D0899"/>
    <w:rsid w:val="000D1D7B"/>
    <w:rsid w:val="000D2168"/>
    <w:rsid w:val="000D2987"/>
    <w:rsid w:val="000D32D4"/>
    <w:rsid w:val="000D395B"/>
    <w:rsid w:val="000D4011"/>
    <w:rsid w:val="000D46C7"/>
    <w:rsid w:val="000D6B50"/>
    <w:rsid w:val="000D722A"/>
    <w:rsid w:val="000E04D6"/>
    <w:rsid w:val="000E0A7C"/>
    <w:rsid w:val="000E0DD9"/>
    <w:rsid w:val="000E0EAB"/>
    <w:rsid w:val="000E1A58"/>
    <w:rsid w:val="000E23F8"/>
    <w:rsid w:val="000E2AEE"/>
    <w:rsid w:val="000E2D63"/>
    <w:rsid w:val="000E4FA7"/>
    <w:rsid w:val="000E71F5"/>
    <w:rsid w:val="000F1994"/>
    <w:rsid w:val="000F2D46"/>
    <w:rsid w:val="000F3643"/>
    <w:rsid w:val="000F3A25"/>
    <w:rsid w:val="000F47EB"/>
    <w:rsid w:val="000F5545"/>
    <w:rsid w:val="000F5E10"/>
    <w:rsid w:val="000F70F0"/>
    <w:rsid w:val="000F7978"/>
    <w:rsid w:val="001009B3"/>
    <w:rsid w:val="001010B9"/>
    <w:rsid w:val="001011B4"/>
    <w:rsid w:val="00102854"/>
    <w:rsid w:val="00102978"/>
    <w:rsid w:val="00103788"/>
    <w:rsid w:val="00104166"/>
    <w:rsid w:val="0010462D"/>
    <w:rsid w:val="00104C8A"/>
    <w:rsid w:val="00106AF8"/>
    <w:rsid w:val="00107EE8"/>
    <w:rsid w:val="001103B3"/>
    <w:rsid w:val="00111347"/>
    <w:rsid w:val="00111614"/>
    <w:rsid w:val="00111677"/>
    <w:rsid w:val="00111915"/>
    <w:rsid w:val="00112150"/>
    <w:rsid w:val="00112AA8"/>
    <w:rsid w:val="001133C6"/>
    <w:rsid w:val="001134AB"/>
    <w:rsid w:val="00114CB1"/>
    <w:rsid w:val="00115276"/>
    <w:rsid w:val="00116196"/>
    <w:rsid w:val="00116546"/>
    <w:rsid w:val="001207E2"/>
    <w:rsid w:val="00121363"/>
    <w:rsid w:val="0012185D"/>
    <w:rsid w:val="001228BF"/>
    <w:rsid w:val="00123DCF"/>
    <w:rsid w:val="0012550F"/>
    <w:rsid w:val="001258F3"/>
    <w:rsid w:val="00125F25"/>
    <w:rsid w:val="00126409"/>
    <w:rsid w:val="00130296"/>
    <w:rsid w:val="00131B92"/>
    <w:rsid w:val="001331E5"/>
    <w:rsid w:val="001332D5"/>
    <w:rsid w:val="001354E3"/>
    <w:rsid w:val="00136A2C"/>
    <w:rsid w:val="00136D30"/>
    <w:rsid w:val="00136FD8"/>
    <w:rsid w:val="00140413"/>
    <w:rsid w:val="00140F30"/>
    <w:rsid w:val="0014186C"/>
    <w:rsid w:val="001457F6"/>
    <w:rsid w:val="00145C95"/>
    <w:rsid w:val="001462CD"/>
    <w:rsid w:val="0014648D"/>
    <w:rsid w:val="0014677E"/>
    <w:rsid w:val="001469C6"/>
    <w:rsid w:val="00146EDB"/>
    <w:rsid w:val="00147677"/>
    <w:rsid w:val="001479FD"/>
    <w:rsid w:val="00151C19"/>
    <w:rsid w:val="00152182"/>
    <w:rsid w:val="001523C3"/>
    <w:rsid w:val="00152E57"/>
    <w:rsid w:val="00152F00"/>
    <w:rsid w:val="0015497C"/>
    <w:rsid w:val="00155222"/>
    <w:rsid w:val="00155BA0"/>
    <w:rsid w:val="001567DB"/>
    <w:rsid w:val="001571A3"/>
    <w:rsid w:val="00160894"/>
    <w:rsid w:val="00160EAF"/>
    <w:rsid w:val="00161DB7"/>
    <w:rsid w:val="001625AF"/>
    <w:rsid w:val="00162DF6"/>
    <w:rsid w:val="001633B2"/>
    <w:rsid w:val="00164155"/>
    <w:rsid w:val="001642B3"/>
    <w:rsid w:val="00164995"/>
    <w:rsid w:val="0016515E"/>
    <w:rsid w:val="00166718"/>
    <w:rsid w:val="001667A3"/>
    <w:rsid w:val="00167BD8"/>
    <w:rsid w:val="00170437"/>
    <w:rsid w:val="001704EB"/>
    <w:rsid w:val="00170FBD"/>
    <w:rsid w:val="00171C93"/>
    <w:rsid w:val="00173670"/>
    <w:rsid w:val="00174522"/>
    <w:rsid w:val="001752D9"/>
    <w:rsid w:val="0017668C"/>
    <w:rsid w:val="001767D3"/>
    <w:rsid w:val="00176AEE"/>
    <w:rsid w:val="00180010"/>
    <w:rsid w:val="00180280"/>
    <w:rsid w:val="0018088D"/>
    <w:rsid w:val="00183C8D"/>
    <w:rsid w:val="00185370"/>
    <w:rsid w:val="001855DC"/>
    <w:rsid w:val="0018573C"/>
    <w:rsid w:val="00185F70"/>
    <w:rsid w:val="001862F3"/>
    <w:rsid w:val="0019050E"/>
    <w:rsid w:val="001911B3"/>
    <w:rsid w:val="00191989"/>
    <w:rsid w:val="00191D0C"/>
    <w:rsid w:val="0019246D"/>
    <w:rsid w:val="00193AFD"/>
    <w:rsid w:val="00194229"/>
    <w:rsid w:val="001953D0"/>
    <w:rsid w:val="00195B46"/>
    <w:rsid w:val="00196057"/>
    <w:rsid w:val="00196BF7"/>
    <w:rsid w:val="001A0418"/>
    <w:rsid w:val="001A0A4B"/>
    <w:rsid w:val="001A1A74"/>
    <w:rsid w:val="001A23ED"/>
    <w:rsid w:val="001A3082"/>
    <w:rsid w:val="001A3EAF"/>
    <w:rsid w:val="001A4AF5"/>
    <w:rsid w:val="001A6512"/>
    <w:rsid w:val="001A69E5"/>
    <w:rsid w:val="001A6CD9"/>
    <w:rsid w:val="001A7017"/>
    <w:rsid w:val="001A7BF0"/>
    <w:rsid w:val="001B03D1"/>
    <w:rsid w:val="001B0733"/>
    <w:rsid w:val="001B088E"/>
    <w:rsid w:val="001B12A4"/>
    <w:rsid w:val="001B208B"/>
    <w:rsid w:val="001B21E7"/>
    <w:rsid w:val="001B2F99"/>
    <w:rsid w:val="001B35CC"/>
    <w:rsid w:val="001B3B9E"/>
    <w:rsid w:val="001B458D"/>
    <w:rsid w:val="001B5D2E"/>
    <w:rsid w:val="001B720E"/>
    <w:rsid w:val="001B7304"/>
    <w:rsid w:val="001B760D"/>
    <w:rsid w:val="001B7A7A"/>
    <w:rsid w:val="001C02DA"/>
    <w:rsid w:val="001C0964"/>
    <w:rsid w:val="001C177C"/>
    <w:rsid w:val="001C197A"/>
    <w:rsid w:val="001C24A2"/>
    <w:rsid w:val="001C3257"/>
    <w:rsid w:val="001C33A0"/>
    <w:rsid w:val="001C4C84"/>
    <w:rsid w:val="001C6045"/>
    <w:rsid w:val="001C630E"/>
    <w:rsid w:val="001C6320"/>
    <w:rsid w:val="001C63A2"/>
    <w:rsid w:val="001C6446"/>
    <w:rsid w:val="001C7C18"/>
    <w:rsid w:val="001C7E4A"/>
    <w:rsid w:val="001D1925"/>
    <w:rsid w:val="001D1CC3"/>
    <w:rsid w:val="001D283F"/>
    <w:rsid w:val="001D3A28"/>
    <w:rsid w:val="001D4525"/>
    <w:rsid w:val="001D4B5B"/>
    <w:rsid w:val="001D4D9F"/>
    <w:rsid w:val="001D4E24"/>
    <w:rsid w:val="001D69C0"/>
    <w:rsid w:val="001D6F88"/>
    <w:rsid w:val="001D72B0"/>
    <w:rsid w:val="001D7AF8"/>
    <w:rsid w:val="001D7E9C"/>
    <w:rsid w:val="001E0112"/>
    <w:rsid w:val="001E1201"/>
    <w:rsid w:val="001E2316"/>
    <w:rsid w:val="001E3501"/>
    <w:rsid w:val="001E37E6"/>
    <w:rsid w:val="001E3CE0"/>
    <w:rsid w:val="001E3F0F"/>
    <w:rsid w:val="001E410B"/>
    <w:rsid w:val="001E5A9B"/>
    <w:rsid w:val="001E64A0"/>
    <w:rsid w:val="001E727E"/>
    <w:rsid w:val="001E7594"/>
    <w:rsid w:val="001F02DB"/>
    <w:rsid w:val="001F0D27"/>
    <w:rsid w:val="001F15C7"/>
    <w:rsid w:val="001F1F88"/>
    <w:rsid w:val="001F3307"/>
    <w:rsid w:val="001F3686"/>
    <w:rsid w:val="001F5571"/>
    <w:rsid w:val="001F56E7"/>
    <w:rsid w:val="001F574D"/>
    <w:rsid w:val="001F5BA8"/>
    <w:rsid w:val="001F5E02"/>
    <w:rsid w:val="001F64C0"/>
    <w:rsid w:val="001F6DAE"/>
    <w:rsid w:val="001F79FC"/>
    <w:rsid w:val="0020030F"/>
    <w:rsid w:val="00200480"/>
    <w:rsid w:val="00202638"/>
    <w:rsid w:val="00203461"/>
    <w:rsid w:val="0020350B"/>
    <w:rsid w:val="00203644"/>
    <w:rsid w:val="00203795"/>
    <w:rsid w:val="00203B97"/>
    <w:rsid w:val="00203E7A"/>
    <w:rsid w:val="00204D2E"/>
    <w:rsid w:val="0020565C"/>
    <w:rsid w:val="00207B49"/>
    <w:rsid w:val="00211893"/>
    <w:rsid w:val="00211D28"/>
    <w:rsid w:val="00212060"/>
    <w:rsid w:val="0021295A"/>
    <w:rsid w:val="00212A35"/>
    <w:rsid w:val="00213DBA"/>
    <w:rsid w:val="00214BE8"/>
    <w:rsid w:val="00215C8B"/>
    <w:rsid w:val="002169AB"/>
    <w:rsid w:val="0021715D"/>
    <w:rsid w:val="002174B8"/>
    <w:rsid w:val="002179CE"/>
    <w:rsid w:val="00221370"/>
    <w:rsid w:val="002221FF"/>
    <w:rsid w:val="00223504"/>
    <w:rsid w:val="00223BF0"/>
    <w:rsid w:val="002240B1"/>
    <w:rsid w:val="0022503C"/>
    <w:rsid w:val="002260CA"/>
    <w:rsid w:val="002267D9"/>
    <w:rsid w:val="00226852"/>
    <w:rsid w:val="002303A0"/>
    <w:rsid w:val="0023102F"/>
    <w:rsid w:val="00231701"/>
    <w:rsid w:val="0023289D"/>
    <w:rsid w:val="00232BEA"/>
    <w:rsid w:val="0023331F"/>
    <w:rsid w:val="002335DB"/>
    <w:rsid w:val="002347CC"/>
    <w:rsid w:val="00234C1D"/>
    <w:rsid w:val="00234D03"/>
    <w:rsid w:val="00234F50"/>
    <w:rsid w:val="002358D5"/>
    <w:rsid w:val="00235B76"/>
    <w:rsid w:val="002363EC"/>
    <w:rsid w:val="00236757"/>
    <w:rsid w:val="00236D38"/>
    <w:rsid w:val="00236DC6"/>
    <w:rsid w:val="002372CA"/>
    <w:rsid w:val="0023766E"/>
    <w:rsid w:val="00240E2B"/>
    <w:rsid w:val="0024299E"/>
    <w:rsid w:val="00242A80"/>
    <w:rsid w:val="00243A9D"/>
    <w:rsid w:val="00244A80"/>
    <w:rsid w:val="00245FE9"/>
    <w:rsid w:val="002464C0"/>
    <w:rsid w:val="00247860"/>
    <w:rsid w:val="00247DEB"/>
    <w:rsid w:val="002508B4"/>
    <w:rsid w:val="002518C1"/>
    <w:rsid w:val="00251CDA"/>
    <w:rsid w:val="00252310"/>
    <w:rsid w:val="00252C63"/>
    <w:rsid w:val="00252C67"/>
    <w:rsid w:val="00252E9C"/>
    <w:rsid w:val="00253096"/>
    <w:rsid w:val="00253C36"/>
    <w:rsid w:val="00260716"/>
    <w:rsid w:val="00261E1F"/>
    <w:rsid w:val="002628B7"/>
    <w:rsid w:val="002651DD"/>
    <w:rsid w:val="00270BAF"/>
    <w:rsid w:val="00270F54"/>
    <w:rsid w:val="002714F0"/>
    <w:rsid w:val="00271692"/>
    <w:rsid w:val="00271B5B"/>
    <w:rsid w:val="00271D77"/>
    <w:rsid w:val="0027212F"/>
    <w:rsid w:val="00272AAB"/>
    <w:rsid w:val="002733EA"/>
    <w:rsid w:val="002734EE"/>
    <w:rsid w:val="00273FAC"/>
    <w:rsid w:val="002752B6"/>
    <w:rsid w:val="00275725"/>
    <w:rsid w:val="00277294"/>
    <w:rsid w:val="002812EB"/>
    <w:rsid w:val="00281E83"/>
    <w:rsid w:val="00282765"/>
    <w:rsid w:val="002838BC"/>
    <w:rsid w:val="00285C21"/>
    <w:rsid w:val="00286154"/>
    <w:rsid w:val="0028625D"/>
    <w:rsid w:val="00286F9A"/>
    <w:rsid w:val="0028716E"/>
    <w:rsid w:val="002901E0"/>
    <w:rsid w:val="002903BB"/>
    <w:rsid w:val="00290580"/>
    <w:rsid w:val="00290C57"/>
    <w:rsid w:val="00290F2D"/>
    <w:rsid w:val="002910B3"/>
    <w:rsid w:val="002918C8"/>
    <w:rsid w:val="0029248D"/>
    <w:rsid w:val="00292683"/>
    <w:rsid w:val="00293373"/>
    <w:rsid w:val="00293579"/>
    <w:rsid w:val="00294DD7"/>
    <w:rsid w:val="0029519E"/>
    <w:rsid w:val="0029609E"/>
    <w:rsid w:val="00296551"/>
    <w:rsid w:val="002968A1"/>
    <w:rsid w:val="00296A2F"/>
    <w:rsid w:val="00297BA2"/>
    <w:rsid w:val="00297E16"/>
    <w:rsid w:val="002A010C"/>
    <w:rsid w:val="002A0133"/>
    <w:rsid w:val="002A1372"/>
    <w:rsid w:val="002A21C2"/>
    <w:rsid w:val="002A31B2"/>
    <w:rsid w:val="002A3441"/>
    <w:rsid w:val="002A3A66"/>
    <w:rsid w:val="002A430B"/>
    <w:rsid w:val="002A446F"/>
    <w:rsid w:val="002A4481"/>
    <w:rsid w:val="002A4F0A"/>
    <w:rsid w:val="002A535A"/>
    <w:rsid w:val="002A5D44"/>
    <w:rsid w:val="002A6B35"/>
    <w:rsid w:val="002A72ED"/>
    <w:rsid w:val="002B060B"/>
    <w:rsid w:val="002B08F5"/>
    <w:rsid w:val="002B0D79"/>
    <w:rsid w:val="002B17B9"/>
    <w:rsid w:val="002B336C"/>
    <w:rsid w:val="002B4773"/>
    <w:rsid w:val="002B4E20"/>
    <w:rsid w:val="002B58F8"/>
    <w:rsid w:val="002B6AF5"/>
    <w:rsid w:val="002C1DF8"/>
    <w:rsid w:val="002C2176"/>
    <w:rsid w:val="002C2636"/>
    <w:rsid w:val="002C29B9"/>
    <w:rsid w:val="002C4775"/>
    <w:rsid w:val="002C51D9"/>
    <w:rsid w:val="002C5609"/>
    <w:rsid w:val="002C5FA5"/>
    <w:rsid w:val="002C7034"/>
    <w:rsid w:val="002C76DA"/>
    <w:rsid w:val="002C78A9"/>
    <w:rsid w:val="002C7D2C"/>
    <w:rsid w:val="002D0A5C"/>
    <w:rsid w:val="002D0B96"/>
    <w:rsid w:val="002D11B8"/>
    <w:rsid w:val="002D13D3"/>
    <w:rsid w:val="002D1763"/>
    <w:rsid w:val="002D2AD4"/>
    <w:rsid w:val="002D2F21"/>
    <w:rsid w:val="002D2F9B"/>
    <w:rsid w:val="002D4268"/>
    <w:rsid w:val="002D4281"/>
    <w:rsid w:val="002D5488"/>
    <w:rsid w:val="002D6195"/>
    <w:rsid w:val="002D620E"/>
    <w:rsid w:val="002D651A"/>
    <w:rsid w:val="002E0504"/>
    <w:rsid w:val="002E303E"/>
    <w:rsid w:val="002E35E6"/>
    <w:rsid w:val="002E35F3"/>
    <w:rsid w:val="002E4EC5"/>
    <w:rsid w:val="002E583D"/>
    <w:rsid w:val="002E5A0E"/>
    <w:rsid w:val="002E6A80"/>
    <w:rsid w:val="002F0D48"/>
    <w:rsid w:val="002F1046"/>
    <w:rsid w:val="002F1D60"/>
    <w:rsid w:val="002F3BA2"/>
    <w:rsid w:val="002F3BFA"/>
    <w:rsid w:val="002F45AA"/>
    <w:rsid w:val="002F4777"/>
    <w:rsid w:val="002F48B1"/>
    <w:rsid w:val="002F4CC4"/>
    <w:rsid w:val="002F674B"/>
    <w:rsid w:val="002F6872"/>
    <w:rsid w:val="002F72E0"/>
    <w:rsid w:val="003001E6"/>
    <w:rsid w:val="00300730"/>
    <w:rsid w:val="00300A01"/>
    <w:rsid w:val="00300B1E"/>
    <w:rsid w:val="00302C7C"/>
    <w:rsid w:val="003032AB"/>
    <w:rsid w:val="00303456"/>
    <w:rsid w:val="003057D9"/>
    <w:rsid w:val="003059B0"/>
    <w:rsid w:val="0030742A"/>
    <w:rsid w:val="00310881"/>
    <w:rsid w:val="00311270"/>
    <w:rsid w:val="00311C1B"/>
    <w:rsid w:val="00312849"/>
    <w:rsid w:val="00314B18"/>
    <w:rsid w:val="00315CC2"/>
    <w:rsid w:val="0031606E"/>
    <w:rsid w:val="00317E86"/>
    <w:rsid w:val="00320119"/>
    <w:rsid w:val="00320724"/>
    <w:rsid w:val="003209BE"/>
    <w:rsid w:val="00321490"/>
    <w:rsid w:val="00321B3A"/>
    <w:rsid w:val="0032339A"/>
    <w:rsid w:val="00325005"/>
    <w:rsid w:val="00325BCE"/>
    <w:rsid w:val="00325E97"/>
    <w:rsid w:val="003313E4"/>
    <w:rsid w:val="00331514"/>
    <w:rsid w:val="0033595F"/>
    <w:rsid w:val="00336DED"/>
    <w:rsid w:val="003427DA"/>
    <w:rsid w:val="0034287E"/>
    <w:rsid w:val="00342905"/>
    <w:rsid w:val="00342B7A"/>
    <w:rsid w:val="0034319F"/>
    <w:rsid w:val="00344925"/>
    <w:rsid w:val="003451A2"/>
    <w:rsid w:val="00345541"/>
    <w:rsid w:val="00346215"/>
    <w:rsid w:val="00351DEB"/>
    <w:rsid w:val="00351FFE"/>
    <w:rsid w:val="00352706"/>
    <w:rsid w:val="00353C16"/>
    <w:rsid w:val="0035432F"/>
    <w:rsid w:val="003544F1"/>
    <w:rsid w:val="003546E3"/>
    <w:rsid w:val="00357051"/>
    <w:rsid w:val="003623AA"/>
    <w:rsid w:val="00362A82"/>
    <w:rsid w:val="003652BE"/>
    <w:rsid w:val="00367461"/>
    <w:rsid w:val="00370C4B"/>
    <w:rsid w:val="00370E91"/>
    <w:rsid w:val="00372054"/>
    <w:rsid w:val="00372BAD"/>
    <w:rsid w:val="003731FD"/>
    <w:rsid w:val="00374340"/>
    <w:rsid w:val="00374F10"/>
    <w:rsid w:val="00375926"/>
    <w:rsid w:val="003759A6"/>
    <w:rsid w:val="00376AAD"/>
    <w:rsid w:val="003808E1"/>
    <w:rsid w:val="00382790"/>
    <w:rsid w:val="003837F5"/>
    <w:rsid w:val="003839D5"/>
    <w:rsid w:val="00385ABB"/>
    <w:rsid w:val="003879DA"/>
    <w:rsid w:val="00387D3C"/>
    <w:rsid w:val="00390461"/>
    <w:rsid w:val="00390727"/>
    <w:rsid w:val="00391143"/>
    <w:rsid w:val="0039167D"/>
    <w:rsid w:val="003921A9"/>
    <w:rsid w:val="00393E72"/>
    <w:rsid w:val="00393EAC"/>
    <w:rsid w:val="00394767"/>
    <w:rsid w:val="00394A15"/>
    <w:rsid w:val="0039597F"/>
    <w:rsid w:val="00396607"/>
    <w:rsid w:val="0039750C"/>
    <w:rsid w:val="00397CBF"/>
    <w:rsid w:val="003A023F"/>
    <w:rsid w:val="003A1EE5"/>
    <w:rsid w:val="003A1FA5"/>
    <w:rsid w:val="003A3E27"/>
    <w:rsid w:val="003A4162"/>
    <w:rsid w:val="003A5210"/>
    <w:rsid w:val="003A55F0"/>
    <w:rsid w:val="003A5F40"/>
    <w:rsid w:val="003A7F55"/>
    <w:rsid w:val="003B11EB"/>
    <w:rsid w:val="003B21B0"/>
    <w:rsid w:val="003B2A47"/>
    <w:rsid w:val="003B334D"/>
    <w:rsid w:val="003B3A83"/>
    <w:rsid w:val="003B4537"/>
    <w:rsid w:val="003B54BD"/>
    <w:rsid w:val="003B70E9"/>
    <w:rsid w:val="003B722F"/>
    <w:rsid w:val="003B7DE3"/>
    <w:rsid w:val="003C0918"/>
    <w:rsid w:val="003C1960"/>
    <w:rsid w:val="003C2033"/>
    <w:rsid w:val="003C2833"/>
    <w:rsid w:val="003C3EC5"/>
    <w:rsid w:val="003C5F50"/>
    <w:rsid w:val="003C6A75"/>
    <w:rsid w:val="003C6DD3"/>
    <w:rsid w:val="003C7DA4"/>
    <w:rsid w:val="003D0581"/>
    <w:rsid w:val="003D09FD"/>
    <w:rsid w:val="003D0EF0"/>
    <w:rsid w:val="003D175F"/>
    <w:rsid w:val="003D1775"/>
    <w:rsid w:val="003D1DE4"/>
    <w:rsid w:val="003D22A6"/>
    <w:rsid w:val="003D22F0"/>
    <w:rsid w:val="003D408C"/>
    <w:rsid w:val="003D41D0"/>
    <w:rsid w:val="003D465D"/>
    <w:rsid w:val="003D4D3D"/>
    <w:rsid w:val="003D52CE"/>
    <w:rsid w:val="003D5DBA"/>
    <w:rsid w:val="003D5DD6"/>
    <w:rsid w:val="003D6FB6"/>
    <w:rsid w:val="003D7749"/>
    <w:rsid w:val="003D7D88"/>
    <w:rsid w:val="003E028E"/>
    <w:rsid w:val="003E21D5"/>
    <w:rsid w:val="003E22EA"/>
    <w:rsid w:val="003E2663"/>
    <w:rsid w:val="003E2BE1"/>
    <w:rsid w:val="003E2C11"/>
    <w:rsid w:val="003E35D8"/>
    <w:rsid w:val="003E3755"/>
    <w:rsid w:val="003E41FC"/>
    <w:rsid w:val="003E440C"/>
    <w:rsid w:val="003E4A18"/>
    <w:rsid w:val="003E4A8A"/>
    <w:rsid w:val="003E5380"/>
    <w:rsid w:val="003E657A"/>
    <w:rsid w:val="003E6AED"/>
    <w:rsid w:val="003E6B81"/>
    <w:rsid w:val="003F0037"/>
    <w:rsid w:val="003F013C"/>
    <w:rsid w:val="003F0163"/>
    <w:rsid w:val="003F06DF"/>
    <w:rsid w:val="003F089D"/>
    <w:rsid w:val="003F1346"/>
    <w:rsid w:val="003F33AB"/>
    <w:rsid w:val="003F4427"/>
    <w:rsid w:val="003F4DA7"/>
    <w:rsid w:val="003F5A0E"/>
    <w:rsid w:val="003F5E44"/>
    <w:rsid w:val="003F6B4E"/>
    <w:rsid w:val="003F76A5"/>
    <w:rsid w:val="003F7E78"/>
    <w:rsid w:val="00400263"/>
    <w:rsid w:val="0040221D"/>
    <w:rsid w:val="004024A9"/>
    <w:rsid w:val="00402FC7"/>
    <w:rsid w:val="0040368F"/>
    <w:rsid w:val="00405558"/>
    <w:rsid w:val="00405943"/>
    <w:rsid w:val="004110FB"/>
    <w:rsid w:val="0041239F"/>
    <w:rsid w:val="00412626"/>
    <w:rsid w:val="00412838"/>
    <w:rsid w:val="00412875"/>
    <w:rsid w:val="0041316C"/>
    <w:rsid w:val="004134FF"/>
    <w:rsid w:val="0041354E"/>
    <w:rsid w:val="00413669"/>
    <w:rsid w:val="00413AF8"/>
    <w:rsid w:val="00413BBD"/>
    <w:rsid w:val="004141B6"/>
    <w:rsid w:val="00416B16"/>
    <w:rsid w:val="004173F2"/>
    <w:rsid w:val="00417DB6"/>
    <w:rsid w:val="00420380"/>
    <w:rsid w:val="004215A6"/>
    <w:rsid w:val="00421BB8"/>
    <w:rsid w:val="00421C99"/>
    <w:rsid w:val="00422003"/>
    <w:rsid w:val="004226F3"/>
    <w:rsid w:val="00422BBE"/>
    <w:rsid w:val="004237BC"/>
    <w:rsid w:val="004245F8"/>
    <w:rsid w:val="00425101"/>
    <w:rsid w:val="00426015"/>
    <w:rsid w:val="00430080"/>
    <w:rsid w:val="0043032D"/>
    <w:rsid w:val="00431CE5"/>
    <w:rsid w:val="00432A60"/>
    <w:rsid w:val="00432FF4"/>
    <w:rsid w:val="004330DE"/>
    <w:rsid w:val="00434573"/>
    <w:rsid w:val="00434FA7"/>
    <w:rsid w:val="00435345"/>
    <w:rsid w:val="00437CD4"/>
    <w:rsid w:val="00441250"/>
    <w:rsid w:val="00441937"/>
    <w:rsid w:val="004425BC"/>
    <w:rsid w:val="004434D5"/>
    <w:rsid w:val="0044568D"/>
    <w:rsid w:val="004457D4"/>
    <w:rsid w:val="00445DD7"/>
    <w:rsid w:val="004467D5"/>
    <w:rsid w:val="00447F1D"/>
    <w:rsid w:val="00450A64"/>
    <w:rsid w:val="004513D5"/>
    <w:rsid w:val="00452449"/>
    <w:rsid w:val="004527D4"/>
    <w:rsid w:val="00453170"/>
    <w:rsid w:val="00453DD4"/>
    <w:rsid w:val="004551E7"/>
    <w:rsid w:val="004559F8"/>
    <w:rsid w:val="0045613B"/>
    <w:rsid w:val="0045653E"/>
    <w:rsid w:val="004565B8"/>
    <w:rsid w:val="00456C45"/>
    <w:rsid w:val="00457E5C"/>
    <w:rsid w:val="00461F1D"/>
    <w:rsid w:val="00462BD0"/>
    <w:rsid w:val="00462FE0"/>
    <w:rsid w:val="00463B36"/>
    <w:rsid w:val="00463CB7"/>
    <w:rsid w:val="004644A4"/>
    <w:rsid w:val="004651E1"/>
    <w:rsid w:val="00465905"/>
    <w:rsid w:val="00466389"/>
    <w:rsid w:val="004663F1"/>
    <w:rsid w:val="0046708E"/>
    <w:rsid w:val="00470E36"/>
    <w:rsid w:val="004715EA"/>
    <w:rsid w:val="00472C37"/>
    <w:rsid w:val="00473446"/>
    <w:rsid w:val="004738F0"/>
    <w:rsid w:val="00474987"/>
    <w:rsid w:val="00474D59"/>
    <w:rsid w:val="004750A3"/>
    <w:rsid w:val="00475B3E"/>
    <w:rsid w:val="00475CBC"/>
    <w:rsid w:val="00476A87"/>
    <w:rsid w:val="00484004"/>
    <w:rsid w:val="00484DF9"/>
    <w:rsid w:val="00485C70"/>
    <w:rsid w:val="00486056"/>
    <w:rsid w:val="00486485"/>
    <w:rsid w:val="00487376"/>
    <w:rsid w:val="0048756E"/>
    <w:rsid w:val="00490CB7"/>
    <w:rsid w:val="004912FC"/>
    <w:rsid w:val="0049131C"/>
    <w:rsid w:val="00492250"/>
    <w:rsid w:val="00492CC2"/>
    <w:rsid w:val="0049309D"/>
    <w:rsid w:val="004958F4"/>
    <w:rsid w:val="00495EA6"/>
    <w:rsid w:val="00496317"/>
    <w:rsid w:val="00496365"/>
    <w:rsid w:val="00496920"/>
    <w:rsid w:val="00497B4C"/>
    <w:rsid w:val="004A3C4D"/>
    <w:rsid w:val="004A3D49"/>
    <w:rsid w:val="004A3F83"/>
    <w:rsid w:val="004A7B9A"/>
    <w:rsid w:val="004B0224"/>
    <w:rsid w:val="004B110B"/>
    <w:rsid w:val="004B1DB5"/>
    <w:rsid w:val="004B240D"/>
    <w:rsid w:val="004B3476"/>
    <w:rsid w:val="004B3D52"/>
    <w:rsid w:val="004B42D5"/>
    <w:rsid w:val="004B4B51"/>
    <w:rsid w:val="004B54CC"/>
    <w:rsid w:val="004B5569"/>
    <w:rsid w:val="004B6337"/>
    <w:rsid w:val="004B659F"/>
    <w:rsid w:val="004B6776"/>
    <w:rsid w:val="004B742F"/>
    <w:rsid w:val="004C03F7"/>
    <w:rsid w:val="004C06F5"/>
    <w:rsid w:val="004C1DF0"/>
    <w:rsid w:val="004C1ED4"/>
    <w:rsid w:val="004C2600"/>
    <w:rsid w:val="004C2A25"/>
    <w:rsid w:val="004C3031"/>
    <w:rsid w:val="004C3AB6"/>
    <w:rsid w:val="004C4158"/>
    <w:rsid w:val="004C4695"/>
    <w:rsid w:val="004C6124"/>
    <w:rsid w:val="004C6A45"/>
    <w:rsid w:val="004D003C"/>
    <w:rsid w:val="004D0BF6"/>
    <w:rsid w:val="004D0D24"/>
    <w:rsid w:val="004D1A1D"/>
    <w:rsid w:val="004D1CF6"/>
    <w:rsid w:val="004D2CC9"/>
    <w:rsid w:val="004D3CE4"/>
    <w:rsid w:val="004D3D3B"/>
    <w:rsid w:val="004D4F2C"/>
    <w:rsid w:val="004D4FE5"/>
    <w:rsid w:val="004D50B8"/>
    <w:rsid w:val="004D54B3"/>
    <w:rsid w:val="004D5781"/>
    <w:rsid w:val="004D790B"/>
    <w:rsid w:val="004E0D84"/>
    <w:rsid w:val="004E1E18"/>
    <w:rsid w:val="004E2485"/>
    <w:rsid w:val="004E2551"/>
    <w:rsid w:val="004E2EC6"/>
    <w:rsid w:val="004E3764"/>
    <w:rsid w:val="004E380E"/>
    <w:rsid w:val="004E758E"/>
    <w:rsid w:val="004F05F5"/>
    <w:rsid w:val="004F07B2"/>
    <w:rsid w:val="004F1AAA"/>
    <w:rsid w:val="004F1FE9"/>
    <w:rsid w:val="004F4321"/>
    <w:rsid w:val="004F4322"/>
    <w:rsid w:val="004F4905"/>
    <w:rsid w:val="004F4B6F"/>
    <w:rsid w:val="004F5174"/>
    <w:rsid w:val="004F52CA"/>
    <w:rsid w:val="004F5984"/>
    <w:rsid w:val="004F622B"/>
    <w:rsid w:val="004F75BF"/>
    <w:rsid w:val="004F774A"/>
    <w:rsid w:val="0050024D"/>
    <w:rsid w:val="00501ACD"/>
    <w:rsid w:val="00502750"/>
    <w:rsid w:val="005028E8"/>
    <w:rsid w:val="005029B5"/>
    <w:rsid w:val="00502CA0"/>
    <w:rsid w:val="00503655"/>
    <w:rsid w:val="00503CD1"/>
    <w:rsid w:val="00506F53"/>
    <w:rsid w:val="00507C37"/>
    <w:rsid w:val="00507C73"/>
    <w:rsid w:val="00510D21"/>
    <w:rsid w:val="00510F50"/>
    <w:rsid w:val="00511EC0"/>
    <w:rsid w:val="005123BD"/>
    <w:rsid w:val="00512B9C"/>
    <w:rsid w:val="00512EF7"/>
    <w:rsid w:val="00514D79"/>
    <w:rsid w:val="005160D6"/>
    <w:rsid w:val="00517C45"/>
    <w:rsid w:val="0052048E"/>
    <w:rsid w:val="0052096B"/>
    <w:rsid w:val="00521EAE"/>
    <w:rsid w:val="005229EE"/>
    <w:rsid w:val="005237E7"/>
    <w:rsid w:val="00523CF0"/>
    <w:rsid w:val="00524347"/>
    <w:rsid w:val="005254FE"/>
    <w:rsid w:val="0052580A"/>
    <w:rsid w:val="00526CEF"/>
    <w:rsid w:val="005278CD"/>
    <w:rsid w:val="005279BB"/>
    <w:rsid w:val="005304C3"/>
    <w:rsid w:val="0053160D"/>
    <w:rsid w:val="00532A53"/>
    <w:rsid w:val="00532F81"/>
    <w:rsid w:val="00533CE4"/>
    <w:rsid w:val="00535D45"/>
    <w:rsid w:val="00535ECD"/>
    <w:rsid w:val="00536C46"/>
    <w:rsid w:val="0053754B"/>
    <w:rsid w:val="005413B3"/>
    <w:rsid w:val="005415E5"/>
    <w:rsid w:val="005421CA"/>
    <w:rsid w:val="00543A6A"/>
    <w:rsid w:val="00546CD9"/>
    <w:rsid w:val="005507FF"/>
    <w:rsid w:val="00550DA6"/>
    <w:rsid w:val="00552B4B"/>
    <w:rsid w:val="00552DBE"/>
    <w:rsid w:val="005539CE"/>
    <w:rsid w:val="00554DA3"/>
    <w:rsid w:val="005551E5"/>
    <w:rsid w:val="00555B89"/>
    <w:rsid w:val="00556155"/>
    <w:rsid w:val="00556685"/>
    <w:rsid w:val="005576B9"/>
    <w:rsid w:val="00560ED4"/>
    <w:rsid w:val="005613FF"/>
    <w:rsid w:val="00563780"/>
    <w:rsid w:val="005658FA"/>
    <w:rsid w:val="00566946"/>
    <w:rsid w:val="00567BA7"/>
    <w:rsid w:val="00567D95"/>
    <w:rsid w:val="00570C3E"/>
    <w:rsid w:val="00570CBF"/>
    <w:rsid w:val="00571AA6"/>
    <w:rsid w:val="005722F8"/>
    <w:rsid w:val="005725C7"/>
    <w:rsid w:val="005726E8"/>
    <w:rsid w:val="00572B59"/>
    <w:rsid w:val="00572C24"/>
    <w:rsid w:val="00572F83"/>
    <w:rsid w:val="00573470"/>
    <w:rsid w:val="0057355A"/>
    <w:rsid w:val="00573A1F"/>
    <w:rsid w:val="00573D62"/>
    <w:rsid w:val="00575474"/>
    <w:rsid w:val="00575A6C"/>
    <w:rsid w:val="005771BE"/>
    <w:rsid w:val="0057750F"/>
    <w:rsid w:val="005775FD"/>
    <w:rsid w:val="005817A0"/>
    <w:rsid w:val="00581B64"/>
    <w:rsid w:val="005830EA"/>
    <w:rsid w:val="00584BB2"/>
    <w:rsid w:val="00584C8A"/>
    <w:rsid w:val="00584E9A"/>
    <w:rsid w:val="005855D7"/>
    <w:rsid w:val="0058591B"/>
    <w:rsid w:val="005864C7"/>
    <w:rsid w:val="0058764C"/>
    <w:rsid w:val="005877F1"/>
    <w:rsid w:val="005900AA"/>
    <w:rsid w:val="00591608"/>
    <w:rsid w:val="0059187B"/>
    <w:rsid w:val="00592A25"/>
    <w:rsid w:val="00592DE0"/>
    <w:rsid w:val="00593E55"/>
    <w:rsid w:val="00594046"/>
    <w:rsid w:val="00594BCC"/>
    <w:rsid w:val="00594E16"/>
    <w:rsid w:val="00595198"/>
    <w:rsid w:val="005954AA"/>
    <w:rsid w:val="00595E8F"/>
    <w:rsid w:val="00595EBF"/>
    <w:rsid w:val="005964D8"/>
    <w:rsid w:val="00596730"/>
    <w:rsid w:val="00596C38"/>
    <w:rsid w:val="00596C52"/>
    <w:rsid w:val="005970A9"/>
    <w:rsid w:val="0059784E"/>
    <w:rsid w:val="005A0A7B"/>
    <w:rsid w:val="005A0EAF"/>
    <w:rsid w:val="005A309F"/>
    <w:rsid w:val="005A5F83"/>
    <w:rsid w:val="005A6507"/>
    <w:rsid w:val="005B0A14"/>
    <w:rsid w:val="005B0C02"/>
    <w:rsid w:val="005B1B08"/>
    <w:rsid w:val="005B2368"/>
    <w:rsid w:val="005B2DD4"/>
    <w:rsid w:val="005B3F41"/>
    <w:rsid w:val="005B46D1"/>
    <w:rsid w:val="005B5D6E"/>
    <w:rsid w:val="005B5ECF"/>
    <w:rsid w:val="005B6F86"/>
    <w:rsid w:val="005B7008"/>
    <w:rsid w:val="005B72E2"/>
    <w:rsid w:val="005C13C9"/>
    <w:rsid w:val="005C17BF"/>
    <w:rsid w:val="005C1818"/>
    <w:rsid w:val="005C1DCF"/>
    <w:rsid w:val="005C21BD"/>
    <w:rsid w:val="005C3B42"/>
    <w:rsid w:val="005C4823"/>
    <w:rsid w:val="005C4E68"/>
    <w:rsid w:val="005C5DCD"/>
    <w:rsid w:val="005C6B51"/>
    <w:rsid w:val="005C6F19"/>
    <w:rsid w:val="005C7EF3"/>
    <w:rsid w:val="005D01AE"/>
    <w:rsid w:val="005D0477"/>
    <w:rsid w:val="005D05CF"/>
    <w:rsid w:val="005D10BF"/>
    <w:rsid w:val="005D1983"/>
    <w:rsid w:val="005D1EA4"/>
    <w:rsid w:val="005D224B"/>
    <w:rsid w:val="005D2690"/>
    <w:rsid w:val="005D30DA"/>
    <w:rsid w:val="005D3280"/>
    <w:rsid w:val="005D3ECB"/>
    <w:rsid w:val="005D4353"/>
    <w:rsid w:val="005D4633"/>
    <w:rsid w:val="005D5336"/>
    <w:rsid w:val="005D657A"/>
    <w:rsid w:val="005D76D6"/>
    <w:rsid w:val="005E0349"/>
    <w:rsid w:val="005E117D"/>
    <w:rsid w:val="005E27F5"/>
    <w:rsid w:val="005E2ABC"/>
    <w:rsid w:val="005E4365"/>
    <w:rsid w:val="005E4449"/>
    <w:rsid w:val="005E5E02"/>
    <w:rsid w:val="005E60AA"/>
    <w:rsid w:val="005E6F35"/>
    <w:rsid w:val="005E7C87"/>
    <w:rsid w:val="005E7D9E"/>
    <w:rsid w:val="005F116A"/>
    <w:rsid w:val="005F1DBD"/>
    <w:rsid w:val="005F2370"/>
    <w:rsid w:val="005F26FE"/>
    <w:rsid w:val="005F2F90"/>
    <w:rsid w:val="005F3B03"/>
    <w:rsid w:val="005F417F"/>
    <w:rsid w:val="005F41ED"/>
    <w:rsid w:val="005F4380"/>
    <w:rsid w:val="005F59BC"/>
    <w:rsid w:val="005F62C3"/>
    <w:rsid w:val="005F7354"/>
    <w:rsid w:val="006013E9"/>
    <w:rsid w:val="0060161C"/>
    <w:rsid w:val="00601CC6"/>
    <w:rsid w:val="00603AF3"/>
    <w:rsid w:val="00604480"/>
    <w:rsid w:val="00604F69"/>
    <w:rsid w:val="00604FF1"/>
    <w:rsid w:val="00605165"/>
    <w:rsid w:val="00605473"/>
    <w:rsid w:val="00605B0E"/>
    <w:rsid w:val="00605B54"/>
    <w:rsid w:val="00606961"/>
    <w:rsid w:val="00606F2A"/>
    <w:rsid w:val="00607CA8"/>
    <w:rsid w:val="006102C0"/>
    <w:rsid w:val="00610587"/>
    <w:rsid w:val="00611321"/>
    <w:rsid w:val="0061199A"/>
    <w:rsid w:val="0061274E"/>
    <w:rsid w:val="00612CE7"/>
    <w:rsid w:val="006138F4"/>
    <w:rsid w:val="00613AC5"/>
    <w:rsid w:val="00614387"/>
    <w:rsid w:val="006158F6"/>
    <w:rsid w:val="00617CE4"/>
    <w:rsid w:val="00620563"/>
    <w:rsid w:val="006205FA"/>
    <w:rsid w:val="00621B84"/>
    <w:rsid w:val="006243A8"/>
    <w:rsid w:val="0062527A"/>
    <w:rsid w:val="0062536F"/>
    <w:rsid w:val="006253ED"/>
    <w:rsid w:val="00625BF1"/>
    <w:rsid w:val="00626192"/>
    <w:rsid w:val="0062653B"/>
    <w:rsid w:val="00626D7A"/>
    <w:rsid w:val="00627E26"/>
    <w:rsid w:val="00631739"/>
    <w:rsid w:val="00632135"/>
    <w:rsid w:val="00633721"/>
    <w:rsid w:val="006342AE"/>
    <w:rsid w:val="00634EDA"/>
    <w:rsid w:val="0063535A"/>
    <w:rsid w:val="00636604"/>
    <w:rsid w:val="006367A3"/>
    <w:rsid w:val="00640373"/>
    <w:rsid w:val="00642191"/>
    <w:rsid w:val="006427A6"/>
    <w:rsid w:val="0064328D"/>
    <w:rsid w:val="00643332"/>
    <w:rsid w:val="006435BC"/>
    <w:rsid w:val="00644066"/>
    <w:rsid w:val="00644482"/>
    <w:rsid w:val="00645AF0"/>
    <w:rsid w:val="00646FB5"/>
    <w:rsid w:val="006476AD"/>
    <w:rsid w:val="00647FB0"/>
    <w:rsid w:val="0065009F"/>
    <w:rsid w:val="006501C7"/>
    <w:rsid w:val="00650219"/>
    <w:rsid w:val="006503CE"/>
    <w:rsid w:val="00650AD3"/>
    <w:rsid w:val="00650E13"/>
    <w:rsid w:val="00651050"/>
    <w:rsid w:val="00651B60"/>
    <w:rsid w:val="00651EB4"/>
    <w:rsid w:val="006523AF"/>
    <w:rsid w:val="00653339"/>
    <w:rsid w:val="006540D7"/>
    <w:rsid w:val="0065485A"/>
    <w:rsid w:val="00654A4D"/>
    <w:rsid w:val="006550FF"/>
    <w:rsid w:val="0065646F"/>
    <w:rsid w:val="00656581"/>
    <w:rsid w:val="00656610"/>
    <w:rsid w:val="0065787B"/>
    <w:rsid w:val="00657BFA"/>
    <w:rsid w:val="00660382"/>
    <w:rsid w:val="006605FA"/>
    <w:rsid w:val="00661134"/>
    <w:rsid w:val="00661C97"/>
    <w:rsid w:val="00661CED"/>
    <w:rsid w:val="006622E3"/>
    <w:rsid w:val="0066301D"/>
    <w:rsid w:val="006647A6"/>
    <w:rsid w:val="00664BEE"/>
    <w:rsid w:val="0066590A"/>
    <w:rsid w:val="006666B1"/>
    <w:rsid w:val="00666B8F"/>
    <w:rsid w:val="00667B83"/>
    <w:rsid w:val="00670FFC"/>
    <w:rsid w:val="00671902"/>
    <w:rsid w:val="006725FD"/>
    <w:rsid w:val="0067264C"/>
    <w:rsid w:val="00672C77"/>
    <w:rsid w:val="00673519"/>
    <w:rsid w:val="00673963"/>
    <w:rsid w:val="00673F29"/>
    <w:rsid w:val="006746E4"/>
    <w:rsid w:val="00675A82"/>
    <w:rsid w:val="00676EDB"/>
    <w:rsid w:val="00680053"/>
    <w:rsid w:val="00680360"/>
    <w:rsid w:val="00680437"/>
    <w:rsid w:val="0068077F"/>
    <w:rsid w:val="00680A4F"/>
    <w:rsid w:val="00681AE7"/>
    <w:rsid w:val="006824B1"/>
    <w:rsid w:val="00682B48"/>
    <w:rsid w:val="00682B61"/>
    <w:rsid w:val="00683A8B"/>
    <w:rsid w:val="00684B42"/>
    <w:rsid w:val="00684BDB"/>
    <w:rsid w:val="00685D10"/>
    <w:rsid w:val="006867A0"/>
    <w:rsid w:val="006903BD"/>
    <w:rsid w:val="0069076C"/>
    <w:rsid w:val="00691178"/>
    <w:rsid w:val="00692E29"/>
    <w:rsid w:val="0069337E"/>
    <w:rsid w:val="006933CC"/>
    <w:rsid w:val="00693529"/>
    <w:rsid w:val="006945BB"/>
    <w:rsid w:val="006946E9"/>
    <w:rsid w:val="006948F8"/>
    <w:rsid w:val="00694F2A"/>
    <w:rsid w:val="006959F0"/>
    <w:rsid w:val="00695BDA"/>
    <w:rsid w:val="00696B71"/>
    <w:rsid w:val="006A14A5"/>
    <w:rsid w:val="006A2D69"/>
    <w:rsid w:val="006A393E"/>
    <w:rsid w:val="006A49AE"/>
    <w:rsid w:val="006A565F"/>
    <w:rsid w:val="006A5C79"/>
    <w:rsid w:val="006A720E"/>
    <w:rsid w:val="006A7C33"/>
    <w:rsid w:val="006B0607"/>
    <w:rsid w:val="006B06F9"/>
    <w:rsid w:val="006B07E2"/>
    <w:rsid w:val="006B0A93"/>
    <w:rsid w:val="006B15F0"/>
    <w:rsid w:val="006B1E21"/>
    <w:rsid w:val="006B258E"/>
    <w:rsid w:val="006B3460"/>
    <w:rsid w:val="006B39B7"/>
    <w:rsid w:val="006B4978"/>
    <w:rsid w:val="006B529E"/>
    <w:rsid w:val="006B6258"/>
    <w:rsid w:val="006B62B8"/>
    <w:rsid w:val="006B6413"/>
    <w:rsid w:val="006B7A70"/>
    <w:rsid w:val="006C0512"/>
    <w:rsid w:val="006C264D"/>
    <w:rsid w:val="006C3041"/>
    <w:rsid w:val="006C346A"/>
    <w:rsid w:val="006C41F3"/>
    <w:rsid w:val="006C490E"/>
    <w:rsid w:val="006C4C2E"/>
    <w:rsid w:val="006C6471"/>
    <w:rsid w:val="006C77F4"/>
    <w:rsid w:val="006C7982"/>
    <w:rsid w:val="006C7ABA"/>
    <w:rsid w:val="006D1639"/>
    <w:rsid w:val="006D1985"/>
    <w:rsid w:val="006D1ACD"/>
    <w:rsid w:val="006D20A5"/>
    <w:rsid w:val="006D22A6"/>
    <w:rsid w:val="006D3359"/>
    <w:rsid w:val="006D4EDD"/>
    <w:rsid w:val="006D64C7"/>
    <w:rsid w:val="006D6579"/>
    <w:rsid w:val="006D6943"/>
    <w:rsid w:val="006D6E76"/>
    <w:rsid w:val="006D6F7C"/>
    <w:rsid w:val="006E01DC"/>
    <w:rsid w:val="006E026B"/>
    <w:rsid w:val="006E0397"/>
    <w:rsid w:val="006E0A41"/>
    <w:rsid w:val="006E172A"/>
    <w:rsid w:val="006E173D"/>
    <w:rsid w:val="006E3A90"/>
    <w:rsid w:val="006E455E"/>
    <w:rsid w:val="006E5270"/>
    <w:rsid w:val="006E547A"/>
    <w:rsid w:val="006E5829"/>
    <w:rsid w:val="006E5901"/>
    <w:rsid w:val="006E5A77"/>
    <w:rsid w:val="006E777B"/>
    <w:rsid w:val="006F0632"/>
    <w:rsid w:val="006F0A32"/>
    <w:rsid w:val="006F0B83"/>
    <w:rsid w:val="006F0C00"/>
    <w:rsid w:val="006F0D66"/>
    <w:rsid w:val="006F1776"/>
    <w:rsid w:val="006F3085"/>
    <w:rsid w:val="006F3A02"/>
    <w:rsid w:val="006F4667"/>
    <w:rsid w:val="006F5550"/>
    <w:rsid w:val="006F797A"/>
    <w:rsid w:val="006F7B8F"/>
    <w:rsid w:val="006F7EB3"/>
    <w:rsid w:val="0070028B"/>
    <w:rsid w:val="007003D8"/>
    <w:rsid w:val="007017A1"/>
    <w:rsid w:val="00702D9A"/>
    <w:rsid w:val="00702FE3"/>
    <w:rsid w:val="00703FBA"/>
    <w:rsid w:val="00707ACC"/>
    <w:rsid w:val="007101C2"/>
    <w:rsid w:val="00711B84"/>
    <w:rsid w:val="00713096"/>
    <w:rsid w:val="00713656"/>
    <w:rsid w:val="0071369E"/>
    <w:rsid w:val="007140A3"/>
    <w:rsid w:val="007140D9"/>
    <w:rsid w:val="007152B1"/>
    <w:rsid w:val="00715E36"/>
    <w:rsid w:val="0071615A"/>
    <w:rsid w:val="007161D9"/>
    <w:rsid w:val="007164DF"/>
    <w:rsid w:val="007177FA"/>
    <w:rsid w:val="00717BE4"/>
    <w:rsid w:val="00717F75"/>
    <w:rsid w:val="00720221"/>
    <w:rsid w:val="007210FE"/>
    <w:rsid w:val="007216EF"/>
    <w:rsid w:val="00722E18"/>
    <w:rsid w:val="00722E7C"/>
    <w:rsid w:val="00723DDC"/>
    <w:rsid w:val="00724DD9"/>
    <w:rsid w:val="00725431"/>
    <w:rsid w:val="00726017"/>
    <w:rsid w:val="007263D5"/>
    <w:rsid w:val="00730B4C"/>
    <w:rsid w:val="007314DC"/>
    <w:rsid w:val="00732557"/>
    <w:rsid w:val="00732FD1"/>
    <w:rsid w:val="00733718"/>
    <w:rsid w:val="007341B1"/>
    <w:rsid w:val="00735FF8"/>
    <w:rsid w:val="0073601D"/>
    <w:rsid w:val="0073602C"/>
    <w:rsid w:val="0073652F"/>
    <w:rsid w:val="0073725F"/>
    <w:rsid w:val="00737DAD"/>
    <w:rsid w:val="00741633"/>
    <w:rsid w:val="00741986"/>
    <w:rsid w:val="00741B93"/>
    <w:rsid w:val="00742313"/>
    <w:rsid w:val="007428CC"/>
    <w:rsid w:val="00742940"/>
    <w:rsid w:val="00742E6B"/>
    <w:rsid w:val="00744183"/>
    <w:rsid w:val="0074426B"/>
    <w:rsid w:val="00744371"/>
    <w:rsid w:val="0074485D"/>
    <w:rsid w:val="00745150"/>
    <w:rsid w:val="0074572F"/>
    <w:rsid w:val="00751013"/>
    <w:rsid w:val="007518CB"/>
    <w:rsid w:val="007534CD"/>
    <w:rsid w:val="00754224"/>
    <w:rsid w:val="00755133"/>
    <w:rsid w:val="0075778F"/>
    <w:rsid w:val="00757C6F"/>
    <w:rsid w:val="007617F6"/>
    <w:rsid w:val="00761C3E"/>
    <w:rsid w:val="00761E1D"/>
    <w:rsid w:val="00763312"/>
    <w:rsid w:val="00763C4F"/>
    <w:rsid w:val="00764682"/>
    <w:rsid w:val="00764A2B"/>
    <w:rsid w:val="00765078"/>
    <w:rsid w:val="007652F4"/>
    <w:rsid w:val="0076674C"/>
    <w:rsid w:val="00767395"/>
    <w:rsid w:val="00767C07"/>
    <w:rsid w:val="00767D55"/>
    <w:rsid w:val="00767D86"/>
    <w:rsid w:val="0077071A"/>
    <w:rsid w:val="00770AE0"/>
    <w:rsid w:val="00771E9E"/>
    <w:rsid w:val="007730C4"/>
    <w:rsid w:val="00774359"/>
    <w:rsid w:val="007743A0"/>
    <w:rsid w:val="007765E0"/>
    <w:rsid w:val="007766FA"/>
    <w:rsid w:val="00776B44"/>
    <w:rsid w:val="00776C08"/>
    <w:rsid w:val="0077768C"/>
    <w:rsid w:val="00777C86"/>
    <w:rsid w:val="007802F5"/>
    <w:rsid w:val="00780D91"/>
    <w:rsid w:val="00782691"/>
    <w:rsid w:val="0078317B"/>
    <w:rsid w:val="0078319E"/>
    <w:rsid w:val="00783EA4"/>
    <w:rsid w:val="00784873"/>
    <w:rsid w:val="00790125"/>
    <w:rsid w:val="00790549"/>
    <w:rsid w:val="00790713"/>
    <w:rsid w:val="00791632"/>
    <w:rsid w:val="00791F20"/>
    <w:rsid w:val="00792007"/>
    <w:rsid w:val="0079261A"/>
    <w:rsid w:val="00793625"/>
    <w:rsid w:val="0079413E"/>
    <w:rsid w:val="0079416C"/>
    <w:rsid w:val="0079450C"/>
    <w:rsid w:val="00794D8A"/>
    <w:rsid w:val="00795963"/>
    <w:rsid w:val="00795F64"/>
    <w:rsid w:val="007970CE"/>
    <w:rsid w:val="007A0435"/>
    <w:rsid w:val="007A144A"/>
    <w:rsid w:val="007A1DD5"/>
    <w:rsid w:val="007A289B"/>
    <w:rsid w:val="007A39AF"/>
    <w:rsid w:val="007A495A"/>
    <w:rsid w:val="007A523A"/>
    <w:rsid w:val="007A5D37"/>
    <w:rsid w:val="007A5EF8"/>
    <w:rsid w:val="007A71D8"/>
    <w:rsid w:val="007A72E2"/>
    <w:rsid w:val="007A73AA"/>
    <w:rsid w:val="007A73DC"/>
    <w:rsid w:val="007B1753"/>
    <w:rsid w:val="007B1CB8"/>
    <w:rsid w:val="007B1FA7"/>
    <w:rsid w:val="007B3BC3"/>
    <w:rsid w:val="007B3DAA"/>
    <w:rsid w:val="007B3E54"/>
    <w:rsid w:val="007B423F"/>
    <w:rsid w:val="007B6032"/>
    <w:rsid w:val="007B6C6B"/>
    <w:rsid w:val="007B6E14"/>
    <w:rsid w:val="007B6FAB"/>
    <w:rsid w:val="007B7325"/>
    <w:rsid w:val="007C2385"/>
    <w:rsid w:val="007C26E8"/>
    <w:rsid w:val="007C2DDD"/>
    <w:rsid w:val="007C30BA"/>
    <w:rsid w:val="007C31FC"/>
    <w:rsid w:val="007C568E"/>
    <w:rsid w:val="007C57AE"/>
    <w:rsid w:val="007C61CD"/>
    <w:rsid w:val="007D058F"/>
    <w:rsid w:val="007D0B27"/>
    <w:rsid w:val="007D1111"/>
    <w:rsid w:val="007D15C6"/>
    <w:rsid w:val="007D15DB"/>
    <w:rsid w:val="007D1EC4"/>
    <w:rsid w:val="007D2305"/>
    <w:rsid w:val="007D2DF8"/>
    <w:rsid w:val="007D2EB5"/>
    <w:rsid w:val="007D34FF"/>
    <w:rsid w:val="007D3681"/>
    <w:rsid w:val="007D4687"/>
    <w:rsid w:val="007D4AFA"/>
    <w:rsid w:val="007D5367"/>
    <w:rsid w:val="007D6F6D"/>
    <w:rsid w:val="007D70C4"/>
    <w:rsid w:val="007D7457"/>
    <w:rsid w:val="007E02E6"/>
    <w:rsid w:val="007E1C4E"/>
    <w:rsid w:val="007E1C8C"/>
    <w:rsid w:val="007E323D"/>
    <w:rsid w:val="007E41D4"/>
    <w:rsid w:val="007E5492"/>
    <w:rsid w:val="007E5547"/>
    <w:rsid w:val="007E66E3"/>
    <w:rsid w:val="007E6FDF"/>
    <w:rsid w:val="007E761D"/>
    <w:rsid w:val="007F0A4E"/>
    <w:rsid w:val="007F10D2"/>
    <w:rsid w:val="007F3380"/>
    <w:rsid w:val="007F4C73"/>
    <w:rsid w:val="007F56FD"/>
    <w:rsid w:val="007F5E06"/>
    <w:rsid w:val="00800373"/>
    <w:rsid w:val="00800A0F"/>
    <w:rsid w:val="008016B4"/>
    <w:rsid w:val="008019EF"/>
    <w:rsid w:val="00802050"/>
    <w:rsid w:val="0080356D"/>
    <w:rsid w:val="008042D4"/>
    <w:rsid w:val="008049B7"/>
    <w:rsid w:val="00805919"/>
    <w:rsid w:val="0080616C"/>
    <w:rsid w:val="00810207"/>
    <w:rsid w:val="0081022C"/>
    <w:rsid w:val="0081129C"/>
    <w:rsid w:val="008115B7"/>
    <w:rsid w:val="00811705"/>
    <w:rsid w:val="00812370"/>
    <w:rsid w:val="00812E41"/>
    <w:rsid w:val="00813125"/>
    <w:rsid w:val="008139B3"/>
    <w:rsid w:val="0081452B"/>
    <w:rsid w:val="0081478E"/>
    <w:rsid w:val="00814A7B"/>
    <w:rsid w:val="00815347"/>
    <w:rsid w:val="008153E0"/>
    <w:rsid w:val="00817126"/>
    <w:rsid w:val="008179B1"/>
    <w:rsid w:val="008200CC"/>
    <w:rsid w:val="00820C77"/>
    <w:rsid w:val="0082179A"/>
    <w:rsid w:val="00821C57"/>
    <w:rsid w:val="00824162"/>
    <w:rsid w:val="00824447"/>
    <w:rsid w:val="008246EF"/>
    <w:rsid w:val="00824C54"/>
    <w:rsid w:val="00824E47"/>
    <w:rsid w:val="008258AD"/>
    <w:rsid w:val="00827BEE"/>
    <w:rsid w:val="0083076F"/>
    <w:rsid w:val="00831422"/>
    <w:rsid w:val="00831A0D"/>
    <w:rsid w:val="00832223"/>
    <w:rsid w:val="00833602"/>
    <w:rsid w:val="00833842"/>
    <w:rsid w:val="00835122"/>
    <w:rsid w:val="00835D4A"/>
    <w:rsid w:val="00835E3D"/>
    <w:rsid w:val="008365B3"/>
    <w:rsid w:val="0083687C"/>
    <w:rsid w:val="0084005D"/>
    <w:rsid w:val="00840901"/>
    <w:rsid w:val="00841BCC"/>
    <w:rsid w:val="00841D80"/>
    <w:rsid w:val="008425C5"/>
    <w:rsid w:val="00842E0D"/>
    <w:rsid w:val="0084324A"/>
    <w:rsid w:val="008438F2"/>
    <w:rsid w:val="0084548A"/>
    <w:rsid w:val="00845B39"/>
    <w:rsid w:val="00845EB2"/>
    <w:rsid w:val="00846F10"/>
    <w:rsid w:val="00850FAF"/>
    <w:rsid w:val="008511DB"/>
    <w:rsid w:val="00851F57"/>
    <w:rsid w:val="0085232D"/>
    <w:rsid w:val="0085281D"/>
    <w:rsid w:val="00852FFD"/>
    <w:rsid w:val="00853275"/>
    <w:rsid w:val="00853A13"/>
    <w:rsid w:val="00853B19"/>
    <w:rsid w:val="00853C0F"/>
    <w:rsid w:val="00853CF6"/>
    <w:rsid w:val="00853F18"/>
    <w:rsid w:val="0085449C"/>
    <w:rsid w:val="0085547B"/>
    <w:rsid w:val="00855C72"/>
    <w:rsid w:val="0085608E"/>
    <w:rsid w:val="00857AF3"/>
    <w:rsid w:val="00860516"/>
    <w:rsid w:val="008609B1"/>
    <w:rsid w:val="00862344"/>
    <w:rsid w:val="00864F4B"/>
    <w:rsid w:val="00865763"/>
    <w:rsid w:val="00865891"/>
    <w:rsid w:val="00867E80"/>
    <w:rsid w:val="008717D7"/>
    <w:rsid w:val="008726CB"/>
    <w:rsid w:val="0087372D"/>
    <w:rsid w:val="00874184"/>
    <w:rsid w:val="0087745A"/>
    <w:rsid w:val="00877CA3"/>
    <w:rsid w:val="00877CC9"/>
    <w:rsid w:val="0088081E"/>
    <w:rsid w:val="008809BA"/>
    <w:rsid w:val="00881830"/>
    <w:rsid w:val="008823D3"/>
    <w:rsid w:val="00883F09"/>
    <w:rsid w:val="008844CA"/>
    <w:rsid w:val="008852A1"/>
    <w:rsid w:val="00885453"/>
    <w:rsid w:val="00885EA7"/>
    <w:rsid w:val="00890605"/>
    <w:rsid w:val="0089182F"/>
    <w:rsid w:val="00892131"/>
    <w:rsid w:val="008925D2"/>
    <w:rsid w:val="00892D22"/>
    <w:rsid w:val="008933D0"/>
    <w:rsid w:val="008943B1"/>
    <w:rsid w:val="00894A3F"/>
    <w:rsid w:val="00894C25"/>
    <w:rsid w:val="00895927"/>
    <w:rsid w:val="0089609B"/>
    <w:rsid w:val="008972D5"/>
    <w:rsid w:val="008A0742"/>
    <w:rsid w:val="008A0A64"/>
    <w:rsid w:val="008A1300"/>
    <w:rsid w:val="008A1F90"/>
    <w:rsid w:val="008A30D2"/>
    <w:rsid w:val="008A3A19"/>
    <w:rsid w:val="008A4040"/>
    <w:rsid w:val="008A6836"/>
    <w:rsid w:val="008A6869"/>
    <w:rsid w:val="008A6A0C"/>
    <w:rsid w:val="008A741C"/>
    <w:rsid w:val="008B02F1"/>
    <w:rsid w:val="008B135D"/>
    <w:rsid w:val="008B2E90"/>
    <w:rsid w:val="008B304A"/>
    <w:rsid w:val="008B3329"/>
    <w:rsid w:val="008B483F"/>
    <w:rsid w:val="008B4ADE"/>
    <w:rsid w:val="008B5724"/>
    <w:rsid w:val="008B5D9C"/>
    <w:rsid w:val="008B6056"/>
    <w:rsid w:val="008B6E61"/>
    <w:rsid w:val="008B72B3"/>
    <w:rsid w:val="008B7D1F"/>
    <w:rsid w:val="008B7DA9"/>
    <w:rsid w:val="008C2C2D"/>
    <w:rsid w:val="008C32AA"/>
    <w:rsid w:val="008C581F"/>
    <w:rsid w:val="008D0473"/>
    <w:rsid w:val="008D1DB9"/>
    <w:rsid w:val="008D255B"/>
    <w:rsid w:val="008D2778"/>
    <w:rsid w:val="008D3697"/>
    <w:rsid w:val="008D4D6C"/>
    <w:rsid w:val="008D6748"/>
    <w:rsid w:val="008D6952"/>
    <w:rsid w:val="008D775D"/>
    <w:rsid w:val="008D790B"/>
    <w:rsid w:val="008D7DE1"/>
    <w:rsid w:val="008E169B"/>
    <w:rsid w:val="008E17CB"/>
    <w:rsid w:val="008E1C96"/>
    <w:rsid w:val="008E3E18"/>
    <w:rsid w:val="008E47B5"/>
    <w:rsid w:val="008E6894"/>
    <w:rsid w:val="008E70C6"/>
    <w:rsid w:val="008F006C"/>
    <w:rsid w:val="008F03A1"/>
    <w:rsid w:val="008F0C28"/>
    <w:rsid w:val="008F232E"/>
    <w:rsid w:val="008F31C7"/>
    <w:rsid w:val="008F390A"/>
    <w:rsid w:val="008F63C1"/>
    <w:rsid w:val="008F6914"/>
    <w:rsid w:val="008F7635"/>
    <w:rsid w:val="008F7F6E"/>
    <w:rsid w:val="00900F66"/>
    <w:rsid w:val="009033E7"/>
    <w:rsid w:val="00903697"/>
    <w:rsid w:val="009040A0"/>
    <w:rsid w:val="00904212"/>
    <w:rsid w:val="00904840"/>
    <w:rsid w:val="00905FBA"/>
    <w:rsid w:val="009060BE"/>
    <w:rsid w:val="0090653B"/>
    <w:rsid w:val="00906812"/>
    <w:rsid w:val="00907A94"/>
    <w:rsid w:val="00907FC5"/>
    <w:rsid w:val="00910128"/>
    <w:rsid w:val="00910573"/>
    <w:rsid w:val="0091095D"/>
    <w:rsid w:val="00912053"/>
    <w:rsid w:val="00912067"/>
    <w:rsid w:val="00912132"/>
    <w:rsid w:val="00912CEE"/>
    <w:rsid w:val="00912D0C"/>
    <w:rsid w:val="00913027"/>
    <w:rsid w:val="009130E0"/>
    <w:rsid w:val="0091377F"/>
    <w:rsid w:val="00913F9A"/>
    <w:rsid w:val="00914B79"/>
    <w:rsid w:val="009151D3"/>
    <w:rsid w:val="00915381"/>
    <w:rsid w:val="009156C2"/>
    <w:rsid w:val="009158FA"/>
    <w:rsid w:val="00916310"/>
    <w:rsid w:val="00917D23"/>
    <w:rsid w:val="00922CDD"/>
    <w:rsid w:val="00926300"/>
    <w:rsid w:val="009268DD"/>
    <w:rsid w:val="00927811"/>
    <w:rsid w:val="00930C99"/>
    <w:rsid w:val="00931441"/>
    <w:rsid w:val="0093174B"/>
    <w:rsid w:val="00931779"/>
    <w:rsid w:val="00931B38"/>
    <w:rsid w:val="00932676"/>
    <w:rsid w:val="0093278F"/>
    <w:rsid w:val="00934682"/>
    <w:rsid w:val="00935886"/>
    <w:rsid w:val="009358DE"/>
    <w:rsid w:val="00936D08"/>
    <w:rsid w:val="00937257"/>
    <w:rsid w:val="00940810"/>
    <w:rsid w:val="009416FE"/>
    <w:rsid w:val="00941E68"/>
    <w:rsid w:val="009422FE"/>
    <w:rsid w:val="0094342B"/>
    <w:rsid w:val="00943D8D"/>
    <w:rsid w:val="0094519A"/>
    <w:rsid w:val="00945954"/>
    <w:rsid w:val="00946282"/>
    <w:rsid w:val="00946DC8"/>
    <w:rsid w:val="00947E2E"/>
    <w:rsid w:val="0095032D"/>
    <w:rsid w:val="00950B61"/>
    <w:rsid w:val="00951231"/>
    <w:rsid w:val="0095135F"/>
    <w:rsid w:val="00951391"/>
    <w:rsid w:val="00952E3B"/>
    <w:rsid w:val="00952EAB"/>
    <w:rsid w:val="009532D8"/>
    <w:rsid w:val="009546AF"/>
    <w:rsid w:val="009548C1"/>
    <w:rsid w:val="00954E30"/>
    <w:rsid w:val="00954ECB"/>
    <w:rsid w:val="00954FC0"/>
    <w:rsid w:val="009571EC"/>
    <w:rsid w:val="00957B40"/>
    <w:rsid w:val="0096034A"/>
    <w:rsid w:val="00960E0B"/>
    <w:rsid w:val="00961A48"/>
    <w:rsid w:val="00961A86"/>
    <w:rsid w:val="00961CE7"/>
    <w:rsid w:val="009631A4"/>
    <w:rsid w:val="00963FA8"/>
    <w:rsid w:val="00964A19"/>
    <w:rsid w:val="00964E51"/>
    <w:rsid w:val="00964FA3"/>
    <w:rsid w:val="00965366"/>
    <w:rsid w:val="0096568A"/>
    <w:rsid w:val="009661B0"/>
    <w:rsid w:val="009668D1"/>
    <w:rsid w:val="00966922"/>
    <w:rsid w:val="00966A45"/>
    <w:rsid w:val="009704D0"/>
    <w:rsid w:val="0097368F"/>
    <w:rsid w:val="009737A5"/>
    <w:rsid w:val="009742D2"/>
    <w:rsid w:val="00975331"/>
    <w:rsid w:val="00975519"/>
    <w:rsid w:val="00976A25"/>
    <w:rsid w:val="0097732E"/>
    <w:rsid w:val="00977A8F"/>
    <w:rsid w:val="0098077A"/>
    <w:rsid w:val="00980AB3"/>
    <w:rsid w:val="00981293"/>
    <w:rsid w:val="009812CE"/>
    <w:rsid w:val="0098131F"/>
    <w:rsid w:val="00981AEB"/>
    <w:rsid w:val="00982E47"/>
    <w:rsid w:val="0098334E"/>
    <w:rsid w:val="009843D5"/>
    <w:rsid w:val="00984C7A"/>
    <w:rsid w:val="00987076"/>
    <w:rsid w:val="009877E1"/>
    <w:rsid w:val="009902AA"/>
    <w:rsid w:val="00990646"/>
    <w:rsid w:val="00990A46"/>
    <w:rsid w:val="00990CAE"/>
    <w:rsid w:val="0099101B"/>
    <w:rsid w:val="00991253"/>
    <w:rsid w:val="0099221B"/>
    <w:rsid w:val="009925FC"/>
    <w:rsid w:val="009933CB"/>
    <w:rsid w:val="009938FB"/>
    <w:rsid w:val="00993DFD"/>
    <w:rsid w:val="00993E6D"/>
    <w:rsid w:val="009962DB"/>
    <w:rsid w:val="009969DE"/>
    <w:rsid w:val="00996E05"/>
    <w:rsid w:val="0099738A"/>
    <w:rsid w:val="009979D9"/>
    <w:rsid w:val="00997D4D"/>
    <w:rsid w:val="009A01FD"/>
    <w:rsid w:val="009A0CB9"/>
    <w:rsid w:val="009A1073"/>
    <w:rsid w:val="009A2721"/>
    <w:rsid w:val="009A2DBC"/>
    <w:rsid w:val="009A40FB"/>
    <w:rsid w:val="009A43AF"/>
    <w:rsid w:val="009A4838"/>
    <w:rsid w:val="009A5CB7"/>
    <w:rsid w:val="009A701C"/>
    <w:rsid w:val="009A7E7E"/>
    <w:rsid w:val="009B0790"/>
    <w:rsid w:val="009B0945"/>
    <w:rsid w:val="009B0D91"/>
    <w:rsid w:val="009B1F79"/>
    <w:rsid w:val="009B2E73"/>
    <w:rsid w:val="009B36B4"/>
    <w:rsid w:val="009B4736"/>
    <w:rsid w:val="009B4911"/>
    <w:rsid w:val="009B494F"/>
    <w:rsid w:val="009B6876"/>
    <w:rsid w:val="009B7392"/>
    <w:rsid w:val="009C00D1"/>
    <w:rsid w:val="009C0F25"/>
    <w:rsid w:val="009C3229"/>
    <w:rsid w:val="009C33B0"/>
    <w:rsid w:val="009C4ACF"/>
    <w:rsid w:val="009C4EBE"/>
    <w:rsid w:val="009C554C"/>
    <w:rsid w:val="009C6992"/>
    <w:rsid w:val="009D0DBB"/>
    <w:rsid w:val="009D0FBA"/>
    <w:rsid w:val="009D189E"/>
    <w:rsid w:val="009D1BB3"/>
    <w:rsid w:val="009D52F4"/>
    <w:rsid w:val="009D6BEB"/>
    <w:rsid w:val="009D733A"/>
    <w:rsid w:val="009D7460"/>
    <w:rsid w:val="009E003F"/>
    <w:rsid w:val="009E0A61"/>
    <w:rsid w:val="009E0B4B"/>
    <w:rsid w:val="009E12C4"/>
    <w:rsid w:val="009E1A2E"/>
    <w:rsid w:val="009E1C96"/>
    <w:rsid w:val="009E1E88"/>
    <w:rsid w:val="009E565E"/>
    <w:rsid w:val="009E58BB"/>
    <w:rsid w:val="009E7217"/>
    <w:rsid w:val="009E7736"/>
    <w:rsid w:val="009E7B93"/>
    <w:rsid w:val="009F1123"/>
    <w:rsid w:val="009F18D7"/>
    <w:rsid w:val="009F1AA5"/>
    <w:rsid w:val="009F3823"/>
    <w:rsid w:val="009F3E40"/>
    <w:rsid w:val="009F54DF"/>
    <w:rsid w:val="009F60E3"/>
    <w:rsid w:val="009F64AF"/>
    <w:rsid w:val="009F6DC0"/>
    <w:rsid w:val="009F791D"/>
    <w:rsid w:val="00A00776"/>
    <w:rsid w:val="00A00ED2"/>
    <w:rsid w:val="00A033CF"/>
    <w:rsid w:val="00A0443F"/>
    <w:rsid w:val="00A0566B"/>
    <w:rsid w:val="00A0598D"/>
    <w:rsid w:val="00A05CC9"/>
    <w:rsid w:val="00A06294"/>
    <w:rsid w:val="00A0729C"/>
    <w:rsid w:val="00A07432"/>
    <w:rsid w:val="00A106FE"/>
    <w:rsid w:val="00A10A0E"/>
    <w:rsid w:val="00A11DE0"/>
    <w:rsid w:val="00A137C1"/>
    <w:rsid w:val="00A155A5"/>
    <w:rsid w:val="00A15EFA"/>
    <w:rsid w:val="00A16EA2"/>
    <w:rsid w:val="00A17028"/>
    <w:rsid w:val="00A174E5"/>
    <w:rsid w:val="00A17A74"/>
    <w:rsid w:val="00A23E44"/>
    <w:rsid w:val="00A24F6C"/>
    <w:rsid w:val="00A26CEE"/>
    <w:rsid w:val="00A27EB9"/>
    <w:rsid w:val="00A30A85"/>
    <w:rsid w:val="00A30C01"/>
    <w:rsid w:val="00A3115B"/>
    <w:rsid w:val="00A328BE"/>
    <w:rsid w:val="00A33504"/>
    <w:rsid w:val="00A338AE"/>
    <w:rsid w:val="00A34294"/>
    <w:rsid w:val="00A34380"/>
    <w:rsid w:val="00A34883"/>
    <w:rsid w:val="00A36E71"/>
    <w:rsid w:val="00A3737E"/>
    <w:rsid w:val="00A4019C"/>
    <w:rsid w:val="00A40415"/>
    <w:rsid w:val="00A405FE"/>
    <w:rsid w:val="00A4095E"/>
    <w:rsid w:val="00A40AEA"/>
    <w:rsid w:val="00A428E3"/>
    <w:rsid w:val="00A42A4B"/>
    <w:rsid w:val="00A42F4E"/>
    <w:rsid w:val="00A4305E"/>
    <w:rsid w:val="00A44F84"/>
    <w:rsid w:val="00A44FA2"/>
    <w:rsid w:val="00A451AA"/>
    <w:rsid w:val="00A464E2"/>
    <w:rsid w:val="00A465B5"/>
    <w:rsid w:val="00A50268"/>
    <w:rsid w:val="00A50289"/>
    <w:rsid w:val="00A5158C"/>
    <w:rsid w:val="00A5223C"/>
    <w:rsid w:val="00A52D1F"/>
    <w:rsid w:val="00A5338A"/>
    <w:rsid w:val="00A53744"/>
    <w:rsid w:val="00A53B9F"/>
    <w:rsid w:val="00A5486D"/>
    <w:rsid w:val="00A55326"/>
    <w:rsid w:val="00A57006"/>
    <w:rsid w:val="00A571A8"/>
    <w:rsid w:val="00A5721D"/>
    <w:rsid w:val="00A605BE"/>
    <w:rsid w:val="00A6291B"/>
    <w:rsid w:val="00A62C4E"/>
    <w:rsid w:val="00A634CF"/>
    <w:rsid w:val="00A63BD5"/>
    <w:rsid w:val="00A6401E"/>
    <w:rsid w:val="00A64036"/>
    <w:rsid w:val="00A649AA"/>
    <w:rsid w:val="00A652B0"/>
    <w:rsid w:val="00A653FD"/>
    <w:rsid w:val="00A65821"/>
    <w:rsid w:val="00A65C9B"/>
    <w:rsid w:val="00A66116"/>
    <w:rsid w:val="00A664AB"/>
    <w:rsid w:val="00A701C2"/>
    <w:rsid w:val="00A70BFE"/>
    <w:rsid w:val="00A71086"/>
    <w:rsid w:val="00A712D7"/>
    <w:rsid w:val="00A71AA4"/>
    <w:rsid w:val="00A71CEA"/>
    <w:rsid w:val="00A73502"/>
    <w:rsid w:val="00A73ADB"/>
    <w:rsid w:val="00A73E8A"/>
    <w:rsid w:val="00A74162"/>
    <w:rsid w:val="00A74C73"/>
    <w:rsid w:val="00A750B0"/>
    <w:rsid w:val="00A77103"/>
    <w:rsid w:val="00A77C51"/>
    <w:rsid w:val="00A80563"/>
    <w:rsid w:val="00A8072F"/>
    <w:rsid w:val="00A80F25"/>
    <w:rsid w:val="00A8106E"/>
    <w:rsid w:val="00A8145A"/>
    <w:rsid w:val="00A81A30"/>
    <w:rsid w:val="00A82E11"/>
    <w:rsid w:val="00A84D13"/>
    <w:rsid w:val="00A85473"/>
    <w:rsid w:val="00A858A6"/>
    <w:rsid w:val="00A860DF"/>
    <w:rsid w:val="00A8754E"/>
    <w:rsid w:val="00A87A46"/>
    <w:rsid w:val="00A903F6"/>
    <w:rsid w:val="00A905BB"/>
    <w:rsid w:val="00A910CB"/>
    <w:rsid w:val="00A91585"/>
    <w:rsid w:val="00A929C9"/>
    <w:rsid w:val="00A92B7D"/>
    <w:rsid w:val="00A94B9A"/>
    <w:rsid w:val="00A95515"/>
    <w:rsid w:val="00A95CB6"/>
    <w:rsid w:val="00A95EB3"/>
    <w:rsid w:val="00A96FE3"/>
    <w:rsid w:val="00A97595"/>
    <w:rsid w:val="00A978F5"/>
    <w:rsid w:val="00A97E9D"/>
    <w:rsid w:val="00AA04D9"/>
    <w:rsid w:val="00AA151E"/>
    <w:rsid w:val="00AA2CA3"/>
    <w:rsid w:val="00AA500E"/>
    <w:rsid w:val="00AA5351"/>
    <w:rsid w:val="00AA68E9"/>
    <w:rsid w:val="00AA6947"/>
    <w:rsid w:val="00AA71F2"/>
    <w:rsid w:val="00AA73B9"/>
    <w:rsid w:val="00AA7916"/>
    <w:rsid w:val="00AB01A1"/>
    <w:rsid w:val="00AB326A"/>
    <w:rsid w:val="00AB3422"/>
    <w:rsid w:val="00AB3F14"/>
    <w:rsid w:val="00AB5E54"/>
    <w:rsid w:val="00AC172D"/>
    <w:rsid w:val="00AC1AB8"/>
    <w:rsid w:val="00AC2AC1"/>
    <w:rsid w:val="00AC6565"/>
    <w:rsid w:val="00AC6E2C"/>
    <w:rsid w:val="00AC7A00"/>
    <w:rsid w:val="00AD1314"/>
    <w:rsid w:val="00AD2B06"/>
    <w:rsid w:val="00AD376A"/>
    <w:rsid w:val="00AD4DCA"/>
    <w:rsid w:val="00AD586D"/>
    <w:rsid w:val="00AD5D1D"/>
    <w:rsid w:val="00AD6ED5"/>
    <w:rsid w:val="00AD7D18"/>
    <w:rsid w:val="00AE0077"/>
    <w:rsid w:val="00AE0583"/>
    <w:rsid w:val="00AE0E64"/>
    <w:rsid w:val="00AE15F0"/>
    <w:rsid w:val="00AE16B1"/>
    <w:rsid w:val="00AE5E6D"/>
    <w:rsid w:val="00AE6598"/>
    <w:rsid w:val="00AF0608"/>
    <w:rsid w:val="00AF0D46"/>
    <w:rsid w:val="00AF1371"/>
    <w:rsid w:val="00AF35D0"/>
    <w:rsid w:val="00AF4116"/>
    <w:rsid w:val="00AF443D"/>
    <w:rsid w:val="00AF4F68"/>
    <w:rsid w:val="00AF6445"/>
    <w:rsid w:val="00AF6AA0"/>
    <w:rsid w:val="00AF6EA3"/>
    <w:rsid w:val="00AF7121"/>
    <w:rsid w:val="00AF7A67"/>
    <w:rsid w:val="00B00524"/>
    <w:rsid w:val="00B00DC6"/>
    <w:rsid w:val="00B01488"/>
    <w:rsid w:val="00B01917"/>
    <w:rsid w:val="00B02788"/>
    <w:rsid w:val="00B02FF8"/>
    <w:rsid w:val="00B051B4"/>
    <w:rsid w:val="00B05826"/>
    <w:rsid w:val="00B06034"/>
    <w:rsid w:val="00B0641D"/>
    <w:rsid w:val="00B064DF"/>
    <w:rsid w:val="00B06620"/>
    <w:rsid w:val="00B0714E"/>
    <w:rsid w:val="00B105E3"/>
    <w:rsid w:val="00B10701"/>
    <w:rsid w:val="00B1150E"/>
    <w:rsid w:val="00B11C0C"/>
    <w:rsid w:val="00B11FCF"/>
    <w:rsid w:val="00B1277B"/>
    <w:rsid w:val="00B12BB0"/>
    <w:rsid w:val="00B1309E"/>
    <w:rsid w:val="00B14AEC"/>
    <w:rsid w:val="00B14F2F"/>
    <w:rsid w:val="00B16359"/>
    <w:rsid w:val="00B17791"/>
    <w:rsid w:val="00B17D58"/>
    <w:rsid w:val="00B214FA"/>
    <w:rsid w:val="00B227FF"/>
    <w:rsid w:val="00B231E1"/>
    <w:rsid w:val="00B2507A"/>
    <w:rsid w:val="00B25A78"/>
    <w:rsid w:val="00B261FC"/>
    <w:rsid w:val="00B301CA"/>
    <w:rsid w:val="00B310D3"/>
    <w:rsid w:val="00B31585"/>
    <w:rsid w:val="00B31E6A"/>
    <w:rsid w:val="00B3295D"/>
    <w:rsid w:val="00B32A3A"/>
    <w:rsid w:val="00B33901"/>
    <w:rsid w:val="00B33BCC"/>
    <w:rsid w:val="00B340A8"/>
    <w:rsid w:val="00B34485"/>
    <w:rsid w:val="00B3622A"/>
    <w:rsid w:val="00B3690E"/>
    <w:rsid w:val="00B36C52"/>
    <w:rsid w:val="00B414EA"/>
    <w:rsid w:val="00B4170D"/>
    <w:rsid w:val="00B4305E"/>
    <w:rsid w:val="00B44041"/>
    <w:rsid w:val="00B45A76"/>
    <w:rsid w:val="00B45FF1"/>
    <w:rsid w:val="00B4651D"/>
    <w:rsid w:val="00B47570"/>
    <w:rsid w:val="00B47E01"/>
    <w:rsid w:val="00B54171"/>
    <w:rsid w:val="00B55386"/>
    <w:rsid w:val="00B55D4C"/>
    <w:rsid w:val="00B55D53"/>
    <w:rsid w:val="00B56599"/>
    <w:rsid w:val="00B574FD"/>
    <w:rsid w:val="00B60535"/>
    <w:rsid w:val="00B616EE"/>
    <w:rsid w:val="00B623CB"/>
    <w:rsid w:val="00B6372A"/>
    <w:rsid w:val="00B64098"/>
    <w:rsid w:val="00B65736"/>
    <w:rsid w:val="00B65D2F"/>
    <w:rsid w:val="00B6609F"/>
    <w:rsid w:val="00B67D6E"/>
    <w:rsid w:val="00B705D6"/>
    <w:rsid w:val="00B71FDF"/>
    <w:rsid w:val="00B73265"/>
    <w:rsid w:val="00B73BE3"/>
    <w:rsid w:val="00B73F99"/>
    <w:rsid w:val="00B73FC4"/>
    <w:rsid w:val="00B74009"/>
    <w:rsid w:val="00B7478F"/>
    <w:rsid w:val="00B74DEE"/>
    <w:rsid w:val="00B75B75"/>
    <w:rsid w:val="00B75F5C"/>
    <w:rsid w:val="00B76AED"/>
    <w:rsid w:val="00B76C86"/>
    <w:rsid w:val="00B80231"/>
    <w:rsid w:val="00B80438"/>
    <w:rsid w:val="00B80678"/>
    <w:rsid w:val="00B81765"/>
    <w:rsid w:val="00B8290F"/>
    <w:rsid w:val="00B83505"/>
    <w:rsid w:val="00B83A8F"/>
    <w:rsid w:val="00B83AA4"/>
    <w:rsid w:val="00B84268"/>
    <w:rsid w:val="00B8482E"/>
    <w:rsid w:val="00B85136"/>
    <w:rsid w:val="00B854E1"/>
    <w:rsid w:val="00B8719B"/>
    <w:rsid w:val="00B8741C"/>
    <w:rsid w:val="00B878B1"/>
    <w:rsid w:val="00B87B3C"/>
    <w:rsid w:val="00B90F6D"/>
    <w:rsid w:val="00B9148F"/>
    <w:rsid w:val="00B91835"/>
    <w:rsid w:val="00B9355A"/>
    <w:rsid w:val="00B95108"/>
    <w:rsid w:val="00B95232"/>
    <w:rsid w:val="00B977F5"/>
    <w:rsid w:val="00BA033A"/>
    <w:rsid w:val="00BA2350"/>
    <w:rsid w:val="00BA2EAE"/>
    <w:rsid w:val="00BA3C0F"/>
    <w:rsid w:val="00BA4356"/>
    <w:rsid w:val="00BA76A9"/>
    <w:rsid w:val="00BA7C50"/>
    <w:rsid w:val="00BA7FC5"/>
    <w:rsid w:val="00BB06FE"/>
    <w:rsid w:val="00BB24EA"/>
    <w:rsid w:val="00BB3100"/>
    <w:rsid w:val="00BB323A"/>
    <w:rsid w:val="00BB34C5"/>
    <w:rsid w:val="00BB3AF2"/>
    <w:rsid w:val="00BB402C"/>
    <w:rsid w:val="00BB4203"/>
    <w:rsid w:val="00BB51DB"/>
    <w:rsid w:val="00BB53F7"/>
    <w:rsid w:val="00BB62C6"/>
    <w:rsid w:val="00BB64B8"/>
    <w:rsid w:val="00BC11F3"/>
    <w:rsid w:val="00BC187A"/>
    <w:rsid w:val="00BC2439"/>
    <w:rsid w:val="00BC2D11"/>
    <w:rsid w:val="00BC416E"/>
    <w:rsid w:val="00BC43F3"/>
    <w:rsid w:val="00BC51F7"/>
    <w:rsid w:val="00BC53C2"/>
    <w:rsid w:val="00BC5602"/>
    <w:rsid w:val="00BC6BAC"/>
    <w:rsid w:val="00BC7018"/>
    <w:rsid w:val="00BC7E27"/>
    <w:rsid w:val="00BD0653"/>
    <w:rsid w:val="00BD1225"/>
    <w:rsid w:val="00BD1351"/>
    <w:rsid w:val="00BD28D1"/>
    <w:rsid w:val="00BD2C0D"/>
    <w:rsid w:val="00BD3622"/>
    <w:rsid w:val="00BD3629"/>
    <w:rsid w:val="00BD39F1"/>
    <w:rsid w:val="00BD4005"/>
    <w:rsid w:val="00BD4321"/>
    <w:rsid w:val="00BD43A2"/>
    <w:rsid w:val="00BD4B93"/>
    <w:rsid w:val="00BD61B0"/>
    <w:rsid w:val="00BD64B5"/>
    <w:rsid w:val="00BD6EC3"/>
    <w:rsid w:val="00BD70D5"/>
    <w:rsid w:val="00BE1134"/>
    <w:rsid w:val="00BE3B95"/>
    <w:rsid w:val="00BE3D6C"/>
    <w:rsid w:val="00BE4418"/>
    <w:rsid w:val="00BE4428"/>
    <w:rsid w:val="00BE6112"/>
    <w:rsid w:val="00BE662D"/>
    <w:rsid w:val="00BE6CDA"/>
    <w:rsid w:val="00BF0095"/>
    <w:rsid w:val="00BF098A"/>
    <w:rsid w:val="00BF146E"/>
    <w:rsid w:val="00BF27D1"/>
    <w:rsid w:val="00BF2BDD"/>
    <w:rsid w:val="00BF3217"/>
    <w:rsid w:val="00BF38AA"/>
    <w:rsid w:val="00BF3E2C"/>
    <w:rsid w:val="00BF546D"/>
    <w:rsid w:val="00BF54F2"/>
    <w:rsid w:val="00BF562D"/>
    <w:rsid w:val="00BF57B3"/>
    <w:rsid w:val="00BF655C"/>
    <w:rsid w:val="00BF7829"/>
    <w:rsid w:val="00C02E67"/>
    <w:rsid w:val="00C03EE7"/>
    <w:rsid w:val="00C04B12"/>
    <w:rsid w:val="00C04F0E"/>
    <w:rsid w:val="00C06D8B"/>
    <w:rsid w:val="00C06F6C"/>
    <w:rsid w:val="00C07318"/>
    <w:rsid w:val="00C07C0A"/>
    <w:rsid w:val="00C07DD1"/>
    <w:rsid w:val="00C11288"/>
    <w:rsid w:val="00C1137C"/>
    <w:rsid w:val="00C135A2"/>
    <w:rsid w:val="00C13F27"/>
    <w:rsid w:val="00C13FE8"/>
    <w:rsid w:val="00C15DD4"/>
    <w:rsid w:val="00C1663D"/>
    <w:rsid w:val="00C1678B"/>
    <w:rsid w:val="00C1678E"/>
    <w:rsid w:val="00C205F3"/>
    <w:rsid w:val="00C20D47"/>
    <w:rsid w:val="00C219F1"/>
    <w:rsid w:val="00C22B8E"/>
    <w:rsid w:val="00C22F6F"/>
    <w:rsid w:val="00C23E33"/>
    <w:rsid w:val="00C23EF6"/>
    <w:rsid w:val="00C2496B"/>
    <w:rsid w:val="00C249B5"/>
    <w:rsid w:val="00C24ADF"/>
    <w:rsid w:val="00C2582E"/>
    <w:rsid w:val="00C27E8D"/>
    <w:rsid w:val="00C301B1"/>
    <w:rsid w:val="00C302EE"/>
    <w:rsid w:val="00C30C4E"/>
    <w:rsid w:val="00C31B79"/>
    <w:rsid w:val="00C32578"/>
    <w:rsid w:val="00C334E3"/>
    <w:rsid w:val="00C3388A"/>
    <w:rsid w:val="00C34239"/>
    <w:rsid w:val="00C34577"/>
    <w:rsid w:val="00C35F71"/>
    <w:rsid w:val="00C37A56"/>
    <w:rsid w:val="00C40DB1"/>
    <w:rsid w:val="00C419D9"/>
    <w:rsid w:val="00C420FE"/>
    <w:rsid w:val="00C4318D"/>
    <w:rsid w:val="00C43E6B"/>
    <w:rsid w:val="00C4431C"/>
    <w:rsid w:val="00C444B8"/>
    <w:rsid w:val="00C44D74"/>
    <w:rsid w:val="00C453C5"/>
    <w:rsid w:val="00C4607A"/>
    <w:rsid w:val="00C4672C"/>
    <w:rsid w:val="00C46B5F"/>
    <w:rsid w:val="00C46D6E"/>
    <w:rsid w:val="00C46E19"/>
    <w:rsid w:val="00C47120"/>
    <w:rsid w:val="00C50545"/>
    <w:rsid w:val="00C5057D"/>
    <w:rsid w:val="00C524CB"/>
    <w:rsid w:val="00C55908"/>
    <w:rsid w:val="00C55A04"/>
    <w:rsid w:val="00C566DF"/>
    <w:rsid w:val="00C5785D"/>
    <w:rsid w:val="00C57B0F"/>
    <w:rsid w:val="00C608E7"/>
    <w:rsid w:val="00C60AD4"/>
    <w:rsid w:val="00C615EF"/>
    <w:rsid w:val="00C62013"/>
    <w:rsid w:val="00C620C6"/>
    <w:rsid w:val="00C623AC"/>
    <w:rsid w:val="00C62F56"/>
    <w:rsid w:val="00C65C7B"/>
    <w:rsid w:val="00C66738"/>
    <w:rsid w:val="00C667E2"/>
    <w:rsid w:val="00C6708C"/>
    <w:rsid w:val="00C67C4F"/>
    <w:rsid w:val="00C707CF"/>
    <w:rsid w:val="00C71375"/>
    <w:rsid w:val="00C71D6E"/>
    <w:rsid w:val="00C720BE"/>
    <w:rsid w:val="00C73961"/>
    <w:rsid w:val="00C73F21"/>
    <w:rsid w:val="00C740F9"/>
    <w:rsid w:val="00C7465C"/>
    <w:rsid w:val="00C746EC"/>
    <w:rsid w:val="00C74A76"/>
    <w:rsid w:val="00C754CF"/>
    <w:rsid w:val="00C7616D"/>
    <w:rsid w:val="00C766DB"/>
    <w:rsid w:val="00C76A8D"/>
    <w:rsid w:val="00C76F4F"/>
    <w:rsid w:val="00C77164"/>
    <w:rsid w:val="00C80224"/>
    <w:rsid w:val="00C83B9C"/>
    <w:rsid w:val="00C84387"/>
    <w:rsid w:val="00C84619"/>
    <w:rsid w:val="00C84C9C"/>
    <w:rsid w:val="00C85531"/>
    <w:rsid w:val="00C8553C"/>
    <w:rsid w:val="00C85576"/>
    <w:rsid w:val="00C85F80"/>
    <w:rsid w:val="00C8672E"/>
    <w:rsid w:val="00C90310"/>
    <w:rsid w:val="00C90EC0"/>
    <w:rsid w:val="00C91534"/>
    <w:rsid w:val="00C91B00"/>
    <w:rsid w:val="00C9324F"/>
    <w:rsid w:val="00C938FD"/>
    <w:rsid w:val="00C93BC1"/>
    <w:rsid w:val="00C946E7"/>
    <w:rsid w:val="00C96BA9"/>
    <w:rsid w:val="00C9774C"/>
    <w:rsid w:val="00C97F2E"/>
    <w:rsid w:val="00CA0073"/>
    <w:rsid w:val="00CA1451"/>
    <w:rsid w:val="00CA1595"/>
    <w:rsid w:val="00CA2425"/>
    <w:rsid w:val="00CA3CEA"/>
    <w:rsid w:val="00CA434A"/>
    <w:rsid w:val="00CA4494"/>
    <w:rsid w:val="00CA49EF"/>
    <w:rsid w:val="00CA5C62"/>
    <w:rsid w:val="00CA65D3"/>
    <w:rsid w:val="00CA6768"/>
    <w:rsid w:val="00CA77E3"/>
    <w:rsid w:val="00CA7A56"/>
    <w:rsid w:val="00CB160E"/>
    <w:rsid w:val="00CB17F7"/>
    <w:rsid w:val="00CB45BE"/>
    <w:rsid w:val="00CB4820"/>
    <w:rsid w:val="00CB4B40"/>
    <w:rsid w:val="00CB5761"/>
    <w:rsid w:val="00CB7057"/>
    <w:rsid w:val="00CB7D2E"/>
    <w:rsid w:val="00CC067F"/>
    <w:rsid w:val="00CC0BFD"/>
    <w:rsid w:val="00CC1808"/>
    <w:rsid w:val="00CC23EB"/>
    <w:rsid w:val="00CC2B31"/>
    <w:rsid w:val="00CC3057"/>
    <w:rsid w:val="00CC3759"/>
    <w:rsid w:val="00CC3EF9"/>
    <w:rsid w:val="00CC410D"/>
    <w:rsid w:val="00CC4D4B"/>
    <w:rsid w:val="00CC52E6"/>
    <w:rsid w:val="00CC787E"/>
    <w:rsid w:val="00CD019B"/>
    <w:rsid w:val="00CD0728"/>
    <w:rsid w:val="00CD074C"/>
    <w:rsid w:val="00CD22D0"/>
    <w:rsid w:val="00CD2E3D"/>
    <w:rsid w:val="00CD3C96"/>
    <w:rsid w:val="00CD4883"/>
    <w:rsid w:val="00CD6356"/>
    <w:rsid w:val="00CD77E9"/>
    <w:rsid w:val="00CD7F8B"/>
    <w:rsid w:val="00CE0675"/>
    <w:rsid w:val="00CE0E7F"/>
    <w:rsid w:val="00CE1EC4"/>
    <w:rsid w:val="00CE27D6"/>
    <w:rsid w:val="00CE309E"/>
    <w:rsid w:val="00CE3A38"/>
    <w:rsid w:val="00CE4699"/>
    <w:rsid w:val="00CE50AC"/>
    <w:rsid w:val="00CE5CA0"/>
    <w:rsid w:val="00CE64DD"/>
    <w:rsid w:val="00CE6989"/>
    <w:rsid w:val="00CE6C3E"/>
    <w:rsid w:val="00CE7C83"/>
    <w:rsid w:val="00CF1630"/>
    <w:rsid w:val="00CF174A"/>
    <w:rsid w:val="00CF3119"/>
    <w:rsid w:val="00CF3379"/>
    <w:rsid w:val="00CF38E5"/>
    <w:rsid w:val="00CF3CFA"/>
    <w:rsid w:val="00CF40AD"/>
    <w:rsid w:val="00CF50B4"/>
    <w:rsid w:val="00CF7A8B"/>
    <w:rsid w:val="00CF7C19"/>
    <w:rsid w:val="00D00BCA"/>
    <w:rsid w:val="00D01B07"/>
    <w:rsid w:val="00D01DA7"/>
    <w:rsid w:val="00D01E33"/>
    <w:rsid w:val="00D024DE"/>
    <w:rsid w:val="00D0254F"/>
    <w:rsid w:val="00D02878"/>
    <w:rsid w:val="00D032E1"/>
    <w:rsid w:val="00D048B7"/>
    <w:rsid w:val="00D04A0C"/>
    <w:rsid w:val="00D04C50"/>
    <w:rsid w:val="00D04DF9"/>
    <w:rsid w:val="00D06C03"/>
    <w:rsid w:val="00D074A2"/>
    <w:rsid w:val="00D10170"/>
    <w:rsid w:val="00D104A3"/>
    <w:rsid w:val="00D1143B"/>
    <w:rsid w:val="00D1164B"/>
    <w:rsid w:val="00D117FE"/>
    <w:rsid w:val="00D1334D"/>
    <w:rsid w:val="00D15582"/>
    <w:rsid w:val="00D160CE"/>
    <w:rsid w:val="00D16320"/>
    <w:rsid w:val="00D17DE6"/>
    <w:rsid w:val="00D21261"/>
    <w:rsid w:val="00D217FF"/>
    <w:rsid w:val="00D22E25"/>
    <w:rsid w:val="00D22E8B"/>
    <w:rsid w:val="00D2326E"/>
    <w:rsid w:val="00D24655"/>
    <w:rsid w:val="00D25663"/>
    <w:rsid w:val="00D26ACA"/>
    <w:rsid w:val="00D27D0C"/>
    <w:rsid w:val="00D31909"/>
    <w:rsid w:val="00D32FFA"/>
    <w:rsid w:val="00D336D7"/>
    <w:rsid w:val="00D338D2"/>
    <w:rsid w:val="00D33AB4"/>
    <w:rsid w:val="00D33CF0"/>
    <w:rsid w:val="00D33F28"/>
    <w:rsid w:val="00D34137"/>
    <w:rsid w:val="00D34E4E"/>
    <w:rsid w:val="00D363D6"/>
    <w:rsid w:val="00D37E9A"/>
    <w:rsid w:val="00D404C4"/>
    <w:rsid w:val="00D41A6F"/>
    <w:rsid w:val="00D41CE0"/>
    <w:rsid w:val="00D420C7"/>
    <w:rsid w:val="00D421FF"/>
    <w:rsid w:val="00D424A5"/>
    <w:rsid w:val="00D42DEC"/>
    <w:rsid w:val="00D4393F"/>
    <w:rsid w:val="00D43B74"/>
    <w:rsid w:val="00D4418E"/>
    <w:rsid w:val="00D44E99"/>
    <w:rsid w:val="00D45057"/>
    <w:rsid w:val="00D45623"/>
    <w:rsid w:val="00D459FF"/>
    <w:rsid w:val="00D4634F"/>
    <w:rsid w:val="00D46831"/>
    <w:rsid w:val="00D47953"/>
    <w:rsid w:val="00D47B64"/>
    <w:rsid w:val="00D50C4A"/>
    <w:rsid w:val="00D516FD"/>
    <w:rsid w:val="00D51788"/>
    <w:rsid w:val="00D51818"/>
    <w:rsid w:val="00D52D90"/>
    <w:rsid w:val="00D538C3"/>
    <w:rsid w:val="00D54528"/>
    <w:rsid w:val="00D5542D"/>
    <w:rsid w:val="00D55753"/>
    <w:rsid w:val="00D55AB1"/>
    <w:rsid w:val="00D562E7"/>
    <w:rsid w:val="00D56F3C"/>
    <w:rsid w:val="00D56F5B"/>
    <w:rsid w:val="00D572B2"/>
    <w:rsid w:val="00D573B7"/>
    <w:rsid w:val="00D576F0"/>
    <w:rsid w:val="00D62720"/>
    <w:rsid w:val="00D62C9B"/>
    <w:rsid w:val="00D63196"/>
    <w:rsid w:val="00D633CA"/>
    <w:rsid w:val="00D6363C"/>
    <w:rsid w:val="00D6364D"/>
    <w:rsid w:val="00D66666"/>
    <w:rsid w:val="00D6732C"/>
    <w:rsid w:val="00D67B12"/>
    <w:rsid w:val="00D67C79"/>
    <w:rsid w:val="00D7186E"/>
    <w:rsid w:val="00D72122"/>
    <w:rsid w:val="00D73F0A"/>
    <w:rsid w:val="00D74303"/>
    <w:rsid w:val="00D7537F"/>
    <w:rsid w:val="00D759E7"/>
    <w:rsid w:val="00D7615E"/>
    <w:rsid w:val="00D7619B"/>
    <w:rsid w:val="00D762C3"/>
    <w:rsid w:val="00D80747"/>
    <w:rsid w:val="00D80EB5"/>
    <w:rsid w:val="00D816CA"/>
    <w:rsid w:val="00D81782"/>
    <w:rsid w:val="00D81946"/>
    <w:rsid w:val="00D82BF4"/>
    <w:rsid w:val="00D830DC"/>
    <w:rsid w:val="00D83C48"/>
    <w:rsid w:val="00D8462F"/>
    <w:rsid w:val="00D848A0"/>
    <w:rsid w:val="00D850E3"/>
    <w:rsid w:val="00D8522D"/>
    <w:rsid w:val="00D85985"/>
    <w:rsid w:val="00D861DC"/>
    <w:rsid w:val="00D86684"/>
    <w:rsid w:val="00D91868"/>
    <w:rsid w:val="00D919B3"/>
    <w:rsid w:val="00D921D7"/>
    <w:rsid w:val="00D92218"/>
    <w:rsid w:val="00D92B7B"/>
    <w:rsid w:val="00D9333F"/>
    <w:rsid w:val="00D93A46"/>
    <w:rsid w:val="00D9416A"/>
    <w:rsid w:val="00D95FF9"/>
    <w:rsid w:val="00D96CF9"/>
    <w:rsid w:val="00D970C3"/>
    <w:rsid w:val="00D97C59"/>
    <w:rsid w:val="00DA0365"/>
    <w:rsid w:val="00DA0501"/>
    <w:rsid w:val="00DA07CE"/>
    <w:rsid w:val="00DA23AF"/>
    <w:rsid w:val="00DA2FFA"/>
    <w:rsid w:val="00DA3370"/>
    <w:rsid w:val="00DA33DC"/>
    <w:rsid w:val="00DA3709"/>
    <w:rsid w:val="00DA406C"/>
    <w:rsid w:val="00DA5513"/>
    <w:rsid w:val="00DA5518"/>
    <w:rsid w:val="00DA58D6"/>
    <w:rsid w:val="00DA58FC"/>
    <w:rsid w:val="00DA715D"/>
    <w:rsid w:val="00DB02CC"/>
    <w:rsid w:val="00DB035C"/>
    <w:rsid w:val="00DB0A39"/>
    <w:rsid w:val="00DB0C46"/>
    <w:rsid w:val="00DB2658"/>
    <w:rsid w:val="00DB26E2"/>
    <w:rsid w:val="00DB3132"/>
    <w:rsid w:val="00DB36BA"/>
    <w:rsid w:val="00DB3C37"/>
    <w:rsid w:val="00DB4910"/>
    <w:rsid w:val="00DB4FDF"/>
    <w:rsid w:val="00DB550D"/>
    <w:rsid w:val="00DB7B8F"/>
    <w:rsid w:val="00DC0017"/>
    <w:rsid w:val="00DC2165"/>
    <w:rsid w:val="00DC2544"/>
    <w:rsid w:val="00DC2A39"/>
    <w:rsid w:val="00DC2CD9"/>
    <w:rsid w:val="00DC4D8B"/>
    <w:rsid w:val="00DC4FC5"/>
    <w:rsid w:val="00DC5424"/>
    <w:rsid w:val="00DC5622"/>
    <w:rsid w:val="00DC589F"/>
    <w:rsid w:val="00DC5E43"/>
    <w:rsid w:val="00DC772E"/>
    <w:rsid w:val="00DD04FB"/>
    <w:rsid w:val="00DD1610"/>
    <w:rsid w:val="00DD3FBD"/>
    <w:rsid w:val="00DD4803"/>
    <w:rsid w:val="00DD4890"/>
    <w:rsid w:val="00DD4A0D"/>
    <w:rsid w:val="00DD53B2"/>
    <w:rsid w:val="00DD6377"/>
    <w:rsid w:val="00DD68AA"/>
    <w:rsid w:val="00DD7523"/>
    <w:rsid w:val="00DD7E40"/>
    <w:rsid w:val="00DD7ED0"/>
    <w:rsid w:val="00DE06DF"/>
    <w:rsid w:val="00DE074F"/>
    <w:rsid w:val="00DE10F7"/>
    <w:rsid w:val="00DE41BE"/>
    <w:rsid w:val="00DE45FF"/>
    <w:rsid w:val="00DE5FF1"/>
    <w:rsid w:val="00DE60B9"/>
    <w:rsid w:val="00DE6F2C"/>
    <w:rsid w:val="00DE7530"/>
    <w:rsid w:val="00DE7E8D"/>
    <w:rsid w:val="00DF0002"/>
    <w:rsid w:val="00DF0332"/>
    <w:rsid w:val="00DF0538"/>
    <w:rsid w:val="00DF08C0"/>
    <w:rsid w:val="00DF1504"/>
    <w:rsid w:val="00DF1581"/>
    <w:rsid w:val="00DF20FE"/>
    <w:rsid w:val="00DF2414"/>
    <w:rsid w:val="00DF475F"/>
    <w:rsid w:val="00DF48DE"/>
    <w:rsid w:val="00DF5D49"/>
    <w:rsid w:val="00DF69A7"/>
    <w:rsid w:val="00DF7142"/>
    <w:rsid w:val="00DF7453"/>
    <w:rsid w:val="00DF7492"/>
    <w:rsid w:val="00DF7D8B"/>
    <w:rsid w:val="00E00988"/>
    <w:rsid w:val="00E00D0F"/>
    <w:rsid w:val="00E00D17"/>
    <w:rsid w:val="00E00D5E"/>
    <w:rsid w:val="00E011EC"/>
    <w:rsid w:val="00E027B7"/>
    <w:rsid w:val="00E03ADA"/>
    <w:rsid w:val="00E04402"/>
    <w:rsid w:val="00E04DDA"/>
    <w:rsid w:val="00E06DAE"/>
    <w:rsid w:val="00E06DE7"/>
    <w:rsid w:val="00E07295"/>
    <w:rsid w:val="00E10E3A"/>
    <w:rsid w:val="00E12534"/>
    <w:rsid w:val="00E127AB"/>
    <w:rsid w:val="00E129ED"/>
    <w:rsid w:val="00E12BF3"/>
    <w:rsid w:val="00E1419F"/>
    <w:rsid w:val="00E146A9"/>
    <w:rsid w:val="00E153FC"/>
    <w:rsid w:val="00E169F4"/>
    <w:rsid w:val="00E17B1C"/>
    <w:rsid w:val="00E17BC7"/>
    <w:rsid w:val="00E2077F"/>
    <w:rsid w:val="00E20AF3"/>
    <w:rsid w:val="00E2116C"/>
    <w:rsid w:val="00E225ED"/>
    <w:rsid w:val="00E22B80"/>
    <w:rsid w:val="00E231F8"/>
    <w:rsid w:val="00E2393F"/>
    <w:rsid w:val="00E24781"/>
    <w:rsid w:val="00E2516F"/>
    <w:rsid w:val="00E26B8A"/>
    <w:rsid w:val="00E27557"/>
    <w:rsid w:val="00E27A1C"/>
    <w:rsid w:val="00E27EFC"/>
    <w:rsid w:val="00E306C5"/>
    <w:rsid w:val="00E32158"/>
    <w:rsid w:val="00E325F8"/>
    <w:rsid w:val="00E33DBC"/>
    <w:rsid w:val="00E34CA7"/>
    <w:rsid w:val="00E35AA5"/>
    <w:rsid w:val="00E3670B"/>
    <w:rsid w:val="00E36946"/>
    <w:rsid w:val="00E40A1D"/>
    <w:rsid w:val="00E415C1"/>
    <w:rsid w:val="00E416D3"/>
    <w:rsid w:val="00E41866"/>
    <w:rsid w:val="00E41B9F"/>
    <w:rsid w:val="00E42233"/>
    <w:rsid w:val="00E42591"/>
    <w:rsid w:val="00E4268A"/>
    <w:rsid w:val="00E44305"/>
    <w:rsid w:val="00E45326"/>
    <w:rsid w:val="00E4568E"/>
    <w:rsid w:val="00E46C42"/>
    <w:rsid w:val="00E47B34"/>
    <w:rsid w:val="00E511A0"/>
    <w:rsid w:val="00E51FBB"/>
    <w:rsid w:val="00E5202D"/>
    <w:rsid w:val="00E522A4"/>
    <w:rsid w:val="00E52353"/>
    <w:rsid w:val="00E52FDB"/>
    <w:rsid w:val="00E53141"/>
    <w:rsid w:val="00E541AA"/>
    <w:rsid w:val="00E545EF"/>
    <w:rsid w:val="00E545F1"/>
    <w:rsid w:val="00E55903"/>
    <w:rsid w:val="00E577EF"/>
    <w:rsid w:val="00E618F1"/>
    <w:rsid w:val="00E633E8"/>
    <w:rsid w:val="00E63E41"/>
    <w:rsid w:val="00E64069"/>
    <w:rsid w:val="00E66311"/>
    <w:rsid w:val="00E6657D"/>
    <w:rsid w:val="00E673AC"/>
    <w:rsid w:val="00E67C66"/>
    <w:rsid w:val="00E7010A"/>
    <w:rsid w:val="00E70731"/>
    <w:rsid w:val="00E71462"/>
    <w:rsid w:val="00E72DF5"/>
    <w:rsid w:val="00E72EED"/>
    <w:rsid w:val="00E73574"/>
    <w:rsid w:val="00E75C40"/>
    <w:rsid w:val="00E75C58"/>
    <w:rsid w:val="00E76BB2"/>
    <w:rsid w:val="00E7748F"/>
    <w:rsid w:val="00E77DDF"/>
    <w:rsid w:val="00E8051D"/>
    <w:rsid w:val="00E81961"/>
    <w:rsid w:val="00E81C94"/>
    <w:rsid w:val="00E82230"/>
    <w:rsid w:val="00E8242A"/>
    <w:rsid w:val="00E84B0A"/>
    <w:rsid w:val="00E84F71"/>
    <w:rsid w:val="00E859B0"/>
    <w:rsid w:val="00E86477"/>
    <w:rsid w:val="00E86655"/>
    <w:rsid w:val="00E87CA1"/>
    <w:rsid w:val="00E905FE"/>
    <w:rsid w:val="00E90CFD"/>
    <w:rsid w:val="00E913F2"/>
    <w:rsid w:val="00E914F5"/>
    <w:rsid w:val="00E9218D"/>
    <w:rsid w:val="00E92759"/>
    <w:rsid w:val="00E930B9"/>
    <w:rsid w:val="00E93597"/>
    <w:rsid w:val="00E9386A"/>
    <w:rsid w:val="00E93B1E"/>
    <w:rsid w:val="00E93BFD"/>
    <w:rsid w:val="00E941AE"/>
    <w:rsid w:val="00E947A6"/>
    <w:rsid w:val="00E94912"/>
    <w:rsid w:val="00E95491"/>
    <w:rsid w:val="00E959A4"/>
    <w:rsid w:val="00E95A16"/>
    <w:rsid w:val="00E96481"/>
    <w:rsid w:val="00E976C4"/>
    <w:rsid w:val="00E97AC2"/>
    <w:rsid w:val="00E97C9E"/>
    <w:rsid w:val="00EA0A9C"/>
    <w:rsid w:val="00EA0F7D"/>
    <w:rsid w:val="00EA1194"/>
    <w:rsid w:val="00EA44F7"/>
    <w:rsid w:val="00EA4A65"/>
    <w:rsid w:val="00EA4CF9"/>
    <w:rsid w:val="00EA4E59"/>
    <w:rsid w:val="00EA546C"/>
    <w:rsid w:val="00EA54B0"/>
    <w:rsid w:val="00EA706A"/>
    <w:rsid w:val="00EA73D7"/>
    <w:rsid w:val="00EA7B2D"/>
    <w:rsid w:val="00EB03DA"/>
    <w:rsid w:val="00EB11A0"/>
    <w:rsid w:val="00EB179E"/>
    <w:rsid w:val="00EB2FA6"/>
    <w:rsid w:val="00EB36B2"/>
    <w:rsid w:val="00EB4F2A"/>
    <w:rsid w:val="00EB501B"/>
    <w:rsid w:val="00EB5A53"/>
    <w:rsid w:val="00EB70AC"/>
    <w:rsid w:val="00EB71C6"/>
    <w:rsid w:val="00EB7F81"/>
    <w:rsid w:val="00EC09D5"/>
    <w:rsid w:val="00EC11BD"/>
    <w:rsid w:val="00EC193A"/>
    <w:rsid w:val="00EC1CCB"/>
    <w:rsid w:val="00EC321E"/>
    <w:rsid w:val="00EC3518"/>
    <w:rsid w:val="00EC37B5"/>
    <w:rsid w:val="00EC3D42"/>
    <w:rsid w:val="00EC67BA"/>
    <w:rsid w:val="00EC6912"/>
    <w:rsid w:val="00EC7C04"/>
    <w:rsid w:val="00ED07D4"/>
    <w:rsid w:val="00ED4CC6"/>
    <w:rsid w:val="00ED4E96"/>
    <w:rsid w:val="00ED4F9F"/>
    <w:rsid w:val="00ED4FEC"/>
    <w:rsid w:val="00ED518B"/>
    <w:rsid w:val="00ED6850"/>
    <w:rsid w:val="00EE0370"/>
    <w:rsid w:val="00EE04BC"/>
    <w:rsid w:val="00EE070C"/>
    <w:rsid w:val="00EE17A1"/>
    <w:rsid w:val="00EE2FA2"/>
    <w:rsid w:val="00EE31FB"/>
    <w:rsid w:val="00EE385D"/>
    <w:rsid w:val="00EE5988"/>
    <w:rsid w:val="00EE5F38"/>
    <w:rsid w:val="00EE640A"/>
    <w:rsid w:val="00EE68BA"/>
    <w:rsid w:val="00EE6C8A"/>
    <w:rsid w:val="00EE7221"/>
    <w:rsid w:val="00EE7FF6"/>
    <w:rsid w:val="00EF1341"/>
    <w:rsid w:val="00EF3858"/>
    <w:rsid w:val="00EF621B"/>
    <w:rsid w:val="00EF66AD"/>
    <w:rsid w:val="00EF6F89"/>
    <w:rsid w:val="00F0005E"/>
    <w:rsid w:val="00F0168E"/>
    <w:rsid w:val="00F016D8"/>
    <w:rsid w:val="00F026E0"/>
    <w:rsid w:val="00F03053"/>
    <w:rsid w:val="00F05C46"/>
    <w:rsid w:val="00F06549"/>
    <w:rsid w:val="00F070DB"/>
    <w:rsid w:val="00F07A48"/>
    <w:rsid w:val="00F1016B"/>
    <w:rsid w:val="00F1065C"/>
    <w:rsid w:val="00F11E8A"/>
    <w:rsid w:val="00F12287"/>
    <w:rsid w:val="00F1291E"/>
    <w:rsid w:val="00F129D1"/>
    <w:rsid w:val="00F12BDC"/>
    <w:rsid w:val="00F130F1"/>
    <w:rsid w:val="00F133B2"/>
    <w:rsid w:val="00F1410E"/>
    <w:rsid w:val="00F1464C"/>
    <w:rsid w:val="00F14670"/>
    <w:rsid w:val="00F146EC"/>
    <w:rsid w:val="00F149A7"/>
    <w:rsid w:val="00F14B33"/>
    <w:rsid w:val="00F14CD4"/>
    <w:rsid w:val="00F15244"/>
    <w:rsid w:val="00F15434"/>
    <w:rsid w:val="00F1607A"/>
    <w:rsid w:val="00F16164"/>
    <w:rsid w:val="00F164E1"/>
    <w:rsid w:val="00F16B1D"/>
    <w:rsid w:val="00F16C15"/>
    <w:rsid w:val="00F170D8"/>
    <w:rsid w:val="00F20B63"/>
    <w:rsid w:val="00F22592"/>
    <w:rsid w:val="00F22F9C"/>
    <w:rsid w:val="00F23A41"/>
    <w:rsid w:val="00F23AF7"/>
    <w:rsid w:val="00F24709"/>
    <w:rsid w:val="00F249AA"/>
    <w:rsid w:val="00F24C17"/>
    <w:rsid w:val="00F25C80"/>
    <w:rsid w:val="00F25D2B"/>
    <w:rsid w:val="00F25F3B"/>
    <w:rsid w:val="00F26485"/>
    <w:rsid w:val="00F26FE8"/>
    <w:rsid w:val="00F270AA"/>
    <w:rsid w:val="00F27FEC"/>
    <w:rsid w:val="00F300C4"/>
    <w:rsid w:val="00F304BE"/>
    <w:rsid w:val="00F30C54"/>
    <w:rsid w:val="00F32522"/>
    <w:rsid w:val="00F33941"/>
    <w:rsid w:val="00F3758A"/>
    <w:rsid w:val="00F375A0"/>
    <w:rsid w:val="00F41703"/>
    <w:rsid w:val="00F41854"/>
    <w:rsid w:val="00F41DD9"/>
    <w:rsid w:val="00F427B6"/>
    <w:rsid w:val="00F43CCD"/>
    <w:rsid w:val="00F43E8D"/>
    <w:rsid w:val="00F44BA3"/>
    <w:rsid w:val="00F45C39"/>
    <w:rsid w:val="00F46187"/>
    <w:rsid w:val="00F505F9"/>
    <w:rsid w:val="00F50F8B"/>
    <w:rsid w:val="00F5175E"/>
    <w:rsid w:val="00F53059"/>
    <w:rsid w:val="00F53776"/>
    <w:rsid w:val="00F53D91"/>
    <w:rsid w:val="00F54BA8"/>
    <w:rsid w:val="00F54C27"/>
    <w:rsid w:val="00F5712B"/>
    <w:rsid w:val="00F57C3D"/>
    <w:rsid w:val="00F60E39"/>
    <w:rsid w:val="00F61C9C"/>
    <w:rsid w:val="00F61D43"/>
    <w:rsid w:val="00F62FE3"/>
    <w:rsid w:val="00F63939"/>
    <w:rsid w:val="00F6533A"/>
    <w:rsid w:val="00F656D5"/>
    <w:rsid w:val="00F66989"/>
    <w:rsid w:val="00F66ED2"/>
    <w:rsid w:val="00F66F37"/>
    <w:rsid w:val="00F7008E"/>
    <w:rsid w:val="00F70E4A"/>
    <w:rsid w:val="00F71A63"/>
    <w:rsid w:val="00F71DC2"/>
    <w:rsid w:val="00F72533"/>
    <w:rsid w:val="00F72A09"/>
    <w:rsid w:val="00F72E81"/>
    <w:rsid w:val="00F72F55"/>
    <w:rsid w:val="00F774B0"/>
    <w:rsid w:val="00F77DBE"/>
    <w:rsid w:val="00F808C7"/>
    <w:rsid w:val="00F80EA6"/>
    <w:rsid w:val="00F82032"/>
    <w:rsid w:val="00F835D9"/>
    <w:rsid w:val="00F83E10"/>
    <w:rsid w:val="00F844BE"/>
    <w:rsid w:val="00F847FD"/>
    <w:rsid w:val="00F8481F"/>
    <w:rsid w:val="00F859A0"/>
    <w:rsid w:val="00F8604A"/>
    <w:rsid w:val="00F86A3A"/>
    <w:rsid w:val="00F8724C"/>
    <w:rsid w:val="00F90015"/>
    <w:rsid w:val="00F90785"/>
    <w:rsid w:val="00F9121B"/>
    <w:rsid w:val="00F91750"/>
    <w:rsid w:val="00F92B06"/>
    <w:rsid w:val="00F93A42"/>
    <w:rsid w:val="00F93C63"/>
    <w:rsid w:val="00F94DC8"/>
    <w:rsid w:val="00F94F66"/>
    <w:rsid w:val="00F95E4F"/>
    <w:rsid w:val="00F95E53"/>
    <w:rsid w:val="00F968E0"/>
    <w:rsid w:val="00F96959"/>
    <w:rsid w:val="00F975C6"/>
    <w:rsid w:val="00F97ED8"/>
    <w:rsid w:val="00FA199C"/>
    <w:rsid w:val="00FA20CD"/>
    <w:rsid w:val="00FA28F4"/>
    <w:rsid w:val="00FA4148"/>
    <w:rsid w:val="00FA51D9"/>
    <w:rsid w:val="00FA661B"/>
    <w:rsid w:val="00FA699B"/>
    <w:rsid w:val="00FA6A3C"/>
    <w:rsid w:val="00FA7236"/>
    <w:rsid w:val="00FA7889"/>
    <w:rsid w:val="00FA7C5F"/>
    <w:rsid w:val="00FA7D99"/>
    <w:rsid w:val="00FB0E28"/>
    <w:rsid w:val="00FB0F27"/>
    <w:rsid w:val="00FB12DA"/>
    <w:rsid w:val="00FB33EE"/>
    <w:rsid w:val="00FB3A50"/>
    <w:rsid w:val="00FB5055"/>
    <w:rsid w:val="00FB5673"/>
    <w:rsid w:val="00FB6467"/>
    <w:rsid w:val="00FB6DF8"/>
    <w:rsid w:val="00FC0F5B"/>
    <w:rsid w:val="00FC3A7B"/>
    <w:rsid w:val="00FC45A8"/>
    <w:rsid w:val="00FC58B5"/>
    <w:rsid w:val="00FC614C"/>
    <w:rsid w:val="00FC6B54"/>
    <w:rsid w:val="00FC6C20"/>
    <w:rsid w:val="00FC6CA6"/>
    <w:rsid w:val="00FC6DE8"/>
    <w:rsid w:val="00FC718D"/>
    <w:rsid w:val="00FC778F"/>
    <w:rsid w:val="00FC7D79"/>
    <w:rsid w:val="00FD06E2"/>
    <w:rsid w:val="00FD08B0"/>
    <w:rsid w:val="00FD0BBC"/>
    <w:rsid w:val="00FD0FF2"/>
    <w:rsid w:val="00FD2FC5"/>
    <w:rsid w:val="00FD46C6"/>
    <w:rsid w:val="00FD52C1"/>
    <w:rsid w:val="00FD5319"/>
    <w:rsid w:val="00FD5877"/>
    <w:rsid w:val="00FD5E10"/>
    <w:rsid w:val="00FD6D5B"/>
    <w:rsid w:val="00FD727A"/>
    <w:rsid w:val="00FD7A43"/>
    <w:rsid w:val="00FE2160"/>
    <w:rsid w:val="00FE2166"/>
    <w:rsid w:val="00FE2766"/>
    <w:rsid w:val="00FE2D96"/>
    <w:rsid w:val="00FE35F0"/>
    <w:rsid w:val="00FE49F2"/>
    <w:rsid w:val="00FE4A7B"/>
    <w:rsid w:val="00FE4C09"/>
    <w:rsid w:val="00FE5F7C"/>
    <w:rsid w:val="00FE6235"/>
    <w:rsid w:val="00FE77F2"/>
    <w:rsid w:val="00FE7F4A"/>
    <w:rsid w:val="00FF0126"/>
    <w:rsid w:val="00FF095E"/>
    <w:rsid w:val="00FF1522"/>
    <w:rsid w:val="00FF1A80"/>
    <w:rsid w:val="00FF21F3"/>
    <w:rsid w:val="00FF2301"/>
    <w:rsid w:val="00FF2AAA"/>
    <w:rsid w:val="00FF3298"/>
    <w:rsid w:val="00FF3657"/>
    <w:rsid w:val="00FF4A2C"/>
    <w:rsid w:val="00FF4EBD"/>
    <w:rsid w:val="00FF5F82"/>
    <w:rsid w:val="00FF638A"/>
    <w:rsid w:val="00FF6AC7"/>
    <w:rsid w:val="00FF7C98"/>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111614"/>
    <w:rPr>
      <w:sz w:val="16"/>
      <w:szCs w:val="16"/>
    </w:rPr>
  </w:style>
  <w:style w:type="paragraph" w:styleId="CommentText">
    <w:name w:val="annotation text"/>
    <w:basedOn w:val="Normal"/>
    <w:link w:val="CommentTextChar"/>
    <w:uiPriority w:val="99"/>
    <w:semiHidden/>
    <w:unhideWhenUsed/>
    <w:rsid w:val="00111614"/>
    <w:rPr>
      <w:sz w:val="20"/>
      <w:szCs w:val="20"/>
    </w:rPr>
  </w:style>
  <w:style w:type="character" w:customStyle="1" w:styleId="CommentTextChar">
    <w:name w:val="Comment Text Char"/>
    <w:basedOn w:val="DefaultParagraphFont"/>
    <w:link w:val="CommentText"/>
    <w:uiPriority w:val="99"/>
    <w:semiHidden/>
    <w:rsid w:val="0011161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11614"/>
    <w:rPr>
      <w:b/>
      <w:bCs/>
    </w:rPr>
  </w:style>
  <w:style w:type="character" w:customStyle="1" w:styleId="CommentSubjectChar">
    <w:name w:val="Comment Subject Char"/>
    <w:basedOn w:val="CommentTextChar"/>
    <w:link w:val="CommentSubject"/>
    <w:uiPriority w:val="99"/>
    <w:semiHidden/>
    <w:rsid w:val="00111614"/>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111614"/>
    <w:rPr>
      <w:sz w:val="16"/>
      <w:szCs w:val="16"/>
    </w:rPr>
  </w:style>
  <w:style w:type="paragraph" w:styleId="CommentText">
    <w:name w:val="annotation text"/>
    <w:basedOn w:val="Normal"/>
    <w:link w:val="CommentTextChar"/>
    <w:uiPriority w:val="99"/>
    <w:semiHidden/>
    <w:unhideWhenUsed/>
    <w:rsid w:val="00111614"/>
    <w:rPr>
      <w:sz w:val="20"/>
      <w:szCs w:val="20"/>
    </w:rPr>
  </w:style>
  <w:style w:type="character" w:customStyle="1" w:styleId="CommentTextChar">
    <w:name w:val="Comment Text Char"/>
    <w:basedOn w:val="DefaultParagraphFont"/>
    <w:link w:val="CommentText"/>
    <w:uiPriority w:val="99"/>
    <w:semiHidden/>
    <w:rsid w:val="0011161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11614"/>
    <w:rPr>
      <w:b/>
      <w:bCs/>
    </w:rPr>
  </w:style>
  <w:style w:type="character" w:customStyle="1" w:styleId="CommentSubjectChar">
    <w:name w:val="Comment Subject Char"/>
    <w:basedOn w:val="CommentTextChar"/>
    <w:link w:val="CommentSubject"/>
    <w:uiPriority w:val="99"/>
    <w:semiHidden/>
    <w:rsid w:val="00111614"/>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45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08407-09F3-453D-937D-C333FE3E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3814</Words>
  <Characters>20178</Characters>
  <Application>Microsoft Office Word</Application>
  <DocSecurity>0</DocSecurity>
  <Lines>326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2016-05-03T17:40:00Z</dcterms:created>
  <dcterms:modified xsi:type="dcterms:W3CDTF">2016-05-03T18:11:00Z</dcterms:modified>
</cp:coreProperties>
</file>