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F73E1" w14:textId="633C0C33" w:rsidR="00832223" w:rsidRPr="00E26B8A" w:rsidRDefault="00D867FB" w:rsidP="00FC04B4">
      <w:pPr>
        <w:ind w:right="-144"/>
      </w:pPr>
      <w:bookmarkStart w:id="0" w:name="designation"/>
      <w:bookmarkStart w:id="1" w:name="_GoBack"/>
      <w:bookmarkEnd w:id="0"/>
      <w:bookmarkEnd w:id="1"/>
      <w:r>
        <w:t>PUBLIC MATTER</w:t>
      </w:r>
      <w:r w:rsidR="00611B6F">
        <w:t>—</w:t>
      </w:r>
      <w:r>
        <w:t>DESIGNATED FOR PUBLICATION</w:t>
      </w:r>
    </w:p>
    <w:p w14:paraId="6BED5BB9" w14:textId="77777777" w:rsidR="00832223" w:rsidRDefault="00832223" w:rsidP="00C13F27"/>
    <w:p w14:paraId="0BE4B202" w14:textId="31BFF336" w:rsidR="00474987" w:rsidRPr="00D50330" w:rsidRDefault="00730A1F" w:rsidP="00F427B6">
      <w:pPr>
        <w:contextualSpacing/>
      </w:pPr>
      <w:r>
        <w:tab/>
      </w:r>
      <w:r>
        <w:tab/>
      </w:r>
      <w:r>
        <w:tab/>
      </w:r>
      <w:r>
        <w:tab/>
      </w:r>
      <w:r>
        <w:tab/>
      </w:r>
      <w:r>
        <w:tab/>
      </w:r>
      <w:r>
        <w:tab/>
        <w:t>Filed September 30, 2020</w:t>
      </w:r>
    </w:p>
    <w:p w14:paraId="5F8DBC7C" w14:textId="77777777" w:rsidR="007C26E8" w:rsidRDefault="007C26E8" w:rsidP="002413A3">
      <w:pPr>
        <w:contextualSpacing/>
      </w:pPr>
    </w:p>
    <w:p w14:paraId="2FF45820" w14:textId="77777777" w:rsidR="003D1C9F" w:rsidRDefault="003D1C9F" w:rsidP="002413A3">
      <w:pPr>
        <w:contextualSpacing/>
      </w:pPr>
    </w:p>
    <w:p w14:paraId="41507C51" w14:textId="77777777" w:rsidR="00832223" w:rsidRPr="00B76F6A" w:rsidRDefault="00832223" w:rsidP="00B76F6A">
      <w:pPr>
        <w:pStyle w:val="OpinionHeading"/>
      </w:pPr>
      <w:r w:rsidRPr="00B76F6A">
        <w:t>STATE BAR COURT OF CALIFORNIA</w:t>
      </w:r>
    </w:p>
    <w:p w14:paraId="47BE0D03" w14:textId="77777777" w:rsidR="00832223" w:rsidRPr="00B76F6A" w:rsidRDefault="00832223" w:rsidP="00B76F6A">
      <w:pPr>
        <w:pStyle w:val="OpinionHeading"/>
      </w:pPr>
    </w:p>
    <w:p w14:paraId="610600E8" w14:textId="77777777" w:rsidR="00832223" w:rsidRPr="00B76F6A" w:rsidRDefault="00832223" w:rsidP="00B76F6A">
      <w:pPr>
        <w:pStyle w:val="OpinionHeading"/>
      </w:pPr>
      <w:r w:rsidRPr="00B76F6A">
        <w:t>REVIEW DEPARTMENT</w:t>
      </w:r>
    </w:p>
    <w:p w14:paraId="3E5DB5CC" w14:textId="77777777" w:rsidR="00832223" w:rsidRPr="00C11CC8" w:rsidRDefault="00832223" w:rsidP="00832223">
      <w:pPr>
        <w:jc w:val="center"/>
        <w:rPr>
          <w:b/>
        </w:rPr>
      </w:pPr>
    </w:p>
    <w:p w14:paraId="2C143411" w14:textId="77777777" w:rsidR="00832223" w:rsidRPr="00C11CC8" w:rsidRDefault="00832223" w:rsidP="00832223">
      <w:pPr>
        <w:rPr>
          <w:b/>
        </w:rPr>
      </w:pPr>
    </w:p>
    <w:tbl>
      <w:tblPr>
        <w:tblStyle w:val="TableGrid"/>
        <w:tblW w:w="0" w:type="auto"/>
        <w:tblLook w:val="04A0" w:firstRow="1" w:lastRow="0" w:firstColumn="1" w:lastColumn="0" w:noHBand="0" w:noVBand="1"/>
      </w:tblPr>
      <w:tblGrid>
        <w:gridCol w:w="4770"/>
        <w:gridCol w:w="497"/>
        <w:gridCol w:w="4201"/>
      </w:tblGrid>
      <w:tr w:rsidR="00832223" w:rsidRPr="00C11CC8" w14:paraId="00A7EC66" w14:textId="77777777" w:rsidTr="00357051">
        <w:tc>
          <w:tcPr>
            <w:tcW w:w="4770" w:type="dxa"/>
            <w:tcBorders>
              <w:top w:val="nil"/>
              <w:left w:val="nil"/>
              <w:right w:val="nil"/>
            </w:tcBorders>
            <w:tcMar>
              <w:left w:w="0" w:type="dxa"/>
              <w:right w:w="0" w:type="dxa"/>
            </w:tcMar>
          </w:tcPr>
          <w:p w14:paraId="1E1E4BAA" w14:textId="77777777" w:rsidR="00832223" w:rsidRDefault="00832223" w:rsidP="00357051">
            <w:r>
              <w:t>In the Matter of</w:t>
            </w:r>
          </w:p>
          <w:p w14:paraId="0B498A49" w14:textId="77777777" w:rsidR="00832223" w:rsidRDefault="00832223" w:rsidP="00357051"/>
          <w:p w14:paraId="1F4AB79D" w14:textId="77777777" w:rsidR="00832223" w:rsidRPr="008F3169" w:rsidRDefault="00D867FB" w:rsidP="00357051">
            <w:bookmarkStart w:id="2" w:name="Respondent"/>
            <w:bookmarkEnd w:id="2"/>
            <w:r>
              <w:t>JOSEPH EARL MARTIN</w:t>
            </w:r>
            <w:r w:rsidR="00832223" w:rsidRPr="008F3169">
              <w:t>,</w:t>
            </w:r>
          </w:p>
          <w:p w14:paraId="1072B224" w14:textId="77777777" w:rsidR="00832223" w:rsidRDefault="00832223" w:rsidP="00357051"/>
          <w:p w14:paraId="1B28DA15" w14:textId="61A70A94" w:rsidR="00832223" w:rsidRPr="00C11CC8" w:rsidRDefault="00611B6F" w:rsidP="00357051">
            <w:bookmarkStart w:id="3" w:name="type"/>
            <w:bookmarkEnd w:id="3"/>
            <w:r>
              <w:t>State Bar</w:t>
            </w:r>
            <w:r w:rsidR="00D867FB">
              <w:t xml:space="preserve"> No.</w:t>
            </w:r>
            <w:r w:rsidR="00832223">
              <w:t xml:space="preserve"> </w:t>
            </w:r>
            <w:bookmarkStart w:id="4" w:name="memno"/>
            <w:bookmarkStart w:id="5" w:name="MemberNo"/>
            <w:bookmarkEnd w:id="4"/>
            <w:bookmarkEnd w:id="5"/>
            <w:r w:rsidR="00D867FB">
              <w:t>189752.</w:t>
            </w:r>
          </w:p>
        </w:tc>
        <w:tc>
          <w:tcPr>
            <w:tcW w:w="497" w:type="dxa"/>
            <w:tcBorders>
              <w:top w:val="nil"/>
              <w:left w:val="nil"/>
              <w:bottom w:val="nil"/>
              <w:right w:val="nil"/>
            </w:tcBorders>
            <w:tcMar>
              <w:left w:w="0" w:type="dxa"/>
              <w:right w:w="0" w:type="dxa"/>
            </w:tcMar>
          </w:tcPr>
          <w:p w14:paraId="09432AA7" w14:textId="77777777" w:rsidR="00832223" w:rsidRPr="004D32E9" w:rsidRDefault="00832223" w:rsidP="00357051">
            <w:r w:rsidRPr="004D32E9">
              <w:t>)</w:t>
            </w:r>
          </w:p>
          <w:p w14:paraId="70C80608" w14:textId="77777777"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14:paraId="449C580B" w14:textId="7FF35CDB" w:rsidR="00832223" w:rsidRPr="005E6703" w:rsidRDefault="00A96993" w:rsidP="00357051">
            <w:bookmarkStart w:id="6" w:name="caseno"/>
            <w:bookmarkEnd w:id="6"/>
            <w:r>
              <w:t xml:space="preserve">No. </w:t>
            </w:r>
            <w:r w:rsidR="00D867FB">
              <w:t>16-O-17714</w:t>
            </w:r>
          </w:p>
          <w:p w14:paraId="3CEA70A4" w14:textId="77777777" w:rsidR="00832223" w:rsidRDefault="00832223" w:rsidP="00357051"/>
          <w:p w14:paraId="08F02AD5" w14:textId="5339F68B" w:rsidR="00832223" w:rsidRPr="00D90643" w:rsidRDefault="00D867FB" w:rsidP="00357051">
            <w:bookmarkStart w:id="7" w:name="title"/>
            <w:bookmarkEnd w:id="7"/>
            <w:r>
              <w:t>OPINION</w:t>
            </w:r>
            <w:r w:rsidR="00F34B65">
              <w:t xml:space="preserve"> AND ORDER</w:t>
            </w:r>
          </w:p>
        </w:tc>
      </w:tr>
    </w:tbl>
    <w:p w14:paraId="4524AF50" w14:textId="77777777" w:rsidR="00832223" w:rsidRDefault="00832223" w:rsidP="00832223"/>
    <w:p w14:paraId="12FE924C" w14:textId="4675254C" w:rsidR="00681023" w:rsidRDefault="00E07ABB" w:rsidP="009A469D">
      <w:pPr>
        <w:spacing w:line="480" w:lineRule="auto"/>
        <w:ind w:firstLine="720"/>
      </w:pPr>
      <w:bookmarkStart w:id="8" w:name="start"/>
      <w:bookmarkEnd w:id="8"/>
      <w:r>
        <w:t xml:space="preserve">In his first disciplinary matter, </w:t>
      </w:r>
      <w:r w:rsidR="009A469D">
        <w:t>Joseph Earl Martin was charged with two counts of misconduct</w:t>
      </w:r>
      <w:r w:rsidR="009642FE">
        <w:t xml:space="preserve">, both based on violations </w:t>
      </w:r>
      <w:r w:rsidR="00611B6F">
        <w:t>of former rule </w:t>
      </w:r>
      <w:r w:rsidR="006D7592">
        <w:t>4-100(A)</w:t>
      </w:r>
      <w:r w:rsidR="0051108F">
        <w:t xml:space="preserve"> of the California Rules of Professional Conduct</w:t>
      </w:r>
      <w:r w:rsidR="00A6554F">
        <w:t>.</w:t>
      </w:r>
      <w:r w:rsidR="0051108F">
        <w:rPr>
          <w:rStyle w:val="FootnoteReference"/>
        </w:rPr>
        <w:footnoteReference w:id="1"/>
      </w:r>
      <w:r w:rsidR="009642FE">
        <w:t xml:space="preserve"> </w:t>
      </w:r>
      <w:r w:rsidR="002926B0">
        <w:t xml:space="preserve"> </w:t>
      </w:r>
      <w:r w:rsidR="00A6554F">
        <w:t>Specifically, the Notice of Disciplinary Charges (NDC) allege</w:t>
      </w:r>
      <w:r w:rsidR="008E39FC">
        <w:t>s</w:t>
      </w:r>
      <w:r w:rsidR="00A6554F">
        <w:t xml:space="preserve"> </w:t>
      </w:r>
      <w:r w:rsidR="00C43018">
        <w:t>Martin</w:t>
      </w:r>
      <w:r w:rsidR="003075C7">
        <w:t xml:space="preserve"> </w:t>
      </w:r>
      <w:r w:rsidR="00CA3C3A">
        <w:t xml:space="preserve">deposited personal funds into, and paid personal expenses from, </w:t>
      </w:r>
      <w:r w:rsidR="00C43018">
        <w:t>his</w:t>
      </w:r>
      <w:r w:rsidR="00A6554F">
        <w:t xml:space="preserve"> </w:t>
      </w:r>
      <w:r w:rsidR="00850BA4">
        <w:t>client trust account</w:t>
      </w:r>
      <w:r w:rsidR="009A469D">
        <w:t xml:space="preserve"> (CTA</w:t>
      </w:r>
      <w:r w:rsidR="00F32A1C">
        <w:t>)</w:t>
      </w:r>
      <w:r w:rsidR="00850BA4">
        <w:t xml:space="preserve"> </w:t>
      </w:r>
      <w:r w:rsidR="00CA3C3A">
        <w:t>on multiple occasions</w:t>
      </w:r>
      <w:r w:rsidR="00F32A1C">
        <w:t>, and thus improperly commingled those funds</w:t>
      </w:r>
      <w:r w:rsidR="00CA3C3A">
        <w:t xml:space="preserve">.  </w:t>
      </w:r>
      <w:r w:rsidR="0051108F">
        <w:t>The hearing judge found Martin culpable o</w:t>
      </w:r>
      <w:r w:rsidR="009A469D" w:rsidRPr="00EF19A3">
        <w:t xml:space="preserve">f </w:t>
      </w:r>
      <w:r w:rsidR="0051108F">
        <w:t>both counts</w:t>
      </w:r>
      <w:r w:rsidR="002926B0">
        <w:t xml:space="preserve">.  </w:t>
      </w:r>
      <w:r w:rsidR="002E611A">
        <w:t xml:space="preserve">In recommending </w:t>
      </w:r>
      <w:r w:rsidR="00864806">
        <w:t xml:space="preserve">a </w:t>
      </w:r>
      <w:r w:rsidR="00BA7230">
        <w:t>90-day actual</w:t>
      </w:r>
      <w:r w:rsidR="00B93B00">
        <w:t xml:space="preserve"> suspension</w:t>
      </w:r>
      <w:r w:rsidR="002E611A">
        <w:t xml:space="preserve">, the judge determined that Martin </w:t>
      </w:r>
      <w:r w:rsidR="007E515B">
        <w:t>failed to d</w:t>
      </w:r>
      <w:r w:rsidR="002E611A">
        <w:t>emonstrat</w:t>
      </w:r>
      <w:r w:rsidR="007E515B">
        <w:t>e</w:t>
      </w:r>
      <w:r w:rsidR="002E611A">
        <w:t xml:space="preserve"> that a</w:t>
      </w:r>
      <w:r w:rsidR="002926B0">
        <w:t xml:space="preserve"> lesser sanction under standard </w:t>
      </w:r>
      <w:r w:rsidR="002E611A">
        <w:t>2.2(a)</w:t>
      </w:r>
      <w:r w:rsidR="00017293">
        <w:rPr>
          <w:rStyle w:val="FootnoteReference"/>
        </w:rPr>
        <w:footnoteReference w:id="2"/>
      </w:r>
      <w:r w:rsidR="002E611A">
        <w:t xml:space="preserve"> was warranted.</w:t>
      </w:r>
      <w:r w:rsidR="0051108F">
        <w:t xml:space="preserve">  </w:t>
      </w:r>
    </w:p>
    <w:p w14:paraId="2B667AFD" w14:textId="00C6F98D" w:rsidR="009A469D" w:rsidRDefault="0051108F" w:rsidP="00C56BC4">
      <w:pPr>
        <w:spacing w:line="480" w:lineRule="auto"/>
        <w:ind w:firstLine="720"/>
      </w:pPr>
      <w:r>
        <w:t>Martin</w:t>
      </w:r>
      <w:r w:rsidR="009A469D">
        <w:t xml:space="preserve"> appeals</w:t>
      </w:r>
      <w:r w:rsidR="00686F77">
        <w:t xml:space="preserve">.  </w:t>
      </w:r>
      <w:r w:rsidR="00686F77" w:rsidRPr="000C7EBA">
        <w:t xml:space="preserve">He </w:t>
      </w:r>
      <w:r w:rsidR="000C7EBA">
        <w:t xml:space="preserve">argues that he did not commingle his personal funds in the CTA because no client money was ever deposited into it.  Further, he </w:t>
      </w:r>
      <w:r w:rsidR="00686F77" w:rsidRPr="000C7EBA">
        <w:t xml:space="preserve">asserts </w:t>
      </w:r>
      <w:r w:rsidR="006D5CEA">
        <w:t xml:space="preserve">he had a good faith </w:t>
      </w:r>
      <w:r w:rsidR="003E30EC">
        <w:t xml:space="preserve">belief that his actions did </w:t>
      </w:r>
      <w:r w:rsidR="006D5CEA">
        <w:t>not viol</w:t>
      </w:r>
      <w:r w:rsidR="003E30EC">
        <w:t>ate</w:t>
      </w:r>
      <w:r w:rsidR="006D5CEA">
        <w:t xml:space="preserve"> any ethical rule and that, because the State Bar never provided him notice </w:t>
      </w:r>
      <w:r w:rsidR="003E30EC">
        <w:t>that he was violating rule</w:t>
      </w:r>
      <w:r w:rsidR="002926B0">
        <w:t> </w:t>
      </w:r>
      <w:r w:rsidR="003E30EC">
        <w:t>4-100(A) before charges were filed</w:t>
      </w:r>
      <w:r w:rsidR="00C56BC4">
        <w:t xml:space="preserve">, he was not afforded </w:t>
      </w:r>
      <w:r w:rsidR="00C56BC4">
        <w:lastRenderedPageBreak/>
        <w:t xml:space="preserve">due process and thus </w:t>
      </w:r>
      <w:r w:rsidR="006D5CEA">
        <w:t>should not be found culpable</w:t>
      </w:r>
      <w:r w:rsidR="00C56BC4">
        <w:t xml:space="preserve"> for violating the rule</w:t>
      </w:r>
      <w:r w:rsidR="003E30EC">
        <w:t>.</w:t>
      </w:r>
      <w:r w:rsidR="00C56BC4">
        <w:t xml:space="preserve">  Finally, Martin</w:t>
      </w:r>
      <w:r w:rsidR="00665CDD">
        <w:t xml:space="preserve"> also asserts he has sufficient </w:t>
      </w:r>
      <w:r w:rsidR="00597353">
        <w:t xml:space="preserve">mitigation </w:t>
      </w:r>
      <w:r w:rsidR="00665CDD">
        <w:t>to warrant</w:t>
      </w:r>
      <w:r w:rsidR="00597353">
        <w:t xml:space="preserve"> less discipline and seeks</w:t>
      </w:r>
      <w:r w:rsidR="009A469D">
        <w:t xml:space="preserve"> a</w:t>
      </w:r>
      <w:r>
        <w:t xml:space="preserve"> private reproval</w:t>
      </w:r>
      <w:r w:rsidR="00597353">
        <w:t xml:space="preserve">.  </w:t>
      </w:r>
      <w:r>
        <w:t xml:space="preserve">The Office of Chief Trial Counsel of the State Bar (OCTC) </w:t>
      </w:r>
      <w:r w:rsidR="009A469D">
        <w:t>does not appeal the hearin</w:t>
      </w:r>
      <w:r w:rsidR="00703541">
        <w:t>g judge’s findings</w:t>
      </w:r>
      <w:r w:rsidR="009A469D">
        <w:t xml:space="preserve"> and requests that we uphold her recommendation. </w:t>
      </w:r>
    </w:p>
    <w:p w14:paraId="068D4BD4" w14:textId="6C6044AD" w:rsidR="00703541" w:rsidRDefault="00703541" w:rsidP="006E0823">
      <w:pPr>
        <w:spacing w:line="480" w:lineRule="auto"/>
        <w:ind w:right="-144" w:firstLine="720"/>
      </w:pPr>
      <w:r w:rsidRPr="00D8196C">
        <w:t>Based on our independent review of the re</w:t>
      </w:r>
      <w:r>
        <w:t>cord (Cal. Rules of Court, rule </w:t>
      </w:r>
      <w:r w:rsidRPr="00D8196C">
        <w:t>9.12), we affi</w:t>
      </w:r>
      <w:r>
        <w:t>rm the hearing judge’s culpability findings</w:t>
      </w:r>
      <w:r w:rsidR="00630DCE">
        <w:t xml:space="preserve"> because commingling within the meaning of rule 4-100(A) occurs </w:t>
      </w:r>
      <w:r w:rsidR="00A25AA6">
        <w:t>when an attorney maintains personal funds in a CTA even if no client funds are in the account</w:t>
      </w:r>
      <w:r w:rsidR="005E50EF">
        <w:t xml:space="preserve">.  </w:t>
      </w:r>
      <w:r w:rsidR="00A25AA6">
        <w:t>(</w:t>
      </w:r>
      <w:r w:rsidR="00A25AA6">
        <w:rPr>
          <w:i/>
        </w:rPr>
        <w:t xml:space="preserve">Doyle v. State Bar </w:t>
      </w:r>
      <w:r w:rsidR="000C7445">
        <w:t xml:space="preserve">(1982) 32 Cal.3d 12, </w:t>
      </w:r>
      <w:r w:rsidR="000C7445" w:rsidRPr="000C7445">
        <w:t>22–23</w:t>
      </w:r>
      <w:r w:rsidR="00A25AA6">
        <w:t xml:space="preserve">.)  </w:t>
      </w:r>
      <w:r w:rsidR="005E50EF">
        <w:t>We do, however</w:t>
      </w:r>
      <w:r>
        <w:t xml:space="preserve">, </w:t>
      </w:r>
      <w:r w:rsidRPr="00D8196C">
        <w:t>find a</w:t>
      </w:r>
      <w:r>
        <w:t>gg</w:t>
      </w:r>
      <w:r w:rsidR="00894F9F">
        <w:t xml:space="preserve">ravation for </w:t>
      </w:r>
      <w:r w:rsidR="005E50EF">
        <w:t xml:space="preserve">only </w:t>
      </w:r>
      <w:r w:rsidR="00894F9F">
        <w:t xml:space="preserve">one of the two aggravating circumstances found by the judge </w:t>
      </w:r>
      <w:r w:rsidR="00CF2F17">
        <w:t xml:space="preserve">and </w:t>
      </w:r>
      <w:r w:rsidR="00894F9F">
        <w:t>give more weight to Marti</w:t>
      </w:r>
      <w:r w:rsidR="00A25AA6">
        <w:t xml:space="preserve">n’s mitigating circumstances.  </w:t>
      </w:r>
      <w:r w:rsidR="008E39FC">
        <w:t>Overall, the mitigation clearly outweighs the aggravation and, t</w:t>
      </w:r>
      <w:r w:rsidR="00A25AA6">
        <w:t>herefore, w</w:t>
      </w:r>
      <w:r w:rsidR="00894F9F">
        <w:t xml:space="preserve">e </w:t>
      </w:r>
      <w:r>
        <w:t>co</w:t>
      </w:r>
      <w:r w:rsidR="00AC780C">
        <w:t xml:space="preserve">nclude </w:t>
      </w:r>
      <w:r w:rsidR="00894F9F">
        <w:t xml:space="preserve">the record supports </w:t>
      </w:r>
      <w:r>
        <w:t>a d</w:t>
      </w:r>
      <w:r w:rsidR="00894F9F">
        <w:t>ownward departure under the standards</w:t>
      </w:r>
      <w:r w:rsidR="00D95A84">
        <w:t>.  We order Martin be publicly reproved</w:t>
      </w:r>
      <w:r w:rsidR="00AC780C">
        <w:t xml:space="preserve"> with conditions</w:t>
      </w:r>
      <w:r>
        <w:t>, which</w:t>
      </w:r>
      <w:r w:rsidR="00D95A84">
        <w:t xml:space="preserve"> will, under the circumstances </w:t>
      </w:r>
      <w:r w:rsidR="00AC780C">
        <w:t xml:space="preserve">established </w:t>
      </w:r>
      <w:r w:rsidR="00D95A84">
        <w:t xml:space="preserve">here, be sufficient to </w:t>
      </w:r>
      <w:r>
        <w:t>protect the public, the courts, and the legal profession.</w:t>
      </w:r>
    </w:p>
    <w:p w14:paraId="698C4C4A" w14:textId="77777777" w:rsidR="00CE1670" w:rsidRPr="00094170" w:rsidRDefault="00CE1670" w:rsidP="00CE1670">
      <w:pPr>
        <w:spacing w:line="480" w:lineRule="auto"/>
        <w:jc w:val="center"/>
        <w:rPr>
          <w:b/>
        </w:rPr>
      </w:pPr>
      <w:r w:rsidRPr="00094170">
        <w:rPr>
          <w:b/>
        </w:rPr>
        <w:t>I.  PROCEDURAL BACKGROUND</w:t>
      </w:r>
    </w:p>
    <w:p w14:paraId="4657988F" w14:textId="5FB5EC9E" w:rsidR="00CE1670" w:rsidRDefault="00CE1670" w:rsidP="00CE1670">
      <w:pPr>
        <w:spacing w:line="480" w:lineRule="auto"/>
        <w:ind w:firstLine="720"/>
      </w:pPr>
      <w:r>
        <w:t xml:space="preserve">OCTC filed a </w:t>
      </w:r>
      <w:r w:rsidR="00AC780C">
        <w:t>NDC</w:t>
      </w:r>
      <w:r>
        <w:t xml:space="preserve"> on </w:t>
      </w:r>
      <w:r w:rsidR="008A1D31">
        <w:t>December</w:t>
      </w:r>
      <w:r w:rsidR="00611B6F">
        <w:t> </w:t>
      </w:r>
      <w:r w:rsidR="008A1D31">
        <w:t>6, 2018</w:t>
      </w:r>
      <w:r>
        <w:t>,</w:t>
      </w:r>
      <w:r w:rsidR="00ED64D9">
        <w:t xml:space="preserve"> alleging two </w:t>
      </w:r>
      <w:r>
        <w:t>counts of misconduct</w:t>
      </w:r>
      <w:r w:rsidR="00ED64D9">
        <w:t xml:space="preserve"> against Martin</w:t>
      </w:r>
      <w:r w:rsidR="00A96993">
        <w:t xml:space="preserve">, both </w:t>
      </w:r>
      <w:r w:rsidR="005E50EF">
        <w:t>charging</w:t>
      </w:r>
      <w:r w:rsidR="00A96993">
        <w:t xml:space="preserve"> violations of rule 4-100(A).</w:t>
      </w:r>
      <w:r w:rsidR="00ED64D9">
        <w:t xml:space="preserve">  A on</w:t>
      </w:r>
      <w:r w:rsidR="00611B6F">
        <w:t>e-day trial took place on April </w:t>
      </w:r>
      <w:r w:rsidR="00ED64D9">
        <w:t>5, 2019</w:t>
      </w:r>
      <w:r>
        <w:t xml:space="preserve">.  Before the trial, on </w:t>
      </w:r>
      <w:r w:rsidR="00611B6F">
        <w:t>April </w:t>
      </w:r>
      <w:r w:rsidR="00ED64D9">
        <w:t>4, the parties filed a</w:t>
      </w:r>
      <w:r>
        <w:t xml:space="preserve"> pretrial </w:t>
      </w:r>
      <w:r w:rsidR="00ED64D9">
        <w:t xml:space="preserve">Stipulation as to Facts </w:t>
      </w:r>
      <w:r>
        <w:t>and Admission of Documents (Stipulation)</w:t>
      </w:r>
      <w:r w:rsidR="00ED64D9">
        <w:t>.</w:t>
      </w:r>
      <w:r w:rsidR="00E33CD9">
        <w:rPr>
          <w:rStyle w:val="FootnoteReference"/>
        </w:rPr>
        <w:footnoteReference w:id="3"/>
      </w:r>
      <w:r w:rsidR="002676C3">
        <w:t xml:space="preserve">  The hearing ju</w:t>
      </w:r>
      <w:r w:rsidR="00611B6F">
        <w:t>dge issued her decision on July </w:t>
      </w:r>
      <w:r w:rsidR="002676C3">
        <w:t xml:space="preserve">15, 2019, following </w:t>
      </w:r>
      <w:r w:rsidR="00BA7230">
        <w:t>a period</w:t>
      </w:r>
      <w:r w:rsidR="000D6487">
        <w:t xml:space="preserve"> for </w:t>
      </w:r>
      <w:r w:rsidR="00611B6F">
        <w:t>post</w:t>
      </w:r>
      <w:r w:rsidR="002676C3">
        <w:t>trial briefing.</w:t>
      </w:r>
      <w:r w:rsidR="00290798">
        <w:t xml:space="preserve">  </w:t>
      </w:r>
    </w:p>
    <w:p w14:paraId="49E29967" w14:textId="77777777" w:rsidR="00CE1670" w:rsidRPr="00317A76" w:rsidRDefault="00CE1670" w:rsidP="00CE1670">
      <w:pPr>
        <w:spacing w:line="480" w:lineRule="auto"/>
        <w:jc w:val="center"/>
        <w:rPr>
          <w:b/>
        </w:rPr>
      </w:pPr>
      <w:r w:rsidRPr="00317A76">
        <w:rPr>
          <w:b/>
        </w:rPr>
        <w:lastRenderedPageBreak/>
        <w:t>II.  FACTUAL BACKGROUND</w:t>
      </w:r>
      <w:r>
        <w:rPr>
          <w:rStyle w:val="FootnoteReference"/>
          <w:b/>
        </w:rPr>
        <w:footnoteReference w:id="4"/>
      </w:r>
    </w:p>
    <w:p w14:paraId="287A5A92" w14:textId="2D4030FC" w:rsidR="00185110" w:rsidRDefault="002676C3" w:rsidP="00817433">
      <w:pPr>
        <w:spacing w:line="480" w:lineRule="auto"/>
        <w:ind w:firstLine="720"/>
      </w:pPr>
      <w:r>
        <w:t>Martin</w:t>
      </w:r>
      <w:r w:rsidR="00CE1670">
        <w:t xml:space="preserve"> was admitted to practice la</w:t>
      </w:r>
      <w:r w:rsidR="00611B6F">
        <w:t>w in California on August </w:t>
      </w:r>
      <w:r>
        <w:t>27, 1997</w:t>
      </w:r>
      <w:r w:rsidR="00290798">
        <w:t>.</w:t>
      </w:r>
      <w:r w:rsidR="00C24754">
        <w:t xml:space="preserve">  At some point in 2004, </w:t>
      </w:r>
      <w:r w:rsidR="00643C7A">
        <w:t>he</w:t>
      </w:r>
      <w:r w:rsidR="00C24754">
        <w:t xml:space="preserve"> open</w:t>
      </w:r>
      <w:r w:rsidR="00A169FD">
        <w:t>ed</w:t>
      </w:r>
      <w:r w:rsidR="00C24754">
        <w:t xml:space="preserve"> a CTA at JP Morgan Chase Bank (Chase Bank)</w:t>
      </w:r>
      <w:r w:rsidR="009F41E4">
        <w:t xml:space="preserve">, which </w:t>
      </w:r>
      <w:r w:rsidR="006D1EA3">
        <w:t>he</w:t>
      </w:r>
      <w:r w:rsidR="009F41E4">
        <w:t xml:space="preserve"> never used to accept, hold, or disburse client funds.  </w:t>
      </w:r>
      <w:r w:rsidR="00A169FD">
        <w:t>OCTC and Martin</w:t>
      </w:r>
      <w:r w:rsidR="009F41E4">
        <w:t xml:space="preserve"> stipulated </w:t>
      </w:r>
      <w:r w:rsidR="001206A8">
        <w:t>that</w:t>
      </w:r>
      <w:r w:rsidR="00A74980">
        <w:t>,</w:t>
      </w:r>
      <w:r w:rsidR="00611B6F">
        <w:t xml:space="preserve"> between October </w:t>
      </w:r>
      <w:r w:rsidR="001206A8">
        <w:t>1, 2016</w:t>
      </w:r>
      <w:r w:rsidR="00A74980">
        <w:t>,</w:t>
      </w:r>
      <w:r w:rsidR="00611B6F">
        <w:t xml:space="preserve"> and July </w:t>
      </w:r>
      <w:r w:rsidR="00510BE0">
        <w:t>26</w:t>
      </w:r>
      <w:r w:rsidR="001206A8">
        <w:t xml:space="preserve">, 2017, Martin </w:t>
      </w:r>
      <w:r w:rsidR="0060090D">
        <w:t>made</w:t>
      </w:r>
      <w:r w:rsidR="00BD4A59">
        <w:t xml:space="preserve"> several </w:t>
      </w:r>
      <w:r w:rsidR="00B65CE9">
        <w:t xml:space="preserve">deposits </w:t>
      </w:r>
      <w:r w:rsidR="006460BC">
        <w:t>in</w:t>
      </w:r>
      <w:r w:rsidR="0060090D">
        <w:t>to</w:t>
      </w:r>
      <w:r w:rsidR="006460BC">
        <w:t>,</w:t>
      </w:r>
      <w:r w:rsidR="0060090D">
        <w:t xml:space="preserve"> </w:t>
      </w:r>
      <w:r w:rsidR="00AF69A8">
        <w:t>and multiple</w:t>
      </w:r>
      <w:r w:rsidR="00BD4A59">
        <w:t xml:space="preserve"> </w:t>
      </w:r>
      <w:r w:rsidR="002F1748">
        <w:t>withdrawals</w:t>
      </w:r>
      <w:r w:rsidR="0060090D">
        <w:t xml:space="preserve"> from</w:t>
      </w:r>
      <w:r w:rsidR="006460BC">
        <w:t>,</w:t>
      </w:r>
      <w:r w:rsidR="0060090D">
        <w:t xml:space="preserve"> his CTA</w:t>
      </w:r>
      <w:r w:rsidR="00B65CE9">
        <w:t xml:space="preserve">, </w:t>
      </w:r>
      <w:r w:rsidR="00BD4A59">
        <w:t>total</w:t>
      </w:r>
      <w:r w:rsidR="0060090D">
        <w:t>ing</w:t>
      </w:r>
      <w:r w:rsidR="00BD4A59">
        <w:t xml:space="preserve"> </w:t>
      </w:r>
      <w:r w:rsidR="00FF55BB">
        <w:t xml:space="preserve">$52,188.63 in deposits </w:t>
      </w:r>
      <w:r w:rsidR="008C13BF">
        <w:t xml:space="preserve">and </w:t>
      </w:r>
      <w:r w:rsidR="00FF55BB">
        <w:t xml:space="preserve">$46,869.39 in </w:t>
      </w:r>
      <w:r w:rsidR="004C0ACA">
        <w:t>withdrawals</w:t>
      </w:r>
      <w:r w:rsidR="00290798">
        <w:t>.</w:t>
      </w:r>
      <w:r w:rsidR="00290798">
        <w:rPr>
          <w:rStyle w:val="FootnoteReference"/>
        </w:rPr>
        <w:footnoteReference w:id="5"/>
      </w:r>
      <w:r w:rsidR="00B65CE9">
        <w:t xml:space="preserve">  </w:t>
      </w:r>
      <w:r w:rsidR="008C13BF">
        <w:t xml:space="preserve">All </w:t>
      </w:r>
      <w:r w:rsidR="00907759">
        <w:t xml:space="preserve">deposit and withdrawal </w:t>
      </w:r>
      <w:r w:rsidR="009F41E4">
        <w:t>activities were personal in nature</w:t>
      </w:r>
      <w:r w:rsidR="00185110">
        <w:t xml:space="preserve">.  </w:t>
      </w:r>
    </w:p>
    <w:p w14:paraId="5277CF55" w14:textId="40D160A9" w:rsidR="000F7B7F" w:rsidRPr="00B65CE9" w:rsidRDefault="00185110" w:rsidP="00817433">
      <w:pPr>
        <w:spacing w:line="480" w:lineRule="auto"/>
        <w:ind w:firstLine="720"/>
      </w:pPr>
      <w:r>
        <w:t>Between October 2016 and July 2017</w:t>
      </w:r>
      <w:r w:rsidR="00174F0B">
        <w:t xml:space="preserve">, </w:t>
      </w:r>
      <w:r w:rsidR="009D7D97">
        <w:t>OCTC</w:t>
      </w:r>
      <w:r w:rsidR="00857FE5">
        <w:t xml:space="preserve"> received </w:t>
      </w:r>
      <w:r w:rsidR="00A70091">
        <w:t xml:space="preserve">copies of </w:t>
      </w:r>
      <w:r w:rsidR="009D7D97">
        <w:t>si</w:t>
      </w:r>
      <w:r w:rsidR="00174F0B">
        <w:t>x</w:t>
      </w:r>
      <w:r w:rsidR="001B54A2">
        <w:t xml:space="preserve"> </w:t>
      </w:r>
      <w:r w:rsidR="00B9038A">
        <w:t>non-</w:t>
      </w:r>
      <w:r>
        <w:t xml:space="preserve">sufficient </w:t>
      </w:r>
      <w:r w:rsidR="00174F0B">
        <w:t>fund (NSF)</w:t>
      </w:r>
      <w:r w:rsidR="009D7D97">
        <w:t xml:space="preserve"> </w:t>
      </w:r>
      <w:r w:rsidR="00B9038A">
        <w:t xml:space="preserve">notices </w:t>
      </w:r>
      <w:r w:rsidR="00A70091">
        <w:t xml:space="preserve">sent to Martin </w:t>
      </w:r>
      <w:r w:rsidR="009D7D97">
        <w:t>from C</w:t>
      </w:r>
      <w:r w:rsidR="00174F0B">
        <w:t xml:space="preserve">hase Bank </w:t>
      </w:r>
      <w:r w:rsidR="00A169FD">
        <w:t xml:space="preserve">pertaining </w:t>
      </w:r>
      <w:r w:rsidR="00C359C1">
        <w:t>to his</w:t>
      </w:r>
      <w:r w:rsidR="00817433">
        <w:t xml:space="preserve"> CTA</w:t>
      </w:r>
      <w:r w:rsidR="00A115E3">
        <w:t xml:space="preserve">.  </w:t>
      </w:r>
      <w:r w:rsidR="00EE142E">
        <w:t xml:space="preserve">OCTC’s </w:t>
      </w:r>
      <w:r w:rsidR="00A115E3">
        <w:t xml:space="preserve">receipt of these notices </w:t>
      </w:r>
      <w:r w:rsidR="008D5F6F">
        <w:t>prompted</w:t>
      </w:r>
      <w:r w:rsidR="00A115E3">
        <w:t xml:space="preserve"> it to contact Martin</w:t>
      </w:r>
      <w:r w:rsidR="00D32B9D">
        <w:t xml:space="preserve">. </w:t>
      </w:r>
      <w:r w:rsidR="008E3761">
        <w:t xml:space="preserve"> </w:t>
      </w:r>
      <w:r w:rsidR="00B544BC">
        <w:t>Specifically</w:t>
      </w:r>
      <w:r w:rsidR="00AD2A86">
        <w:t xml:space="preserve">, </w:t>
      </w:r>
      <w:r w:rsidR="00D32B9D">
        <w:t>OCTC sent Martin</w:t>
      </w:r>
      <w:r w:rsidR="00B64AD5">
        <w:t xml:space="preserve"> </w:t>
      </w:r>
      <w:r w:rsidR="004115B0">
        <w:t xml:space="preserve">investigative </w:t>
      </w:r>
      <w:r w:rsidR="009172CF">
        <w:t>letters</w:t>
      </w:r>
      <w:r w:rsidR="00AD2A86">
        <w:t xml:space="preserve"> seeking information </w:t>
      </w:r>
      <w:r w:rsidR="0022234D">
        <w:t>about at least two NSF checks</w:t>
      </w:r>
      <w:r w:rsidR="007824C2">
        <w:t xml:space="preserve"> (check nos. 1161 and 1307)</w:t>
      </w:r>
      <w:r w:rsidR="0022234D">
        <w:rPr>
          <w:szCs w:val="24"/>
        </w:rPr>
        <w:t>.  In three of these</w:t>
      </w:r>
      <w:r w:rsidR="003312E3">
        <w:rPr>
          <w:szCs w:val="24"/>
        </w:rPr>
        <w:t xml:space="preserve"> letters, </w:t>
      </w:r>
      <w:r w:rsidR="00B544BC">
        <w:rPr>
          <w:szCs w:val="24"/>
        </w:rPr>
        <w:t xml:space="preserve">one </w:t>
      </w:r>
      <w:r w:rsidR="003414B3">
        <w:rPr>
          <w:szCs w:val="24"/>
        </w:rPr>
        <w:t xml:space="preserve">each </w:t>
      </w:r>
      <w:r w:rsidR="003312E3">
        <w:rPr>
          <w:szCs w:val="24"/>
        </w:rPr>
        <w:t>sent on December </w:t>
      </w:r>
      <w:r w:rsidR="003312E3" w:rsidRPr="000C7F96">
        <w:rPr>
          <w:szCs w:val="24"/>
        </w:rPr>
        <w:t xml:space="preserve">13, </w:t>
      </w:r>
      <w:r w:rsidR="003312E3">
        <w:rPr>
          <w:szCs w:val="24"/>
        </w:rPr>
        <w:t xml:space="preserve">2016, </w:t>
      </w:r>
      <w:r w:rsidR="003312E3" w:rsidRPr="000C7F96">
        <w:rPr>
          <w:szCs w:val="24"/>
        </w:rPr>
        <w:t>May</w:t>
      </w:r>
      <w:r w:rsidR="003312E3">
        <w:rPr>
          <w:szCs w:val="24"/>
        </w:rPr>
        <w:t> </w:t>
      </w:r>
      <w:r w:rsidR="003312E3" w:rsidRPr="000C7F96">
        <w:rPr>
          <w:szCs w:val="24"/>
        </w:rPr>
        <w:t>19,</w:t>
      </w:r>
      <w:r w:rsidR="003312E3">
        <w:rPr>
          <w:szCs w:val="24"/>
        </w:rPr>
        <w:t xml:space="preserve"> 2017, and</w:t>
      </w:r>
      <w:r w:rsidR="003312E3" w:rsidRPr="000C7F96">
        <w:rPr>
          <w:szCs w:val="24"/>
        </w:rPr>
        <w:t xml:space="preserve"> July</w:t>
      </w:r>
      <w:r w:rsidR="003312E3">
        <w:rPr>
          <w:szCs w:val="24"/>
        </w:rPr>
        <w:t> 11, 2017, the following warning was included: “</w:t>
      </w:r>
      <w:r w:rsidR="003312E3">
        <w:rPr>
          <w:b/>
          <w:szCs w:val="24"/>
          <w:u w:val="single"/>
        </w:rPr>
        <w:t>FAIL</w:t>
      </w:r>
      <w:r w:rsidR="00FF344E">
        <w:rPr>
          <w:b/>
          <w:szCs w:val="24"/>
          <w:u w:val="single"/>
        </w:rPr>
        <w:t xml:space="preserve">URE TO PROVIDE THE </w:t>
      </w:r>
      <w:r w:rsidR="007172A7">
        <w:rPr>
          <w:b/>
          <w:szCs w:val="24"/>
          <w:u w:val="single"/>
        </w:rPr>
        <w:t>DOCUMENTS</w:t>
      </w:r>
      <w:r w:rsidR="00FF344E">
        <w:rPr>
          <w:b/>
          <w:szCs w:val="24"/>
          <w:u w:val="single"/>
        </w:rPr>
        <w:t xml:space="preserve"> REQUESTED </w:t>
      </w:r>
      <w:r w:rsidR="00A87FB5">
        <w:rPr>
          <w:b/>
          <w:szCs w:val="24"/>
          <w:u w:val="single"/>
        </w:rPr>
        <w:t xml:space="preserve">[. . . ] </w:t>
      </w:r>
      <w:r w:rsidR="00FF344E">
        <w:rPr>
          <w:b/>
          <w:szCs w:val="24"/>
          <w:u w:val="single"/>
        </w:rPr>
        <w:t xml:space="preserve">WHICH </w:t>
      </w:r>
      <w:r w:rsidR="00A87FB5">
        <w:rPr>
          <w:b/>
          <w:szCs w:val="24"/>
          <w:u w:val="single"/>
        </w:rPr>
        <w:t>[</w:t>
      </w:r>
      <w:r w:rsidR="00FF344E">
        <w:rPr>
          <w:b/>
          <w:szCs w:val="24"/>
          <w:u w:val="single"/>
        </w:rPr>
        <w:t>YOU ARE</w:t>
      </w:r>
      <w:r w:rsidR="00A87FB5">
        <w:rPr>
          <w:b/>
          <w:szCs w:val="24"/>
          <w:u w:val="single"/>
        </w:rPr>
        <w:t>]</w:t>
      </w:r>
      <w:r w:rsidR="00FF344E">
        <w:rPr>
          <w:b/>
          <w:szCs w:val="24"/>
          <w:u w:val="single"/>
        </w:rPr>
        <w:t xml:space="preserve"> REQUIRED TO MAINTAIN PURSUANT </w:t>
      </w:r>
      <w:r w:rsidR="00FF344E" w:rsidRPr="00F0506A">
        <w:rPr>
          <w:b/>
          <w:szCs w:val="24"/>
          <w:u w:val="single"/>
        </w:rPr>
        <w:t>TO</w:t>
      </w:r>
      <w:r w:rsidR="00F0506A" w:rsidRPr="00F0506A">
        <w:rPr>
          <w:szCs w:val="24"/>
          <w:u w:val="single"/>
        </w:rPr>
        <w:t xml:space="preserve"> </w:t>
      </w:r>
      <w:r w:rsidR="00FF344E" w:rsidRPr="00F0506A">
        <w:rPr>
          <w:b/>
          <w:szCs w:val="24"/>
          <w:u w:val="single"/>
        </w:rPr>
        <w:t>RU</w:t>
      </w:r>
      <w:r w:rsidR="00FF344E">
        <w:rPr>
          <w:b/>
          <w:szCs w:val="24"/>
          <w:u w:val="single"/>
        </w:rPr>
        <w:t>LE 4-100(C)</w:t>
      </w:r>
      <w:r w:rsidR="00FF344E">
        <w:rPr>
          <w:szCs w:val="24"/>
        </w:rPr>
        <w:t xml:space="preserve"> […] </w:t>
      </w:r>
      <w:r w:rsidR="00FF344E">
        <w:rPr>
          <w:b/>
          <w:szCs w:val="24"/>
          <w:u w:val="single"/>
        </w:rPr>
        <w:t xml:space="preserve">MAY BE CONSIDERED A VIOLATION </w:t>
      </w:r>
      <w:r w:rsidR="00FF344E" w:rsidRPr="00F0506A">
        <w:rPr>
          <w:b/>
          <w:szCs w:val="24"/>
          <w:u w:val="single"/>
        </w:rPr>
        <w:t>OF</w:t>
      </w:r>
      <w:r w:rsidR="00FF344E" w:rsidRPr="00F0506A">
        <w:rPr>
          <w:szCs w:val="24"/>
          <w:u w:val="single"/>
        </w:rPr>
        <w:t xml:space="preserve"> </w:t>
      </w:r>
      <w:r w:rsidR="007824C2" w:rsidRPr="00F0506A">
        <w:rPr>
          <w:b/>
          <w:szCs w:val="24"/>
          <w:u w:val="single"/>
        </w:rPr>
        <w:t>RUL</w:t>
      </w:r>
      <w:r w:rsidR="007824C2">
        <w:rPr>
          <w:b/>
          <w:szCs w:val="24"/>
          <w:u w:val="single"/>
        </w:rPr>
        <w:t>E 4-100(B)(3).</w:t>
      </w:r>
      <w:r w:rsidR="007824C2" w:rsidRPr="00CB7896">
        <w:rPr>
          <w:b/>
          <w:szCs w:val="24"/>
        </w:rPr>
        <w:t>”</w:t>
      </w:r>
      <w:r w:rsidR="003312E3" w:rsidRPr="00CB7896">
        <w:rPr>
          <w:szCs w:val="24"/>
        </w:rPr>
        <w:t xml:space="preserve"> </w:t>
      </w:r>
      <w:r w:rsidR="00B544BC">
        <w:rPr>
          <w:szCs w:val="24"/>
        </w:rPr>
        <w:t xml:space="preserve"> </w:t>
      </w:r>
      <w:r w:rsidR="001D7F23">
        <w:rPr>
          <w:szCs w:val="24"/>
        </w:rPr>
        <w:t>A</w:t>
      </w:r>
      <w:r w:rsidR="000C7F96" w:rsidRPr="000C7F96">
        <w:rPr>
          <w:szCs w:val="24"/>
        </w:rPr>
        <w:t xml:space="preserve"> </w:t>
      </w:r>
      <w:r w:rsidR="00EA5160">
        <w:rPr>
          <w:szCs w:val="24"/>
        </w:rPr>
        <w:t xml:space="preserve">complete </w:t>
      </w:r>
      <w:r w:rsidR="000C7F96" w:rsidRPr="000C7F96">
        <w:rPr>
          <w:szCs w:val="24"/>
        </w:rPr>
        <w:t>copy of rule</w:t>
      </w:r>
      <w:r w:rsidR="008E3761">
        <w:rPr>
          <w:szCs w:val="24"/>
        </w:rPr>
        <w:t> </w:t>
      </w:r>
      <w:r w:rsidR="00EA5160">
        <w:rPr>
          <w:szCs w:val="24"/>
        </w:rPr>
        <w:t>4-100</w:t>
      </w:r>
      <w:r w:rsidR="001D7F23">
        <w:rPr>
          <w:szCs w:val="24"/>
        </w:rPr>
        <w:t xml:space="preserve"> was enclosed with each letter</w:t>
      </w:r>
      <w:r w:rsidR="009B3462">
        <w:rPr>
          <w:szCs w:val="24"/>
        </w:rPr>
        <w:t>.</w:t>
      </w:r>
      <w:r w:rsidR="004B74A7">
        <w:rPr>
          <w:rStyle w:val="FootnoteReference"/>
          <w:szCs w:val="24"/>
        </w:rPr>
        <w:footnoteReference w:id="6"/>
      </w:r>
      <w:r w:rsidR="009B3462">
        <w:rPr>
          <w:szCs w:val="24"/>
        </w:rPr>
        <w:t xml:space="preserve">  </w:t>
      </w:r>
    </w:p>
    <w:p w14:paraId="177D812C" w14:textId="2772F3EF" w:rsidR="00A7341D" w:rsidRDefault="009B3462" w:rsidP="00CA5782">
      <w:pPr>
        <w:spacing w:line="480" w:lineRule="auto"/>
        <w:ind w:firstLine="720"/>
        <w:rPr>
          <w:szCs w:val="24"/>
        </w:rPr>
      </w:pPr>
      <w:r>
        <w:rPr>
          <w:szCs w:val="24"/>
        </w:rPr>
        <w:lastRenderedPageBreak/>
        <w:t>Martin</w:t>
      </w:r>
      <w:r w:rsidR="000C7F96" w:rsidRPr="000C7F96">
        <w:rPr>
          <w:szCs w:val="24"/>
        </w:rPr>
        <w:t xml:space="preserve"> </w:t>
      </w:r>
      <w:r w:rsidR="003414B3">
        <w:rPr>
          <w:szCs w:val="24"/>
        </w:rPr>
        <w:t>testified</w:t>
      </w:r>
      <w:r w:rsidR="00A7341D">
        <w:rPr>
          <w:szCs w:val="24"/>
        </w:rPr>
        <w:t xml:space="preserve"> </w:t>
      </w:r>
      <w:r w:rsidR="000F7B7F">
        <w:rPr>
          <w:szCs w:val="24"/>
        </w:rPr>
        <w:t xml:space="preserve">he </w:t>
      </w:r>
      <w:r w:rsidR="008E3761">
        <w:rPr>
          <w:szCs w:val="24"/>
        </w:rPr>
        <w:t xml:space="preserve">reviewed </w:t>
      </w:r>
      <w:r w:rsidR="00470586">
        <w:rPr>
          <w:szCs w:val="24"/>
        </w:rPr>
        <w:t xml:space="preserve">the letters from OCTC </w:t>
      </w:r>
      <w:r w:rsidR="00A7341D">
        <w:rPr>
          <w:szCs w:val="24"/>
        </w:rPr>
        <w:t xml:space="preserve">as he received them, along with </w:t>
      </w:r>
      <w:r w:rsidR="00470586">
        <w:rPr>
          <w:szCs w:val="24"/>
        </w:rPr>
        <w:t xml:space="preserve">the </w:t>
      </w:r>
      <w:r w:rsidR="00CE357E">
        <w:rPr>
          <w:szCs w:val="24"/>
        </w:rPr>
        <w:t xml:space="preserve">enclosures that </w:t>
      </w:r>
      <w:r w:rsidR="00D14BD9">
        <w:rPr>
          <w:szCs w:val="24"/>
        </w:rPr>
        <w:t>set forth</w:t>
      </w:r>
      <w:r w:rsidR="00CE357E">
        <w:rPr>
          <w:szCs w:val="24"/>
        </w:rPr>
        <w:t xml:space="preserve"> </w:t>
      </w:r>
      <w:r w:rsidR="008E3761">
        <w:rPr>
          <w:szCs w:val="24"/>
        </w:rPr>
        <w:t>rule </w:t>
      </w:r>
      <w:r w:rsidR="000C7F96" w:rsidRPr="000C7F96">
        <w:rPr>
          <w:szCs w:val="24"/>
        </w:rPr>
        <w:t>4-100</w:t>
      </w:r>
      <w:r w:rsidR="00CE357E">
        <w:rPr>
          <w:szCs w:val="24"/>
        </w:rPr>
        <w:t xml:space="preserve"> in its entirety</w:t>
      </w:r>
      <w:r w:rsidR="00470586">
        <w:rPr>
          <w:szCs w:val="24"/>
        </w:rPr>
        <w:t xml:space="preserve">.  </w:t>
      </w:r>
      <w:r w:rsidR="00A7341D">
        <w:rPr>
          <w:szCs w:val="24"/>
        </w:rPr>
        <w:t>His understanding</w:t>
      </w:r>
      <w:r w:rsidR="0025724F">
        <w:rPr>
          <w:szCs w:val="24"/>
        </w:rPr>
        <w:t xml:space="preserve"> o</w:t>
      </w:r>
      <w:r w:rsidR="008D5F6F">
        <w:rPr>
          <w:szCs w:val="24"/>
        </w:rPr>
        <w:t>f</w:t>
      </w:r>
      <w:r w:rsidR="0025724F">
        <w:rPr>
          <w:szCs w:val="24"/>
        </w:rPr>
        <w:t xml:space="preserve"> the warning</w:t>
      </w:r>
      <w:r w:rsidR="00A7341D">
        <w:rPr>
          <w:szCs w:val="24"/>
        </w:rPr>
        <w:t>s</w:t>
      </w:r>
      <w:r w:rsidR="0025724F">
        <w:rPr>
          <w:szCs w:val="24"/>
        </w:rPr>
        <w:t xml:space="preserve"> in the letters</w:t>
      </w:r>
      <w:r w:rsidR="00470586">
        <w:rPr>
          <w:szCs w:val="24"/>
        </w:rPr>
        <w:t xml:space="preserve"> </w:t>
      </w:r>
      <w:r w:rsidR="0028666B">
        <w:rPr>
          <w:szCs w:val="24"/>
        </w:rPr>
        <w:t>was that OCTC was seeking records</w:t>
      </w:r>
      <w:r w:rsidR="000C7F96" w:rsidRPr="000C7F96">
        <w:rPr>
          <w:szCs w:val="24"/>
        </w:rPr>
        <w:t xml:space="preserve"> </w:t>
      </w:r>
      <w:r w:rsidR="0028666B">
        <w:rPr>
          <w:szCs w:val="24"/>
        </w:rPr>
        <w:t xml:space="preserve">from him to prove he did not have client money in </w:t>
      </w:r>
      <w:r w:rsidR="0026280B">
        <w:rPr>
          <w:szCs w:val="24"/>
        </w:rPr>
        <w:t>his CTA</w:t>
      </w:r>
      <w:r w:rsidR="00D27780">
        <w:rPr>
          <w:szCs w:val="24"/>
        </w:rPr>
        <w:t>,</w:t>
      </w:r>
      <w:r w:rsidR="0026280B">
        <w:rPr>
          <w:szCs w:val="24"/>
        </w:rPr>
        <w:t xml:space="preserve"> which</w:t>
      </w:r>
      <w:r w:rsidR="0028666B">
        <w:rPr>
          <w:szCs w:val="24"/>
        </w:rPr>
        <w:t xml:space="preserve"> he was using for personal funds.  His </w:t>
      </w:r>
      <w:r w:rsidR="008D5F6F">
        <w:rPr>
          <w:szCs w:val="24"/>
        </w:rPr>
        <w:t>assessment</w:t>
      </w:r>
      <w:r w:rsidR="0028666B">
        <w:rPr>
          <w:szCs w:val="24"/>
        </w:rPr>
        <w:t xml:space="preserve"> </w:t>
      </w:r>
      <w:r w:rsidR="00A7341D">
        <w:rPr>
          <w:szCs w:val="24"/>
        </w:rPr>
        <w:t>of OCTC</w:t>
      </w:r>
      <w:r w:rsidR="00DC4387">
        <w:rPr>
          <w:szCs w:val="24"/>
        </w:rPr>
        <w:t>’s</w:t>
      </w:r>
      <w:r w:rsidR="00A7341D">
        <w:rPr>
          <w:szCs w:val="24"/>
        </w:rPr>
        <w:t xml:space="preserve"> letters </w:t>
      </w:r>
      <w:r w:rsidR="0028666B">
        <w:rPr>
          <w:szCs w:val="24"/>
        </w:rPr>
        <w:t xml:space="preserve">comported with his </w:t>
      </w:r>
      <w:r w:rsidR="0025724F">
        <w:rPr>
          <w:szCs w:val="24"/>
        </w:rPr>
        <w:t xml:space="preserve">belief at the time </w:t>
      </w:r>
      <w:r w:rsidR="0028666B">
        <w:rPr>
          <w:szCs w:val="24"/>
        </w:rPr>
        <w:t>that</w:t>
      </w:r>
      <w:r w:rsidR="00FB2FA9">
        <w:rPr>
          <w:szCs w:val="24"/>
        </w:rPr>
        <w:t xml:space="preserve"> a violation</w:t>
      </w:r>
      <w:r w:rsidR="00F0506A">
        <w:rPr>
          <w:szCs w:val="24"/>
        </w:rPr>
        <w:t xml:space="preserve"> under</w:t>
      </w:r>
      <w:r w:rsidR="0025724F">
        <w:rPr>
          <w:szCs w:val="24"/>
        </w:rPr>
        <w:t xml:space="preserve"> </w:t>
      </w:r>
      <w:r w:rsidR="0028666B">
        <w:rPr>
          <w:szCs w:val="24"/>
        </w:rPr>
        <w:t>rule</w:t>
      </w:r>
      <w:r w:rsidR="00143CA7">
        <w:rPr>
          <w:szCs w:val="24"/>
        </w:rPr>
        <w:t> </w:t>
      </w:r>
      <w:r w:rsidR="0028666B">
        <w:rPr>
          <w:szCs w:val="24"/>
        </w:rPr>
        <w:t>4-100</w:t>
      </w:r>
      <w:r w:rsidR="003B59B1">
        <w:rPr>
          <w:szCs w:val="24"/>
        </w:rPr>
        <w:t xml:space="preserve"> would occur</w:t>
      </w:r>
      <w:r w:rsidR="0028666B">
        <w:rPr>
          <w:szCs w:val="24"/>
        </w:rPr>
        <w:t xml:space="preserve"> only if </w:t>
      </w:r>
      <w:r w:rsidR="0025724F">
        <w:rPr>
          <w:szCs w:val="24"/>
        </w:rPr>
        <w:t>he was combining his personal mone</w:t>
      </w:r>
      <w:r w:rsidR="008419C4">
        <w:rPr>
          <w:szCs w:val="24"/>
        </w:rPr>
        <w:t xml:space="preserve">y </w:t>
      </w:r>
      <w:r w:rsidR="00143CA7">
        <w:rPr>
          <w:szCs w:val="24"/>
        </w:rPr>
        <w:t>with</w:t>
      </w:r>
      <w:r w:rsidR="008419C4">
        <w:rPr>
          <w:szCs w:val="24"/>
        </w:rPr>
        <w:t xml:space="preserve"> client money in the CTA</w:t>
      </w:r>
      <w:r w:rsidR="00456A8F">
        <w:rPr>
          <w:szCs w:val="24"/>
        </w:rPr>
        <w:t xml:space="preserve">.  His belief was based on </w:t>
      </w:r>
      <w:r w:rsidR="00706936">
        <w:rPr>
          <w:szCs w:val="24"/>
        </w:rPr>
        <w:t>subsection</w:t>
      </w:r>
      <w:r w:rsidR="00143CA7">
        <w:rPr>
          <w:szCs w:val="24"/>
        </w:rPr>
        <w:t> </w:t>
      </w:r>
      <w:r w:rsidR="00706936">
        <w:rPr>
          <w:szCs w:val="24"/>
        </w:rPr>
        <w:t>(A)</w:t>
      </w:r>
      <w:r w:rsidR="006F4F14">
        <w:rPr>
          <w:szCs w:val="24"/>
        </w:rPr>
        <w:t>’s phrase “or otherwise commingled</w:t>
      </w:r>
      <w:r w:rsidR="00456A8F">
        <w:rPr>
          <w:szCs w:val="24"/>
        </w:rPr>
        <w:t>,</w:t>
      </w:r>
      <w:r w:rsidR="006F4F14">
        <w:rPr>
          <w:szCs w:val="24"/>
        </w:rPr>
        <w:t xml:space="preserve">” </w:t>
      </w:r>
      <w:r w:rsidR="00456A8F">
        <w:rPr>
          <w:szCs w:val="24"/>
        </w:rPr>
        <w:t xml:space="preserve">which he interpreted to </w:t>
      </w:r>
      <w:r w:rsidR="006F4F14">
        <w:rPr>
          <w:szCs w:val="24"/>
        </w:rPr>
        <w:t xml:space="preserve">mean that </w:t>
      </w:r>
      <w:r w:rsidR="00CE357E">
        <w:rPr>
          <w:szCs w:val="24"/>
        </w:rPr>
        <w:t>all the language of subsection</w:t>
      </w:r>
      <w:r w:rsidR="00143CA7">
        <w:rPr>
          <w:szCs w:val="24"/>
        </w:rPr>
        <w:t> </w:t>
      </w:r>
      <w:r w:rsidR="00CE357E">
        <w:rPr>
          <w:szCs w:val="24"/>
        </w:rPr>
        <w:t>(A)</w:t>
      </w:r>
      <w:r w:rsidR="00467CC0">
        <w:rPr>
          <w:szCs w:val="24"/>
        </w:rPr>
        <w:t>’s prohibition</w:t>
      </w:r>
      <w:r w:rsidR="00CE357E">
        <w:rPr>
          <w:szCs w:val="24"/>
        </w:rPr>
        <w:t xml:space="preserve"> applied only where </w:t>
      </w:r>
      <w:r w:rsidR="006F4F14">
        <w:rPr>
          <w:szCs w:val="24"/>
        </w:rPr>
        <w:t>mixing of c</w:t>
      </w:r>
      <w:r w:rsidR="003B59B1">
        <w:rPr>
          <w:szCs w:val="24"/>
        </w:rPr>
        <w:t xml:space="preserve">lient </w:t>
      </w:r>
      <w:r w:rsidR="00CE357E">
        <w:rPr>
          <w:szCs w:val="24"/>
        </w:rPr>
        <w:t xml:space="preserve">money and personal money </w:t>
      </w:r>
      <w:r w:rsidR="00456A8F">
        <w:rPr>
          <w:szCs w:val="24"/>
        </w:rPr>
        <w:t>occur</w:t>
      </w:r>
      <w:r w:rsidR="00CE357E">
        <w:rPr>
          <w:szCs w:val="24"/>
        </w:rPr>
        <w:t>red</w:t>
      </w:r>
      <w:r w:rsidR="00456A8F">
        <w:rPr>
          <w:szCs w:val="24"/>
        </w:rPr>
        <w:t xml:space="preserve"> in the CTA</w:t>
      </w:r>
      <w:r w:rsidR="006F4F14">
        <w:rPr>
          <w:szCs w:val="24"/>
        </w:rPr>
        <w:t xml:space="preserve">.  </w:t>
      </w:r>
      <w:r w:rsidR="008311B6">
        <w:rPr>
          <w:szCs w:val="24"/>
        </w:rPr>
        <w:t xml:space="preserve">Because </w:t>
      </w:r>
      <w:r w:rsidR="008419C4">
        <w:rPr>
          <w:szCs w:val="24"/>
        </w:rPr>
        <w:t xml:space="preserve">he </w:t>
      </w:r>
      <w:r w:rsidR="00143CA7">
        <w:rPr>
          <w:szCs w:val="24"/>
        </w:rPr>
        <w:t>n</w:t>
      </w:r>
      <w:r w:rsidR="008419C4">
        <w:rPr>
          <w:szCs w:val="24"/>
        </w:rPr>
        <w:t>ever ha</w:t>
      </w:r>
      <w:r w:rsidR="00143CA7">
        <w:rPr>
          <w:szCs w:val="24"/>
        </w:rPr>
        <w:t>d</w:t>
      </w:r>
      <w:r w:rsidR="008419C4">
        <w:rPr>
          <w:szCs w:val="24"/>
        </w:rPr>
        <w:t xml:space="preserve"> client funds in his CTA, he </w:t>
      </w:r>
      <w:r w:rsidR="00CE357E">
        <w:rPr>
          <w:szCs w:val="24"/>
        </w:rPr>
        <w:t>concluded</w:t>
      </w:r>
      <w:r w:rsidR="006F4F14">
        <w:rPr>
          <w:szCs w:val="24"/>
        </w:rPr>
        <w:t xml:space="preserve"> the rule’</w:t>
      </w:r>
      <w:r w:rsidR="006F49E4">
        <w:rPr>
          <w:szCs w:val="24"/>
        </w:rPr>
        <w:t>s prohibition</w:t>
      </w:r>
      <w:r w:rsidR="006F4F14">
        <w:rPr>
          <w:szCs w:val="24"/>
        </w:rPr>
        <w:t xml:space="preserve"> did not apply to him.</w:t>
      </w:r>
    </w:p>
    <w:p w14:paraId="2F0BEA8B" w14:textId="570E6B92" w:rsidR="00BA442D" w:rsidRPr="00CA5782" w:rsidRDefault="00EA3BC1" w:rsidP="00CA5782">
      <w:pPr>
        <w:spacing w:line="480" w:lineRule="auto"/>
        <w:ind w:firstLine="720"/>
      </w:pPr>
      <w:r>
        <w:rPr>
          <w:szCs w:val="24"/>
        </w:rPr>
        <w:t>Martin obtained counsel, who answered questions from the OCTC investigator and provided CTA records on February</w:t>
      </w:r>
      <w:r w:rsidR="008B2DDB">
        <w:rPr>
          <w:szCs w:val="24"/>
        </w:rPr>
        <w:t> </w:t>
      </w:r>
      <w:r>
        <w:rPr>
          <w:szCs w:val="24"/>
        </w:rPr>
        <w:t xml:space="preserve">7, 2017, after receiving an extension.  </w:t>
      </w:r>
      <w:r w:rsidR="008E3761" w:rsidRPr="00D970F0">
        <w:rPr>
          <w:szCs w:val="24"/>
        </w:rPr>
        <w:t>On March </w:t>
      </w:r>
      <w:r>
        <w:rPr>
          <w:szCs w:val="24"/>
        </w:rPr>
        <w:t>10</w:t>
      </w:r>
      <w:r w:rsidR="000C7F96" w:rsidRPr="00D970F0">
        <w:rPr>
          <w:szCs w:val="24"/>
        </w:rPr>
        <w:t xml:space="preserve">, </w:t>
      </w:r>
      <w:r w:rsidR="001D7F23" w:rsidRPr="00D970F0">
        <w:rPr>
          <w:szCs w:val="24"/>
        </w:rPr>
        <w:t>his</w:t>
      </w:r>
      <w:r w:rsidR="000C7F96" w:rsidRPr="00D970F0">
        <w:rPr>
          <w:szCs w:val="24"/>
        </w:rPr>
        <w:t xml:space="preserve"> counsel sent an email to OCTC stating </w:t>
      </w:r>
      <w:r w:rsidR="00B11333" w:rsidRPr="00D970F0">
        <w:rPr>
          <w:szCs w:val="24"/>
        </w:rPr>
        <w:t xml:space="preserve">Martin </w:t>
      </w:r>
      <w:r w:rsidR="008B2DDB">
        <w:rPr>
          <w:szCs w:val="24"/>
        </w:rPr>
        <w:t>told</w:t>
      </w:r>
      <w:r w:rsidR="009538B7" w:rsidRPr="00D970F0">
        <w:rPr>
          <w:szCs w:val="24"/>
        </w:rPr>
        <w:t xml:space="preserve"> him that he had </w:t>
      </w:r>
      <w:r w:rsidR="00B11333" w:rsidRPr="00D970F0">
        <w:rPr>
          <w:szCs w:val="24"/>
        </w:rPr>
        <w:t>opened a regular checking account and pla</w:t>
      </w:r>
      <w:r w:rsidR="00786844" w:rsidRPr="00D970F0">
        <w:rPr>
          <w:szCs w:val="24"/>
        </w:rPr>
        <w:t>nned to close his CTA once OCTC’</w:t>
      </w:r>
      <w:r w:rsidR="00B11333" w:rsidRPr="00D970F0">
        <w:rPr>
          <w:szCs w:val="24"/>
        </w:rPr>
        <w:t>s investigation c</w:t>
      </w:r>
      <w:r w:rsidR="004023EE" w:rsidRPr="00D970F0">
        <w:rPr>
          <w:szCs w:val="24"/>
        </w:rPr>
        <w:t xml:space="preserve">oncluded.  </w:t>
      </w:r>
      <w:r>
        <w:rPr>
          <w:szCs w:val="24"/>
        </w:rPr>
        <w:t xml:space="preserve">Martin’s attorney also attached additional financial records from the CTA.  The email </w:t>
      </w:r>
      <w:r w:rsidR="004023EE" w:rsidRPr="00D970F0">
        <w:rPr>
          <w:szCs w:val="24"/>
        </w:rPr>
        <w:t>pointed out</w:t>
      </w:r>
      <w:r w:rsidR="00B11333" w:rsidRPr="00D970F0">
        <w:rPr>
          <w:szCs w:val="24"/>
        </w:rPr>
        <w:t xml:space="preserve"> that</w:t>
      </w:r>
      <w:r w:rsidR="006B660A" w:rsidRPr="00D970F0">
        <w:rPr>
          <w:szCs w:val="24"/>
        </w:rPr>
        <w:t>,</w:t>
      </w:r>
      <w:r w:rsidR="00B11333" w:rsidRPr="00D970F0">
        <w:rPr>
          <w:szCs w:val="24"/>
        </w:rPr>
        <w:t xml:space="preserve"> as a criminal defense attorney, Martin did not receive, administer</w:t>
      </w:r>
      <w:r w:rsidR="00A169FD" w:rsidRPr="00D970F0">
        <w:rPr>
          <w:szCs w:val="24"/>
        </w:rPr>
        <w:t xml:space="preserve">, </w:t>
      </w:r>
      <w:r w:rsidR="00B11333" w:rsidRPr="00D970F0">
        <w:rPr>
          <w:szCs w:val="24"/>
        </w:rPr>
        <w:t xml:space="preserve">or disburse client funds.  </w:t>
      </w:r>
      <w:r w:rsidR="009538B7" w:rsidRPr="00D970F0">
        <w:rPr>
          <w:szCs w:val="24"/>
        </w:rPr>
        <w:t xml:space="preserve">At trial, Martin testified </w:t>
      </w:r>
      <w:r w:rsidR="002B27C6" w:rsidRPr="00D970F0">
        <w:rPr>
          <w:szCs w:val="24"/>
        </w:rPr>
        <w:t>he intended to open a regular checking account at the time his counsel wrote the email.  However, on March 17</w:t>
      </w:r>
      <w:r w:rsidR="008B2DDB">
        <w:rPr>
          <w:szCs w:val="24"/>
        </w:rPr>
        <w:t>,</w:t>
      </w:r>
      <w:r w:rsidR="002B27C6" w:rsidRPr="00D970F0">
        <w:rPr>
          <w:szCs w:val="24"/>
        </w:rPr>
        <w:t xml:space="preserve"> he started a serious child molestation case in Sacrament</w:t>
      </w:r>
      <w:r>
        <w:rPr>
          <w:szCs w:val="24"/>
        </w:rPr>
        <w:t>o</w:t>
      </w:r>
      <w:r w:rsidR="002B27C6" w:rsidRPr="00D970F0">
        <w:rPr>
          <w:szCs w:val="24"/>
        </w:rPr>
        <w:t xml:space="preserve"> that ended a few days before he s</w:t>
      </w:r>
      <w:r w:rsidR="00F96693" w:rsidRPr="00D970F0">
        <w:rPr>
          <w:szCs w:val="24"/>
        </w:rPr>
        <w:t>uffer</w:t>
      </w:r>
      <w:r w:rsidR="0026150D" w:rsidRPr="00D970F0">
        <w:rPr>
          <w:szCs w:val="24"/>
        </w:rPr>
        <w:t>ed</w:t>
      </w:r>
      <w:r w:rsidR="00786844" w:rsidRPr="00D970F0">
        <w:rPr>
          <w:szCs w:val="24"/>
        </w:rPr>
        <w:t xml:space="preserve"> a heart attack on April </w:t>
      </w:r>
      <w:r w:rsidR="0095157D" w:rsidRPr="00D970F0">
        <w:rPr>
          <w:szCs w:val="24"/>
        </w:rPr>
        <w:t>5</w:t>
      </w:r>
      <w:r w:rsidR="0034733D" w:rsidRPr="00D970F0">
        <w:rPr>
          <w:szCs w:val="24"/>
        </w:rPr>
        <w:t>.</w:t>
      </w:r>
      <w:r>
        <w:rPr>
          <w:szCs w:val="24"/>
        </w:rPr>
        <w:t xml:space="preserve">  He continued to use the CTA for personal purposes until July</w:t>
      </w:r>
      <w:r w:rsidR="008B2DDB">
        <w:rPr>
          <w:szCs w:val="24"/>
        </w:rPr>
        <w:t> </w:t>
      </w:r>
      <w:r>
        <w:rPr>
          <w:szCs w:val="24"/>
        </w:rPr>
        <w:t>26, 2017.</w:t>
      </w:r>
      <w:r w:rsidR="0034733D">
        <w:rPr>
          <w:szCs w:val="24"/>
        </w:rPr>
        <w:t xml:space="preserve">  </w:t>
      </w:r>
    </w:p>
    <w:p w14:paraId="44421AE4" w14:textId="77777777" w:rsidR="000C7445" w:rsidRDefault="000C7445">
      <w:pPr>
        <w:rPr>
          <w:b/>
        </w:rPr>
      </w:pPr>
      <w:r>
        <w:rPr>
          <w:b/>
        </w:rPr>
        <w:br w:type="page"/>
      </w:r>
    </w:p>
    <w:p w14:paraId="04CCDD6F" w14:textId="40F9A52A" w:rsidR="00CE1670" w:rsidRDefault="00CE1670" w:rsidP="00CE1670">
      <w:pPr>
        <w:tabs>
          <w:tab w:val="left" w:pos="720"/>
        </w:tabs>
        <w:spacing w:line="480" w:lineRule="auto"/>
        <w:jc w:val="center"/>
        <w:rPr>
          <w:b/>
        </w:rPr>
      </w:pPr>
      <w:r w:rsidRPr="00B6383A">
        <w:rPr>
          <w:b/>
        </w:rPr>
        <w:lastRenderedPageBreak/>
        <w:t xml:space="preserve">III.  </w:t>
      </w:r>
      <w:r w:rsidR="000529B5">
        <w:rPr>
          <w:b/>
        </w:rPr>
        <w:t>MARTIN IS CULPABLE ON BOTH COUNTS</w:t>
      </w:r>
    </w:p>
    <w:p w14:paraId="0816604A" w14:textId="71F5B6D3" w:rsidR="0096336F" w:rsidRDefault="0096336F" w:rsidP="00AE54A5">
      <w:pPr>
        <w:spacing w:line="480" w:lineRule="auto"/>
        <w:ind w:right="-144" w:firstLine="720"/>
      </w:pPr>
      <w:r>
        <w:t xml:space="preserve">Count one of the </w:t>
      </w:r>
      <w:r w:rsidR="003D254F">
        <w:t>N</w:t>
      </w:r>
      <w:r w:rsidR="00786844">
        <w:t>DC alleges that between October </w:t>
      </w:r>
      <w:r w:rsidR="003D254F">
        <w:t>1, 2016</w:t>
      </w:r>
      <w:r w:rsidR="00BA7675">
        <w:t>,</w:t>
      </w:r>
      <w:r w:rsidR="003D254F">
        <w:t xml:space="preserve"> and J</w:t>
      </w:r>
      <w:r w:rsidR="00786844">
        <w:t>uly </w:t>
      </w:r>
      <w:r w:rsidR="002B73D8">
        <w:t>26, 2017, Martin deposited or</w:t>
      </w:r>
      <w:r>
        <w:t xml:space="preserve"> </w:t>
      </w:r>
      <w:r w:rsidR="003D254F">
        <w:t>commingled</w:t>
      </w:r>
      <w:r>
        <w:t xml:space="preserve"> funds belonging to him in his CTA</w:t>
      </w:r>
      <w:r w:rsidR="00786844">
        <w:t>,</w:t>
      </w:r>
      <w:r>
        <w:t xml:space="preserve"> </w:t>
      </w:r>
      <w:r w:rsidR="00631D6B">
        <w:t xml:space="preserve">in </w:t>
      </w:r>
      <w:r>
        <w:t xml:space="preserve">willful </w:t>
      </w:r>
      <w:r w:rsidR="00786844">
        <w:t>violation of rule </w:t>
      </w:r>
      <w:r w:rsidR="00631D6B">
        <w:t>4-100(A</w:t>
      </w:r>
      <w:r w:rsidR="00B228B0">
        <w:t xml:space="preserve">).  </w:t>
      </w:r>
      <w:r w:rsidR="009F41E4">
        <w:t>I</w:t>
      </w:r>
      <w:r>
        <w:t>n</w:t>
      </w:r>
      <w:r w:rsidR="00A169FD">
        <w:t xml:space="preserve"> count two</w:t>
      </w:r>
      <w:r w:rsidR="009F41E4">
        <w:t>, the NDC alleges</w:t>
      </w:r>
      <w:r w:rsidR="00A169FD">
        <w:t xml:space="preserve"> </w:t>
      </w:r>
      <w:r>
        <w:t xml:space="preserve">that Martin issued checks and </w:t>
      </w:r>
      <w:r w:rsidR="000F1676">
        <w:t xml:space="preserve">made </w:t>
      </w:r>
      <w:r w:rsidR="009F41E4">
        <w:t xml:space="preserve">electronic </w:t>
      </w:r>
      <w:r>
        <w:t xml:space="preserve">withdrawals from his CTA </w:t>
      </w:r>
      <w:r w:rsidR="000F1676">
        <w:t>to</w:t>
      </w:r>
      <w:r>
        <w:t xml:space="preserve"> pay personal expenses </w:t>
      </w:r>
      <w:r w:rsidR="00A169FD">
        <w:t>during the same time period</w:t>
      </w:r>
      <w:r w:rsidR="00786844">
        <w:t>,</w:t>
      </w:r>
      <w:r w:rsidR="00A169FD">
        <w:t xml:space="preserve"> </w:t>
      </w:r>
      <w:r>
        <w:t>in willful viola</w:t>
      </w:r>
      <w:r w:rsidR="00786844">
        <w:t xml:space="preserve">tion of </w:t>
      </w:r>
      <w:r w:rsidR="00267C11">
        <w:t xml:space="preserve">the same </w:t>
      </w:r>
      <w:r w:rsidR="006C5A74">
        <w:t xml:space="preserve">rule.  </w:t>
      </w:r>
      <w:r w:rsidR="00B228B0">
        <w:t>The hearing judge found that</w:t>
      </w:r>
      <w:r w:rsidR="00772ED9">
        <w:t>,</w:t>
      </w:r>
      <w:r w:rsidR="00B228B0">
        <w:t xml:space="preserve"> by placing $52,188.63</w:t>
      </w:r>
      <w:r>
        <w:t xml:space="preserve"> of personal funds in his CTA (count o</w:t>
      </w:r>
      <w:r w:rsidR="00B228B0">
        <w:t>ne) and paying $46,869.3</w:t>
      </w:r>
      <w:r w:rsidR="00B16FDD">
        <w:t>9</w:t>
      </w:r>
      <w:r w:rsidR="00B228B0">
        <w:t xml:space="preserve"> in p</w:t>
      </w:r>
      <w:r>
        <w:t>ersonal expenses from his CTA (c</w:t>
      </w:r>
      <w:r w:rsidR="00B228B0">
        <w:t xml:space="preserve">ount </w:t>
      </w:r>
      <w:r>
        <w:t>t</w:t>
      </w:r>
      <w:r w:rsidR="00B228B0">
        <w:t>wo)</w:t>
      </w:r>
      <w:r w:rsidR="00881D17">
        <w:t xml:space="preserve">, Martin </w:t>
      </w:r>
      <w:r w:rsidR="00B07910">
        <w:t>wa</w:t>
      </w:r>
      <w:r w:rsidR="00881D17">
        <w:t xml:space="preserve">s culpable </w:t>
      </w:r>
      <w:r w:rsidR="00A169FD">
        <w:t xml:space="preserve">as charged.  </w:t>
      </w:r>
      <w:r>
        <w:t xml:space="preserve">We agree. </w:t>
      </w:r>
    </w:p>
    <w:p w14:paraId="4D4BA16C" w14:textId="41C4241D" w:rsidR="00B60960" w:rsidRPr="000A5F1A" w:rsidRDefault="00966399" w:rsidP="00966399">
      <w:pPr>
        <w:tabs>
          <w:tab w:val="left" w:pos="720"/>
        </w:tabs>
        <w:spacing w:line="480" w:lineRule="auto"/>
      </w:pPr>
      <w:r>
        <w:tab/>
      </w:r>
      <w:r w:rsidR="0096336F">
        <w:t xml:space="preserve">On review, Martin </w:t>
      </w:r>
      <w:r w:rsidR="00803F33">
        <w:t xml:space="preserve">first </w:t>
      </w:r>
      <w:r w:rsidR="00B972EE">
        <w:t xml:space="preserve">argues </w:t>
      </w:r>
      <w:r w:rsidR="005416A5">
        <w:t xml:space="preserve">due process requires </w:t>
      </w:r>
      <w:r w:rsidR="00B60960">
        <w:t>he be given notice during any investigation that his conduct violates a specific rule before OCTC can charge him with a violation.</w:t>
      </w:r>
      <w:r w:rsidR="004D6563">
        <w:t xml:space="preserve">  </w:t>
      </w:r>
      <w:r w:rsidR="00573FE1">
        <w:t xml:space="preserve">He is mistaken.  </w:t>
      </w:r>
      <w:r w:rsidR="000A5F1A">
        <w:t xml:space="preserve">Generally, </w:t>
      </w:r>
      <w:r w:rsidR="002042B2">
        <w:t xml:space="preserve">“The fundamental requirement of due process is the opportunity to be heard </w:t>
      </w:r>
      <w:r w:rsidR="00D20F7C">
        <w:t>‘</w:t>
      </w:r>
      <w:r w:rsidR="002042B2">
        <w:t>at a meaningful time and in a meaningful manner.</w:t>
      </w:r>
      <w:r w:rsidR="00D20F7C">
        <w:t xml:space="preserve">  [Citations.]’</w:t>
      </w:r>
      <w:r w:rsidR="002042B2">
        <w:t>”  (</w:t>
      </w:r>
      <w:r w:rsidR="002042B2">
        <w:rPr>
          <w:i/>
        </w:rPr>
        <w:t xml:space="preserve">Matthews v. Eldridge </w:t>
      </w:r>
      <w:r w:rsidR="002042B2">
        <w:t>(1976) 424 U.S</w:t>
      </w:r>
      <w:r w:rsidR="004D423D">
        <w:t xml:space="preserve">. 319, 333.)  </w:t>
      </w:r>
      <w:r w:rsidR="004D6563">
        <w:t xml:space="preserve">In </w:t>
      </w:r>
      <w:r w:rsidR="002F10F3">
        <w:t xml:space="preserve">California </w:t>
      </w:r>
      <w:r w:rsidR="004D6563">
        <w:t xml:space="preserve">disciplinary </w:t>
      </w:r>
      <w:r w:rsidR="002F10F3">
        <w:t xml:space="preserve">proceedings, </w:t>
      </w:r>
      <w:r w:rsidR="00C76F2C">
        <w:t>“</w:t>
      </w:r>
      <w:r w:rsidR="002F10F3">
        <w:t xml:space="preserve">adequate notice </w:t>
      </w:r>
      <w:r w:rsidR="00C76F2C" w:rsidRPr="00C76F2C">
        <w:t xml:space="preserve">requires only that the attorney be fairly apprised of the precise nature of the </w:t>
      </w:r>
      <w:r w:rsidR="00C76F2C" w:rsidRPr="00C76F2C">
        <w:rPr>
          <w:i/>
        </w:rPr>
        <w:t>charges</w:t>
      </w:r>
      <w:r w:rsidR="00C76F2C" w:rsidRPr="00C76F2C">
        <w:t xml:space="preserve"> before the proceedings commence</w:t>
      </w:r>
      <w:r w:rsidR="00C76F2C">
        <w:t xml:space="preserve">.” </w:t>
      </w:r>
      <w:r w:rsidR="000904BF">
        <w:t xml:space="preserve"> </w:t>
      </w:r>
      <w:r w:rsidR="00B833CC">
        <w:t xml:space="preserve"> </w:t>
      </w:r>
      <w:r w:rsidR="00C76F2C">
        <w:t>(</w:t>
      </w:r>
      <w:r w:rsidR="004D6563">
        <w:rPr>
          <w:rFonts w:eastAsia="Times New Roman"/>
          <w:i/>
          <w:szCs w:val="24"/>
        </w:rPr>
        <w:t xml:space="preserve">Van </w:t>
      </w:r>
      <w:proofErr w:type="spellStart"/>
      <w:r w:rsidR="004D6563">
        <w:rPr>
          <w:rFonts w:eastAsia="Times New Roman"/>
          <w:i/>
          <w:szCs w:val="24"/>
        </w:rPr>
        <w:t>Sloten</w:t>
      </w:r>
      <w:proofErr w:type="spellEnd"/>
      <w:r w:rsidR="004D6563">
        <w:rPr>
          <w:rFonts w:eastAsia="Times New Roman"/>
          <w:i/>
          <w:szCs w:val="24"/>
        </w:rPr>
        <w:t xml:space="preserve"> v. State Bar</w:t>
      </w:r>
      <w:r w:rsidR="004D6563">
        <w:rPr>
          <w:rFonts w:eastAsia="Times New Roman"/>
          <w:szCs w:val="24"/>
        </w:rPr>
        <w:t xml:space="preserve"> (1989) 48 Cal.3d 921, 929</w:t>
      </w:r>
      <w:r w:rsidR="00B833CC">
        <w:rPr>
          <w:rFonts w:eastAsia="Times New Roman"/>
          <w:szCs w:val="24"/>
        </w:rPr>
        <w:t>.</w:t>
      </w:r>
      <w:r w:rsidR="004D6563" w:rsidRPr="00707E8D">
        <w:rPr>
          <w:rFonts w:eastAsia="Times New Roman"/>
          <w:szCs w:val="24"/>
        </w:rPr>
        <w:t>)</w:t>
      </w:r>
      <w:r w:rsidR="00803F33">
        <w:rPr>
          <w:rFonts w:eastAsia="Times New Roman"/>
          <w:szCs w:val="24"/>
        </w:rPr>
        <w:t xml:space="preserve">  In the NDC </w:t>
      </w:r>
      <w:r w:rsidR="001C2896">
        <w:rPr>
          <w:rFonts w:eastAsia="Times New Roman"/>
          <w:szCs w:val="24"/>
        </w:rPr>
        <w:t xml:space="preserve">filed </w:t>
      </w:r>
      <w:r w:rsidR="00803F33">
        <w:rPr>
          <w:rFonts w:eastAsia="Times New Roman"/>
          <w:szCs w:val="24"/>
        </w:rPr>
        <w:t xml:space="preserve">in this case, notice of the specific facts </w:t>
      </w:r>
      <w:r w:rsidR="00B97C84">
        <w:rPr>
          <w:rFonts w:eastAsia="Times New Roman"/>
          <w:szCs w:val="24"/>
        </w:rPr>
        <w:t>comprising</w:t>
      </w:r>
      <w:r w:rsidR="001C2896">
        <w:rPr>
          <w:rFonts w:eastAsia="Times New Roman"/>
          <w:szCs w:val="24"/>
        </w:rPr>
        <w:t xml:space="preserve"> the violation </w:t>
      </w:r>
      <w:r w:rsidR="00803F33">
        <w:rPr>
          <w:rFonts w:eastAsia="Times New Roman"/>
          <w:szCs w:val="24"/>
        </w:rPr>
        <w:t xml:space="preserve">and the specific rule </w:t>
      </w:r>
      <w:r w:rsidR="008A06E3">
        <w:rPr>
          <w:rFonts w:eastAsia="Times New Roman"/>
          <w:szCs w:val="24"/>
        </w:rPr>
        <w:t xml:space="preserve">violated were pleaded </w:t>
      </w:r>
      <w:r w:rsidR="00D30E53">
        <w:rPr>
          <w:rFonts w:eastAsia="Times New Roman"/>
          <w:szCs w:val="24"/>
        </w:rPr>
        <w:t>for both counts as required under rule</w:t>
      </w:r>
      <w:r w:rsidR="00573FE1">
        <w:rPr>
          <w:rFonts w:eastAsia="Times New Roman"/>
          <w:szCs w:val="24"/>
        </w:rPr>
        <w:t> </w:t>
      </w:r>
      <w:r w:rsidR="00D30E53">
        <w:rPr>
          <w:rFonts w:eastAsia="Times New Roman"/>
          <w:szCs w:val="24"/>
        </w:rPr>
        <w:t>5.41</w:t>
      </w:r>
      <w:r w:rsidR="00B97C84">
        <w:rPr>
          <w:rFonts w:eastAsia="Times New Roman"/>
          <w:szCs w:val="24"/>
        </w:rPr>
        <w:t>(B)</w:t>
      </w:r>
      <w:r w:rsidR="00D30E53">
        <w:rPr>
          <w:rFonts w:eastAsia="Times New Roman"/>
          <w:szCs w:val="24"/>
        </w:rPr>
        <w:t xml:space="preserve"> of the Rules of Procedure of the State Bar; thus, on the issue of notice, Martin received due process.</w:t>
      </w:r>
    </w:p>
    <w:p w14:paraId="757B78F2" w14:textId="19CBDD8B" w:rsidR="00B972EE" w:rsidRDefault="008A06E3" w:rsidP="00A01DBD">
      <w:pPr>
        <w:tabs>
          <w:tab w:val="left" w:pos="720"/>
        </w:tabs>
        <w:spacing w:line="480" w:lineRule="auto"/>
      </w:pPr>
      <w:r>
        <w:tab/>
        <w:t xml:space="preserve">As for Martin’s second argument, that </w:t>
      </w:r>
      <w:r w:rsidR="00520F50">
        <w:t xml:space="preserve">the </w:t>
      </w:r>
      <w:r>
        <w:t>language of rule</w:t>
      </w:r>
      <w:r w:rsidR="00573FE1">
        <w:t> </w:t>
      </w:r>
      <w:r>
        <w:t>4-100(A) and case law fail</w:t>
      </w:r>
      <w:r w:rsidR="00F9654A">
        <w:t>ed</w:t>
      </w:r>
      <w:r>
        <w:t xml:space="preserve"> to give him adequate notice his act</w:t>
      </w:r>
      <w:r w:rsidR="00520F50">
        <w:t>s</w:t>
      </w:r>
      <w:r w:rsidR="00F9654A">
        <w:t xml:space="preserve"> of depositing</w:t>
      </w:r>
      <w:r>
        <w:t xml:space="preserve"> </w:t>
      </w:r>
      <w:r w:rsidR="004D2DEE">
        <w:t xml:space="preserve">only </w:t>
      </w:r>
      <w:r>
        <w:t xml:space="preserve">his personal funds </w:t>
      </w:r>
      <w:r w:rsidR="00842B9D">
        <w:t xml:space="preserve">in his CTA </w:t>
      </w:r>
      <w:r w:rsidR="00520F50">
        <w:t>and payment of</w:t>
      </w:r>
      <w:r w:rsidR="00842B9D">
        <w:t xml:space="preserve"> </w:t>
      </w:r>
      <w:r w:rsidR="004D2DEE">
        <w:t xml:space="preserve">his </w:t>
      </w:r>
      <w:r w:rsidR="00842B9D">
        <w:t xml:space="preserve">personal expenses from it </w:t>
      </w:r>
      <w:r w:rsidR="00520F50">
        <w:t xml:space="preserve">were improper, </w:t>
      </w:r>
      <w:r w:rsidR="00F1225D">
        <w:t>this</w:t>
      </w:r>
      <w:r w:rsidR="00520F50">
        <w:t xml:space="preserve"> argument </w:t>
      </w:r>
      <w:r w:rsidR="00344932">
        <w:t xml:space="preserve">also </w:t>
      </w:r>
      <w:r w:rsidR="00520F50">
        <w:t>fails.</w:t>
      </w:r>
      <w:r w:rsidR="004B3CB5">
        <w:t xml:space="preserve">  Contrar</w:t>
      </w:r>
      <w:r w:rsidR="004A469D">
        <w:t>y to his assertion, rule </w:t>
      </w:r>
      <w:r w:rsidR="004B3CB5">
        <w:t>4-100(A) is explicit in th</w:t>
      </w:r>
      <w:r w:rsidR="00344932">
        <w:t>at personal funds cannot be placed</w:t>
      </w:r>
      <w:r w:rsidR="004B3CB5">
        <w:t xml:space="preserve"> in</w:t>
      </w:r>
      <w:r w:rsidR="00344932">
        <w:t>to</w:t>
      </w:r>
      <w:r w:rsidR="004B3CB5">
        <w:t xml:space="preserve"> a CTA: </w:t>
      </w:r>
      <w:r w:rsidR="003051FE">
        <w:t>“No funds belonging to the member or the law firm shall be deposited [into the CTA] or otherwise commingled</w:t>
      </w:r>
      <w:r w:rsidR="00B97C84">
        <w:t xml:space="preserve"> </w:t>
      </w:r>
      <w:r w:rsidR="004D2DEE">
        <w:t>. . . .</w:t>
      </w:r>
      <w:r w:rsidR="003051FE">
        <w:t>”  Martin’</w:t>
      </w:r>
      <w:r w:rsidR="009330C8">
        <w:t>s testimony</w:t>
      </w:r>
      <w:r w:rsidR="003051FE">
        <w:t xml:space="preserve"> that the phrase</w:t>
      </w:r>
      <w:r w:rsidR="009330C8">
        <w:t xml:space="preserve"> “or otherwise commingled” led him to </w:t>
      </w:r>
      <w:r w:rsidR="009330C8">
        <w:lastRenderedPageBreak/>
        <w:t>believ</w:t>
      </w:r>
      <w:r w:rsidR="00F9654A">
        <w:t xml:space="preserve">e he was not violating </w:t>
      </w:r>
      <w:r w:rsidR="00AE54A5">
        <w:t>r</w:t>
      </w:r>
      <w:r w:rsidR="009330C8">
        <w:t>ule</w:t>
      </w:r>
      <w:r w:rsidR="004D2DEE">
        <w:t> </w:t>
      </w:r>
      <w:r w:rsidR="00F9654A">
        <w:t>4-100(A)</w:t>
      </w:r>
      <w:r w:rsidR="00C40E60">
        <w:t>,</w:t>
      </w:r>
      <w:r w:rsidR="00F9654A">
        <w:t xml:space="preserve"> </w:t>
      </w:r>
      <w:r w:rsidR="009330C8">
        <w:t>when only his personal funds were deposited into the CTA</w:t>
      </w:r>
      <w:r w:rsidR="00C40E60">
        <w:t>,</w:t>
      </w:r>
      <w:r w:rsidR="009330C8">
        <w:t xml:space="preserve"> is simply an unreasonable interpretation of the rule, given the language </w:t>
      </w:r>
      <w:r w:rsidR="00A01DBD">
        <w:t xml:space="preserve">before </w:t>
      </w:r>
      <w:r w:rsidR="009330C8">
        <w:t xml:space="preserve">that phrase </w:t>
      </w:r>
      <w:r w:rsidR="00344932">
        <w:t>clear</w:t>
      </w:r>
      <w:r w:rsidR="00A01DBD">
        <w:t xml:space="preserve">ly prohibits such an action.  </w:t>
      </w:r>
      <w:r w:rsidR="007E6A05">
        <w:t xml:space="preserve">To his point that case law did not provide him adequate notice, we first note his testimony at trial was quite clear that he did not do </w:t>
      </w:r>
      <w:r w:rsidR="004E2403">
        <w:t xml:space="preserve">any </w:t>
      </w:r>
      <w:r w:rsidR="007E6A05">
        <w:t>case research on the issue when the State Bar contacted him about his NSF checks</w:t>
      </w:r>
      <w:r w:rsidR="00053EE7">
        <w:t>.  Nonetheless, t</w:t>
      </w:r>
      <w:r w:rsidR="00FC36E7">
        <w:t>he Supreme Court has</w:t>
      </w:r>
      <w:r w:rsidR="00B972EE">
        <w:t xml:space="preserve"> i</w:t>
      </w:r>
      <w:r w:rsidR="007372D9">
        <w:t xml:space="preserve">nterpreted </w:t>
      </w:r>
      <w:r w:rsidR="003063A3">
        <w:t>r</w:t>
      </w:r>
      <w:r w:rsidR="00237A5E">
        <w:t>ule </w:t>
      </w:r>
      <w:r w:rsidR="00FC36E7">
        <w:t>4-100</w:t>
      </w:r>
      <w:r w:rsidR="00B972EE">
        <w:t xml:space="preserve">(A) </w:t>
      </w:r>
      <w:r w:rsidR="007372D9">
        <w:t>as a bright</w:t>
      </w:r>
      <w:r w:rsidR="00D94565">
        <w:t>-</w:t>
      </w:r>
      <w:r w:rsidR="007372D9">
        <w:t xml:space="preserve">line rule that </w:t>
      </w:r>
      <w:r w:rsidR="00237A5E">
        <w:t>“</w:t>
      </w:r>
      <w:r w:rsidR="00B972EE" w:rsidRPr="00B972EE">
        <w:t xml:space="preserve">absolutely bars use of the trust account for personal purposes, even if client funds are not on deposit.” </w:t>
      </w:r>
      <w:r w:rsidR="00FC7AE6">
        <w:t xml:space="preserve"> </w:t>
      </w:r>
      <w:r w:rsidR="00B972EE" w:rsidRPr="00B972EE">
        <w:t>(</w:t>
      </w:r>
      <w:r w:rsidR="00312E65">
        <w:rPr>
          <w:i/>
          <w:iCs/>
        </w:rPr>
        <w:t>Doyle v. State Bar</w:t>
      </w:r>
      <w:r w:rsidR="00312E65" w:rsidRPr="00312E65">
        <w:rPr>
          <w:iCs/>
        </w:rPr>
        <w:t xml:space="preserve">, </w:t>
      </w:r>
      <w:r w:rsidR="00312E65">
        <w:rPr>
          <w:i/>
          <w:iCs/>
        </w:rPr>
        <w:t>supra</w:t>
      </w:r>
      <w:r w:rsidR="00312E65">
        <w:rPr>
          <w:iCs/>
        </w:rPr>
        <w:t>,</w:t>
      </w:r>
      <w:r w:rsidR="00237A5E">
        <w:t xml:space="preserve"> 32 </w:t>
      </w:r>
      <w:r w:rsidR="00B972EE" w:rsidRPr="00B972EE">
        <w:t xml:space="preserve">Cal.3d </w:t>
      </w:r>
      <w:r w:rsidR="00312E65">
        <w:t>at pp. </w:t>
      </w:r>
      <w:r w:rsidR="00B972EE" w:rsidRPr="00B972EE">
        <w:t>22–23.)</w:t>
      </w:r>
      <w:r w:rsidR="00507795">
        <w:t xml:space="preserve">  </w:t>
      </w:r>
      <w:r w:rsidR="00F37430">
        <w:t>Martin’s</w:t>
      </w:r>
      <w:r w:rsidR="00F9654A">
        <w:t xml:space="preserve"> argument that the </w:t>
      </w:r>
      <w:r w:rsidR="00F9654A">
        <w:rPr>
          <w:i/>
        </w:rPr>
        <w:t xml:space="preserve">Doyle </w:t>
      </w:r>
      <w:r w:rsidR="00F9654A">
        <w:t>c</w:t>
      </w:r>
      <w:r w:rsidR="00344932">
        <w:t>ase is inapplicable because the</w:t>
      </w:r>
      <w:r w:rsidR="007313D8">
        <w:t xml:space="preserve"> attorney </w:t>
      </w:r>
      <w:r w:rsidR="00F9654A">
        <w:t>had client funds in the CTA</w:t>
      </w:r>
      <w:r w:rsidR="00632CD2">
        <w:t xml:space="preserve"> at some point</w:t>
      </w:r>
      <w:r w:rsidR="00F9654A">
        <w:t xml:space="preserve"> </w:t>
      </w:r>
      <w:r w:rsidR="007313D8">
        <w:t>that he later misappropriated</w:t>
      </w:r>
      <w:r w:rsidR="00344932">
        <w:t>,</w:t>
      </w:r>
      <w:r w:rsidR="007313D8">
        <w:t xml:space="preserve"> </w:t>
      </w:r>
      <w:r w:rsidR="00F9654A">
        <w:t>simply ignores the salient point the Supreme Court was making</w:t>
      </w:r>
      <w:r w:rsidR="004C0ACA">
        <w:t xml:space="preserve"> concerning the rule</w:t>
      </w:r>
      <w:r w:rsidR="00F9654A">
        <w:t xml:space="preserve">.  </w:t>
      </w:r>
      <w:r w:rsidR="00507795">
        <w:t>Thus</w:t>
      </w:r>
      <w:r w:rsidR="00E23798">
        <w:t>,</w:t>
      </w:r>
      <w:r w:rsidR="00344932">
        <w:t xml:space="preserve"> by </w:t>
      </w:r>
      <w:r w:rsidR="00507795">
        <w:t>depositing</w:t>
      </w:r>
      <w:r w:rsidR="007F1A88">
        <w:t xml:space="preserve"> personal </w:t>
      </w:r>
      <w:r w:rsidR="00B972EE" w:rsidRPr="00B972EE">
        <w:t>funds into a CTA</w:t>
      </w:r>
      <w:r w:rsidR="00344932">
        <w:t xml:space="preserve"> and paying personal expenses from it</w:t>
      </w:r>
      <w:r w:rsidR="00507795">
        <w:t>, Martin willful</w:t>
      </w:r>
      <w:r w:rsidR="007F1A88">
        <w:t>ly</w:t>
      </w:r>
      <w:r w:rsidR="00507795">
        <w:t xml:space="preserve"> violated the express language of</w:t>
      </w:r>
      <w:r w:rsidR="00344932">
        <w:t xml:space="preserve"> </w:t>
      </w:r>
      <w:r w:rsidR="00237A5E">
        <w:t>rule</w:t>
      </w:r>
      <w:r w:rsidR="006E3CD5">
        <w:t> </w:t>
      </w:r>
      <w:r w:rsidR="00344932">
        <w:t xml:space="preserve">4-100(A) </w:t>
      </w:r>
      <w:r w:rsidR="001D797B">
        <w:t xml:space="preserve">and the Supreme Court’s clear declaration of how </w:t>
      </w:r>
      <w:r w:rsidR="00344932">
        <w:t>th</w:t>
      </w:r>
      <w:r w:rsidR="00CA119B">
        <w:t>e</w:t>
      </w:r>
      <w:r w:rsidR="00344932">
        <w:t xml:space="preserve"> rule </w:t>
      </w:r>
      <w:r w:rsidR="001D797B">
        <w:t>applies</w:t>
      </w:r>
      <w:r w:rsidR="00237A5E">
        <w:t>.</w:t>
      </w:r>
      <w:r w:rsidR="00F37430">
        <w:rPr>
          <w:rStyle w:val="FootnoteReference"/>
        </w:rPr>
        <w:footnoteReference w:id="7"/>
      </w:r>
      <w:r w:rsidR="00237A5E">
        <w:t xml:space="preserve">  Accordingly, </w:t>
      </w:r>
      <w:r w:rsidR="00D94565">
        <w:t>his</w:t>
      </w:r>
      <w:r w:rsidR="00507795">
        <w:t xml:space="preserve"> misuse of his CTA establishes culpability under count</w:t>
      </w:r>
      <w:r w:rsidR="00A169FD">
        <w:t>s one and</w:t>
      </w:r>
      <w:r w:rsidR="00507795">
        <w:t xml:space="preserve"> two.</w:t>
      </w:r>
      <w:r w:rsidR="00605BA4">
        <w:rPr>
          <w:rStyle w:val="FootnoteReference"/>
        </w:rPr>
        <w:footnoteReference w:id="8"/>
      </w:r>
      <w:r w:rsidR="00507795">
        <w:t xml:space="preserve"> </w:t>
      </w:r>
    </w:p>
    <w:p w14:paraId="75ABFB8A" w14:textId="77777777" w:rsidR="000C7445" w:rsidRDefault="000C7445">
      <w:pPr>
        <w:rPr>
          <w:b/>
        </w:rPr>
      </w:pPr>
      <w:r>
        <w:rPr>
          <w:b/>
        </w:rPr>
        <w:br w:type="page"/>
      </w:r>
    </w:p>
    <w:p w14:paraId="1417F35B" w14:textId="4BB0F7B9" w:rsidR="00BE5B0A" w:rsidRPr="00986D3C" w:rsidRDefault="00A3375D" w:rsidP="00BE5B0A">
      <w:pPr>
        <w:spacing w:line="480" w:lineRule="auto"/>
        <w:jc w:val="center"/>
        <w:rPr>
          <w:b/>
        </w:rPr>
      </w:pPr>
      <w:r>
        <w:rPr>
          <w:b/>
        </w:rPr>
        <w:lastRenderedPageBreak/>
        <w:t>IV</w:t>
      </w:r>
      <w:r w:rsidR="00BE5B0A" w:rsidRPr="00986D3C">
        <w:rPr>
          <w:b/>
        </w:rPr>
        <w:t xml:space="preserve">.  </w:t>
      </w:r>
      <w:r w:rsidR="00396E97">
        <w:rPr>
          <w:b/>
        </w:rPr>
        <w:t>MITIGATION OUTWEIGHS A</w:t>
      </w:r>
      <w:r w:rsidR="00BE5B0A" w:rsidRPr="00986D3C">
        <w:rPr>
          <w:b/>
        </w:rPr>
        <w:t>GGRAVATION</w:t>
      </w:r>
      <w:r w:rsidR="00E0618C" w:rsidRPr="00DD745F">
        <w:rPr>
          <w:rStyle w:val="FootnoteReference"/>
        </w:rPr>
        <w:footnoteReference w:id="9"/>
      </w:r>
    </w:p>
    <w:p w14:paraId="75DF960A" w14:textId="7A75C6F3" w:rsidR="009C6B58" w:rsidRDefault="00BE5B0A" w:rsidP="009C6B58">
      <w:pPr>
        <w:spacing w:line="480" w:lineRule="auto"/>
        <w:ind w:firstLine="720"/>
      </w:pPr>
      <w:r w:rsidRPr="00801B35">
        <w:t>Standard</w:t>
      </w:r>
      <w:r>
        <w:t> </w:t>
      </w:r>
      <w:r w:rsidRPr="00801B35">
        <w:t>1.5 requires OCTC to establish aggravating circumstances by clear and convincing evidence</w:t>
      </w:r>
      <w:r>
        <w:t>.</w:t>
      </w:r>
      <w:r>
        <w:rPr>
          <w:rStyle w:val="FootnoteReference"/>
        </w:rPr>
        <w:footnoteReference w:id="10"/>
      </w:r>
      <w:r>
        <w:t xml:space="preserve">  S</w:t>
      </w:r>
      <w:r w:rsidRPr="00801B35">
        <w:t>tandard</w:t>
      </w:r>
      <w:r>
        <w:t> </w:t>
      </w:r>
      <w:r w:rsidRPr="00801B35">
        <w:t xml:space="preserve">1.6 requires </w:t>
      </w:r>
      <w:r>
        <w:t>Martin</w:t>
      </w:r>
      <w:r w:rsidRPr="00801B35">
        <w:t xml:space="preserve"> to meet the sa</w:t>
      </w:r>
      <w:r>
        <w:t>me burden to prove mitigation.</w:t>
      </w:r>
    </w:p>
    <w:p w14:paraId="1D8BEF60" w14:textId="6BADBD5D" w:rsidR="00BE5B0A" w:rsidRPr="005D4DC8" w:rsidRDefault="00BE5B0A" w:rsidP="00BE5B0A">
      <w:pPr>
        <w:spacing w:line="480" w:lineRule="auto"/>
      </w:pPr>
      <w:r>
        <w:rPr>
          <w:b/>
        </w:rPr>
        <w:t>A.</w:t>
      </w:r>
      <w:r>
        <w:rPr>
          <w:b/>
        </w:rPr>
        <w:tab/>
        <w:t>A</w:t>
      </w:r>
      <w:r w:rsidR="007A4918">
        <w:rPr>
          <w:b/>
        </w:rPr>
        <w:t>ggravation</w:t>
      </w:r>
    </w:p>
    <w:p w14:paraId="1C6B0587" w14:textId="77777777" w:rsidR="00BE5B0A" w:rsidRPr="00FF58DC" w:rsidRDefault="00BE5B0A" w:rsidP="00BE5B0A">
      <w:pPr>
        <w:spacing w:line="480" w:lineRule="auto"/>
        <w:ind w:firstLine="720"/>
        <w:rPr>
          <w:b/>
        </w:rPr>
      </w:pPr>
      <w:r w:rsidRPr="00FF58DC">
        <w:rPr>
          <w:b/>
        </w:rPr>
        <w:t>1.  Multiple Acts (Std. 1.5(b))</w:t>
      </w:r>
    </w:p>
    <w:p w14:paraId="51BA42E6" w14:textId="52C2CAC4" w:rsidR="004C0602" w:rsidRDefault="00BE5B0A" w:rsidP="00BE5B0A">
      <w:pPr>
        <w:spacing w:line="480" w:lineRule="auto"/>
        <w:ind w:firstLine="720"/>
      </w:pPr>
      <w:r>
        <w:t>The hearing judge found</w:t>
      </w:r>
      <w:r w:rsidR="00CE596C">
        <w:t xml:space="preserve"> Martin</w:t>
      </w:r>
      <w:r>
        <w:t>’s multiple</w:t>
      </w:r>
      <w:r w:rsidR="00E0618C">
        <w:t xml:space="preserve"> commingling </w:t>
      </w:r>
      <w:r>
        <w:t>violations</w:t>
      </w:r>
      <w:r w:rsidR="006125D1">
        <w:t xml:space="preserve"> over </w:t>
      </w:r>
      <w:r w:rsidR="006125D1" w:rsidRPr="00644019">
        <w:t>an eight-month period</w:t>
      </w:r>
      <w:r w:rsidR="00123CBF">
        <w:rPr>
          <w:rStyle w:val="FootnoteReference"/>
        </w:rPr>
        <w:footnoteReference w:id="11"/>
      </w:r>
      <w:r>
        <w:t xml:space="preserve"> to be an aggravating </w:t>
      </w:r>
      <w:r w:rsidR="00D46837">
        <w:t>circumstance under standard 1.5(b)</w:t>
      </w:r>
      <w:r w:rsidR="00E0618C">
        <w:t xml:space="preserve"> and assigned moderate weight because the</w:t>
      </w:r>
      <w:r w:rsidR="00D341DB">
        <w:t>se</w:t>
      </w:r>
      <w:r w:rsidR="00E0618C">
        <w:t xml:space="preserve"> acts did not occur over a lengthy period</w:t>
      </w:r>
      <w:r>
        <w:t xml:space="preserve">.  </w:t>
      </w:r>
      <w:r w:rsidR="00F22BB3">
        <w:t xml:space="preserve">Martin challenges this finding by arguing that his </w:t>
      </w:r>
      <w:r w:rsidR="0040777D">
        <w:t xml:space="preserve">multiple </w:t>
      </w:r>
      <w:r w:rsidR="006125D1">
        <w:t xml:space="preserve">improper CTA transactions </w:t>
      </w:r>
      <w:r w:rsidR="00D1415B">
        <w:t xml:space="preserve">constitute </w:t>
      </w:r>
      <w:r w:rsidR="006125D1">
        <w:t>only one continuou</w:t>
      </w:r>
      <w:r w:rsidR="00E60857">
        <w:t xml:space="preserve">s act in the course of conduct.  </w:t>
      </w:r>
      <w:r w:rsidR="004C0602">
        <w:t>While not appealing</w:t>
      </w:r>
      <w:r w:rsidR="002D22B9">
        <w:t xml:space="preserve">, OCTC </w:t>
      </w:r>
      <w:r w:rsidR="004C0602">
        <w:t xml:space="preserve">nonetheless </w:t>
      </w:r>
      <w:r w:rsidR="002D22B9">
        <w:t xml:space="preserve">urges us to </w:t>
      </w:r>
      <w:r w:rsidR="00E60857">
        <w:t>assign significant</w:t>
      </w:r>
      <w:r w:rsidR="002D22B9">
        <w:t xml:space="preserve"> weight in aggravation for this factor because Martin improperly used his </w:t>
      </w:r>
      <w:r w:rsidR="00E60857">
        <w:t xml:space="preserve">CTA on at least 168 occasions.  </w:t>
      </w:r>
    </w:p>
    <w:p w14:paraId="3C912423" w14:textId="4AB6C9EB" w:rsidR="00D718A4" w:rsidRDefault="00DD745F" w:rsidP="001404D3">
      <w:pPr>
        <w:spacing w:line="480" w:lineRule="auto"/>
        <w:ind w:firstLine="720"/>
      </w:pPr>
      <w:r>
        <w:t>We agree with</w:t>
      </w:r>
      <w:r w:rsidR="00396E97">
        <w:t xml:space="preserve"> the hearing judge’s approach and reject both </w:t>
      </w:r>
      <w:r>
        <w:t xml:space="preserve">Martin’s </w:t>
      </w:r>
      <w:r w:rsidR="001A6A36">
        <w:t xml:space="preserve">and </w:t>
      </w:r>
      <w:r w:rsidR="00396E97">
        <w:t xml:space="preserve">OCTC’s </w:t>
      </w:r>
      <w:r>
        <w:t>argument</w:t>
      </w:r>
      <w:r w:rsidR="00396E97">
        <w:t>s</w:t>
      </w:r>
      <w:r>
        <w:t>.</w:t>
      </w:r>
      <w:r w:rsidR="00E60857">
        <w:t xml:space="preserve"> </w:t>
      </w:r>
      <w:r w:rsidR="006E3CD5">
        <w:t xml:space="preserve"> </w:t>
      </w:r>
      <w:r w:rsidR="00315255" w:rsidRPr="00315255">
        <w:t>We have held that “multiple acts of misconduct as aggravation are not limited to the counts pleaded.</w:t>
      </w:r>
      <w:r w:rsidR="00C33A23">
        <w:t xml:space="preserve"> </w:t>
      </w:r>
      <w:r w:rsidR="00315255" w:rsidRPr="00315255">
        <w:t xml:space="preserve"> [Citation.]” </w:t>
      </w:r>
      <w:r w:rsidR="000E6D7B">
        <w:t xml:space="preserve"> </w:t>
      </w:r>
      <w:r w:rsidR="00315255" w:rsidRPr="00315255">
        <w:t>(</w:t>
      </w:r>
      <w:r w:rsidR="00C33A23">
        <w:rPr>
          <w:i/>
          <w:iCs/>
        </w:rPr>
        <w:t xml:space="preserve">In the Matter of Song </w:t>
      </w:r>
      <w:r w:rsidR="00315255" w:rsidRPr="00315255">
        <w:t>(Review Dept.</w:t>
      </w:r>
      <w:r w:rsidR="00E60857">
        <w:t xml:space="preserve"> </w:t>
      </w:r>
      <w:r w:rsidR="00C33A23">
        <w:t>2013) 5 </w:t>
      </w:r>
      <w:r w:rsidR="00315255" w:rsidRPr="00315255">
        <w:t>Cal. State Bar Ct. Rptr. 273, 279</w:t>
      </w:r>
      <w:r w:rsidR="00052DEF">
        <w:t>.</w:t>
      </w:r>
      <w:r w:rsidR="00B97C84">
        <w:t>)</w:t>
      </w:r>
      <w:r w:rsidR="00052DEF">
        <w:t xml:space="preserve">  </w:t>
      </w:r>
      <w:r w:rsidR="00E60857" w:rsidRPr="00E60857">
        <w:t xml:space="preserve">Here, </w:t>
      </w:r>
      <w:r w:rsidR="00C33A23">
        <w:t>Martin’</w:t>
      </w:r>
      <w:r w:rsidR="00052DEF">
        <w:t>s</w:t>
      </w:r>
      <w:r w:rsidR="00E60857" w:rsidRPr="00E60857">
        <w:t xml:space="preserve"> culpability is for two counts of misconduct </w:t>
      </w:r>
      <w:r>
        <w:t xml:space="preserve">that encompass 168 </w:t>
      </w:r>
      <w:r w:rsidR="00D341DB">
        <w:t xml:space="preserve">separate </w:t>
      </w:r>
      <w:r>
        <w:t>acts as established by the Stipulation.  However, based on case law,</w:t>
      </w:r>
      <w:r w:rsidRPr="00E60857">
        <w:t xml:space="preserve"> </w:t>
      </w:r>
      <w:r w:rsidR="00E60857" w:rsidRPr="00E60857">
        <w:t xml:space="preserve">we do not find </w:t>
      </w:r>
      <w:r w:rsidR="00C33A23">
        <w:t>that</w:t>
      </w:r>
      <w:r w:rsidR="000E6D7B">
        <w:t xml:space="preserve"> his</w:t>
      </w:r>
      <w:r w:rsidR="00C33A23">
        <w:t xml:space="preserve"> </w:t>
      </w:r>
      <w:r w:rsidR="00D953F2">
        <w:t xml:space="preserve">conduct warrants </w:t>
      </w:r>
      <w:r w:rsidR="00052DEF">
        <w:t>s</w:t>
      </w:r>
      <w:r w:rsidR="00396E97">
        <w:t xml:space="preserve">ubstantial </w:t>
      </w:r>
      <w:r w:rsidR="00E60857" w:rsidRPr="00E60857">
        <w:t>aggravation</w:t>
      </w:r>
      <w:r w:rsidR="00052DEF">
        <w:t xml:space="preserve"> for multiple acts </w:t>
      </w:r>
      <w:r w:rsidR="0040777D">
        <w:t xml:space="preserve">because </w:t>
      </w:r>
      <w:r w:rsidR="00ED3FF1">
        <w:t xml:space="preserve">his </w:t>
      </w:r>
      <w:r w:rsidR="004C0602">
        <w:t xml:space="preserve">misconduct occurred </w:t>
      </w:r>
      <w:r w:rsidR="0040704A" w:rsidRPr="00D63677">
        <w:lastRenderedPageBreak/>
        <w:t xml:space="preserve">over </w:t>
      </w:r>
      <w:r w:rsidR="00D7380E" w:rsidRPr="00D63677">
        <w:t xml:space="preserve">only </w:t>
      </w:r>
      <w:r w:rsidR="00D718A4">
        <w:t>10</w:t>
      </w:r>
      <w:r w:rsidR="0040704A" w:rsidRPr="00D63677">
        <w:t xml:space="preserve"> months</w:t>
      </w:r>
      <w:r w:rsidR="004B7441" w:rsidRPr="00D63677">
        <w:t xml:space="preserve">.  </w:t>
      </w:r>
      <w:r w:rsidR="00392AC8" w:rsidRPr="00D63677">
        <w:t>(</w:t>
      </w:r>
      <w:r w:rsidR="004B7441" w:rsidRPr="004B7441">
        <w:t>See</w:t>
      </w:r>
      <w:r w:rsidR="00392AC8" w:rsidRPr="004B7441">
        <w:t xml:space="preserve"> </w:t>
      </w:r>
      <w:r w:rsidR="005D0C16" w:rsidRPr="004B7441">
        <w:rPr>
          <w:i/>
          <w:iCs/>
        </w:rPr>
        <w:t>In the</w:t>
      </w:r>
      <w:r w:rsidR="00C33A23">
        <w:rPr>
          <w:i/>
          <w:iCs/>
        </w:rPr>
        <w:t xml:space="preserve"> </w:t>
      </w:r>
      <w:r w:rsidR="005D0C16" w:rsidRPr="004B7441">
        <w:rPr>
          <w:i/>
          <w:iCs/>
        </w:rPr>
        <w:t>Matter of Song</w:t>
      </w:r>
      <w:r w:rsidR="005D0C16" w:rsidRPr="004B7441">
        <w:t xml:space="preserve">, </w:t>
      </w:r>
      <w:r w:rsidR="005D0C16" w:rsidRPr="004B7441">
        <w:rPr>
          <w:i/>
        </w:rPr>
        <w:t>supra</w:t>
      </w:r>
      <w:r w:rsidR="005D0C16" w:rsidRPr="004B7441">
        <w:t>, 5</w:t>
      </w:r>
      <w:r w:rsidR="00C33A23">
        <w:t> </w:t>
      </w:r>
      <w:r w:rsidR="005D0C16" w:rsidRPr="004B7441">
        <w:t xml:space="preserve">Cal. State Bar Ct. Rptr. at </w:t>
      </w:r>
      <w:r w:rsidR="00C33A23">
        <w:t>p. </w:t>
      </w:r>
      <w:r w:rsidR="005D0C16" w:rsidRPr="004B7441">
        <w:t xml:space="preserve">279 [significant aggravation for 65 improper CTA violations </w:t>
      </w:r>
      <w:r w:rsidR="00CE01AC" w:rsidRPr="004B7441">
        <w:t xml:space="preserve">involving client harm </w:t>
      </w:r>
      <w:r w:rsidR="004B7441" w:rsidRPr="004B7441">
        <w:t>ove</w:t>
      </w:r>
      <w:r w:rsidR="00071401">
        <w:t xml:space="preserve">r three-year period]; see also </w:t>
      </w:r>
      <w:r w:rsidR="00C659C6" w:rsidRPr="004B7441">
        <w:rPr>
          <w:i/>
        </w:rPr>
        <w:t xml:space="preserve">In </w:t>
      </w:r>
      <w:r w:rsidR="00BD3443" w:rsidRPr="004B7441">
        <w:rPr>
          <w:i/>
        </w:rPr>
        <w:t>the Matter of Guzman</w:t>
      </w:r>
      <w:r w:rsidR="00071401">
        <w:t xml:space="preserve"> (Review Dept. 2014) 5 </w:t>
      </w:r>
      <w:r w:rsidR="004B7441" w:rsidRPr="004B7441">
        <w:t>Cal. State Bar Ct. Rptr. 30</w:t>
      </w:r>
      <w:r w:rsidR="00373087">
        <w:t>8</w:t>
      </w:r>
      <w:r w:rsidR="004B7441" w:rsidRPr="004B7441">
        <w:t>, 317</w:t>
      </w:r>
      <w:r w:rsidR="00C659C6" w:rsidRPr="004B7441">
        <w:t xml:space="preserve"> </w:t>
      </w:r>
      <w:r w:rsidR="004B7441" w:rsidRPr="004B7441">
        <w:t>[</w:t>
      </w:r>
      <w:r w:rsidR="00D718A4">
        <w:t xml:space="preserve">significant weight in aggravation for </w:t>
      </w:r>
      <w:r w:rsidR="004B7441" w:rsidRPr="004B7441">
        <w:t>24 counts of misconduct involving</w:t>
      </w:r>
      <w:r w:rsidR="004B7441">
        <w:t xml:space="preserve"> harm to multiple clients over four-year pe</w:t>
      </w:r>
      <w:r w:rsidR="001404D3">
        <w:t>riod</w:t>
      </w:r>
      <w:r w:rsidR="004B7441">
        <w:t xml:space="preserve">].) </w:t>
      </w:r>
    </w:p>
    <w:p w14:paraId="6E2EEFF0" w14:textId="0175613B" w:rsidR="006125D1" w:rsidRPr="006125D1" w:rsidRDefault="006125D1" w:rsidP="00BE5B0A">
      <w:pPr>
        <w:spacing w:line="480" w:lineRule="auto"/>
        <w:ind w:firstLine="720"/>
        <w:rPr>
          <w:rFonts w:eastAsia="Times New Roman"/>
          <w:b/>
          <w:szCs w:val="24"/>
        </w:rPr>
      </w:pPr>
      <w:r w:rsidRPr="006125D1">
        <w:rPr>
          <w:b/>
        </w:rPr>
        <w:t>2.  Uncharged Misconduct (Std. 1.5(h))</w:t>
      </w:r>
    </w:p>
    <w:p w14:paraId="73AF463B" w14:textId="41911CC4" w:rsidR="00AA1F05" w:rsidRDefault="00974297" w:rsidP="005972C5">
      <w:pPr>
        <w:spacing w:line="480" w:lineRule="auto"/>
      </w:pPr>
      <w:r>
        <w:tab/>
      </w:r>
      <w:r w:rsidR="00D46837">
        <w:t>Under standard 1.5(h), a</w:t>
      </w:r>
      <w:r w:rsidRPr="00974297">
        <w:t xml:space="preserve">ggravating circumstances may include “uncharged violations of the Business and Professions Code or the Rules </w:t>
      </w:r>
      <w:r w:rsidR="00FA1DFA">
        <w:t xml:space="preserve">of Professional Conduct.”  </w:t>
      </w:r>
      <w:r w:rsidRPr="00974297">
        <w:t xml:space="preserve">The hearing judge found </w:t>
      </w:r>
      <w:r w:rsidR="00873525">
        <w:t xml:space="preserve">significant </w:t>
      </w:r>
      <w:r w:rsidRPr="00974297">
        <w:t>aggravation based on an uncharg</w:t>
      </w:r>
      <w:r>
        <w:t>ed violation of rule</w:t>
      </w:r>
      <w:r w:rsidR="005075CA">
        <w:t> </w:t>
      </w:r>
      <w:r>
        <w:t>4–1</w:t>
      </w:r>
      <w:r w:rsidRPr="00974297">
        <w:t>00(A)</w:t>
      </w:r>
      <w:r w:rsidR="005972C5">
        <w:t xml:space="preserve"> </w:t>
      </w:r>
      <w:r w:rsidR="001D4AFB">
        <w:t>in</w:t>
      </w:r>
      <w:r w:rsidR="005972C5">
        <w:t xml:space="preserve"> concluding</w:t>
      </w:r>
      <w:r w:rsidR="00470680">
        <w:t xml:space="preserve"> </w:t>
      </w:r>
      <w:r w:rsidR="002C0A13">
        <w:t xml:space="preserve">that </w:t>
      </w:r>
      <w:r>
        <w:t>Martin</w:t>
      </w:r>
      <w:r w:rsidR="001F3212">
        <w:t>’</w:t>
      </w:r>
      <w:r>
        <w:t xml:space="preserve">s </w:t>
      </w:r>
      <w:r w:rsidR="005972C5">
        <w:t>testimony revealed</w:t>
      </w:r>
      <w:r w:rsidR="00470680">
        <w:t xml:space="preserve"> he had</w:t>
      </w:r>
      <w:r w:rsidR="005972C5">
        <w:t xml:space="preserve"> been </w:t>
      </w:r>
      <w:r w:rsidR="0040777D">
        <w:t xml:space="preserve">commingling </w:t>
      </w:r>
      <w:r w:rsidR="005972C5">
        <w:t>since 2004, not just from October 2016 through July 2017 as charged in the NDC.</w:t>
      </w:r>
      <w:r w:rsidR="00873525">
        <w:t xml:space="preserve">  </w:t>
      </w:r>
    </w:p>
    <w:p w14:paraId="22030835" w14:textId="1C2106EE" w:rsidR="00EF268A" w:rsidRDefault="00C47AC3" w:rsidP="005972C5">
      <w:pPr>
        <w:spacing w:line="480" w:lineRule="auto"/>
      </w:pPr>
      <w:r>
        <w:tab/>
      </w:r>
      <w:r w:rsidR="00B36547">
        <w:t xml:space="preserve">Martin </w:t>
      </w:r>
      <w:r>
        <w:t xml:space="preserve">objects to this finding, arguing </w:t>
      </w:r>
      <w:r w:rsidR="00B36547">
        <w:t xml:space="preserve">that </w:t>
      </w:r>
      <w:r w:rsidR="001F3212">
        <w:t>the</w:t>
      </w:r>
      <w:r w:rsidR="0040777D">
        <w:t xml:space="preserve"> </w:t>
      </w:r>
      <w:r w:rsidR="00B97C84">
        <w:t xml:space="preserve">hearing </w:t>
      </w:r>
      <w:r w:rsidR="001F3212">
        <w:t>judge’</w:t>
      </w:r>
      <w:r w:rsidR="00470680">
        <w:t xml:space="preserve">s </w:t>
      </w:r>
      <w:r>
        <w:t>conclusion</w:t>
      </w:r>
      <w:r w:rsidR="00470680">
        <w:t xml:space="preserve"> is based upon a</w:t>
      </w:r>
      <w:r w:rsidR="00923891">
        <w:t>n erroneous</w:t>
      </w:r>
      <w:r w:rsidR="00131A32">
        <w:t xml:space="preserve"> </w:t>
      </w:r>
      <w:r w:rsidR="00470680">
        <w:t>fact</w:t>
      </w:r>
      <w:r w:rsidR="00131A32">
        <w:t>ual conclusion</w:t>
      </w:r>
      <w:r w:rsidR="00470680">
        <w:t xml:space="preserve"> </w:t>
      </w:r>
      <w:r w:rsidR="00D341DB">
        <w:t xml:space="preserve">drawn </w:t>
      </w:r>
      <w:r w:rsidR="00470680">
        <w:t>from his</w:t>
      </w:r>
      <w:r w:rsidR="00D341DB">
        <w:t xml:space="preserve"> </w:t>
      </w:r>
      <w:r w:rsidR="00403E23">
        <w:t xml:space="preserve">testimony.  While Martin </w:t>
      </w:r>
      <w:r>
        <w:t xml:space="preserve">acknowledged at trial that he opened his CTA in 2004, </w:t>
      </w:r>
      <w:r w:rsidR="00470680">
        <w:t>he further testified</w:t>
      </w:r>
      <w:r w:rsidR="0035470E">
        <w:t xml:space="preserve"> he did not use </w:t>
      </w:r>
      <w:r w:rsidR="00CF6471">
        <w:t>it</w:t>
      </w:r>
      <w:r w:rsidR="0035470E">
        <w:t xml:space="preserve"> at all </w:t>
      </w:r>
      <w:r w:rsidR="00470680">
        <w:t xml:space="preserve">until 2012 when setting up </w:t>
      </w:r>
      <w:r w:rsidR="00403E23">
        <w:t>direct deposit for</w:t>
      </w:r>
      <w:r w:rsidR="0035470E">
        <w:t xml:space="preserve"> his Legal Management </w:t>
      </w:r>
      <w:r w:rsidR="00005B3E">
        <w:t xml:space="preserve">Quickbooks </w:t>
      </w:r>
      <w:r w:rsidR="0040777D">
        <w:t>pay</w:t>
      </w:r>
      <w:r w:rsidR="00470680">
        <w:t>check</w:t>
      </w:r>
      <w:r w:rsidR="0040704A">
        <w:t>s</w:t>
      </w:r>
      <w:r w:rsidR="00403E23">
        <w:t xml:space="preserve">.  </w:t>
      </w:r>
      <w:r w:rsidR="00923891">
        <w:t>Despite</w:t>
      </w:r>
      <w:r w:rsidR="00FD0A4B">
        <w:t xml:space="preserve"> </w:t>
      </w:r>
      <w:r w:rsidR="00923891">
        <w:t>t</w:t>
      </w:r>
      <w:r w:rsidR="00FD0A4B">
        <w:t xml:space="preserve">his testimony, </w:t>
      </w:r>
      <w:r w:rsidR="0063306B">
        <w:t xml:space="preserve">OCTC never raised </w:t>
      </w:r>
      <w:r w:rsidR="00EA6A99">
        <w:t xml:space="preserve">uncharged misconduct during </w:t>
      </w:r>
      <w:r w:rsidR="006B0440">
        <w:t xml:space="preserve">trial </w:t>
      </w:r>
      <w:r w:rsidR="007F6D72">
        <w:t>or</w:t>
      </w:r>
      <w:r w:rsidR="006B0440">
        <w:t xml:space="preserve"> in </w:t>
      </w:r>
      <w:r w:rsidR="005C0687">
        <w:t xml:space="preserve">its </w:t>
      </w:r>
      <w:r w:rsidR="005B5231">
        <w:t>post</w:t>
      </w:r>
      <w:r w:rsidR="006B0440">
        <w:t xml:space="preserve">trial </w:t>
      </w:r>
      <w:r w:rsidR="0051187B">
        <w:t xml:space="preserve">closing </w:t>
      </w:r>
      <w:r w:rsidR="006B0440" w:rsidRPr="003C0122">
        <w:t>brief.</w:t>
      </w:r>
      <w:r w:rsidR="00FD0A4B">
        <w:t xml:space="preserve">  Consequently</w:t>
      </w:r>
      <w:r w:rsidR="006B0440">
        <w:t>, Martin</w:t>
      </w:r>
      <w:r w:rsidR="006B0440" w:rsidRPr="003C0122">
        <w:t xml:space="preserve"> d</w:t>
      </w:r>
      <w:r w:rsidR="00E86702">
        <w:t xml:space="preserve">id not have an opportunity to defend himself </w:t>
      </w:r>
      <w:r w:rsidR="00EA6A99">
        <w:t xml:space="preserve">during trial </w:t>
      </w:r>
      <w:r w:rsidR="00E86702">
        <w:t>against th</w:t>
      </w:r>
      <w:r w:rsidR="00BF5615">
        <w:t xml:space="preserve">is uncharged </w:t>
      </w:r>
      <w:r w:rsidR="002E2A07">
        <w:t>violation</w:t>
      </w:r>
      <w:r w:rsidR="006B0440">
        <w:t xml:space="preserve">.  </w:t>
      </w:r>
      <w:r w:rsidR="00FD0A4B">
        <w:t>Accordingly, w</w:t>
      </w:r>
      <w:r w:rsidR="00FD0A4B" w:rsidRPr="003C0122">
        <w:t xml:space="preserve">e decline to find </w:t>
      </w:r>
      <w:r w:rsidR="00FD0A4B">
        <w:t>a</w:t>
      </w:r>
      <w:r w:rsidR="00FD0A4B" w:rsidRPr="007F7A14">
        <w:t>dditional aggravation</w:t>
      </w:r>
      <w:r w:rsidR="00FD0A4B">
        <w:t>.</w:t>
      </w:r>
      <w:r w:rsidR="005B5231">
        <w:t xml:space="preserve"> </w:t>
      </w:r>
      <w:r w:rsidR="00FD0A4B">
        <w:t xml:space="preserve"> </w:t>
      </w:r>
      <w:r w:rsidR="00745D7A">
        <w:t xml:space="preserve">(See </w:t>
      </w:r>
      <w:r w:rsidR="00FD0A4B" w:rsidRPr="00745D7A">
        <w:rPr>
          <w:i/>
        </w:rPr>
        <w:t>In the Matter of Lenard</w:t>
      </w:r>
      <w:r w:rsidR="00FD0A4B" w:rsidRPr="00FD0A4B">
        <w:t xml:space="preserve"> (Review Dept. 2013) 5</w:t>
      </w:r>
      <w:r w:rsidR="005B5231">
        <w:t> </w:t>
      </w:r>
      <w:r w:rsidR="00FD0A4B" w:rsidRPr="00FD0A4B">
        <w:t>Cal. State Bar Ct. Rptr. 250, 260 [</w:t>
      </w:r>
      <w:r w:rsidR="00745D7A">
        <w:t xml:space="preserve">no </w:t>
      </w:r>
      <w:r w:rsidR="007D6A52">
        <w:t xml:space="preserve">aggravation for </w:t>
      </w:r>
      <w:r w:rsidR="00745D7A">
        <w:t xml:space="preserve">uncharged misconduct where </w:t>
      </w:r>
      <w:r w:rsidR="00FD0A4B" w:rsidRPr="00FD0A4B">
        <w:t>attorney did not have sufficient notice o</w:t>
      </w:r>
      <w:r w:rsidR="00745D7A">
        <w:t xml:space="preserve">r opportunity to defend </w:t>
      </w:r>
      <w:r w:rsidR="007D6A52">
        <w:t xml:space="preserve">after </w:t>
      </w:r>
      <w:r w:rsidR="00745D7A">
        <w:t xml:space="preserve">OCTC </w:t>
      </w:r>
      <w:r w:rsidR="007D6A52">
        <w:t>bec</w:t>
      </w:r>
      <w:r w:rsidR="005B5231">
        <w:t>ame</w:t>
      </w:r>
      <w:r w:rsidR="007D6A52">
        <w:t xml:space="preserve"> aware of relevant facts</w:t>
      </w:r>
      <w:r w:rsidR="00FD0A4B" w:rsidRPr="00FD0A4B">
        <w:t>].)</w:t>
      </w:r>
    </w:p>
    <w:p w14:paraId="38151C24" w14:textId="77777777" w:rsidR="002531F0" w:rsidRDefault="002531F0">
      <w:pPr>
        <w:rPr>
          <w:b/>
        </w:rPr>
      </w:pPr>
      <w:r>
        <w:rPr>
          <w:b/>
        </w:rPr>
        <w:br w:type="page"/>
      </w:r>
    </w:p>
    <w:p w14:paraId="3D91DAB2" w14:textId="4559BFD0" w:rsidR="00EF268A" w:rsidRPr="005D4DC8" w:rsidRDefault="00EF268A" w:rsidP="00EF268A">
      <w:pPr>
        <w:spacing w:line="480" w:lineRule="auto"/>
      </w:pPr>
      <w:r>
        <w:rPr>
          <w:b/>
        </w:rPr>
        <w:lastRenderedPageBreak/>
        <w:t>B.</w:t>
      </w:r>
      <w:r>
        <w:rPr>
          <w:b/>
        </w:rPr>
        <w:tab/>
        <w:t>M</w:t>
      </w:r>
      <w:r w:rsidR="00373087">
        <w:rPr>
          <w:b/>
        </w:rPr>
        <w:t>itigation</w:t>
      </w:r>
    </w:p>
    <w:p w14:paraId="7D8015E9" w14:textId="19C0FF70" w:rsidR="005D6AEB" w:rsidRDefault="00EF268A" w:rsidP="002518C1">
      <w:pPr>
        <w:spacing w:line="480" w:lineRule="auto"/>
        <w:rPr>
          <w:b/>
        </w:rPr>
      </w:pPr>
      <w:r>
        <w:tab/>
      </w:r>
      <w:r w:rsidR="005D6AEB" w:rsidRPr="005D6AEB">
        <w:rPr>
          <w:b/>
        </w:rPr>
        <w:t>1.  No Prior Record of Discipline (Std. 1.6(a))</w:t>
      </w:r>
    </w:p>
    <w:p w14:paraId="2FD0BF57" w14:textId="77096C15" w:rsidR="00B940B6" w:rsidRDefault="005D6AEB" w:rsidP="002518C1">
      <w:pPr>
        <w:spacing w:line="480" w:lineRule="auto"/>
      </w:pPr>
      <w:r>
        <w:rPr>
          <w:b/>
        </w:rPr>
        <w:tab/>
      </w:r>
      <w:r w:rsidR="00A27795" w:rsidRPr="003E29C5">
        <w:rPr>
          <w:szCs w:val="24"/>
        </w:rPr>
        <w:t xml:space="preserve">Mitigation is available </w:t>
      </w:r>
      <w:r w:rsidR="00D46837">
        <w:rPr>
          <w:szCs w:val="24"/>
        </w:rPr>
        <w:t xml:space="preserve">under standard 1.6(a) </w:t>
      </w:r>
      <w:r w:rsidR="00A27795" w:rsidRPr="003E29C5">
        <w:rPr>
          <w:szCs w:val="24"/>
        </w:rPr>
        <w:t>where no prior record of discipline exists over many years of practice, coupled with present misconduct that is not li</w:t>
      </w:r>
      <w:r w:rsidR="00A27795">
        <w:rPr>
          <w:szCs w:val="24"/>
        </w:rPr>
        <w:t xml:space="preserve">kely to recur.  </w:t>
      </w:r>
      <w:r w:rsidR="00305508">
        <w:t>The hearing judge determined Martin</w:t>
      </w:r>
      <w:r w:rsidR="004F3451">
        <w:t>’</w:t>
      </w:r>
      <w:r w:rsidR="00305508">
        <w:t>s misconduct began in 2004, finding only seven years of discipline-free practic</w:t>
      </w:r>
      <w:r w:rsidR="00D64EE0">
        <w:t>e</w:t>
      </w:r>
      <w:r w:rsidR="003F68BA">
        <w:t xml:space="preserve"> and af</w:t>
      </w:r>
      <w:r w:rsidR="004D1E95">
        <w:t xml:space="preserve">fording him minimal mitigation.  </w:t>
      </w:r>
      <w:r w:rsidR="00B940B6">
        <w:t xml:space="preserve">Martin requests that significant weight be given; OCTC agrees with the judge’s </w:t>
      </w:r>
      <w:r w:rsidR="00D341DB">
        <w:t>assignment of minimal weight</w:t>
      </w:r>
      <w:r w:rsidR="00B940B6">
        <w:t xml:space="preserve">.  </w:t>
      </w:r>
    </w:p>
    <w:p w14:paraId="0221F1C0" w14:textId="53DDE33B" w:rsidR="00E43EE0" w:rsidRDefault="00B97C84" w:rsidP="00B940B6">
      <w:pPr>
        <w:spacing w:line="480" w:lineRule="auto"/>
        <w:ind w:firstLine="720"/>
      </w:pPr>
      <w:r>
        <w:t>While</w:t>
      </w:r>
      <w:r w:rsidR="005B5231">
        <w:t xml:space="preserve"> we do not adopt the </w:t>
      </w:r>
      <w:r w:rsidR="00D341DB">
        <w:t xml:space="preserve">hearing </w:t>
      </w:r>
      <w:r w:rsidR="005B5231">
        <w:t>judge’</w:t>
      </w:r>
      <w:r w:rsidR="00B940B6">
        <w:t xml:space="preserve">s </w:t>
      </w:r>
      <w:r w:rsidR="004D1E95">
        <w:t>finding of uncharged misconduct</w:t>
      </w:r>
      <w:r w:rsidR="00B940B6">
        <w:t xml:space="preserve"> in aggravation</w:t>
      </w:r>
      <w:r w:rsidR="00E43EE0">
        <w:t xml:space="preserve">, </w:t>
      </w:r>
      <w:r w:rsidR="004D1E95">
        <w:t>our independent review of</w:t>
      </w:r>
      <w:r w:rsidR="000E5AAE">
        <w:t xml:space="preserve"> the record reveals that Martin</w:t>
      </w:r>
      <w:r w:rsidR="004F3451">
        <w:t>’</w:t>
      </w:r>
      <w:r w:rsidR="004D1E95">
        <w:t>s misconduct b</w:t>
      </w:r>
      <w:r w:rsidR="00D341DB">
        <w:t>egan in 2012, which equates to 15</w:t>
      </w:r>
      <w:r w:rsidR="00F61EFC">
        <w:t xml:space="preserve"> years of discipline-free practice</w:t>
      </w:r>
      <w:r w:rsidR="004D1E95">
        <w:t>.</w:t>
      </w:r>
      <w:r w:rsidR="00396E97">
        <w:rPr>
          <w:rStyle w:val="FootnoteReference"/>
        </w:rPr>
        <w:footnoteReference w:id="12"/>
      </w:r>
      <w:r w:rsidR="004D1E95">
        <w:t xml:space="preserve">  </w:t>
      </w:r>
      <w:r w:rsidR="00B552C7">
        <w:t xml:space="preserve">The record also reflects </w:t>
      </w:r>
      <w:r w:rsidR="005B5231">
        <w:t>that Martin’</w:t>
      </w:r>
      <w:r w:rsidR="00B552C7">
        <w:t>s misco</w:t>
      </w:r>
      <w:r w:rsidR="007A1878">
        <w:t xml:space="preserve">nduct was aberrational.  </w:t>
      </w:r>
      <w:r w:rsidR="005B3310" w:rsidRPr="005B3310">
        <w:t>(</w:t>
      </w:r>
      <w:r w:rsidR="005B3310" w:rsidRPr="005B3310">
        <w:rPr>
          <w:i/>
        </w:rPr>
        <w:t>Cooper v. State Bar</w:t>
      </w:r>
      <w:r w:rsidR="005B3310" w:rsidRPr="005B3310">
        <w:t xml:space="preserve"> (1987) 43 Cal.3d 1016</w:t>
      </w:r>
      <w:r w:rsidR="00934C96">
        <w:t>, 1029</w:t>
      </w:r>
      <w:r w:rsidR="005B3310" w:rsidRPr="005B3310">
        <w:t xml:space="preserve"> [prior record of discipline-free practice is most relevant where misconduct is aberrational and unlikely to recur].)  </w:t>
      </w:r>
      <w:r w:rsidR="00C57906">
        <w:t>He</w:t>
      </w:r>
      <w:r w:rsidR="009B6943">
        <w:t xml:space="preserve"> testifi</w:t>
      </w:r>
      <w:r w:rsidR="00B552C7">
        <w:t xml:space="preserve">ed </w:t>
      </w:r>
      <w:r w:rsidR="00C045E0">
        <w:t xml:space="preserve">he understands </w:t>
      </w:r>
      <w:r w:rsidR="00471204">
        <w:t xml:space="preserve">now </w:t>
      </w:r>
      <w:r w:rsidR="00C045E0">
        <w:t>t</w:t>
      </w:r>
      <w:r w:rsidR="00D341DB">
        <w:t>hat personal funds can never</w:t>
      </w:r>
      <w:r w:rsidR="00471204">
        <w:t xml:space="preserve"> be deposited into a CTA and that personal expenses cannot be paid from a CTA.  Further, he </w:t>
      </w:r>
      <w:r w:rsidR="007346F1">
        <w:t>asserts that</w:t>
      </w:r>
      <w:r w:rsidR="00CE47EF">
        <w:t>,</w:t>
      </w:r>
      <w:r w:rsidR="00471204">
        <w:t xml:space="preserve"> </w:t>
      </w:r>
      <w:r w:rsidR="009B6943">
        <w:t xml:space="preserve">if he were </w:t>
      </w:r>
      <w:r w:rsidR="007A1878">
        <w:t>requir</w:t>
      </w:r>
      <w:r w:rsidR="004F3451">
        <w:t>ed</w:t>
      </w:r>
      <w:r w:rsidR="007A1878">
        <w:t xml:space="preserve"> to maintain client funds</w:t>
      </w:r>
      <w:r w:rsidR="004F3451">
        <w:t xml:space="preserve"> in the future</w:t>
      </w:r>
      <w:r w:rsidR="007A1878">
        <w:t>,</w:t>
      </w:r>
      <w:r w:rsidR="009B6943">
        <w:t xml:space="preserve"> he would </w:t>
      </w:r>
      <w:r w:rsidR="004F3451">
        <w:t>associate</w:t>
      </w:r>
      <w:r w:rsidR="007A1878">
        <w:t xml:space="preserve"> with an attorney who </w:t>
      </w:r>
      <w:r w:rsidR="007346F1">
        <w:t>w</w:t>
      </w:r>
      <w:r w:rsidR="007A1878">
        <w:t xml:space="preserve">ould </w:t>
      </w:r>
      <w:r w:rsidR="007346F1">
        <w:t>be</w:t>
      </w:r>
      <w:r w:rsidR="007A1878">
        <w:t xml:space="preserve"> full</w:t>
      </w:r>
      <w:r w:rsidR="007346F1">
        <w:t>y</w:t>
      </w:r>
      <w:r w:rsidR="007A1878">
        <w:t xml:space="preserve"> responsib</w:t>
      </w:r>
      <w:r w:rsidR="007346F1">
        <w:t>le</w:t>
      </w:r>
      <w:r w:rsidR="007A1878">
        <w:t xml:space="preserve"> </w:t>
      </w:r>
      <w:r w:rsidR="00F637F5">
        <w:t>for</w:t>
      </w:r>
      <w:r w:rsidR="007A1878">
        <w:t xml:space="preserve"> managing the CTA.  </w:t>
      </w:r>
      <w:r w:rsidR="00F61EFC">
        <w:t xml:space="preserve">Thus, </w:t>
      </w:r>
      <w:r w:rsidR="004D1E95">
        <w:t>Martin</w:t>
      </w:r>
      <w:r w:rsidR="00FE6B4D">
        <w:t>’</w:t>
      </w:r>
      <w:r w:rsidR="00D341DB">
        <w:t>s 15</w:t>
      </w:r>
      <w:r w:rsidR="004D1E95">
        <w:t xml:space="preserve"> years of discipline-free practice </w:t>
      </w:r>
      <w:r w:rsidR="0084550D">
        <w:t>are</w:t>
      </w:r>
      <w:r w:rsidR="004D1E95">
        <w:t xml:space="preserve"> entitled to substantial weight in mitigation.  (</w:t>
      </w:r>
      <w:r w:rsidR="004D1E95">
        <w:rPr>
          <w:i/>
        </w:rPr>
        <w:t>In the Matter of Yee</w:t>
      </w:r>
      <w:r w:rsidR="004D1E95">
        <w:t xml:space="preserve"> (Review Dept. 2014) 5 Cal. State Bar Ct. Rptr. 330, 335 [significant weight in mitigation for 10</w:t>
      </w:r>
      <w:r w:rsidR="00FE6B4D">
        <w:t xml:space="preserve"> and </w:t>
      </w:r>
      <w:r w:rsidR="007346F1">
        <w:t>one-</w:t>
      </w:r>
      <w:r w:rsidR="00FE6B4D">
        <w:t>half</w:t>
      </w:r>
      <w:r w:rsidR="004D1E95">
        <w:t xml:space="preserve"> years of discipline-free practice]; </w:t>
      </w:r>
      <w:r w:rsidR="004D1E95">
        <w:rPr>
          <w:i/>
        </w:rPr>
        <w:t>Hawes v. State Bar</w:t>
      </w:r>
      <w:r w:rsidR="00FE6B4D">
        <w:t xml:space="preserve"> (1990) 51 </w:t>
      </w:r>
      <w:r w:rsidR="004D1E95">
        <w:t>Cal.3d 587, 596 [</w:t>
      </w:r>
      <w:r w:rsidR="00C57906">
        <w:t xml:space="preserve">significant weight in mitigation for over 10 years of </w:t>
      </w:r>
      <w:r w:rsidR="004A3599">
        <w:t>discipline-free practice</w:t>
      </w:r>
      <w:r w:rsidR="004D1E95">
        <w:t>].)</w:t>
      </w:r>
      <w:r w:rsidR="00B552C7">
        <w:t xml:space="preserve">  </w:t>
      </w:r>
    </w:p>
    <w:p w14:paraId="43840AF1" w14:textId="77777777" w:rsidR="00A27DC0" w:rsidRDefault="00E43EE0" w:rsidP="002518C1">
      <w:pPr>
        <w:spacing w:line="480" w:lineRule="auto"/>
      </w:pPr>
      <w:r>
        <w:tab/>
      </w:r>
    </w:p>
    <w:p w14:paraId="346C8533" w14:textId="77777777" w:rsidR="00A27DC0" w:rsidRDefault="00A27DC0">
      <w:r>
        <w:br w:type="page"/>
      </w:r>
    </w:p>
    <w:p w14:paraId="5815CED3" w14:textId="3BA4981E" w:rsidR="00897E9B" w:rsidRDefault="005D6AEB" w:rsidP="002518C1">
      <w:pPr>
        <w:spacing w:line="480" w:lineRule="auto"/>
        <w:rPr>
          <w:b/>
        </w:rPr>
      </w:pPr>
      <w:r>
        <w:rPr>
          <w:b/>
        </w:rPr>
        <w:lastRenderedPageBreak/>
        <w:t>2</w:t>
      </w:r>
      <w:r w:rsidR="00897E9B">
        <w:t xml:space="preserve">.  </w:t>
      </w:r>
      <w:r w:rsidR="008678E0" w:rsidRPr="008678E0">
        <w:rPr>
          <w:b/>
        </w:rPr>
        <w:t>No Client Harm</w:t>
      </w:r>
      <w:r>
        <w:rPr>
          <w:b/>
        </w:rPr>
        <w:t xml:space="preserve"> (Std. 1.6(c))</w:t>
      </w:r>
      <w:r w:rsidR="004D1E95">
        <w:rPr>
          <w:b/>
        </w:rPr>
        <w:t xml:space="preserve"> </w:t>
      </w:r>
    </w:p>
    <w:p w14:paraId="6893AFF4" w14:textId="34964E5D" w:rsidR="001C31D9" w:rsidRPr="00C83702" w:rsidRDefault="00C83702" w:rsidP="002518C1">
      <w:pPr>
        <w:spacing w:line="480" w:lineRule="auto"/>
      </w:pPr>
      <w:r>
        <w:rPr>
          <w:b/>
        </w:rPr>
        <w:tab/>
      </w:r>
      <w:r w:rsidR="009F0D32" w:rsidRPr="009F0D32">
        <w:t>Standard </w:t>
      </w:r>
      <w:r w:rsidR="009F0D32" w:rsidRPr="009F0D32">
        <w:rPr>
          <w:bCs/>
        </w:rPr>
        <w:t>1</w:t>
      </w:r>
      <w:r w:rsidR="009F0D32" w:rsidRPr="009F0D32">
        <w:t>.</w:t>
      </w:r>
      <w:r w:rsidR="009F0D32" w:rsidRPr="009F0D32">
        <w:rPr>
          <w:bCs/>
        </w:rPr>
        <w:t>6</w:t>
      </w:r>
      <w:r w:rsidR="009F0D32" w:rsidRPr="009F0D32">
        <w:t>(</w:t>
      </w:r>
      <w:r w:rsidR="009F0D32" w:rsidRPr="009F0D32">
        <w:rPr>
          <w:bCs/>
        </w:rPr>
        <w:t>c</w:t>
      </w:r>
      <w:r w:rsidR="009F0D32" w:rsidRPr="009F0D32">
        <w:t>) provides f</w:t>
      </w:r>
      <w:r w:rsidR="00B940B6">
        <w:t xml:space="preserve">or mitigation where </w:t>
      </w:r>
      <w:r w:rsidR="009F0D32" w:rsidRPr="009F0D32">
        <w:t>lack of harm to clients, the public, or the administration of justice</w:t>
      </w:r>
      <w:r w:rsidR="00CA3DA7">
        <w:t xml:space="preserve"> can be established</w:t>
      </w:r>
      <w:r w:rsidR="009F0D32" w:rsidRPr="009F0D32">
        <w:t>.</w:t>
      </w:r>
      <w:r w:rsidR="009F0D32">
        <w:t xml:space="preserve">  </w:t>
      </w:r>
      <w:r>
        <w:t xml:space="preserve">The hearing judge found </w:t>
      </w:r>
      <w:r w:rsidR="00FE6B4D">
        <w:t>Martin’</w:t>
      </w:r>
      <w:r w:rsidR="00D83CA3">
        <w:t xml:space="preserve">s </w:t>
      </w:r>
      <w:r w:rsidR="003507BC">
        <w:t xml:space="preserve">use of his CTA as a personal checking account did not cause any client harm and </w:t>
      </w:r>
      <w:r w:rsidR="00AA76BF">
        <w:t>afforded</w:t>
      </w:r>
      <w:r w:rsidR="003507BC">
        <w:t xml:space="preserve"> </w:t>
      </w:r>
      <w:r w:rsidR="00AA76BF">
        <w:t>moderate weight</w:t>
      </w:r>
      <w:r w:rsidR="00FC38A4">
        <w:t xml:space="preserve">.  </w:t>
      </w:r>
      <w:r w:rsidR="00B940B6">
        <w:t xml:space="preserve">Martin requests that a greater weight be given to this circumstance.  </w:t>
      </w:r>
      <w:r w:rsidR="00BF7E3B">
        <w:t>OCTC</w:t>
      </w:r>
      <w:r w:rsidR="00A34F1A">
        <w:t xml:space="preserve"> does not object to the finding of moderate weight</w:t>
      </w:r>
      <w:r w:rsidR="00B940B6">
        <w:t>, but</w:t>
      </w:r>
      <w:r w:rsidR="0084550D">
        <w:t xml:space="preserve"> it argues that greater weight should not be given because “</w:t>
      </w:r>
      <w:r w:rsidR="00B702EB">
        <w:t>[t]</w:t>
      </w:r>
      <w:r w:rsidR="0084550D">
        <w:t>here is always the potential for harm.”</w:t>
      </w:r>
      <w:r w:rsidR="00BF7E3B">
        <w:t xml:space="preserve">  </w:t>
      </w:r>
      <w:r w:rsidR="00B940B6">
        <w:t>OCTC’s argument is, at best, speculative.  W</w:t>
      </w:r>
      <w:r w:rsidR="00A34F1A">
        <w:t>e find substa</w:t>
      </w:r>
      <w:r w:rsidR="0087400A">
        <w:t>ntial weight should be given because</w:t>
      </w:r>
      <w:r w:rsidR="00C05A4A">
        <w:t xml:space="preserve"> no evidence in the record demonstrates any harm was caused to clients, the public, or the administration of justice</w:t>
      </w:r>
      <w:r w:rsidR="0087400A">
        <w:t>.</w:t>
      </w:r>
    </w:p>
    <w:p w14:paraId="6A522519" w14:textId="6F797D27" w:rsidR="008816C3" w:rsidRDefault="005D6AEB" w:rsidP="002518C1">
      <w:pPr>
        <w:spacing w:line="480" w:lineRule="auto"/>
        <w:rPr>
          <w:b/>
        </w:rPr>
      </w:pPr>
      <w:r>
        <w:rPr>
          <w:b/>
        </w:rPr>
        <w:tab/>
        <w:t>3</w:t>
      </w:r>
      <w:r w:rsidR="00897E9B">
        <w:rPr>
          <w:b/>
        </w:rPr>
        <w:t xml:space="preserve">.  </w:t>
      </w:r>
      <w:r w:rsidR="008678E0" w:rsidRPr="008678E0">
        <w:rPr>
          <w:b/>
        </w:rPr>
        <w:t>Good Faith</w:t>
      </w:r>
      <w:r>
        <w:rPr>
          <w:b/>
        </w:rPr>
        <w:t xml:space="preserve"> (Std. </w:t>
      </w:r>
      <w:r w:rsidR="00B4375F">
        <w:rPr>
          <w:b/>
        </w:rPr>
        <w:t>1.6(b))</w:t>
      </w:r>
      <w:r w:rsidR="004D1E95">
        <w:rPr>
          <w:b/>
        </w:rPr>
        <w:t xml:space="preserve"> </w:t>
      </w:r>
    </w:p>
    <w:p w14:paraId="366DB9BE" w14:textId="5F94EBC4" w:rsidR="00F91407" w:rsidRPr="00266BE9" w:rsidRDefault="00F91407" w:rsidP="00F91407">
      <w:pPr>
        <w:tabs>
          <w:tab w:val="left" w:pos="720"/>
        </w:tabs>
        <w:autoSpaceDE w:val="0"/>
        <w:autoSpaceDN w:val="0"/>
        <w:adjustRightInd w:val="0"/>
        <w:spacing w:line="480" w:lineRule="auto"/>
        <w:ind w:firstLine="720"/>
        <w:contextualSpacing/>
      </w:pPr>
      <w:r w:rsidRPr="00266BE9">
        <w:t>An attorney may be en</w:t>
      </w:r>
      <w:r w:rsidR="00865D90">
        <w:t xml:space="preserve">titled to mitigation credit if </w:t>
      </w:r>
      <w:r w:rsidRPr="00266BE9">
        <w:t>he can establish a “good faith belief that is honestly held and objectively reasonable.”  (</w:t>
      </w:r>
      <w:r w:rsidR="00B85D87">
        <w:t xml:space="preserve">Std. 1.6(b); see also </w:t>
      </w:r>
      <w:r w:rsidRPr="00266BE9">
        <w:rPr>
          <w:i/>
        </w:rPr>
        <w:t>In the Matter of Rose</w:t>
      </w:r>
      <w:r w:rsidRPr="00266BE9">
        <w:t xml:space="preserve"> (Review Dept. 1997) 3 Cal. State Bar Ct. Rptr. 646, 653</w:t>
      </w:r>
      <w:r>
        <w:t>.)</w:t>
      </w:r>
      <w:r w:rsidRPr="00266BE9">
        <w:t xml:space="preserve"> </w:t>
      </w:r>
      <w:r>
        <w:t xml:space="preserve"> </w:t>
      </w:r>
      <w:r w:rsidR="003C138D">
        <w:t xml:space="preserve">The hearing judge found </w:t>
      </w:r>
      <w:r w:rsidR="00865D90">
        <w:t xml:space="preserve">Martin </w:t>
      </w:r>
      <w:r w:rsidRPr="00266BE9">
        <w:t xml:space="preserve">was </w:t>
      </w:r>
      <w:r w:rsidR="008853E5">
        <w:t xml:space="preserve">not </w:t>
      </w:r>
      <w:r w:rsidR="003A5B1E">
        <w:t xml:space="preserve">entitled to mitigation for his </w:t>
      </w:r>
      <w:r w:rsidRPr="00266BE9">
        <w:t xml:space="preserve">good faith belief that </w:t>
      </w:r>
      <w:r w:rsidR="003A5B1E">
        <w:t xml:space="preserve">he was not violating any trust accounting rule by using his CTA as </w:t>
      </w:r>
      <w:r w:rsidR="00865D90">
        <w:t>a</w:t>
      </w:r>
      <w:r w:rsidR="003A5B1E">
        <w:t xml:space="preserve"> personal account </w:t>
      </w:r>
      <w:r w:rsidR="00D61318">
        <w:t>where the account did not</w:t>
      </w:r>
      <w:r w:rsidR="00865D90">
        <w:t xml:space="preserve"> hold</w:t>
      </w:r>
      <w:r w:rsidR="003A5B1E">
        <w:t xml:space="preserve"> client funds</w:t>
      </w:r>
      <w:r>
        <w:t xml:space="preserve">.  </w:t>
      </w:r>
      <w:r w:rsidR="008A048D">
        <w:t xml:space="preserve">Martin contends </w:t>
      </w:r>
      <w:r w:rsidR="00865D90">
        <w:t xml:space="preserve">he honestly believed his </w:t>
      </w:r>
      <w:r w:rsidR="00B702EB">
        <w:t xml:space="preserve">CTA </w:t>
      </w:r>
      <w:r w:rsidR="00865D90">
        <w:t>activities were proper and not an ethical violation.  He also argues that his interactions with OCTC during its investigation made his reliance on his beliefs objectively reasonable</w:t>
      </w:r>
      <w:r w:rsidR="008A048D">
        <w:t xml:space="preserve">.  OCTC </w:t>
      </w:r>
      <w:r w:rsidRPr="00266BE9">
        <w:t xml:space="preserve">argues that </w:t>
      </w:r>
      <w:r w:rsidR="008A048D">
        <w:t>Martin</w:t>
      </w:r>
      <w:r w:rsidRPr="00266BE9">
        <w:t xml:space="preserve"> is not entitled to any good faith mitigation because </w:t>
      </w:r>
      <w:r w:rsidR="00FE6B4D">
        <w:t>his ignorance of rule </w:t>
      </w:r>
      <w:r w:rsidR="008A048D">
        <w:t>4-100 is</w:t>
      </w:r>
      <w:r w:rsidRPr="00266BE9">
        <w:t xml:space="preserve"> objectively unreasonable</w:t>
      </w:r>
      <w:r w:rsidR="00B702EB">
        <w:t>,</w:t>
      </w:r>
      <w:r w:rsidR="008A048D">
        <w:t xml:space="preserve"> particular</w:t>
      </w:r>
      <w:r w:rsidR="00B702EB">
        <w:t>l</w:t>
      </w:r>
      <w:r w:rsidR="008A048D">
        <w:t xml:space="preserve">y </w:t>
      </w:r>
      <w:r w:rsidR="00B702EB">
        <w:t>since</w:t>
      </w:r>
      <w:r w:rsidR="008A048D">
        <w:t xml:space="preserve"> he was provided </w:t>
      </w:r>
      <w:r w:rsidR="00B702EB">
        <w:t xml:space="preserve">with </w:t>
      </w:r>
      <w:r w:rsidR="008A048D">
        <w:t xml:space="preserve">copies of the rule on multiple </w:t>
      </w:r>
      <w:r w:rsidR="00DA5A9F">
        <w:t>occasions.</w:t>
      </w:r>
      <w:r w:rsidRPr="00266BE9">
        <w:t xml:space="preserve">  </w:t>
      </w:r>
    </w:p>
    <w:p w14:paraId="54EACE6B" w14:textId="51942C3E" w:rsidR="00305260" w:rsidRPr="00F91407" w:rsidRDefault="00F91407" w:rsidP="00FF39AF">
      <w:pPr>
        <w:tabs>
          <w:tab w:val="left" w:pos="720"/>
        </w:tabs>
        <w:spacing w:line="480" w:lineRule="auto"/>
        <w:ind w:right="144"/>
        <w:contextualSpacing/>
      </w:pPr>
      <w:r w:rsidRPr="00266BE9">
        <w:tab/>
      </w:r>
      <w:r w:rsidR="00381E6F">
        <w:t xml:space="preserve">Martin acknowledged receiving a copy of the </w:t>
      </w:r>
      <w:r w:rsidR="00B702EB">
        <w:t>complete</w:t>
      </w:r>
      <w:r w:rsidR="00381E6F">
        <w:t xml:space="preserve"> text of </w:t>
      </w:r>
      <w:r w:rsidR="00FE6B4D">
        <w:t>rule </w:t>
      </w:r>
      <w:r w:rsidR="00E43EE0">
        <w:t>4-100 when OCTC mailed its</w:t>
      </w:r>
      <w:r w:rsidR="00381E6F">
        <w:t xml:space="preserve"> first investigative letter to him in Decembe</w:t>
      </w:r>
      <w:r w:rsidR="008C5F2F">
        <w:t xml:space="preserve">r 2016; </w:t>
      </w:r>
      <w:r w:rsidR="00FF39AF">
        <w:t>Martin</w:t>
      </w:r>
      <w:r w:rsidR="008C5F2F">
        <w:t xml:space="preserve"> also testified </w:t>
      </w:r>
      <w:r w:rsidR="00381E6F">
        <w:t xml:space="preserve">that he reviewed the rule after receiving it.  </w:t>
      </w:r>
      <w:r w:rsidRPr="00266BE9">
        <w:t xml:space="preserve">Even if </w:t>
      </w:r>
      <w:r w:rsidR="00B702EB">
        <w:t>he</w:t>
      </w:r>
      <w:r w:rsidRPr="00266BE9">
        <w:t xml:space="preserve"> </w:t>
      </w:r>
      <w:r w:rsidR="008C5F2F">
        <w:t xml:space="preserve">honestly </w:t>
      </w:r>
      <w:r w:rsidRPr="00266BE9">
        <w:t xml:space="preserve">believed </w:t>
      </w:r>
      <w:r w:rsidR="008A048D">
        <w:t>his CTA usage</w:t>
      </w:r>
      <w:r>
        <w:t xml:space="preserve"> did not run afoul of </w:t>
      </w:r>
      <w:r w:rsidR="00FE6B4D">
        <w:t>rule </w:t>
      </w:r>
      <w:r w:rsidR="008A048D">
        <w:t>4-100</w:t>
      </w:r>
      <w:r w:rsidR="00C05A4A">
        <w:t>(A)</w:t>
      </w:r>
      <w:r w:rsidRPr="00266BE9">
        <w:t>,</w:t>
      </w:r>
      <w:r>
        <w:t xml:space="preserve"> it was objectively unreasonable</w:t>
      </w:r>
      <w:r w:rsidR="008A048D">
        <w:t xml:space="preserve"> for him</w:t>
      </w:r>
      <w:r w:rsidRPr="00266BE9">
        <w:t xml:space="preserve"> to </w:t>
      </w:r>
      <w:r w:rsidR="008A048D">
        <w:t>continue to use his CTA</w:t>
      </w:r>
      <w:r w:rsidR="00381E6F">
        <w:t xml:space="preserve"> </w:t>
      </w:r>
      <w:r w:rsidR="008A048D">
        <w:t xml:space="preserve">for </w:t>
      </w:r>
      <w:r w:rsidR="008A048D">
        <w:lastRenderedPageBreak/>
        <w:t xml:space="preserve">personal </w:t>
      </w:r>
      <w:r w:rsidR="001377E1">
        <w:t>matters</w:t>
      </w:r>
      <w:r w:rsidRPr="00266BE9">
        <w:t xml:space="preserve"> </w:t>
      </w:r>
      <w:r w:rsidR="001377E1">
        <w:t xml:space="preserve">until July 2017 </w:t>
      </w:r>
      <w:r w:rsidRPr="00266BE9">
        <w:t>in light of t</w:t>
      </w:r>
      <w:r w:rsidR="00A36E35">
        <w:t>he clear language of the rule</w:t>
      </w:r>
      <w:r w:rsidR="00C91C62">
        <w:t xml:space="preserve">.  </w:t>
      </w:r>
      <w:r w:rsidRPr="00266BE9">
        <w:t>We therefore assign no mitigation credit for good faith.</w:t>
      </w:r>
      <w:r>
        <w:t xml:space="preserve">  </w:t>
      </w:r>
      <w:r w:rsidRPr="00266BE9">
        <w:t>(</w:t>
      </w:r>
      <w:r w:rsidRPr="00266BE9">
        <w:rPr>
          <w:i/>
        </w:rPr>
        <w:t>Sternlieb v. State Bar</w:t>
      </w:r>
      <w:r w:rsidRPr="00266BE9">
        <w:t xml:space="preserve"> (1990) 52 Cal.3d 317, 331 [attorney’s honest belief not mitigating because belief was unreasonable].)</w:t>
      </w:r>
    </w:p>
    <w:p w14:paraId="0A3E3BC6" w14:textId="13856A4C" w:rsidR="008678E0" w:rsidRDefault="005D6AEB" w:rsidP="002518C1">
      <w:pPr>
        <w:spacing w:line="480" w:lineRule="auto"/>
        <w:rPr>
          <w:b/>
        </w:rPr>
      </w:pPr>
      <w:r>
        <w:rPr>
          <w:b/>
        </w:rPr>
        <w:tab/>
        <w:t>4</w:t>
      </w:r>
      <w:r w:rsidR="00D27780">
        <w:rPr>
          <w:b/>
        </w:rPr>
        <w:t xml:space="preserve">.  </w:t>
      </w:r>
      <w:r w:rsidR="008678E0" w:rsidRPr="008678E0">
        <w:rPr>
          <w:b/>
        </w:rPr>
        <w:t>Extraordinary Good Character</w:t>
      </w:r>
      <w:r w:rsidR="00FE1CDE">
        <w:rPr>
          <w:b/>
        </w:rPr>
        <w:t xml:space="preserve"> (Std. 1.6(f))</w:t>
      </w:r>
      <w:r w:rsidR="0063336E">
        <w:rPr>
          <w:b/>
        </w:rPr>
        <w:t xml:space="preserve"> </w:t>
      </w:r>
    </w:p>
    <w:p w14:paraId="6FA83975" w14:textId="76EB6835" w:rsidR="00FE1CDE" w:rsidRDefault="00DE1405" w:rsidP="00FE1CDE">
      <w:pPr>
        <w:spacing w:line="480" w:lineRule="auto"/>
        <w:ind w:firstLine="720"/>
        <w:contextualSpacing/>
        <w:rPr>
          <w:rFonts w:eastAsia="Times New Roman" w:cstheme="minorBidi"/>
          <w:szCs w:val="24"/>
        </w:rPr>
      </w:pPr>
      <w:r w:rsidRPr="00B82B43">
        <w:rPr>
          <w:rFonts w:eastAsiaTheme="minorHAnsi" w:cstheme="minorBidi"/>
          <w:szCs w:val="24"/>
        </w:rPr>
        <w:t xml:space="preserve">Martin is entitled to mitigation if </w:t>
      </w:r>
      <w:r w:rsidR="00FE1CDE" w:rsidRPr="00B82B43">
        <w:rPr>
          <w:rFonts w:eastAsiaTheme="minorHAnsi" w:cstheme="minorBidi"/>
          <w:szCs w:val="24"/>
        </w:rPr>
        <w:t xml:space="preserve">he establishes “extraordinary good character attested to </w:t>
      </w:r>
      <w:r w:rsidR="00FE1CDE" w:rsidRPr="00B82B43">
        <w:rPr>
          <w:rFonts w:eastAsia="Times New Roman" w:cstheme="minorBidi"/>
          <w:szCs w:val="24"/>
        </w:rPr>
        <w:t>by a wide range of references in the legal and general communities, who are aware of the full extent of t</w:t>
      </w:r>
      <w:r w:rsidR="00E15A92" w:rsidRPr="00B82B43">
        <w:rPr>
          <w:rFonts w:eastAsia="Times New Roman" w:cstheme="minorBidi"/>
          <w:szCs w:val="24"/>
        </w:rPr>
        <w:t>h</w:t>
      </w:r>
      <w:r w:rsidR="00FA1DFA">
        <w:rPr>
          <w:rFonts w:eastAsia="Times New Roman" w:cstheme="minorBidi"/>
          <w:szCs w:val="24"/>
        </w:rPr>
        <w:t xml:space="preserve">e misconduct.”  </w:t>
      </w:r>
      <w:r w:rsidR="00D61318">
        <w:rPr>
          <w:rFonts w:eastAsia="Times New Roman" w:cstheme="minorBidi"/>
          <w:szCs w:val="24"/>
        </w:rPr>
        <w:t>(Std. </w:t>
      </w:r>
      <w:r w:rsidR="00E71EAE">
        <w:rPr>
          <w:rFonts w:eastAsia="Times New Roman" w:cstheme="minorBidi"/>
          <w:szCs w:val="24"/>
        </w:rPr>
        <w:t xml:space="preserve">1.6(f).)  </w:t>
      </w:r>
      <w:r w:rsidR="00E15A92" w:rsidRPr="00B82B43">
        <w:rPr>
          <w:rFonts w:eastAsia="Times New Roman" w:cstheme="minorBidi"/>
          <w:szCs w:val="24"/>
        </w:rPr>
        <w:t>Three witnesses, inclu</w:t>
      </w:r>
      <w:r w:rsidR="00E43EE0">
        <w:rPr>
          <w:rFonts w:eastAsia="Times New Roman" w:cstheme="minorBidi"/>
          <w:szCs w:val="24"/>
        </w:rPr>
        <w:t xml:space="preserve">ding his son and two attorneys, </w:t>
      </w:r>
      <w:r w:rsidR="00E15A92" w:rsidRPr="00B82B43">
        <w:rPr>
          <w:rFonts w:eastAsia="Times New Roman" w:cstheme="minorBidi"/>
          <w:szCs w:val="24"/>
        </w:rPr>
        <w:t>test</w:t>
      </w:r>
      <w:r w:rsidR="00AA226D">
        <w:rPr>
          <w:rFonts w:eastAsia="Times New Roman" w:cstheme="minorBidi"/>
          <w:szCs w:val="24"/>
        </w:rPr>
        <w:t>ified at trial regarding Martin’</w:t>
      </w:r>
      <w:r w:rsidR="00E15A92" w:rsidRPr="00B82B43">
        <w:rPr>
          <w:rFonts w:eastAsia="Times New Roman" w:cstheme="minorBidi"/>
          <w:szCs w:val="24"/>
        </w:rPr>
        <w:t xml:space="preserve">s good character.  </w:t>
      </w:r>
      <w:r w:rsidR="00E9739F" w:rsidRPr="00B82B43">
        <w:rPr>
          <w:rFonts w:eastAsia="Times New Roman" w:cstheme="minorBidi"/>
          <w:szCs w:val="24"/>
        </w:rPr>
        <w:t xml:space="preserve">The hearing judge reduced </w:t>
      </w:r>
      <w:r w:rsidR="00FE1CDE" w:rsidRPr="00B82B43">
        <w:rPr>
          <w:rFonts w:eastAsia="Times New Roman" w:cstheme="minorBidi"/>
          <w:szCs w:val="24"/>
        </w:rPr>
        <w:t xml:space="preserve">the weight accorded </w:t>
      </w:r>
      <w:r w:rsidR="007D1661">
        <w:rPr>
          <w:rFonts w:eastAsia="Times New Roman" w:cstheme="minorBidi"/>
          <w:szCs w:val="24"/>
        </w:rPr>
        <w:t xml:space="preserve">to </w:t>
      </w:r>
      <w:r w:rsidR="00E9739F" w:rsidRPr="00B82B43">
        <w:rPr>
          <w:rFonts w:eastAsia="Times New Roman" w:cstheme="minorBidi"/>
          <w:szCs w:val="24"/>
        </w:rPr>
        <w:t xml:space="preserve">two of </w:t>
      </w:r>
      <w:r w:rsidR="001A5498">
        <w:rPr>
          <w:rFonts w:eastAsia="Times New Roman" w:cstheme="minorBidi"/>
          <w:szCs w:val="24"/>
        </w:rPr>
        <w:t>his</w:t>
      </w:r>
      <w:r w:rsidR="00FE1CDE" w:rsidRPr="00B82B43">
        <w:rPr>
          <w:rFonts w:eastAsia="Times New Roman" w:cstheme="minorBidi"/>
          <w:szCs w:val="24"/>
        </w:rPr>
        <w:t xml:space="preserve"> character references </w:t>
      </w:r>
      <w:r w:rsidR="00AA226D">
        <w:rPr>
          <w:rFonts w:eastAsia="Times New Roman" w:cstheme="minorBidi"/>
          <w:szCs w:val="24"/>
        </w:rPr>
        <w:t>based upon a finding of “</w:t>
      </w:r>
      <w:r w:rsidR="00E9739F" w:rsidRPr="00B82B43">
        <w:rPr>
          <w:rFonts w:eastAsia="Times New Roman" w:cstheme="minorBidi"/>
          <w:szCs w:val="24"/>
        </w:rPr>
        <w:t>obvious bias</w:t>
      </w:r>
      <w:r w:rsidR="00AA226D">
        <w:rPr>
          <w:rFonts w:eastAsia="Times New Roman" w:cstheme="minorBidi"/>
          <w:szCs w:val="24"/>
        </w:rPr>
        <w:t>”</w:t>
      </w:r>
      <w:r w:rsidR="0080014F">
        <w:rPr>
          <w:rFonts w:eastAsia="Times New Roman" w:cstheme="minorBidi"/>
          <w:szCs w:val="24"/>
        </w:rPr>
        <w:t xml:space="preserve"> and assigned minimal weight to this mitigating circumstance; OCTC agrees with the judge’s determination.</w:t>
      </w:r>
      <w:r w:rsidR="00E9739F" w:rsidRPr="00B82B43">
        <w:rPr>
          <w:rFonts w:eastAsia="Times New Roman" w:cstheme="minorBidi"/>
          <w:szCs w:val="24"/>
        </w:rPr>
        <w:t xml:space="preserve">  We disagree</w:t>
      </w:r>
      <w:r w:rsidR="00FE1CDE" w:rsidRPr="00B82B43">
        <w:rPr>
          <w:rFonts w:eastAsia="Times New Roman" w:cstheme="minorBidi"/>
          <w:szCs w:val="24"/>
        </w:rPr>
        <w:t xml:space="preserve"> </w:t>
      </w:r>
      <w:r w:rsidR="0080014F">
        <w:rPr>
          <w:rFonts w:eastAsia="Times New Roman" w:cstheme="minorBidi"/>
          <w:szCs w:val="24"/>
        </w:rPr>
        <w:t xml:space="preserve">with </w:t>
      </w:r>
      <w:r w:rsidR="00C05A4A">
        <w:rPr>
          <w:rFonts w:eastAsia="Times New Roman" w:cstheme="minorBidi"/>
          <w:szCs w:val="24"/>
        </w:rPr>
        <w:t>the judge’</w:t>
      </w:r>
      <w:r w:rsidR="0080014F">
        <w:rPr>
          <w:rFonts w:eastAsia="Times New Roman" w:cstheme="minorBidi"/>
          <w:szCs w:val="24"/>
        </w:rPr>
        <w:t>s approach</w:t>
      </w:r>
      <w:r w:rsidR="00C05A4A">
        <w:rPr>
          <w:rFonts w:eastAsia="Times New Roman" w:cstheme="minorBidi"/>
          <w:szCs w:val="24"/>
        </w:rPr>
        <w:t xml:space="preserve"> </w:t>
      </w:r>
      <w:r w:rsidR="00FE1CDE" w:rsidRPr="00B82B43">
        <w:rPr>
          <w:rFonts w:eastAsia="Times New Roman" w:cstheme="minorBidi"/>
          <w:szCs w:val="24"/>
        </w:rPr>
        <w:t>and</w:t>
      </w:r>
      <w:r w:rsidR="00D27780">
        <w:rPr>
          <w:rFonts w:eastAsia="Times New Roman" w:cstheme="minorBidi"/>
          <w:szCs w:val="24"/>
        </w:rPr>
        <w:t xml:space="preserve"> </w:t>
      </w:r>
      <w:r w:rsidR="00FE1CDE" w:rsidRPr="00B82B43">
        <w:rPr>
          <w:rFonts w:eastAsia="Times New Roman" w:cstheme="minorBidi"/>
          <w:szCs w:val="24"/>
        </w:rPr>
        <w:t xml:space="preserve">assign </w:t>
      </w:r>
      <w:r w:rsidR="00C05A4A">
        <w:rPr>
          <w:rFonts w:eastAsia="Times New Roman" w:cstheme="minorBidi"/>
          <w:szCs w:val="24"/>
        </w:rPr>
        <w:t>moderate</w:t>
      </w:r>
      <w:r w:rsidR="00FE1CDE" w:rsidRPr="00B82B43">
        <w:rPr>
          <w:rFonts w:eastAsia="Times New Roman" w:cstheme="minorBidi"/>
          <w:szCs w:val="24"/>
        </w:rPr>
        <w:t xml:space="preserve"> weight.</w:t>
      </w:r>
    </w:p>
    <w:p w14:paraId="60725F9B" w14:textId="77777777" w:rsidR="00A552B9" w:rsidRDefault="00B82B43" w:rsidP="00B82B43">
      <w:pPr>
        <w:pStyle w:val="ListParagraph"/>
        <w:spacing w:line="480" w:lineRule="auto"/>
        <w:ind w:left="0" w:firstLine="720"/>
        <w:rPr>
          <w:rFonts w:eastAsia="Times New Roman"/>
          <w:szCs w:val="24"/>
        </w:rPr>
      </w:pPr>
      <w:r>
        <w:t xml:space="preserve">All </w:t>
      </w:r>
      <w:r w:rsidR="00CA3DA7">
        <w:t>three</w:t>
      </w:r>
      <w:r>
        <w:t xml:space="preserve"> witnesses were fully aware of the charges against Martin and praised his excellent reputation as a criminal defense attorney.  In fact, one of the attorney witnesses represented Martin during </w:t>
      </w:r>
      <w:r w:rsidR="003A5C4E">
        <w:t>the</w:t>
      </w:r>
      <w:r>
        <w:t xml:space="preserve"> OCTC investigation </w:t>
      </w:r>
      <w:r w:rsidR="00D341DB">
        <w:t>and tr</w:t>
      </w:r>
      <w:r w:rsidR="00B97051">
        <w:t>i</w:t>
      </w:r>
      <w:r w:rsidR="00D341DB">
        <w:t>a</w:t>
      </w:r>
      <w:r w:rsidR="00A65642">
        <w:t>l</w:t>
      </w:r>
      <w:r w:rsidR="00D341DB">
        <w:t xml:space="preserve"> </w:t>
      </w:r>
      <w:r>
        <w:t>in this matter.  The other att</w:t>
      </w:r>
      <w:r w:rsidR="007D1661">
        <w:t>orney witness</w:t>
      </w:r>
      <w:r>
        <w:t xml:space="preserve"> had previously worked with Martin and attested to his </w:t>
      </w:r>
      <w:r w:rsidR="00E43EE0">
        <w:rPr>
          <w:rFonts w:eastAsia="Times New Roman" w:cstheme="minorBidi"/>
          <w:szCs w:val="24"/>
        </w:rPr>
        <w:t>strong work ethic</w:t>
      </w:r>
      <w:r w:rsidRPr="00266BE9">
        <w:rPr>
          <w:rFonts w:eastAsia="Times New Roman" w:cstheme="minorBidi"/>
          <w:szCs w:val="24"/>
        </w:rPr>
        <w:t xml:space="preserve"> and commitment</w:t>
      </w:r>
      <w:r>
        <w:rPr>
          <w:rFonts w:eastAsia="Times New Roman" w:cstheme="minorBidi"/>
          <w:szCs w:val="24"/>
        </w:rPr>
        <w:t xml:space="preserve"> to</w:t>
      </w:r>
      <w:r w:rsidRPr="00266BE9">
        <w:rPr>
          <w:rFonts w:eastAsia="Times New Roman" w:cstheme="minorBidi"/>
          <w:szCs w:val="24"/>
        </w:rPr>
        <w:t xml:space="preserve"> serve others.  (</w:t>
      </w:r>
      <w:r w:rsidRPr="00266BE9">
        <w:rPr>
          <w:rFonts w:eastAsiaTheme="minorHAnsi" w:cstheme="minorBidi"/>
          <w:i/>
          <w:szCs w:val="24"/>
        </w:rPr>
        <w:t>In the Matter of Brown</w:t>
      </w:r>
      <w:r w:rsidRPr="00266BE9">
        <w:rPr>
          <w:rFonts w:eastAsiaTheme="minorHAnsi" w:cstheme="minorBidi"/>
          <w:szCs w:val="24"/>
        </w:rPr>
        <w:t xml:space="preserve"> (Review Dept. 1993) 2 Cal. State Bar Ct. Rptr. 309, 319 [serious consideration given to attorneys’ testimony due to their “strong interest in maintaining the honest</w:t>
      </w:r>
      <w:r w:rsidR="00A552B9">
        <w:rPr>
          <w:rFonts w:eastAsiaTheme="minorHAnsi" w:cstheme="minorBidi"/>
          <w:szCs w:val="24"/>
        </w:rPr>
        <w:t xml:space="preserve"> administration of justice”]</w:t>
      </w:r>
      <w:r w:rsidRPr="00266BE9">
        <w:rPr>
          <w:rFonts w:eastAsia="Times New Roman"/>
          <w:szCs w:val="24"/>
        </w:rPr>
        <w:t>.)</w:t>
      </w:r>
      <w:r>
        <w:rPr>
          <w:rFonts w:eastAsia="Times New Roman"/>
          <w:szCs w:val="24"/>
        </w:rPr>
        <w:t xml:space="preserve">  </w:t>
      </w:r>
    </w:p>
    <w:p w14:paraId="676BA0F0" w14:textId="13A575FD" w:rsidR="001F6880" w:rsidRPr="00B82B43" w:rsidRDefault="001F6880" w:rsidP="00B82B43">
      <w:pPr>
        <w:pStyle w:val="ListParagraph"/>
        <w:spacing w:line="480" w:lineRule="auto"/>
        <w:ind w:left="0" w:firstLine="720"/>
        <w:rPr>
          <w:rFonts w:eastAsia="Times New Roman"/>
          <w:szCs w:val="24"/>
        </w:rPr>
      </w:pPr>
      <w:r>
        <w:t xml:space="preserve">Although </w:t>
      </w:r>
      <w:r w:rsidR="00AA226D">
        <w:t>some of Martin’</w:t>
      </w:r>
      <w:r w:rsidR="00B82B43">
        <w:t xml:space="preserve">s good character testimony was </w:t>
      </w:r>
      <w:r>
        <w:t xml:space="preserve">offered by </w:t>
      </w:r>
      <w:r w:rsidR="00B82B43">
        <w:t xml:space="preserve">a family member and </w:t>
      </w:r>
      <w:r w:rsidR="00E43EE0">
        <w:t xml:space="preserve">his </w:t>
      </w:r>
      <w:r w:rsidR="00B82B43">
        <w:t>former counsel,</w:t>
      </w:r>
      <w:r>
        <w:t xml:space="preserve"> any bias </w:t>
      </w:r>
      <w:r w:rsidR="00B82B43">
        <w:t>they m</w:t>
      </w:r>
      <w:r w:rsidR="003A5C4E">
        <w:t>ight</w:t>
      </w:r>
      <w:r w:rsidR="00B82B43">
        <w:t xml:space="preserve"> have </w:t>
      </w:r>
      <w:r w:rsidR="003A5C4E">
        <w:t>due to</w:t>
      </w:r>
      <w:r w:rsidR="00B82B43">
        <w:t xml:space="preserve"> their </w:t>
      </w:r>
      <w:r>
        <w:t>connection</w:t>
      </w:r>
      <w:r w:rsidR="005B3310">
        <w:t>s</w:t>
      </w:r>
      <w:r>
        <w:t xml:space="preserve"> should not be disqualifying, but </w:t>
      </w:r>
      <w:r w:rsidR="005B3310">
        <w:t>considered in weighing</w:t>
      </w:r>
      <w:r>
        <w:t xml:space="preserve"> the evidence.  (</w:t>
      </w:r>
      <w:r>
        <w:rPr>
          <w:i/>
        </w:rPr>
        <w:t>In the Matter of Davis</w:t>
      </w:r>
      <w:r w:rsidR="00B82B43">
        <w:t xml:space="preserve">, </w:t>
      </w:r>
      <w:r w:rsidR="00B82B43" w:rsidRPr="00B82B43">
        <w:rPr>
          <w:i/>
        </w:rPr>
        <w:t>supra</w:t>
      </w:r>
      <w:r w:rsidR="00B82B43">
        <w:t xml:space="preserve">, </w:t>
      </w:r>
      <w:r>
        <w:t xml:space="preserve">4 Cal. State Bar Ct. Rptr. </w:t>
      </w:r>
      <w:r w:rsidR="00B82B43">
        <w:t xml:space="preserve">at </w:t>
      </w:r>
      <w:r w:rsidR="00AA226D">
        <w:t>p. </w:t>
      </w:r>
      <w:r>
        <w:t xml:space="preserve">592 [testimony of acquaintances, neighbors, friends, associates, employers, and family members, </w:t>
      </w:r>
      <w:r w:rsidR="00A552B9">
        <w:t xml:space="preserve">who had broad knowledge of attorney’s good character, work habits, and professional skills, </w:t>
      </w:r>
      <w:r>
        <w:t>entitled to great weight].)</w:t>
      </w:r>
      <w:r w:rsidR="00E43EE0">
        <w:t xml:space="preserve">  </w:t>
      </w:r>
      <w:r w:rsidR="00394AB9">
        <w:t xml:space="preserve">However, Martin’s </w:t>
      </w:r>
      <w:r w:rsidR="009210A7">
        <w:t xml:space="preserve">son </w:t>
      </w:r>
      <w:r w:rsidR="004D6DFC">
        <w:t xml:space="preserve">was </w:t>
      </w:r>
      <w:r w:rsidR="0080014F">
        <w:t xml:space="preserve">only </w:t>
      </w:r>
      <w:r w:rsidR="004D6DFC">
        <w:t xml:space="preserve">20 </w:t>
      </w:r>
      <w:r w:rsidR="004D6DFC">
        <w:lastRenderedPageBreak/>
        <w:t>years old when he testified, one attorney witness had known Martin for 10 years</w:t>
      </w:r>
      <w:r w:rsidR="009210A7">
        <w:t>,</w:t>
      </w:r>
      <w:r w:rsidR="004D6DFC">
        <w:t xml:space="preserve"> and the other </w:t>
      </w:r>
      <w:r w:rsidR="009210A7">
        <w:t xml:space="preserve">had only </w:t>
      </w:r>
      <w:r w:rsidR="00B70D93">
        <w:t>known</w:t>
      </w:r>
      <w:r w:rsidR="009210A7">
        <w:t xml:space="preserve"> him </w:t>
      </w:r>
      <w:r w:rsidR="004D6DFC">
        <w:t>for</w:t>
      </w:r>
      <w:r w:rsidR="009210A7">
        <w:t xml:space="preserve"> </w:t>
      </w:r>
      <w:r w:rsidR="004D6DFC">
        <w:t>five</w:t>
      </w:r>
      <w:r w:rsidR="009210A7">
        <w:t xml:space="preserve"> years</w:t>
      </w:r>
      <w:r w:rsidR="004D6DFC">
        <w:t>, which is factually different tha</w:t>
      </w:r>
      <w:r w:rsidR="009A35A5">
        <w:t>n</w:t>
      </w:r>
      <w:r w:rsidR="004D6DFC">
        <w:t xml:space="preserve"> the three witnesses </w:t>
      </w:r>
      <w:r w:rsidR="003876A0">
        <w:t xml:space="preserve">in </w:t>
      </w:r>
      <w:r w:rsidR="003876A0">
        <w:rPr>
          <w:i/>
        </w:rPr>
        <w:t>Davis</w:t>
      </w:r>
      <w:r w:rsidR="003876A0">
        <w:t xml:space="preserve">, who each had been acquainted with that attorney for 10 years or more.  </w:t>
      </w:r>
      <w:r w:rsidR="00E43EE0">
        <w:t xml:space="preserve">Therefore, we find </w:t>
      </w:r>
      <w:r w:rsidR="00C05A4A">
        <w:t>Martin is entitled to moderate</w:t>
      </w:r>
      <w:r w:rsidR="00E43EE0">
        <w:t xml:space="preserve"> weight for establishing good character. </w:t>
      </w:r>
    </w:p>
    <w:p w14:paraId="47C67DC5" w14:textId="244D9ABD" w:rsidR="008678E0" w:rsidRDefault="005D6AEB" w:rsidP="002518C1">
      <w:pPr>
        <w:spacing w:line="480" w:lineRule="auto"/>
        <w:rPr>
          <w:b/>
        </w:rPr>
      </w:pPr>
      <w:r>
        <w:rPr>
          <w:b/>
        </w:rPr>
        <w:tab/>
      </w:r>
      <w:r w:rsidRPr="0063336E">
        <w:rPr>
          <w:b/>
        </w:rPr>
        <w:t>5</w:t>
      </w:r>
      <w:r w:rsidR="00897E9B" w:rsidRPr="0063336E">
        <w:rPr>
          <w:b/>
        </w:rPr>
        <w:t xml:space="preserve">.  </w:t>
      </w:r>
      <w:r w:rsidR="00FA1DFA">
        <w:rPr>
          <w:b/>
        </w:rPr>
        <w:t xml:space="preserve">Cooperation </w:t>
      </w:r>
      <w:r w:rsidRPr="0063336E">
        <w:rPr>
          <w:b/>
        </w:rPr>
        <w:t>(Std. 1.6(e))</w:t>
      </w:r>
      <w:r w:rsidR="0063336E">
        <w:rPr>
          <w:b/>
        </w:rPr>
        <w:t xml:space="preserve"> </w:t>
      </w:r>
    </w:p>
    <w:p w14:paraId="53841519" w14:textId="4232E4A1" w:rsidR="00F149FD" w:rsidRDefault="00FE1CDE" w:rsidP="002518C1">
      <w:pPr>
        <w:spacing w:line="480" w:lineRule="auto"/>
        <w:rPr>
          <w:rFonts w:eastAsia="Times New Roman"/>
          <w:szCs w:val="24"/>
        </w:rPr>
      </w:pPr>
      <w:r>
        <w:rPr>
          <w:b/>
        </w:rPr>
        <w:tab/>
      </w:r>
      <w:r w:rsidR="00FA1DFA">
        <w:rPr>
          <w:rFonts w:eastAsia="Times New Roman"/>
          <w:szCs w:val="24"/>
        </w:rPr>
        <w:t>M</w:t>
      </w:r>
      <w:r w:rsidR="006B14A9" w:rsidRPr="00266BE9">
        <w:rPr>
          <w:rFonts w:eastAsia="Times New Roman"/>
          <w:szCs w:val="24"/>
        </w:rPr>
        <w:t xml:space="preserve">itigation may be assigned </w:t>
      </w:r>
      <w:r w:rsidR="00207C14">
        <w:rPr>
          <w:rFonts w:eastAsia="Times New Roman"/>
          <w:szCs w:val="24"/>
        </w:rPr>
        <w:t>under standard 1.6(e)</w:t>
      </w:r>
      <w:r w:rsidR="00C92032">
        <w:rPr>
          <w:rFonts w:eastAsia="Times New Roman"/>
          <w:szCs w:val="24"/>
        </w:rPr>
        <w:t xml:space="preserve"> </w:t>
      </w:r>
      <w:r w:rsidR="006B14A9" w:rsidRPr="00266BE9">
        <w:rPr>
          <w:rFonts w:eastAsia="Times New Roman"/>
          <w:szCs w:val="24"/>
        </w:rPr>
        <w:t xml:space="preserve">for cooperation </w:t>
      </w:r>
      <w:r w:rsidR="006B14A9">
        <w:rPr>
          <w:rFonts w:eastAsia="Times New Roman"/>
          <w:szCs w:val="24"/>
        </w:rPr>
        <w:t>with</w:t>
      </w:r>
      <w:r w:rsidR="006B14A9" w:rsidRPr="00266BE9">
        <w:rPr>
          <w:rFonts w:eastAsia="Times New Roman"/>
          <w:szCs w:val="24"/>
        </w:rPr>
        <w:t xml:space="preserve"> the State Bar.  </w:t>
      </w:r>
      <w:r w:rsidR="00205E53">
        <w:rPr>
          <w:rFonts w:eastAsia="Times New Roman"/>
          <w:szCs w:val="24"/>
        </w:rPr>
        <w:t xml:space="preserve">The hearing judge </w:t>
      </w:r>
      <w:r w:rsidR="00540844">
        <w:rPr>
          <w:rFonts w:eastAsia="Times New Roman"/>
          <w:szCs w:val="24"/>
        </w:rPr>
        <w:t>afforded</w:t>
      </w:r>
      <w:r w:rsidR="00205E53">
        <w:rPr>
          <w:rFonts w:eastAsia="Times New Roman"/>
          <w:szCs w:val="24"/>
        </w:rPr>
        <w:t xml:space="preserve"> significant mitigation for this circumstance, which Martin agrees is appropriate.  OCTC requests we reduce</w:t>
      </w:r>
      <w:r w:rsidR="00540844">
        <w:rPr>
          <w:rFonts w:eastAsia="Times New Roman"/>
          <w:szCs w:val="24"/>
        </w:rPr>
        <w:t xml:space="preserve"> th</w:t>
      </w:r>
      <w:r w:rsidR="00847E18">
        <w:rPr>
          <w:rFonts w:eastAsia="Times New Roman"/>
          <w:szCs w:val="24"/>
        </w:rPr>
        <w:t xml:space="preserve">e weight for this circumstance </w:t>
      </w:r>
      <w:r w:rsidR="00205E53">
        <w:rPr>
          <w:rFonts w:eastAsia="Times New Roman"/>
          <w:szCs w:val="24"/>
        </w:rPr>
        <w:t xml:space="preserve">because </w:t>
      </w:r>
      <w:r w:rsidR="00540844">
        <w:rPr>
          <w:rFonts w:eastAsia="Times New Roman"/>
          <w:szCs w:val="24"/>
        </w:rPr>
        <w:t>Martin</w:t>
      </w:r>
      <w:r w:rsidR="00205E53">
        <w:rPr>
          <w:rFonts w:eastAsia="Times New Roman"/>
          <w:szCs w:val="24"/>
        </w:rPr>
        <w:t xml:space="preserve"> did not stipulate to culpability.  </w:t>
      </w:r>
      <w:r w:rsidR="006B14A9" w:rsidRPr="00266BE9">
        <w:rPr>
          <w:rFonts w:eastAsia="Times New Roman"/>
          <w:szCs w:val="24"/>
        </w:rPr>
        <w:t xml:space="preserve">Before trial, </w:t>
      </w:r>
      <w:r w:rsidR="006B14A9">
        <w:rPr>
          <w:rFonts w:eastAsia="Times New Roman"/>
          <w:szCs w:val="24"/>
        </w:rPr>
        <w:t>Martin</w:t>
      </w:r>
      <w:r w:rsidR="006B14A9" w:rsidRPr="00266BE9">
        <w:rPr>
          <w:rFonts w:eastAsia="Times New Roman"/>
          <w:szCs w:val="24"/>
        </w:rPr>
        <w:t xml:space="preserve"> stipulated </w:t>
      </w:r>
      <w:r w:rsidR="006B14A9">
        <w:rPr>
          <w:rFonts w:eastAsia="Times New Roman"/>
          <w:szCs w:val="24"/>
        </w:rPr>
        <w:t xml:space="preserve">to facts </w:t>
      </w:r>
      <w:r w:rsidR="0080014F">
        <w:rPr>
          <w:rFonts w:eastAsia="Times New Roman"/>
          <w:szCs w:val="24"/>
        </w:rPr>
        <w:t xml:space="preserve">central to establishing </w:t>
      </w:r>
      <w:r w:rsidR="006B14A9">
        <w:rPr>
          <w:rFonts w:eastAsia="Times New Roman"/>
          <w:szCs w:val="24"/>
        </w:rPr>
        <w:t xml:space="preserve">the </w:t>
      </w:r>
      <w:r w:rsidR="009F0CA0">
        <w:rPr>
          <w:rFonts w:eastAsia="Times New Roman"/>
          <w:szCs w:val="24"/>
        </w:rPr>
        <w:t xml:space="preserve">two </w:t>
      </w:r>
      <w:r w:rsidR="006B14A9">
        <w:rPr>
          <w:rFonts w:eastAsia="Times New Roman"/>
          <w:szCs w:val="24"/>
        </w:rPr>
        <w:t>charged count</w:t>
      </w:r>
      <w:r w:rsidR="009F0CA0">
        <w:rPr>
          <w:rFonts w:eastAsia="Times New Roman"/>
          <w:szCs w:val="24"/>
        </w:rPr>
        <w:t>s</w:t>
      </w:r>
      <w:r w:rsidR="006B14A9">
        <w:rPr>
          <w:rFonts w:eastAsia="Times New Roman"/>
          <w:szCs w:val="24"/>
        </w:rPr>
        <w:t xml:space="preserve">, as well as the admission of documents.  </w:t>
      </w:r>
      <w:r w:rsidR="007C27B4" w:rsidRPr="007C27B4">
        <w:rPr>
          <w:rFonts w:eastAsia="Times New Roman"/>
          <w:szCs w:val="24"/>
        </w:rPr>
        <w:t>Howeve</w:t>
      </w:r>
      <w:r w:rsidR="003535BF">
        <w:rPr>
          <w:rFonts w:eastAsia="Times New Roman"/>
          <w:szCs w:val="24"/>
        </w:rPr>
        <w:t>r, he did not admit culpability</w:t>
      </w:r>
      <w:r w:rsidR="007C27B4" w:rsidRPr="007C27B4">
        <w:rPr>
          <w:rFonts w:eastAsia="Times New Roman"/>
          <w:szCs w:val="24"/>
        </w:rPr>
        <w:t xml:space="preserve"> and “more extensive weight in mitigation is accorded those who, where appropriate, willingly admit their culpability as well as the facts.”  (</w:t>
      </w:r>
      <w:r w:rsidR="007C27B4" w:rsidRPr="007C27B4">
        <w:rPr>
          <w:rFonts w:eastAsia="Times New Roman"/>
          <w:i/>
          <w:szCs w:val="24"/>
        </w:rPr>
        <w:t>In the Matter of Johnson</w:t>
      </w:r>
      <w:r w:rsidR="006E4E39">
        <w:rPr>
          <w:rFonts w:eastAsia="Times New Roman"/>
          <w:szCs w:val="24"/>
        </w:rPr>
        <w:t xml:space="preserve"> (Review Dept. 2000)</w:t>
      </w:r>
      <w:r w:rsidR="007C27B4" w:rsidRPr="007C27B4">
        <w:rPr>
          <w:rFonts w:eastAsia="Times New Roman"/>
          <w:szCs w:val="24"/>
        </w:rPr>
        <w:t xml:space="preserve"> 4</w:t>
      </w:r>
      <w:r w:rsidR="00AA226D">
        <w:rPr>
          <w:rFonts w:eastAsia="Times New Roman"/>
          <w:szCs w:val="24"/>
        </w:rPr>
        <w:t> </w:t>
      </w:r>
      <w:r w:rsidR="007C27B4" w:rsidRPr="007C27B4">
        <w:rPr>
          <w:rFonts w:eastAsia="Times New Roman"/>
          <w:szCs w:val="24"/>
        </w:rPr>
        <w:t xml:space="preserve">Cal. </w:t>
      </w:r>
      <w:r w:rsidR="006B14A9">
        <w:rPr>
          <w:rFonts w:eastAsia="Times New Roman"/>
          <w:szCs w:val="24"/>
        </w:rPr>
        <w:t xml:space="preserve">State Bar Ct. Rptr. </w:t>
      </w:r>
      <w:r w:rsidR="006E4E39">
        <w:rPr>
          <w:rFonts w:eastAsia="Times New Roman"/>
          <w:szCs w:val="24"/>
        </w:rPr>
        <w:t xml:space="preserve">179, </w:t>
      </w:r>
      <w:r w:rsidR="006B14A9">
        <w:rPr>
          <w:rFonts w:eastAsia="Times New Roman"/>
          <w:szCs w:val="24"/>
        </w:rPr>
        <w:t xml:space="preserve">190.)  </w:t>
      </w:r>
      <w:r w:rsidR="00F149FD" w:rsidRPr="00266BE9">
        <w:rPr>
          <w:rFonts w:eastAsia="Times New Roman"/>
          <w:szCs w:val="24"/>
        </w:rPr>
        <w:t xml:space="preserve">Since </w:t>
      </w:r>
      <w:r w:rsidR="009F0CA0">
        <w:rPr>
          <w:rFonts w:eastAsia="Times New Roman"/>
          <w:szCs w:val="24"/>
        </w:rPr>
        <w:t>Martin</w:t>
      </w:r>
      <w:r w:rsidR="00F149FD">
        <w:rPr>
          <w:rFonts w:eastAsia="Times New Roman"/>
          <w:szCs w:val="24"/>
        </w:rPr>
        <w:t xml:space="preserve"> </w:t>
      </w:r>
      <w:r w:rsidR="00F149FD" w:rsidRPr="00266BE9">
        <w:rPr>
          <w:rFonts w:eastAsia="Times New Roman"/>
          <w:szCs w:val="24"/>
        </w:rPr>
        <w:t xml:space="preserve">stipulated </w:t>
      </w:r>
      <w:r w:rsidR="00F149FD">
        <w:rPr>
          <w:rFonts w:eastAsia="Times New Roman"/>
          <w:szCs w:val="24"/>
        </w:rPr>
        <w:t xml:space="preserve">only </w:t>
      </w:r>
      <w:r w:rsidR="0080014F">
        <w:rPr>
          <w:rFonts w:eastAsia="Times New Roman"/>
          <w:szCs w:val="24"/>
        </w:rPr>
        <w:t>to facts</w:t>
      </w:r>
      <w:r w:rsidR="00F149FD" w:rsidRPr="00266BE9">
        <w:rPr>
          <w:rFonts w:eastAsia="Times New Roman"/>
          <w:szCs w:val="24"/>
        </w:rPr>
        <w:t xml:space="preserve">, and not to </w:t>
      </w:r>
      <w:r w:rsidR="00205E53">
        <w:rPr>
          <w:rFonts w:eastAsia="Times New Roman"/>
          <w:szCs w:val="24"/>
        </w:rPr>
        <w:t xml:space="preserve">culpability, we </w:t>
      </w:r>
      <w:r w:rsidR="00394AB9">
        <w:rPr>
          <w:rFonts w:eastAsia="Times New Roman"/>
          <w:szCs w:val="24"/>
        </w:rPr>
        <w:t>reduce</w:t>
      </w:r>
      <w:r w:rsidR="00205E53">
        <w:rPr>
          <w:rFonts w:eastAsia="Times New Roman"/>
          <w:szCs w:val="24"/>
        </w:rPr>
        <w:t xml:space="preserve"> the weight given here to </w:t>
      </w:r>
      <w:r w:rsidR="00F149FD" w:rsidRPr="00266BE9">
        <w:rPr>
          <w:rFonts w:eastAsia="Times New Roman"/>
          <w:szCs w:val="24"/>
        </w:rPr>
        <w:t>modera</w:t>
      </w:r>
      <w:r w:rsidR="006B14A9">
        <w:rPr>
          <w:rFonts w:eastAsia="Times New Roman"/>
          <w:szCs w:val="24"/>
        </w:rPr>
        <w:t>te for his</w:t>
      </w:r>
      <w:r w:rsidR="00F149FD" w:rsidRPr="00266BE9">
        <w:rPr>
          <w:rFonts w:eastAsia="Times New Roman"/>
          <w:szCs w:val="24"/>
        </w:rPr>
        <w:t xml:space="preserve"> cooperation.  </w:t>
      </w:r>
      <w:r w:rsidR="00F149FD" w:rsidRPr="00266BE9">
        <w:t xml:space="preserve"> </w:t>
      </w:r>
    </w:p>
    <w:p w14:paraId="6A393980" w14:textId="5A72C25A" w:rsidR="00687237" w:rsidRDefault="00DD7404" w:rsidP="002518C1">
      <w:pPr>
        <w:spacing w:line="480" w:lineRule="auto"/>
        <w:rPr>
          <w:rFonts w:eastAsia="Times New Roman"/>
          <w:szCs w:val="24"/>
        </w:rPr>
      </w:pPr>
      <w:r>
        <w:rPr>
          <w:rFonts w:eastAsia="Times New Roman"/>
          <w:szCs w:val="24"/>
        </w:rPr>
        <w:tab/>
      </w:r>
      <w:r w:rsidR="00AA226D">
        <w:rPr>
          <w:rFonts w:eastAsia="Times New Roman"/>
          <w:b/>
          <w:szCs w:val="24"/>
        </w:rPr>
        <w:t>6.  Martin’</w:t>
      </w:r>
      <w:r w:rsidRPr="001F6880">
        <w:rPr>
          <w:rFonts w:eastAsia="Times New Roman"/>
          <w:b/>
          <w:szCs w:val="24"/>
        </w:rPr>
        <w:t>s Request</w:t>
      </w:r>
      <w:r w:rsidR="004B542C">
        <w:rPr>
          <w:rFonts w:eastAsia="Times New Roman"/>
          <w:b/>
          <w:szCs w:val="24"/>
        </w:rPr>
        <w:t>s</w:t>
      </w:r>
      <w:r w:rsidRPr="00E9739F">
        <w:rPr>
          <w:rFonts w:eastAsia="Times New Roman"/>
          <w:b/>
          <w:szCs w:val="24"/>
        </w:rPr>
        <w:t xml:space="preserve"> for </w:t>
      </w:r>
      <w:r w:rsidR="0063336E">
        <w:rPr>
          <w:rFonts w:eastAsia="Times New Roman"/>
          <w:b/>
          <w:szCs w:val="24"/>
        </w:rPr>
        <w:t>A</w:t>
      </w:r>
      <w:r w:rsidR="00687237" w:rsidRPr="00E9739F">
        <w:rPr>
          <w:rFonts w:eastAsia="Times New Roman"/>
          <w:b/>
          <w:szCs w:val="24"/>
        </w:rPr>
        <w:t xml:space="preserve">dditional </w:t>
      </w:r>
      <w:r w:rsidR="0063336E">
        <w:rPr>
          <w:rFonts w:eastAsia="Times New Roman"/>
          <w:b/>
          <w:szCs w:val="24"/>
        </w:rPr>
        <w:t>M</w:t>
      </w:r>
      <w:r w:rsidR="00687237" w:rsidRPr="00E9739F">
        <w:rPr>
          <w:rFonts w:eastAsia="Times New Roman"/>
          <w:b/>
          <w:szCs w:val="24"/>
        </w:rPr>
        <w:t>itigation</w:t>
      </w:r>
      <w:r w:rsidR="00734553">
        <w:rPr>
          <w:rFonts w:eastAsia="Times New Roman"/>
          <w:b/>
          <w:szCs w:val="24"/>
        </w:rPr>
        <w:t xml:space="preserve"> (Stds. 1.6(g), (h), (i), and (j))</w:t>
      </w:r>
    </w:p>
    <w:p w14:paraId="087510BB" w14:textId="61FDDA6A" w:rsidR="00FB0F37" w:rsidRDefault="003E7E37" w:rsidP="00A8103D">
      <w:pPr>
        <w:spacing w:line="480" w:lineRule="auto"/>
        <w:ind w:firstLine="720"/>
        <w:rPr>
          <w:rFonts w:eastAsia="Times New Roman"/>
          <w:color w:val="000000" w:themeColor="text1"/>
          <w:szCs w:val="24"/>
        </w:rPr>
      </w:pPr>
      <w:r>
        <w:rPr>
          <w:rFonts w:eastAsia="Times New Roman"/>
          <w:color w:val="000000" w:themeColor="text1"/>
          <w:szCs w:val="24"/>
        </w:rPr>
        <w:t>Martin</w:t>
      </w:r>
      <w:r w:rsidR="00DD7404" w:rsidRPr="00DD7404">
        <w:rPr>
          <w:rFonts w:eastAsia="Times New Roman"/>
          <w:color w:val="000000" w:themeColor="text1"/>
          <w:szCs w:val="24"/>
        </w:rPr>
        <w:t xml:space="preserve"> seeks additional mitigation</w:t>
      </w:r>
      <w:r w:rsidR="00FA1DFA">
        <w:rPr>
          <w:rFonts w:eastAsia="Times New Roman"/>
          <w:color w:val="000000" w:themeColor="text1"/>
          <w:szCs w:val="24"/>
        </w:rPr>
        <w:t xml:space="preserve">, arguing that he took </w:t>
      </w:r>
      <w:r w:rsidR="00734553">
        <w:rPr>
          <w:rFonts w:eastAsia="Times New Roman"/>
          <w:color w:val="000000" w:themeColor="text1"/>
          <w:szCs w:val="24"/>
        </w:rPr>
        <w:t xml:space="preserve">prompt action to rectify ethical issues and that </w:t>
      </w:r>
      <w:r w:rsidR="00FA1DFA">
        <w:rPr>
          <w:rFonts w:eastAsia="Times New Roman"/>
          <w:color w:val="000000" w:themeColor="text1"/>
          <w:szCs w:val="24"/>
        </w:rPr>
        <w:t xml:space="preserve">the State Bar delayed </w:t>
      </w:r>
      <w:r w:rsidR="00734553">
        <w:rPr>
          <w:rFonts w:eastAsia="Times New Roman"/>
          <w:color w:val="000000" w:themeColor="text1"/>
          <w:szCs w:val="24"/>
        </w:rPr>
        <w:t xml:space="preserve">for over a year </w:t>
      </w:r>
      <w:r w:rsidR="00FA1DFA">
        <w:rPr>
          <w:rFonts w:eastAsia="Times New Roman"/>
          <w:color w:val="000000" w:themeColor="text1"/>
          <w:szCs w:val="24"/>
        </w:rPr>
        <w:t>in bringing charges</w:t>
      </w:r>
      <w:r w:rsidR="00734553">
        <w:rPr>
          <w:rFonts w:eastAsia="Times New Roman"/>
          <w:color w:val="000000" w:themeColor="text1"/>
          <w:szCs w:val="24"/>
        </w:rPr>
        <w:t xml:space="preserve">.  </w:t>
      </w:r>
      <w:r w:rsidR="005B3377">
        <w:rPr>
          <w:rFonts w:eastAsia="Times New Roman"/>
          <w:color w:val="000000" w:themeColor="text1"/>
          <w:szCs w:val="24"/>
        </w:rPr>
        <w:t>He also</w:t>
      </w:r>
      <w:r w:rsidR="00734553">
        <w:rPr>
          <w:rFonts w:eastAsia="Times New Roman"/>
          <w:color w:val="000000" w:themeColor="text1"/>
          <w:szCs w:val="24"/>
        </w:rPr>
        <w:t xml:space="preserve"> argues he should receive mitigation because he voluntarily closed his CTA before charges were brought.</w:t>
      </w:r>
      <w:r w:rsidR="00A8103D">
        <w:rPr>
          <w:rFonts w:eastAsia="Times New Roman"/>
          <w:color w:val="000000" w:themeColor="text1"/>
          <w:szCs w:val="24"/>
        </w:rPr>
        <w:t xml:space="preserve">  </w:t>
      </w:r>
      <w:r w:rsidR="00DD7404" w:rsidRPr="00DD7404">
        <w:rPr>
          <w:rFonts w:eastAsia="Times New Roman"/>
          <w:color w:val="000000" w:themeColor="text1"/>
          <w:szCs w:val="24"/>
        </w:rPr>
        <w:t>We do not find clear and c</w:t>
      </w:r>
      <w:r w:rsidR="00A8103D">
        <w:rPr>
          <w:rFonts w:eastAsia="Times New Roman"/>
          <w:color w:val="000000" w:themeColor="text1"/>
          <w:szCs w:val="24"/>
        </w:rPr>
        <w:t xml:space="preserve">onvincing evidence </w:t>
      </w:r>
      <w:r w:rsidR="00394AB9">
        <w:rPr>
          <w:rFonts w:eastAsia="Times New Roman"/>
          <w:color w:val="000000" w:themeColor="text1"/>
          <w:szCs w:val="24"/>
        </w:rPr>
        <w:t>supporting</w:t>
      </w:r>
      <w:r w:rsidR="004912DF">
        <w:rPr>
          <w:rFonts w:eastAsia="Times New Roman"/>
          <w:color w:val="000000" w:themeColor="text1"/>
          <w:szCs w:val="24"/>
        </w:rPr>
        <w:t xml:space="preserve"> </w:t>
      </w:r>
      <w:r w:rsidR="005836F6">
        <w:rPr>
          <w:rFonts w:eastAsia="Times New Roman"/>
          <w:color w:val="000000" w:themeColor="text1"/>
          <w:szCs w:val="24"/>
        </w:rPr>
        <w:t xml:space="preserve">the </w:t>
      </w:r>
      <w:r w:rsidR="00124F0E">
        <w:rPr>
          <w:rFonts w:eastAsia="Times New Roman"/>
          <w:color w:val="000000" w:themeColor="text1"/>
          <w:szCs w:val="24"/>
        </w:rPr>
        <w:t>additional mitigation</w:t>
      </w:r>
      <w:r w:rsidR="00734553">
        <w:rPr>
          <w:rFonts w:eastAsia="Times New Roman"/>
          <w:color w:val="000000" w:themeColor="text1"/>
          <w:szCs w:val="24"/>
        </w:rPr>
        <w:t xml:space="preserve"> Martin requests</w:t>
      </w:r>
      <w:r w:rsidR="00124F0E">
        <w:rPr>
          <w:rFonts w:eastAsia="Times New Roman"/>
          <w:color w:val="000000" w:themeColor="text1"/>
          <w:szCs w:val="24"/>
        </w:rPr>
        <w:t xml:space="preserve">.  </w:t>
      </w:r>
      <w:r w:rsidR="00A8103D">
        <w:rPr>
          <w:rFonts w:eastAsia="Times New Roman"/>
          <w:color w:val="000000" w:themeColor="text1"/>
          <w:szCs w:val="24"/>
        </w:rPr>
        <w:t>His actions were not prompt because he continued to use his CTA improperly until July 2017</w:t>
      </w:r>
      <w:r w:rsidR="005B3377">
        <w:rPr>
          <w:rFonts w:eastAsia="Times New Roman"/>
          <w:color w:val="000000" w:themeColor="text1"/>
          <w:szCs w:val="24"/>
        </w:rPr>
        <w:t>,</w:t>
      </w:r>
      <w:r w:rsidR="00A8103D">
        <w:rPr>
          <w:rFonts w:eastAsia="Times New Roman"/>
          <w:color w:val="000000" w:themeColor="text1"/>
          <w:szCs w:val="24"/>
        </w:rPr>
        <w:t xml:space="preserve"> even though the State Bar contacted him </w:t>
      </w:r>
      <w:r w:rsidR="00191280">
        <w:rPr>
          <w:rFonts w:eastAsia="Times New Roman"/>
          <w:color w:val="000000" w:themeColor="text1"/>
          <w:szCs w:val="24"/>
        </w:rPr>
        <w:t>months earlier</w:t>
      </w:r>
      <w:r w:rsidR="005B3377">
        <w:rPr>
          <w:rFonts w:eastAsia="Times New Roman"/>
          <w:color w:val="000000" w:themeColor="text1"/>
          <w:szCs w:val="24"/>
        </w:rPr>
        <w:t>.  Further,</w:t>
      </w:r>
      <w:r w:rsidR="007A5CF9">
        <w:rPr>
          <w:rFonts w:eastAsia="Times New Roman"/>
          <w:color w:val="000000" w:themeColor="text1"/>
          <w:szCs w:val="24"/>
        </w:rPr>
        <w:t xml:space="preserve"> </w:t>
      </w:r>
      <w:r w:rsidR="00AA226D">
        <w:rPr>
          <w:rFonts w:eastAsia="Times New Roman"/>
          <w:color w:val="000000" w:themeColor="text1"/>
          <w:szCs w:val="24"/>
        </w:rPr>
        <w:t>Martin</w:t>
      </w:r>
      <w:r w:rsidR="00A8103D">
        <w:rPr>
          <w:rFonts w:eastAsia="Times New Roman"/>
          <w:color w:val="000000" w:themeColor="text1"/>
          <w:szCs w:val="24"/>
        </w:rPr>
        <w:t xml:space="preserve"> showed no </w:t>
      </w:r>
      <w:r w:rsidR="007A5CF9">
        <w:rPr>
          <w:rFonts w:eastAsia="Times New Roman"/>
          <w:color w:val="000000" w:themeColor="text1"/>
          <w:szCs w:val="24"/>
        </w:rPr>
        <w:t xml:space="preserve">delay, and no </w:t>
      </w:r>
      <w:r w:rsidR="00A8103D">
        <w:rPr>
          <w:rFonts w:eastAsia="Times New Roman"/>
          <w:color w:val="000000" w:themeColor="text1"/>
          <w:szCs w:val="24"/>
        </w:rPr>
        <w:t>prejudice</w:t>
      </w:r>
      <w:r w:rsidR="007A5CF9">
        <w:rPr>
          <w:rFonts w:eastAsia="Times New Roman"/>
          <w:color w:val="000000" w:themeColor="text1"/>
          <w:szCs w:val="24"/>
        </w:rPr>
        <w:t>,</w:t>
      </w:r>
      <w:r w:rsidR="0036562F">
        <w:rPr>
          <w:rFonts w:eastAsia="Times New Roman"/>
          <w:color w:val="000000" w:themeColor="text1"/>
          <w:szCs w:val="24"/>
        </w:rPr>
        <w:t xml:space="preserve"> by OCTC</w:t>
      </w:r>
      <w:r w:rsidR="00A8103D">
        <w:rPr>
          <w:rFonts w:eastAsia="Times New Roman"/>
          <w:color w:val="000000" w:themeColor="text1"/>
          <w:szCs w:val="24"/>
        </w:rPr>
        <w:t xml:space="preserve"> </w:t>
      </w:r>
      <w:r w:rsidR="005B3377">
        <w:rPr>
          <w:rFonts w:eastAsia="Times New Roman"/>
          <w:color w:val="000000" w:themeColor="text1"/>
          <w:szCs w:val="24"/>
        </w:rPr>
        <w:t>waiting 17 months to file the</w:t>
      </w:r>
      <w:r w:rsidR="00A8103D">
        <w:rPr>
          <w:rFonts w:eastAsia="Times New Roman"/>
          <w:color w:val="000000" w:themeColor="text1"/>
          <w:szCs w:val="24"/>
        </w:rPr>
        <w:t xml:space="preserve"> NDC</w:t>
      </w:r>
      <w:r w:rsidR="007A5CF9">
        <w:rPr>
          <w:rFonts w:eastAsia="Times New Roman"/>
          <w:color w:val="000000" w:themeColor="text1"/>
          <w:szCs w:val="24"/>
        </w:rPr>
        <w:t xml:space="preserve">.  </w:t>
      </w:r>
      <w:r w:rsidR="003535BF">
        <w:rPr>
          <w:rFonts w:eastAsia="Times New Roman"/>
          <w:color w:val="000000" w:themeColor="text1"/>
          <w:szCs w:val="24"/>
        </w:rPr>
        <w:t xml:space="preserve">Finally, </w:t>
      </w:r>
      <w:r w:rsidR="007A5CF9">
        <w:rPr>
          <w:rFonts w:eastAsia="Times New Roman"/>
          <w:color w:val="000000" w:themeColor="text1"/>
          <w:szCs w:val="24"/>
        </w:rPr>
        <w:t xml:space="preserve">we fail to see how the fact that Martin closed the CTA before charges were filed </w:t>
      </w:r>
      <w:r w:rsidR="00191280">
        <w:rPr>
          <w:rFonts w:eastAsia="Times New Roman"/>
          <w:color w:val="000000" w:themeColor="text1"/>
          <w:szCs w:val="24"/>
        </w:rPr>
        <w:t xml:space="preserve">qualifies under </w:t>
      </w:r>
      <w:r w:rsidR="007A5CF9">
        <w:rPr>
          <w:rFonts w:eastAsia="Times New Roman"/>
          <w:color w:val="000000" w:themeColor="text1"/>
          <w:szCs w:val="24"/>
        </w:rPr>
        <w:t>any standard</w:t>
      </w:r>
      <w:r w:rsidR="008B47E8">
        <w:rPr>
          <w:rFonts w:eastAsia="Times New Roman"/>
          <w:color w:val="000000" w:themeColor="text1"/>
          <w:szCs w:val="24"/>
        </w:rPr>
        <w:t> </w:t>
      </w:r>
      <w:r w:rsidR="007A5CF9">
        <w:rPr>
          <w:rFonts w:eastAsia="Times New Roman"/>
          <w:color w:val="000000" w:themeColor="text1"/>
          <w:szCs w:val="24"/>
        </w:rPr>
        <w:t xml:space="preserve">1.6 </w:t>
      </w:r>
      <w:r w:rsidR="00191280">
        <w:rPr>
          <w:rFonts w:eastAsia="Times New Roman"/>
          <w:color w:val="000000" w:themeColor="text1"/>
          <w:szCs w:val="24"/>
        </w:rPr>
        <w:t xml:space="preserve">mitigating </w:t>
      </w:r>
      <w:r w:rsidR="007A5CF9">
        <w:rPr>
          <w:rFonts w:eastAsia="Times New Roman"/>
          <w:color w:val="000000" w:themeColor="text1"/>
          <w:szCs w:val="24"/>
        </w:rPr>
        <w:t>circumstances.</w:t>
      </w:r>
    </w:p>
    <w:p w14:paraId="457AD7B8" w14:textId="62B0FEC1" w:rsidR="00670233" w:rsidRDefault="00670233">
      <w:pPr>
        <w:rPr>
          <w:b/>
        </w:rPr>
      </w:pPr>
    </w:p>
    <w:p w14:paraId="169BE829" w14:textId="00AB44CB" w:rsidR="00317B90" w:rsidRDefault="00317B90" w:rsidP="007B1920">
      <w:pPr>
        <w:spacing w:line="480" w:lineRule="auto"/>
        <w:jc w:val="center"/>
        <w:rPr>
          <w:b/>
        </w:rPr>
      </w:pPr>
      <w:r w:rsidRPr="00986D3C">
        <w:rPr>
          <w:b/>
        </w:rPr>
        <w:t xml:space="preserve">V.  </w:t>
      </w:r>
      <w:r w:rsidR="004406CB">
        <w:rPr>
          <w:b/>
        </w:rPr>
        <w:t>PUBLIC REPROVAL</w:t>
      </w:r>
      <w:r w:rsidR="007B1920">
        <w:rPr>
          <w:b/>
        </w:rPr>
        <w:t xml:space="preserve"> IS APPROPRIATE DISCIPLINE</w:t>
      </w:r>
    </w:p>
    <w:p w14:paraId="0AE821EB" w14:textId="10F0E5B1" w:rsidR="007B1920" w:rsidRPr="007B1920" w:rsidRDefault="007B1920" w:rsidP="007B1920">
      <w:pPr>
        <w:spacing w:line="480" w:lineRule="auto"/>
      </w:pPr>
      <w:r>
        <w:tab/>
      </w:r>
      <w:r w:rsidR="00DE54CA" w:rsidRPr="00F256AF">
        <w:t>The purpose of attorney discipline is not to punish the attorney, but to protect the public, the courts and the legal profession</w:t>
      </w:r>
      <w:r w:rsidR="00DE54CA">
        <w:t>;</w:t>
      </w:r>
      <w:r w:rsidR="00DE54CA" w:rsidRPr="00F256AF">
        <w:t xml:space="preserve"> to preserve public confidence in the profession</w:t>
      </w:r>
      <w:r w:rsidR="00DE54CA">
        <w:t>;</w:t>
      </w:r>
      <w:r w:rsidR="00DE54CA" w:rsidRPr="00F256AF">
        <w:t xml:space="preserve"> and to maintain high standards for attorneys.  </w:t>
      </w:r>
      <w:r w:rsidR="00DE54CA">
        <w:t>(St</w:t>
      </w:r>
      <w:r w:rsidR="00DE54CA" w:rsidRPr="00AF39E4">
        <w:t xml:space="preserve">d. 1.1.)  </w:t>
      </w:r>
      <w:r w:rsidR="00A106A1" w:rsidRPr="00AF39E4">
        <w:t xml:space="preserve">Our analysis begins with the standards, which, </w:t>
      </w:r>
      <w:r w:rsidR="00A106A1" w:rsidRPr="00AF39E4">
        <w:rPr>
          <w:rFonts w:eastAsia="Times New Roman"/>
          <w:szCs w:val="24"/>
        </w:rPr>
        <w:t>although not binding, are entitled to great weight.  (</w:t>
      </w:r>
      <w:r w:rsidR="00A106A1" w:rsidRPr="00AF39E4">
        <w:rPr>
          <w:rFonts w:eastAsia="Times New Roman"/>
          <w:i/>
          <w:szCs w:val="24"/>
        </w:rPr>
        <w:t>In re Silverton</w:t>
      </w:r>
      <w:r w:rsidR="00A106A1" w:rsidRPr="00AF39E4">
        <w:rPr>
          <w:rFonts w:eastAsia="Times New Roman"/>
          <w:szCs w:val="24"/>
        </w:rPr>
        <w:t xml:space="preserve"> (2005) 36 Cal.4th 81, 92.</w:t>
      </w:r>
      <w:r w:rsidR="00AF39E4" w:rsidRPr="00AF39E4">
        <w:t xml:space="preserve">)  </w:t>
      </w:r>
      <w:r w:rsidRPr="00AF39E4">
        <w:t>If</w:t>
      </w:r>
      <w:r w:rsidRPr="007B1920">
        <w:t xml:space="preserve"> we depart from the st</w:t>
      </w:r>
      <w:r w:rsidR="00C27718">
        <w:t xml:space="preserve">andards, we must articulate clear </w:t>
      </w:r>
      <w:r w:rsidRPr="007B1920">
        <w:t>reasons for doing so.</w:t>
      </w:r>
      <w:r w:rsidR="00A3375D">
        <w:t xml:space="preserve"> </w:t>
      </w:r>
      <w:r w:rsidRPr="007B1920">
        <w:t xml:space="preserve"> (</w:t>
      </w:r>
      <w:r w:rsidRPr="007B1920">
        <w:rPr>
          <w:i/>
          <w:iCs/>
        </w:rPr>
        <w:t>Blair v. State Bar</w:t>
      </w:r>
      <w:r w:rsidR="00A3375D">
        <w:t> (1989) 49 </w:t>
      </w:r>
      <w:r w:rsidRPr="007B1920">
        <w:t>Cal.3d 762, 776, fn.</w:t>
      </w:r>
      <w:r w:rsidR="00A3375D">
        <w:t> </w:t>
      </w:r>
      <w:r w:rsidR="00C27718">
        <w:t>5</w:t>
      </w:r>
      <w:r w:rsidRPr="007B1920">
        <w:t>.)</w:t>
      </w:r>
      <w:r w:rsidR="00084608">
        <w:t xml:space="preserve"> </w:t>
      </w:r>
      <w:r w:rsidR="003C75CE">
        <w:t xml:space="preserve"> </w:t>
      </w:r>
      <w:r w:rsidR="003C63E1">
        <w:t xml:space="preserve">In determining the appropriate </w:t>
      </w:r>
      <w:r w:rsidR="00C27718">
        <w:t xml:space="preserve">discipline, we also look to </w:t>
      </w:r>
      <w:r w:rsidR="003C63E1">
        <w:t>case law for guidance</w:t>
      </w:r>
      <w:r w:rsidR="004B04E0">
        <w:t xml:space="preserve"> </w:t>
      </w:r>
      <w:r w:rsidR="003C63E1" w:rsidRPr="00083DB4">
        <w:rPr>
          <w:rFonts w:eastAsia="Times New Roman"/>
          <w:szCs w:val="24"/>
        </w:rPr>
        <w:t xml:space="preserve">(See </w:t>
      </w:r>
      <w:r w:rsidR="003C63E1" w:rsidRPr="00083DB4">
        <w:rPr>
          <w:rFonts w:eastAsia="Times New Roman"/>
          <w:i/>
          <w:szCs w:val="24"/>
        </w:rPr>
        <w:t>Snyder v. State Bar</w:t>
      </w:r>
      <w:r w:rsidR="003C63E1">
        <w:rPr>
          <w:rFonts w:eastAsia="Times New Roman"/>
          <w:szCs w:val="24"/>
        </w:rPr>
        <w:t xml:space="preserve"> (1990) 49 </w:t>
      </w:r>
      <w:r w:rsidR="003C63E1" w:rsidRPr="00083DB4">
        <w:rPr>
          <w:rFonts w:eastAsia="Times New Roman"/>
          <w:szCs w:val="24"/>
        </w:rPr>
        <w:t>Cal.3d 1302, 1310</w:t>
      </w:r>
      <w:r w:rsidR="003C63E1">
        <w:rPr>
          <w:rFonts w:eastAsia="Times New Roman"/>
          <w:szCs w:val="24"/>
        </w:rPr>
        <w:t>–</w:t>
      </w:r>
      <w:r w:rsidR="004B04E0">
        <w:rPr>
          <w:rFonts w:eastAsia="Times New Roman"/>
          <w:szCs w:val="24"/>
        </w:rPr>
        <w:t>1311</w:t>
      </w:r>
      <w:r w:rsidR="003C63E1" w:rsidRPr="00083DB4">
        <w:rPr>
          <w:rFonts w:eastAsia="Times New Roman"/>
          <w:szCs w:val="24"/>
        </w:rPr>
        <w:t>)</w:t>
      </w:r>
      <w:r w:rsidR="0073707B">
        <w:rPr>
          <w:rFonts w:eastAsia="Times New Roman"/>
          <w:szCs w:val="24"/>
        </w:rPr>
        <w:t xml:space="preserve"> and observe</w:t>
      </w:r>
      <w:r w:rsidR="004B04E0">
        <w:rPr>
          <w:rFonts w:eastAsia="Times New Roman"/>
          <w:szCs w:val="24"/>
        </w:rPr>
        <w:t xml:space="preserve">, </w:t>
      </w:r>
      <w:r w:rsidR="00DF0102" w:rsidRPr="004B04E0">
        <w:rPr>
          <w:rFonts w:eastAsia="Times New Roman"/>
          <w:szCs w:val="24"/>
        </w:rPr>
        <w:t>“The well-settled rule is that the degree of professional discipline is not derived from a fixed formula but from a balanced consideration of all factors.</w:t>
      </w:r>
      <w:r w:rsidR="00DF0102" w:rsidRPr="004B04E0">
        <w:t xml:space="preserve">” </w:t>
      </w:r>
      <w:r w:rsidR="00534072">
        <w:t xml:space="preserve"> </w:t>
      </w:r>
      <w:r w:rsidR="00DF0102" w:rsidRPr="004B04E0">
        <w:t>(</w:t>
      </w:r>
      <w:r w:rsidR="00DF0102" w:rsidRPr="004B04E0">
        <w:rPr>
          <w:i/>
        </w:rPr>
        <w:t>In the Matter of Respondent X</w:t>
      </w:r>
      <w:r w:rsidR="00534072">
        <w:t xml:space="preserve"> (Review Dept. 1997)</w:t>
      </w:r>
      <w:r w:rsidR="00DF0102" w:rsidRPr="004B04E0">
        <w:rPr>
          <w:i/>
        </w:rPr>
        <w:t xml:space="preserve"> </w:t>
      </w:r>
      <w:r w:rsidR="00DF0102" w:rsidRPr="004B04E0">
        <w:t>3 Cal. State Bar Ct. Rptr. 592, 605.)</w:t>
      </w:r>
    </w:p>
    <w:p w14:paraId="5388FB2C" w14:textId="4EC2E4A2" w:rsidR="00D5385D" w:rsidRDefault="009B6AC9" w:rsidP="007B1920">
      <w:pPr>
        <w:spacing w:line="480" w:lineRule="auto"/>
      </w:pPr>
      <w:r>
        <w:tab/>
      </w:r>
      <w:r w:rsidR="005F6B1A" w:rsidRPr="00D5385D">
        <w:t>S</w:t>
      </w:r>
      <w:r w:rsidR="00A3375D" w:rsidRPr="00D5385D">
        <w:t>tandard </w:t>
      </w:r>
      <w:r w:rsidR="00F82249" w:rsidRPr="00D5385D">
        <w:t>2.2</w:t>
      </w:r>
      <w:r w:rsidR="00EE10AD" w:rsidRPr="00D5385D">
        <w:t>(a)</w:t>
      </w:r>
      <w:r w:rsidR="00A3375D" w:rsidRPr="00D5385D">
        <w:t xml:space="preserve"> </w:t>
      </w:r>
      <w:r w:rsidR="00D5385D">
        <w:t xml:space="preserve">is the applicable standard </w:t>
      </w:r>
      <w:r w:rsidR="00895E82">
        <w:t>as it specifies, “A</w:t>
      </w:r>
      <w:r w:rsidR="00E132C4" w:rsidRPr="00D5385D">
        <w:t xml:space="preserve">ctual suspension of three months is the presumed sanction for </w:t>
      </w:r>
      <w:r w:rsidR="003720FF">
        <w:t xml:space="preserve">. . . </w:t>
      </w:r>
      <w:r w:rsidR="00895E82">
        <w:t xml:space="preserve"> </w:t>
      </w:r>
      <w:r w:rsidR="00E132C4" w:rsidRPr="00D5385D">
        <w:t>commingling</w:t>
      </w:r>
      <w:r w:rsidR="00C92032">
        <w:t xml:space="preserve"> . . .</w:t>
      </w:r>
      <w:r w:rsidR="00A3375D" w:rsidRPr="00D5385D">
        <w:t>”</w:t>
      </w:r>
      <w:r w:rsidR="00E132C4">
        <w:t xml:space="preserve">  </w:t>
      </w:r>
      <w:r w:rsidR="00C92032">
        <w:t xml:space="preserve"> </w:t>
      </w:r>
      <w:r w:rsidR="00D5385D">
        <w:t xml:space="preserve">The hearing judge recommended a </w:t>
      </w:r>
      <w:r w:rsidR="00E132C4" w:rsidRPr="003C63E1">
        <w:t>90</w:t>
      </w:r>
      <w:r w:rsidR="005836F6">
        <w:t>-</w:t>
      </w:r>
      <w:r w:rsidR="00E132C4" w:rsidRPr="003C63E1">
        <w:t>day actual suspension</w:t>
      </w:r>
      <w:r w:rsidR="00D5385D">
        <w:t>, which reflects the presumed sanction</w:t>
      </w:r>
      <w:r w:rsidR="00EE385B">
        <w:t xml:space="preserve">, and </w:t>
      </w:r>
      <w:r w:rsidR="00E132C4" w:rsidRPr="00E132C4">
        <w:t>OCTC urges us to affirm</w:t>
      </w:r>
      <w:r w:rsidR="00E132C4">
        <w:t xml:space="preserve"> the</w:t>
      </w:r>
      <w:r w:rsidR="00D5385D">
        <w:t xml:space="preserve"> judge’s</w:t>
      </w:r>
      <w:r w:rsidR="00E132C4">
        <w:t xml:space="preserve"> recommendation</w:t>
      </w:r>
      <w:r w:rsidR="00D5385D">
        <w:t xml:space="preserve">.  </w:t>
      </w:r>
      <w:r w:rsidR="00E132C4">
        <w:t xml:space="preserve">Martin </w:t>
      </w:r>
      <w:r w:rsidR="00E132C4" w:rsidRPr="00E132C4">
        <w:t>asks that we</w:t>
      </w:r>
      <w:r w:rsidR="00E132C4">
        <w:t xml:space="preserve"> impose </w:t>
      </w:r>
      <w:r w:rsidR="00EC02BA">
        <w:t xml:space="preserve">a private </w:t>
      </w:r>
      <w:proofErr w:type="spellStart"/>
      <w:r w:rsidR="00EC02BA">
        <w:t>reproval</w:t>
      </w:r>
      <w:proofErr w:type="spellEnd"/>
      <w:r w:rsidR="009D720E">
        <w:t>,</w:t>
      </w:r>
      <w:r w:rsidR="00EC02BA">
        <w:t xml:space="preserve"> arguing </w:t>
      </w:r>
      <w:r w:rsidR="00EE10AD">
        <w:t>his misconduct does no</w:t>
      </w:r>
      <w:r w:rsidR="00A3375D">
        <w:t>t fall squarely within standard </w:t>
      </w:r>
      <w:r w:rsidR="00EE10AD">
        <w:t>2.2(a) but i</w:t>
      </w:r>
      <w:r w:rsidR="00A3375D">
        <w:t>s more adequately addressed by standard </w:t>
      </w:r>
      <w:r w:rsidR="00EE10AD">
        <w:t>2.2(b)</w:t>
      </w:r>
      <w:r w:rsidR="00EE10AD">
        <w:rPr>
          <w:rStyle w:val="FootnoteReference"/>
        </w:rPr>
        <w:footnoteReference w:id="13"/>
      </w:r>
      <w:r w:rsidR="00A3375D">
        <w:t xml:space="preserve"> regarding “other trust account violations.”</w:t>
      </w:r>
      <w:r w:rsidR="00C03396">
        <w:t xml:space="preserve">  Since </w:t>
      </w:r>
      <w:r w:rsidR="00EE10AD">
        <w:t>we f</w:t>
      </w:r>
      <w:r w:rsidR="0064655E">
        <w:t xml:space="preserve">ound Martin culpable </w:t>
      </w:r>
      <w:r w:rsidR="00EE10AD">
        <w:t>of commingl</w:t>
      </w:r>
      <w:r w:rsidR="00154173">
        <w:t>ing</w:t>
      </w:r>
      <w:r w:rsidR="00DF0102">
        <w:t>, we reject this argument</w:t>
      </w:r>
      <w:r w:rsidR="005F6B1A">
        <w:t xml:space="preserve">.  </w:t>
      </w:r>
    </w:p>
    <w:p w14:paraId="27608D08" w14:textId="31CF394A" w:rsidR="00DF0102" w:rsidRDefault="00EE385B" w:rsidP="00D5385D">
      <w:pPr>
        <w:spacing w:line="480" w:lineRule="auto"/>
        <w:ind w:firstLine="720"/>
      </w:pPr>
      <w:r>
        <w:t xml:space="preserve">Martin also argues </w:t>
      </w:r>
      <w:r w:rsidR="003720FF">
        <w:t>s</w:t>
      </w:r>
      <w:r>
        <w:t>tandard</w:t>
      </w:r>
      <w:r w:rsidR="003720FF">
        <w:t> </w:t>
      </w:r>
      <w:r>
        <w:t>1.7(c)</w:t>
      </w:r>
      <w:r w:rsidR="003615F9">
        <w:rPr>
          <w:rStyle w:val="FootnoteReference"/>
        </w:rPr>
        <w:footnoteReference w:id="14"/>
      </w:r>
      <w:r>
        <w:t xml:space="preserve"> applies here to justify </w:t>
      </w:r>
      <w:r w:rsidR="003B7FD7">
        <w:t xml:space="preserve">a </w:t>
      </w:r>
      <w:r w:rsidR="003B7FD7" w:rsidRPr="003B7FD7">
        <w:t xml:space="preserve">downward </w:t>
      </w:r>
      <w:r w:rsidR="003B7FD7">
        <w:t>departure from the</w:t>
      </w:r>
      <w:r w:rsidR="003B7FD7" w:rsidRPr="003B7FD7">
        <w:t xml:space="preserve"> </w:t>
      </w:r>
      <w:r w:rsidR="003B7FD7">
        <w:t>pre</w:t>
      </w:r>
      <w:r>
        <w:t xml:space="preserve">sumed discipline under </w:t>
      </w:r>
      <w:r w:rsidR="003720FF">
        <w:t>s</w:t>
      </w:r>
      <w:r>
        <w:t>tandard</w:t>
      </w:r>
      <w:r w:rsidR="003720FF">
        <w:t> </w:t>
      </w:r>
      <w:r>
        <w:t xml:space="preserve">2.2(a).  </w:t>
      </w:r>
      <w:r w:rsidR="0064655E">
        <w:t xml:space="preserve">He argues </w:t>
      </w:r>
      <w:r w:rsidR="005E058A">
        <w:t xml:space="preserve">the record demonstrates that he meets </w:t>
      </w:r>
      <w:r w:rsidR="005E058A">
        <w:lastRenderedPageBreak/>
        <w:t xml:space="preserve">the criteria of the standard and, therefore, a reproval is warranted.  While OCTC does not </w:t>
      </w:r>
      <w:r w:rsidR="0064655E">
        <w:t xml:space="preserve">specifically respond to Martin’s argument </w:t>
      </w:r>
      <w:r w:rsidR="005E058A">
        <w:t xml:space="preserve">that </w:t>
      </w:r>
      <w:r w:rsidR="003720FF">
        <w:t>s</w:t>
      </w:r>
      <w:r w:rsidR="005E058A">
        <w:t>tandard</w:t>
      </w:r>
      <w:r w:rsidR="003720FF">
        <w:t> </w:t>
      </w:r>
      <w:r w:rsidR="005E058A">
        <w:t xml:space="preserve">1.7(c) </w:t>
      </w:r>
      <w:r w:rsidR="0064655E">
        <w:t>applies</w:t>
      </w:r>
      <w:r w:rsidR="005E058A">
        <w:t xml:space="preserve"> in this case, </w:t>
      </w:r>
      <w:r w:rsidR="003720FF">
        <w:t>OCTC</w:t>
      </w:r>
      <w:r w:rsidR="005E058A">
        <w:t xml:space="preserve"> points to </w:t>
      </w:r>
      <w:r w:rsidR="0064655E">
        <w:t xml:space="preserve">the case relied upon by the hearing judge, along with other cases, to support its conclusion that the judge’s recommendation of a 90-day actual suspension should be upheld. </w:t>
      </w:r>
    </w:p>
    <w:p w14:paraId="0FBE1DC0" w14:textId="6F7B07BE" w:rsidR="006B15D6" w:rsidRPr="00624FC1" w:rsidRDefault="00EE10AD" w:rsidP="00CC52F0">
      <w:pPr>
        <w:spacing w:line="480" w:lineRule="auto"/>
      </w:pPr>
      <w:r>
        <w:tab/>
        <w:t xml:space="preserve">The hearing judge </w:t>
      </w:r>
      <w:r w:rsidR="00D52FFB">
        <w:t>considered</w:t>
      </w:r>
      <w:r>
        <w:t xml:space="preserve"> </w:t>
      </w:r>
      <w:r w:rsidRPr="00EE10AD">
        <w:rPr>
          <w:i/>
        </w:rPr>
        <w:t>In the Matter of Bleecker</w:t>
      </w:r>
      <w:r>
        <w:t xml:space="preserve"> (Review De</w:t>
      </w:r>
      <w:r w:rsidR="00154173">
        <w:t>pt. 1990) 1 </w:t>
      </w:r>
      <w:r>
        <w:t xml:space="preserve">Cal. State Bar Ct. </w:t>
      </w:r>
      <w:r w:rsidR="00D52FFB">
        <w:t xml:space="preserve">Rptr. </w:t>
      </w:r>
      <w:r>
        <w:t xml:space="preserve">113 </w:t>
      </w:r>
      <w:r w:rsidR="00D52FFB">
        <w:t xml:space="preserve">to be the most applicable.  In </w:t>
      </w:r>
      <w:r w:rsidR="0000269B">
        <w:rPr>
          <w:i/>
        </w:rPr>
        <w:t>Bleecker</w:t>
      </w:r>
      <w:r w:rsidR="00D52FFB">
        <w:t xml:space="preserve">, an attorney received a </w:t>
      </w:r>
      <w:r w:rsidRPr="00EE10AD">
        <w:t>60-day actual suspension for</w:t>
      </w:r>
      <w:r>
        <w:t xml:space="preserve"> </w:t>
      </w:r>
      <w:r w:rsidR="002E54E5">
        <w:t xml:space="preserve">commingling and two counts of moral turpitude for his </w:t>
      </w:r>
      <w:r w:rsidRPr="00EE10AD">
        <w:t>grossly negl</w:t>
      </w:r>
      <w:r w:rsidR="002E54E5">
        <w:t xml:space="preserve">igent misappropriation of $270 </w:t>
      </w:r>
      <w:r w:rsidRPr="00EE10AD">
        <w:t xml:space="preserve">and misusing </w:t>
      </w:r>
      <w:r w:rsidR="002E54E5">
        <w:t xml:space="preserve">his </w:t>
      </w:r>
      <w:r w:rsidRPr="00EE10AD">
        <w:t>CTA to conceal</w:t>
      </w:r>
      <w:r>
        <w:t xml:space="preserve"> </w:t>
      </w:r>
      <w:r w:rsidRPr="00EE10AD">
        <w:t xml:space="preserve">assets from levy by </w:t>
      </w:r>
      <w:r w:rsidR="00CA4F28">
        <w:t xml:space="preserve">the </w:t>
      </w:r>
      <w:r w:rsidRPr="00EE10AD">
        <w:t>Internal Revenue Service</w:t>
      </w:r>
      <w:r w:rsidR="00084608">
        <w:t xml:space="preserve">.  </w:t>
      </w:r>
      <w:r w:rsidR="00624FC1">
        <w:t xml:space="preserve">The judge determined that, while not as serious as the misconduct in </w:t>
      </w:r>
      <w:r w:rsidR="00624FC1">
        <w:rPr>
          <w:i/>
        </w:rPr>
        <w:t>Bleecker</w:t>
      </w:r>
      <w:r w:rsidR="00624FC1">
        <w:t xml:space="preserve">, Martin’s misconduct nonetheless warranted greater discipline than the discipline recommended in </w:t>
      </w:r>
      <w:r w:rsidR="00624FC1">
        <w:rPr>
          <w:i/>
        </w:rPr>
        <w:t>Bleecker</w:t>
      </w:r>
      <w:r w:rsidR="00624FC1">
        <w:t xml:space="preserve"> as that attorney had </w:t>
      </w:r>
      <w:r w:rsidR="00DC6A56">
        <w:t>“</w:t>
      </w:r>
      <w:r w:rsidR="00624FC1">
        <w:t>a far greater amount of mitigat</w:t>
      </w:r>
      <w:r w:rsidR="009C3E22">
        <w:t>ion [and] an absence of any aggravation</w:t>
      </w:r>
      <w:r w:rsidR="00394AB9">
        <w:t>.</w:t>
      </w:r>
      <w:r w:rsidR="00DC6A56">
        <w:t>”</w:t>
      </w:r>
      <w:r w:rsidR="00DC6A56">
        <w:rPr>
          <w:rStyle w:val="FootnoteReference"/>
        </w:rPr>
        <w:footnoteReference w:id="15"/>
      </w:r>
      <w:r w:rsidR="00624FC1">
        <w:t xml:space="preserve"> </w:t>
      </w:r>
      <w:r w:rsidR="007D1060">
        <w:t xml:space="preserve"> Further, the judge found </w:t>
      </w:r>
      <w:r w:rsidR="00624FC1">
        <w:t xml:space="preserve">the attorney’s misconduct in </w:t>
      </w:r>
      <w:r w:rsidR="00624FC1">
        <w:rPr>
          <w:i/>
        </w:rPr>
        <w:t>Bleecker</w:t>
      </w:r>
      <w:r w:rsidR="00624FC1">
        <w:t xml:space="preserve"> </w:t>
      </w:r>
      <w:r w:rsidR="00DC6A56">
        <w:t>“</w:t>
      </w:r>
      <w:r w:rsidR="00624FC1">
        <w:t>took place over a limited time period</w:t>
      </w:r>
      <w:r w:rsidR="00DC6A56">
        <w:t>”</w:t>
      </w:r>
      <w:r w:rsidR="00624FC1">
        <w:t xml:space="preserve"> (five months)</w:t>
      </w:r>
      <w:r w:rsidR="00DC6A56">
        <w:t>,</w:t>
      </w:r>
      <w:r w:rsidR="00624FC1">
        <w:t xml:space="preserve"> as opposed to Martin</w:t>
      </w:r>
      <w:r w:rsidR="007D1060">
        <w:t>’s misconduct</w:t>
      </w:r>
      <w:r w:rsidR="00624FC1">
        <w:t xml:space="preserve"> (10 months).</w:t>
      </w:r>
    </w:p>
    <w:p w14:paraId="65B3A4EC" w14:textId="10C0A500" w:rsidR="00A103AC" w:rsidRDefault="0073707B" w:rsidP="00A548E0">
      <w:pPr>
        <w:spacing w:line="480" w:lineRule="auto"/>
        <w:ind w:right="-144" w:firstLine="720"/>
      </w:pPr>
      <w:r>
        <w:t>First, w</w:t>
      </w:r>
      <w:r w:rsidR="0075030F">
        <w:t>e find that a five-month difference in length of misconduct between these two cases does not merit</w:t>
      </w:r>
      <w:r w:rsidR="007D1060">
        <w:t xml:space="preserve"> the</w:t>
      </w:r>
      <w:r w:rsidR="0075030F">
        <w:t xml:space="preserve"> distinction the </w:t>
      </w:r>
      <w:r w:rsidR="00A6626D">
        <w:t xml:space="preserve">hearing </w:t>
      </w:r>
      <w:r w:rsidR="0075030F">
        <w:t>judge found.  Additionally, b</w:t>
      </w:r>
      <w:r w:rsidR="00C86F42">
        <w:t>ecause we only find one aggravating circumstance</w:t>
      </w:r>
      <w:r w:rsidR="00A6626D">
        <w:t xml:space="preserve"> instead of two as the </w:t>
      </w:r>
      <w:r w:rsidR="00C86F42">
        <w:t>judge found, and provide</w:t>
      </w:r>
      <w:r w:rsidR="0075030F">
        <w:t xml:space="preserve"> </w:t>
      </w:r>
      <w:r w:rsidR="00C86F42">
        <w:t xml:space="preserve">more weight overall to Martin’s mitigating circumstances, we do not </w:t>
      </w:r>
      <w:r w:rsidR="007F75D6">
        <w:t xml:space="preserve">agree with the judge that </w:t>
      </w:r>
      <w:r w:rsidR="0075030F">
        <w:t>for these</w:t>
      </w:r>
      <w:r w:rsidR="000E1AB5">
        <w:t xml:space="preserve"> reason</w:t>
      </w:r>
      <w:r w:rsidR="0075030F">
        <w:t>s</w:t>
      </w:r>
      <w:r w:rsidR="000E1AB5">
        <w:t xml:space="preserve"> </w:t>
      </w:r>
      <w:r w:rsidR="00C86F42">
        <w:t>Martin</w:t>
      </w:r>
      <w:r w:rsidR="00DC6A56">
        <w:t>’s</w:t>
      </w:r>
      <w:r w:rsidR="007F75D6">
        <w:t xml:space="preserve"> discipline should be </w:t>
      </w:r>
      <w:r w:rsidR="00C86F42">
        <w:t xml:space="preserve">greater than in </w:t>
      </w:r>
      <w:r w:rsidR="00C86F42">
        <w:rPr>
          <w:i/>
        </w:rPr>
        <w:t>Bleecker</w:t>
      </w:r>
      <w:r w:rsidR="00C86F42">
        <w:t>.</w:t>
      </w:r>
      <w:r w:rsidR="007F75D6">
        <w:t xml:space="preserve">  </w:t>
      </w:r>
      <w:r w:rsidR="0075030F">
        <w:t xml:space="preserve">Further, the focus of the disciplinary analysis </w:t>
      </w:r>
      <w:r w:rsidR="00A6626D">
        <w:t xml:space="preserve">in </w:t>
      </w:r>
      <w:r w:rsidR="00A6626D">
        <w:rPr>
          <w:i/>
        </w:rPr>
        <w:t xml:space="preserve">Bleecker </w:t>
      </w:r>
      <w:r w:rsidR="0075030F">
        <w:t xml:space="preserve">was on that attorney’s </w:t>
      </w:r>
      <w:r w:rsidR="00A6626D">
        <w:t xml:space="preserve">misappropriation and concealment of his assets, and not </w:t>
      </w:r>
      <w:r w:rsidR="00A6626D">
        <w:lastRenderedPageBreak/>
        <w:t xml:space="preserve">commingling, which led to the </w:t>
      </w:r>
      <w:r w:rsidR="0075030F">
        <w:t>60-day actual suspension recommendation</w:t>
      </w:r>
      <w:r w:rsidR="00A6626D">
        <w:t>.</w:t>
      </w:r>
      <w:r w:rsidR="00A6626D">
        <w:rPr>
          <w:rStyle w:val="FootnoteReference"/>
        </w:rPr>
        <w:footnoteReference w:id="16"/>
      </w:r>
      <w:r w:rsidR="00A46853">
        <w:t xml:space="preserve">  For these reasons, we decline to apply </w:t>
      </w:r>
      <w:r w:rsidR="00A46853">
        <w:rPr>
          <w:i/>
        </w:rPr>
        <w:t xml:space="preserve">Bleecker </w:t>
      </w:r>
      <w:r w:rsidR="00A103AC">
        <w:t>to Martin’s relatively limited misconduct of commingling</w:t>
      </w:r>
      <w:r w:rsidR="00A46853">
        <w:t>.</w:t>
      </w:r>
    </w:p>
    <w:p w14:paraId="76B005BE" w14:textId="6D59FF7F" w:rsidR="00781D20" w:rsidRPr="00781D20" w:rsidRDefault="00EE10AD" w:rsidP="00781D20">
      <w:pPr>
        <w:spacing w:line="480" w:lineRule="auto"/>
        <w:ind w:firstLine="720"/>
        <w:rPr>
          <w:iCs/>
        </w:rPr>
      </w:pPr>
      <w:r>
        <w:t xml:space="preserve">OCTC </w:t>
      </w:r>
      <w:r w:rsidR="002F7E9D">
        <w:t xml:space="preserve">also </w:t>
      </w:r>
      <w:r>
        <w:t xml:space="preserve">urges us to consider </w:t>
      </w:r>
      <w:r w:rsidR="00BA0298">
        <w:t xml:space="preserve">three </w:t>
      </w:r>
      <w:r w:rsidR="009E0076">
        <w:t>additional cases</w:t>
      </w:r>
      <w:r w:rsidR="00392439">
        <w:t xml:space="preserve">: </w:t>
      </w:r>
      <w:r w:rsidRPr="00E81211">
        <w:rPr>
          <w:i/>
        </w:rPr>
        <w:t>In the Matter of McKiernan</w:t>
      </w:r>
      <w:r>
        <w:t xml:space="preserve"> </w:t>
      </w:r>
      <w:r w:rsidR="00E81211">
        <w:t xml:space="preserve">(Review Dept. 1995) </w:t>
      </w:r>
      <w:r w:rsidR="00EA59A1">
        <w:t>3 </w:t>
      </w:r>
      <w:r w:rsidR="00392439">
        <w:t>Cal. State Bar Ct. Rptr. 420,</w:t>
      </w:r>
      <w:r w:rsidR="00271E87">
        <w:rPr>
          <w:rStyle w:val="FootnoteReference"/>
        </w:rPr>
        <w:footnoteReference w:id="17"/>
      </w:r>
      <w:r w:rsidR="00392439">
        <w:t xml:space="preserve"> </w:t>
      </w:r>
      <w:r w:rsidRPr="00E81211">
        <w:rPr>
          <w:i/>
        </w:rPr>
        <w:t>In the Matter of Heiser</w:t>
      </w:r>
      <w:r w:rsidR="00E81211">
        <w:rPr>
          <w:i/>
        </w:rPr>
        <w:t xml:space="preserve"> </w:t>
      </w:r>
      <w:r w:rsidR="00E81211">
        <w:t xml:space="preserve">(Review Dept. 1990) </w:t>
      </w:r>
      <w:r w:rsidR="00EA59A1">
        <w:t>1 </w:t>
      </w:r>
      <w:r w:rsidR="00271E87">
        <w:t>Cal. State Bar Ct. Rptr. 47,</w:t>
      </w:r>
      <w:r w:rsidR="00271E87">
        <w:rPr>
          <w:rStyle w:val="FootnoteReference"/>
        </w:rPr>
        <w:footnoteReference w:id="18"/>
      </w:r>
      <w:r w:rsidR="00271E87">
        <w:t xml:space="preserve"> </w:t>
      </w:r>
      <w:r>
        <w:t xml:space="preserve">and </w:t>
      </w:r>
      <w:r w:rsidRPr="00E81211">
        <w:rPr>
          <w:i/>
        </w:rPr>
        <w:t>In the Matter of Doran</w:t>
      </w:r>
      <w:r>
        <w:t xml:space="preserve"> </w:t>
      </w:r>
      <w:r w:rsidR="00E81211">
        <w:t>(</w:t>
      </w:r>
      <w:r w:rsidR="00E81211">
        <w:rPr>
          <w:rFonts w:eastAsia="Times New Roman"/>
        </w:rPr>
        <w:t xml:space="preserve">Review Dept. 1998) </w:t>
      </w:r>
      <w:r w:rsidR="00EA59A1">
        <w:t>3 </w:t>
      </w:r>
      <w:r>
        <w:t>Cal. State Bar Ct. Rptr. 871</w:t>
      </w:r>
      <w:r w:rsidR="00E81211">
        <w:t>.</w:t>
      </w:r>
      <w:r w:rsidR="0060343B">
        <w:rPr>
          <w:rStyle w:val="FootnoteReference"/>
        </w:rPr>
        <w:footnoteReference w:id="19"/>
      </w:r>
      <w:r w:rsidR="00E81211">
        <w:t xml:space="preserve">  </w:t>
      </w:r>
      <w:r w:rsidR="00CA4F28">
        <w:t xml:space="preserve">In considering </w:t>
      </w:r>
      <w:r w:rsidR="00CA4F28">
        <w:rPr>
          <w:i/>
        </w:rPr>
        <w:t>McKiernan</w:t>
      </w:r>
      <w:r w:rsidR="00CA4F28">
        <w:t xml:space="preserve">, in which we recommended the same </w:t>
      </w:r>
      <w:r w:rsidR="00CA4F28">
        <w:lastRenderedPageBreak/>
        <w:t>discipline</w:t>
      </w:r>
      <w:r w:rsidR="006B15D6">
        <w:t xml:space="preserve"> of 90 days’ actual suspension as O</w:t>
      </w:r>
      <w:r w:rsidR="004879DB">
        <w:t xml:space="preserve">CTC argues is appropriate here, we do not find that case sufficiently analogous due to the more extensive misconduct found </w:t>
      </w:r>
      <w:r w:rsidR="009E0076">
        <w:t>beyond commingling</w:t>
      </w:r>
      <w:r w:rsidR="00D3739A">
        <w:t>,</w:t>
      </w:r>
      <w:r w:rsidR="009E0076">
        <w:t xml:space="preserve"> </w:t>
      </w:r>
      <w:r w:rsidR="005968E6">
        <w:t>and</w:t>
      </w:r>
      <w:r w:rsidR="00D3739A">
        <w:t xml:space="preserve"> </w:t>
      </w:r>
      <w:r w:rsidR="005968E6">
        <w:t xml:space="preserve">the mitigating circumstances not </w:t>
      </w:r>
      <w:r w:rsidR="00777A2E">
        <w:t xml:space="preserve">clearly </w:t>
      </w:r>
      <w:r w:rsidR="005968E6">
        <w:t>outweigh</w:t>
      </w:r>
      <w:r w:rsidR="00D3739A">
        <w:t>ing</w:t>
      </w:r>
      <w:r w:rsidR="005968E6">
        <w:t xml:space="preserve"> the aggravating circumstances as they </w:t>
      </w:r>
      <w:r w:rsidR="008B36F4">
        <w:t xml:space="preserve">do </w:t>
      </w:r>
      <w:r w:rsidR="005968E6">
        <w:t>for Martin.</w:t>
      </w:r>
      <w:r w:rsidR="00484A90">
        <w:t xml:space="preserve">  </w:t>
      </w:r>
      <w:r w:rsidR="00D3739A">
        <w:t>For the same reasons, w</w:t>
      </w:r>
      <w:r w:rsidR="0070321B">
        <w:t xml:space="preserve">e find even less guidance from </w:t>
      </w:r>
      <w:r w:rsidR="0070321B">
        <w:rPr>
          <w:i/>
        </w:rPr>
        <w:t>Hei</w:t>
      </w:r>
      <w:r w:rsidR="0070321B" w:rsidRPr="005F057D">
        <w:rPr>
          <w:i/>
          <w:iCs/>
        </w:rPr>
        <w:t>ser</w:t>
      </w:r>
      <w:r w:rsidR="0070321B">
        <w:rPr>
          <w:iCs/>
        </w:rPr>
        <w:t xml:space="preserve"> or </w:t>
      </w:r>
      <w:r w:rsidR="0070321B" w:rsidRPr="005F057D">
        <w:rPr>
          <w:i/>
          <w:iCs/>
        </w:rPr>
        <w:t>Doran</w:t>
      </w:r>
      <w:r w:rsidR="00484A90">
        <w:rPr>
          <w:iCs/>
        </w:rPr>
        <w:t>, where</w:t>
      </w:r>
      <w:r w:rsidR="00900A60">
        <w:rPr>
          <w:iCs/>
        </w:rPr>
        <w:t>,</w:t>
      </w:r>
      <w:r w:rsidR="00484A90">
        <w:rPr>
          <w:iCs/>
        </w:rPr>
        <w:t xml:space="preserve"> </w:t>
      </w:r>
      <w:r w:rsidR="00777A2E">
        <w:rPr>
          <w:iCs/>
        </w:rPr>
        <w:t>in each case</w:t>
      </w:r>
      <w:r w:rsidR="00900A60">
        <w:rPr>
          <w:iCs/>
        </w:rPr>
        <w:t>,</w:t>
      </w:r>
      <w:r w:rsidR="00777A2E">
        <w:rPr>
          <w:iCs/>
        </w:rPr>
        <w:t xml:space="preserve"> </w:t>
      </w:r>
      <w:r w:rsidR="00AE1F11">
        <w:rPr>
          <w:iCs/>
        </w:rPr>
        <w:t xml:space="preserve">the </w:t>
      </w:r>
      <w:r w:rsidR="00484A90">
        <w:rPr>
          <w:iCs/>
        </w:rPr>
        <w:t xml:space="preserve">misconduct </w:t>
      </w:r>
      <w:r w:rsidR="00777A2E">
        <w:rPr>
          <w:iCs/>
        </w:rPr>
        <w:t xml:space="preserve">was more extensive </w:t>
      </w:r>
      <w:r w:rsidR="00757126">
        <w:rPr>
          <w:iCs/>
        </w:rPr>
        <w:t xml:space="preserve">and </w:t>
      </w:r>
      <w:r w:rsidR="00AE1F11">
        <w:rPr>
          <w:iCs/>
        </w:rPr>
        <w:t xml:space="preserve">the </w:t>
      </w:r>
      <w:r w:rsidR="00777A2E">
        <w:rPr>
          <w:iCs/>
        </w:rPr>
        <w:t>aggravation outweighed the mitigation, resulting</w:t>
      </w:r>
      <w:r w:rsidR="00484A90">
        <w:rPr>
          <w:iCs/>
        </w:rPr>
        <w:t xml:space="preserve"> in </w:t>
      </w:r>
      <w:r w:rsidR="00900A60">
        <w:rPr>
          <w:iCs/>
        </w:rPr>
        <w:t xml:space="preserve">a </w:t>
      </w:r>
      <w:r w:rsidR="00484A90">
        <w:rPr>
          <w:iCs/>
        </w:rPr>
        <w:t>recommendation of six months’ actual suspension</w:t>
      </w:r>
      <w:r w:rsidR="00781D20" w:rsidRPr="00781D20">
        <w:rPr>
          <w:iCs/>
        </w:rPr>
        <w:t>.</w:t>
      </w:r>
    </w:p>
    <w:p w14:paraId="275B7C9E" w14:textId="5DE4F22B" w:rsidR="007E5547" w:rsidRDefault="00271108" w:rsidP="00A027B8">
      <w:pPr>
        <w:spacing w:line="480" w:lineRule="auto"/>
        <w:ind w:firstLine="720"/>
      </w:pPr>
      <w:r>
        <w:t xml:space="preserve">Most </w:t>
      </w:r>
      <w:r w:rsidR="001A3601">
        <w:t>notably,</w:t>
      </w:r>
      <w:r w:rsidR="00BA0298">
        <w:t xml:space="preserve"> in all </w:t>
      </w:r>
      <w:r w:rsidR="001A3601">
        <w:t>three cases cited by OCTC, clients were harmed; in Martin’s case</w:t>
      </w:r>
      <w:r w:rsidR="008B36F4">
        <w:t>,</w:t>
      </w:r>
      <w:r w:rsidR="001A3601">
        <w:t xml:space="preserve"> </w:t>
      </w:r>
      <w:r w:rsidR="0070321B">
        <w:t xml:space="preserve">no client was harmed or </w:t>
      </w:r>
      <w:r w:rsidR="001A3601">
        <w:t>in danger of being harmed because Martin</w:t>
      </w:r>
      <w:r w:rsidR="0070321B">
        <w:t>’s unrebutted testimony is that he</w:t>
      </w:r>
      <w:r w:rsidR="001A3601">
        <w:t xml:space="preserve"> had always understood his personal funds could not be in th</w:t>
      </w:r>
      <w:r w:rsidR="0070321B">
        <w:t xml:space="preserve">e CTA if client money was </w:t>
      </w:r>
      <w:r w:rsidR="001A3601">
        <w:t xml:space="preserve">there.  Therefore, contrary to the hearing judge’s conclusion, Martin was not “wholly oblivious to his ethical </w:t>
      </w:r>
      <w:r w:rsidR="0070321B">
        <w:t>obligations in handling his CTA;</w:t>
      </w:r>
      <w:r w:rsidR="001A3601">
        <w:t xml:space="preserve">” </w:t>
      </w:r>
      <w:r w:rsidR="0070321B">
        <w:t>Martin honestly</w:t>
      </w:r>
      <w:r w:rsidR="009E0076">
        <w:rPr>
          <w:rStyle w:val="FootnoteReference"/>
        </w:rPr>
        <w:footnoteReference w:id="20"/>
      </w:r>
      <w:r w:rsidR="0070321B">
        <w:t xml:space="preserve"> but unreasonably misunderstood that</w:t>
      </w:r>
      <w:r w:rsidR="003221C8">
        <w:t xml:space="preserve"> rule</w:t>
      </w:r>
      <w:r w:rsidR="00DC2BFF">
        <w:t> </w:t>
      </w:r>
      <w:r w:rsidR="003221C8">
        <w:t xml:space="preserve">4-100(A) </w:t>
      </w:r>
      <w:r w:rsidR="001A6A36">
        <w:t xml:space="preserve">did not </w:t>
      </w:r>
      <w:r w:rsidR="003221C8">
        <w:t>permit him to</w:t>
      </w:r>
      <w:r w:rsidR="009E0076">
        <w:t xml:space="preserve"> </w:t>
      </w:r>
      <w:r w:rsidR="0056563D">
        <w:t xml:space="preserve">have personal funds </w:t>
      </w:r>
      <w:r w:rsidR="003221C8">
        <w:t>in the CTA</w:t>
      </w:r>
      <w:r w:rsidR="0056563D">
        <w:t xml:space="preserve"> at any time</w:t>
      </w:r>
      <w:r w:rsidR="0070321B">
        <w:t xml:space="preserve">, except under </w:t>
      </w:r>
      <w:r w:rsidR="003221C8">
        <w:t xml:space="preserve">two </w:t>
      </w:r>
      <w:r w:rsidR="0070321B">
        <w:t>strict con</w:t>
      </w:r>
      <w:r w:rsidR="0056563D">
        <w:t>ditions not involved here</w:t>
      </w:r>
      <w:r w:rsidR="009E0076">
        <w:t>.</w:t>
      </w:r>
      <w:r w:rsidR="005B3B08">
        <w:t xml:space="preserve">  H</w:t>
      </w:r>
      <w:r w:rsidR="00757126">
        <w:t>is misunderstanding resulted in his misconduct</w:t>
      </w:r>
      <w:r w:rsidR="00096164">
        <w:t xml:space="preserve"> continuing </w:t>
      </w:r>
      <w:r w:rsidR="00757126">
        <w:t xml:space="preserve">after receiving </w:t>
      </w:r>
      <w:r w:rsidR="003221C8">
        <w:t xml:space="preserve">multiple </w:t>
      </w:r>
      <w:r w:rsidR="00096164">
        <w:t xml:space="preserve">investigative </w:t>
      </w:r>
      <w:r w:rsidR="00757126">
        <w:t>letters from the State Bar</w:t>
      </w:r>
      <w:r w:rsidR="00096164">
        <w:t xml:space="preserve"> for his NSF charges, </w:t>
      </w:r>
      <w:r w:rsidR="005B3B08">
        <w:t xml:space="preserve">and OCTC argues this point repeatedly in </w:t>
      </w:r>
      <w:r w:rsidR="00922319">
        <w:t>asserting</w:t>
      </w:r>
      <w:r w:rsidR="005B3B08">
        <w:t xml:space="preserve"> its position that Martin</w:t>
      </w:r>
      <w:r w:rsidR="003221C8">
        <w:t xml:space="preserve">’s misconduct deserves an </w:t>
      </w:r>
      <w:r w:rsidR="005B3B08">
        <w:t>actual</w:t>
      </w:r>
      <w:r w:rsidR="003221C8">
        <w:t xml:space="preserve"> suspension of</w:t>
      </w:r>
      <w:r w:rsidR="005B3B08">
        <w:t xml:space="preserve"> 90 days.</w:t>
      </w:r>
      <w:r w:rsidR="003221C8">
        <w:t xml:space="preserve">  However, </w:t>
      </w:r>
      <w:r w:rsidR="00096164">
        <w:t xml:space="preserve">if OCTC had </w:t>
      </w:r>
      <w:r w:rsidR="005B3B08">
        <w:t xml:space="preserve">simply and clearly </w:t>
      </w:r>
      <w:r w:rsidR="00096164">
        <w:t>pointed</w:t>
      </w:r>
      <w:r w:rsidR="0082164F">
        <w:t xml:space="preserve"> out </w:t>
      </w:r>
      <w:r w:rsidR="00777A2E">
        <w:t>early</w:t>
      </w:r>
      <w:r w:rsidR="00096164">
        <w:t xml:space="preserve"> in the investigative ph</w:t>
      </w:r>
      <w:r w:rsidR="0082164F">
        <w:t xml:space="preserve">ase </w:t>
      </w:r>
      <w:r w:rsidR="00AE1F11">
        <w:t>how</w:t>
      </w:r>
      <w:r w:rsidR="00096164">
        <w:t xml:space="preserve"> </w:t>
      </w:r>
      <w:r w:rsidR="00015D68">
        <w:t xml:space="preserve">Martin’s </w:t>
      </w:r>
      <w:r w:rsidR="005B3B08">
        <w:t xml:space="preserve">actions </w:t>
      </w:r>
      <w:r w:rsidR="00096164">
        <w:t xml:space="preserve">ran </w:t>
      </w:r>
      <w:r w:rsidR="002C33D4">
        <w:t>afoul</w:t>
      </w:r>
      <w:r w:rsidR="00096164">
        <w:t xml:space="preserve"> of</w:t>
      </w:r>
      <w:r w:rsidR="00DA2829">
        <w:t xml:space="preserve"> </w:t>
      </w:r>
      <w:r w:rsidR="0082164F">
        <w:t>rule</w:t>
      </w:r>
      <w:r w:rsidR="00DC2BFF">
        <w:t> </w:t>
      </w:r>
      <w:r w:rsidR="00AE1F11">
        <w:t>4-100(A)</w:t>
      </w:r>
      <w:r w:rsidR="005B3B08">
        <w:t xml:space="preserve">, </w:t>
      </w:r>
      <w:r w:rsidR="003221C8">
        <w:t>he</w:t>
      </w:r>
      <w:r w:rsidR="00491C01">
        <w:t xml:space="preserve"> might have made the necessary changes</w:t>
      </w:r>
      <w:r w:rsidR="003221C8">
        <w:t xml:space="preserve"> </w:t>
      </w:r>
      <w:r w:rsidR="00AE1F11">
        <w:t>earlier than he did.</w:t>
      </w:r>
      <w:r w:rsidR="00CC0B9C">
        <w:rPr>
          <w:rStyle w:val="FootnoteReference"/>
        </w:rPr>
        <w:footnoteReference w:id="21"/>
      </w:r>
    </w:p>
    <w:p w14:paraId="1A70D0D0" w14:textId="332B35E9" w:rsidR="00895E82" w:rsidRDefault="00AE1F11" w:rsidP="00CC52F0">
      <w:pPr>
        <w:spacing w:line="480" w:lineRule="auto"/>
      </w:pPr>
      <w:r>
        <w:lastRenderedPageBreak/>
        <w:tab/>
        <w:t xml:space="preserve">We agree with Martin that </w:t>
      </w:r>
      <w:r w:rsidR="00BB51EA">
        <w:t xml:space="preserve">the </w:t>
      </w:r>
      <w:r w:rsidR="0086068F">
        <w:t xml:space="preserve">requirements of </w:t>
      </w:r>
      <w:r w:rsidR="00922319">
        <w:t>s</w:t>
      </w:r>
      <w:r>
        <w:t>tandard</w:t>
      </w:r>
      <w:r w:rsidR="00922319">
        <w:t> </w:t>
      </w:r>
      <w:r>
        <w:t xml:space="preserve">1.7(c) </w:t>
      </w:r>
      <w:r w:rsidR="0086068F">
        <w:t>have been met, and t</w:t>
      </w:r>
      <w:r>
        <w:t xml:space="preserve">he overall record supports a downward departure from the 90-day actual suspension as the presumed sanction under </w:t>
      </w:r>
      <w:r w:rsidR="00922319">
        <w:t>s</w:t>
      </w:r>
      <w:r>
        <w:t>tandard</w:t>
      </w:r>
      <w:r w:rsidR="00922319">
        <w:t> </w:t>
      </w:r>
      <w:r>
        <w:t>2.2(a).</w:t>
      </w:r>
      <w:r w:rsidR="00525EBD">
        <w:t xml:space="preserve">  </w:t>
      </w:r>
      <w:r w:rsidR="00EC73D5">
        <w:t>His multiple mitigating circumstances</w:t>
      </w:r>
      <w:r w:rsidR="000040CF">
        <w:t xml:space="preserve">, including a </w:t>
      </w:r>
      <w:r w:rsidR="00F05B3F">
        <w:t>15-year</w:t>
      </w:r>
      <w:r w:rsidR="000040CF">
        <w:t xml:space="preserve"> discipline-free record, no client harm, character witnesses who credibly testified to his reputation for integrity, and his cooperation, candor, and honesty during the investigation and disciplinary trial, </w:t>
      </w:r>
      <w:r w:rsidR="00EC73D5">
        <w:t>clearly ou</w:t>
      </w:r>
      <w:r w:rsidR="00E47DD5">
        <w:t>tweigh h</w:t>
      </w:r>
      <w:r w:rsidR="000040CF">
        <w:t xml:space="preserve">is one aggravating circumstance of multiple acts.  The net effect </w:t>
      </w:r>
      <w:r w:rsidR="00E47DD5">
        <w:t>demonstrates that a lesser dis</w:t>
      </w:r>
      <w:r w:rsidR="000040CF">
        <w:t>ci</w:t>
      </w:r>
      <w:r w:rsidR="00E47DD5">
        <w:t xml:space="preserve">pline is warranted to fulfill the primary purposes of discipline.  Further, </w:t>
      </w:r>
      <w:r w:rsidR="00525EBD">
        <w:t xml:space="preserve">Martin’s rule violations are minor misconduct as no client was harmed, and his actions were honest and </w:t>
      </w:r>
      <w:r w:rsidR="007F6D72">
        <w:t>aberrational</w:t>
      </w:r>
      <w:r w:rsidR="00525EBD">
        <w:t xml:space="preserve">, demonstrating that he has the ability </w:t>
      </w:r>
      <w:r w:rsidR="00EC73D5">
        <w:t>to conform to ethical responsibilities in the future.</w:t>
      </w:r>
      <w:r w:rsidR="000040CF">
        <w:t xml:space="preserve">  </w:t>
      </w:r>
      <w:r w:rsidR="00B01293">
        <w:t xml:space="preserve">Given these findings, </w:t>
      </w:r>
      <w:r w:rsidR="00915345">
        <w:t xml:space="preserve">a </w:t>
      </w:r>
      <w:r w:rsidR="00696924">
        <w:t xml:space="preserve">public </w:t>
      </w:r>
      <w:proofErr w:type="spellStart"/>
      <w:r w:rsidR="00696924">
        <w:t>reproval</w:t>
      </w:r>
      <w:proofErr w:type="spellEnd"/>
      <w:r w:rsidR="00696924">
        <w:t xml:space="preserve"> with the condition</w:t>
      </w:r>
      <w:r w:rsidR="00A91B2E">
        <w:t>s</w:t>
      </w:r>
      <w:r w:rsidR="00696924" w:rsidRPr="00696924">
        <w:t xml:space="preserve"> </w:t>
      </w:r>
      <w:r w:rsidR="00696924">
        <w:t>that Martin</w:t>
      </w:r>
      <w:r w:rsidR="00696924" w:rsidRPr="00696924">
        <w:t xml:space="preserve"> attend and </w:t>
      </w:r>
      <w:r w:rsidR="00696924">
        <w:t xml:space="preserve">successfully </w:t>
      </w:r>
      <w:r w:rsidR="00696924" w:rsidRPr="00696924">
        <w:t xml:space="preserve">complete </w:t>
      </w:r>
      <w:r w:rsidR="0051426A">
        <w:t xml:space="preserve">the </w:t>
      </w:r>
      <w:r w:rsidR="001A6A36">
        <w:t>State Bar</w:t>
      </w:r>
      <w:r w:rsidR="0051426A">
        <w:t>’s</w:t>
      </w:r>
      <w:r w:rsidR="001A6A36">
        <w:t xml:space="preserve"> Ethics School and </w:t>
      </w:r>
      <w:r w:rsidR="00696924" w:rsidRPr="00696924">
        <w:t>Client Trust Accounting School</w:t>
      </w:r>
      <w:r w:rsidR="00696924">
        <w:t xml:space="preserve"> </w:t>
      </w:r>
      <w:r w:rsidR="00777A2E">
        <w:t xml:space="preserve">is </w:t>
      </w:r>
      <w:r w:rsidR="00696924" w:rsidRPr="00696924">
        <w:t>appropriate discipline to protect the public, the courts, and the legal profession.</w:t>
      </w:r>
      <w:r w:rsidR="00167BA7">
        <w:rPr>
          <w:rStyle w:val="FootnoteReference"/>
        </w:rPr>
        <w:footnoteReference w:id="22"/>
      </w:r>
      <w:r w:rsidR="00696924" w:rsidRPr="00696924">
        <w:t xml:space="preserve"> </w:t>
      </w:r>
    </w:p>
    <w:p w14:paraId="52295159" w14:textId="27B06C00" w:rsidR="00F34B65" w:rsidRDefault="00E7567E" w:rsidP="001B0816">
      <w:pPr>
        <w:spacing w:line="480" w:lineRule="auto"/>
        <w:jc w:val="center"/>
      </w:pPr>
      <w:r>
        <w:rPr>
          <w:b/>
        </w:rPr>
        <w:t xml:space="preserve">VI.  </w:t>
      </w:r>
      <w:r w:rsidR="00F34B65">
        <w:rPr>
          <w:b/>
        </w:rPr>
        <w:t>ORDER</w:t>
      </w:r>
    </w:p>
    <w:p w14:paraId="0DE3CC1A" w14:textId="043D7ACC" w:rsidR="006331CE" w:rsidRDefault="00F34B65" w:rsidP="00CC52F0">
      <w:pPr>
        <w:spacing w:line="480" w:lineRule="auto"/>
        <w:rPr>
          <w:szCs w:val="24"/>
        </w:rPr>
      </w:pPr>
      <w:r>
        <w:tab/>
      </w:r>
      <w:r w:rsidR="00E7567E">
        <w:rPr>
          <w:rFonts w:eastAsia="Times New Roman"/>
          <w:spacing w:val="-2"/>
        </w:rPr>
        <w:t>Josep</w:t>
      </w:r>
      <w:r w:rsidR="00CA2C57">
        <w:rPr>
          <w:rFonts w:eastAsia="Times New Roman"/>
          <w:spacing w:val="-2"/>
        </w:rPr>
        <w:t>h Earl Martin</w:t>
      </w:r>
      <w:r w:rsidR="005B204B">
        <w:rPr>
          <w:rFonts w:eastAsia="Times New Roman"/>
          <w:spacing w:val="-2"/>
        </w:rPr>
        <w:t xml:space="preserve"> is ordered publicly reproved, to be effective 15 days after service of this opinion and order</w:t>
      </w:r>
      <w:r w:rsidR="00C42CD0">
        <w:rPr>
          <w:rFonts w:eastAsia="Times New Roman"/>
          <w:spacing w:val="-2"/>
        </w:rPr>
        <w:t xml:space="preserve">. </w:t>
      </w:r>
      <w:r w:rsidR="005B204B">
        <w:rPr>
          <w:rFonts w:eastAsia="Times New Roman"/>
          <w:spacing w:val="-2"/>
        </w:rPr>
        <w:t xml:space="preserve"> </w:t>
      </w:r>
      <w:r w:rsidR="005B204B" w:rsidRPr="006B103B">
        <w:t>(</w:t>
      </w:r>
      <w:r w:rsidR="00014605">
        <w:t>Rules Proc. of State Bar, rule 5.127(A)</w:t>
      </w:r>
      <w:r w:rsidR="00C42CD0">
        <w:t>.</w:t>
      </w:r>
      <w:r w:rsidR="005B204B" w:rsidRPr="006B103B">
        <w:t>)  He must comply with the specified condition</w:t>
      </w:r>
      <w:r w:rsidR="00A91B2E">
        <w:t>s</w:t>
      </w:r>
      <w:r w:rsidR="005B204B" w:rsidRPr="006B103B">
        <w:t xml:space="preserve"> attached to the public reproval.  (</w:t>
      </w:r>
      <w:r w:rsidR="00014605">
        <w:t>Rules Proc. of State Bar, rule 5.128</w:t>
      </w:r>
      <w:r w:rsidR="005B204B" w:rsidRPr="006B103B">
        <w:t xml:space="preserve">.)  Failure to comply with this condition may constitute cause for a separate proceeding for willful breach </w:t>
      </w:r>
      <w:r w:rsidR="005B204B" w:rsidRPr="009800DD">
        <w:t>of rule </w:t>
      </w:r>
      <w:r w:rsidR="00BE4349" w:rsidRPr="009800DD">
        <w:t>8.1.1</w:t>
      </w:r>
      <w:r w:rsidR="005B204B" w:rsidRPr="009800DD">
        <w:t xml:space="preserve"> of the </w:t>
      </w:r>
      <w:r w:rsidR="005B204B" w:rsidRPr="009800DD">
        <w:rPr>
          <w:szCs w:val="24"/>
        </w:rPr>
        <w:t>Rules of Professional Conduct</w:t>
      </w:r>
      <w:r w:rsidR="00BE4349" w:rsidRPr="009800DD">
        <w:rPr>
          <w:szCs w:val="24"/>
        </w:rPr>
        <w:t xml:space="preserve"> that are </w:t>
      </w:r>
      <w:r w:rsidR="00F05B3F">
        <w:rPr>
          <w:szCs w:val="24"/>
        </w:rPr>
        <w:t>currently in</w:t>
      </w:r>
      <w:r w:rsidR="00BE4349" w:rsidRPr="009800DD">
        <w:rPr>
          <w:szCs w:val="24"/>
        </w:rPr>
        <w:t xml:space="preserve"> effect</w:t>
      </w:r>
      <w:r w:rsidR="009800DD" w:rsidRPr="009800DD">
        <w:rPr>
          <w:szCs w:val="24"/>
        </w:rPr>
        <w:t>.</w:t>
      </w:r>
      <w:r w:rsidR="005B204B">
        <w:rPr>
          <w:szCs w:val="24"/>
        </w:rPr>
        <w:t xml:space="preserve">  </w:t>
      </w:r>
    </w:p>
    <w:p w14:paraId="2E6534D6" w14:textId="6AA27A3F" w:rsidR="00AE54A5" w:rsidRPr="00934C96" w:rsidRDefault="00821C8A" w:rsidP="00D27780">
      <w:pPr>
        <w:spacing w:line="480" w:lineRule="auto"/>
      </w:pPr>
      <w:r>
        <w:tab/>
      </w:r>
      <w:r w:rsidR="001A6A36">
        <w:t xml:space="preserve">Martin is ordered to comply with the following conditions: </w:t>
      </w:r>
      <w:r w:rsidRPr="00821C8A">
        <w:t xml:space="preserve">Within one year of the effective date of this public reproval, he must submit to the Office of Probation satisfactory evidence of completion of Ethics School and passage of the test given at the end of that </w:t>
      </w:r>
      <w:r w:rsidRPr="00821C8A">
        <w:lastRenderedPageBreak/>
        <w:t xml:space="preserve">session.  </w:t>
      </w:r>
      <w:r w:rsidR="006331CE">
        <w:t xml:space="preserve">Within one year </w:t>
      </w:r>
      <w:r w:rsidR="006331CE" w:rsidRPr="006B103B">
        <w:t xml:space="preserve">of the effective date of this public </w:t>
      </w:r>
      <w:proofErr w:type="spellStart"/>
      <w:r w:rsidR="006331CE" w:rsidRPr="006B103B">
        <w:t>reproval</w:t>
      </w:r>
      <w:proofErr w:type="spellEnd"/>
      <w:r w:rsidR="006331CE">
        <w:t xml:space="preserve">, </w:t>
      </w:r>
      <w:r w:rsidR="006331CE" w:rsidRPr="006B103B">
        <w:t xml:space="preserve">he must </w:t>
      </w:r>
      <w:r w:rsidR="001A6A36">
        <w:t xml:space="preserve">also </w:t>
      </w:r>
      <w:r w:rsidR="006331CE" w:rsidRPr="006B103B">
        <w:t xml:space="preserve">submit to the Office of Probation satisfactory evidence of completion of </w:t>
      </w:r>
      <w:r w:rsidR="008431D1" w:rsidRPr="00696924">
        <w:t>Client Trust Accounting School</w:t>
      </w:r>
      <w:r w:rsidR="008431D1">
        <w:t xml:space="preserve"> </w:t>
      </w:r>
      <w:r w:rsidR="006331CE" w:rsidRPr="006B103B">
        <w:t xml:space="preserve">and passage of the test given at the end of that session.  </w:t>
      </w:r>
      <w:r w:rsidR="002F24A1">
        <w:t xml:space="preserve">Both </w:t>
      </w:r>
      <w:r w:rsidR="006331CE" w:rsidRPr="006B103B">
        <w:t>requirement</w:t>
      </w:r>
      <w:r w:rsidR="002F24A1">
        <w:t>s</w:t>
      </w:r>
      <w:r w:rsidR="006331CE" w:rsidRPr="006B103B">
        <w:t xml:space="preserve"> </w:t>
      </w:r>
      <w:r w:rsidR="002F24A1">
        <w:t>are</w:t>
      </w:r>
      <w:r w:rsidR="006331CE" w:rsidRPr="006B103B">
        <w:t xml:space="preserve"> separate from any Minimum Continuing Legal Education (MCLE) requirement, and he shall not receive M</w:t>
      </w:r>
      <w:r w:rsidR="00DF214D">
        <w:t xml:space="preserve">CLE credit for attending </w:t>
      </w:r>
      <w:r w:rsidR="002F24A1">
        <w:t xml:space="preserve">either Ethics School or </w:t>
      </w:r>
      <w:r w:rsidR="00DF214D">
        <w:t xml:space="preserve">Client Trust Accounting </w:t>
      </w:r>
      <w:r w:rsidR="006331CE" w:rsidRPr="006B103B">
        <w:t>School.  (</w:t>
      </w:r>
      <w:r w:rsidR="00010EE7">
        <w:t>Rules Proc. of State Bar, rule 3201</w:t>
      </w:r>
      <w:r w:rsidR="006331CE" w:rsidRPr="006B103B">
        <w:t>.)</w:t>
      </w:r>
      <w:r w:rsidR="00E7567E">
        <w:t xml:space="preserve"> </w:t>
      </w:r>
    </w:p>
    <w:p w14:paraId="544A9BB6" w14:textId="33D3DFC9" w:rsidR="00E7567E" w:rsidRPr="004D40BE" w:rsidRDefault="00934C96" w:rsidP="00D27780">
      <w:pPr>
        <w:tabs>
          <w:tab w:val="left" w:pos="810"/>
          <w:tab w:val="center" w:pos="4680"/>
        </w:tabs>
        <w:spacing w:line="480" w:lineRule="auto"/>
        <w:rPr>
          <w:b/>
        </w:rPr>
      </w:pPr>
      <w:r>
        <w:rPr>
          <w:b/>
        </w:rPr>
        <w:tab/>
      </w:r>
      <w:r>
        <w:rPr>
          <w:b/>
        </w:rPr>
        <w:tab/>
      </w:r>
      <w:r w:rsidR="00010EE7">
        <w:rPr>
          <w:b/>
        </w:rPr>
        <w:t>VII</w:t>
      </w:r>
      <w:r w:rsidR="00E7567E">
        <w:rPr>
          <w:b/>
        </w:rPr>
        <w:t>.  COSTS</w:t>
      </w:r>
    </w:p>
    <w:p w14:paraId="56BA6F28" w14:textId="69A23B68" w:rsidR="00E7567E" w:rsidRDefault="008431D1" w:rsidP="00D27780">
      <w:pPr>
        <w:spacing w:line="480" w:lineRule="auto"/>
        <w:ind w:firstLine="720"/>
      </w:pPr>
      <w:r>
        <w:t>Costs</w:t>
      </w:r>
      <w:r w:rsidR="00E7567E" w:rsidRPr="004D40BE">
        <w:t xml:space="preserve"> </w:t>
      </w:r>
      <w:r w:rsidR="001476F9" w:rsidRPr="001476F9">
        <w:t>are</w:t>
      </w:r>
      <w:r w:rsidR="00D71DE4">
        <w:t xml:space="preserve"> </w:t>
      </w:r>
      <w:r w:rsidR="00E7567E" w:rsidRPr="004D40BE">
        <w:t xml:space="preserve">awarded to the State Bar in accordance with Business and Professions Code section 6086.10, and are enforceable both as provided in Business and Professions Code section 6140.7 and as a money judgment.  </w:t>
      </w:r>
    </w:p>
    <w:p w14:paraId="7BC87470" w14:textId="13993B74" w:rsidR="00832223" w:rsidRDefault="00832223" w:rsidP="00832223">
      <w:r w:rsidRPr="007768C9">
        <w:tab/>
      </w:r>
      <w:r w:rsidRPr="007768C9">
        <w:tab/>
      </w:r>
      <w:r w:rsidRPr="007768C9">
        <w:tab/>
      </w:r>
      <w:r w:rsidRPr="007768C9">
        <w:tab/>
      </w:r>
      <w:r w:rsidRPr="007768C9">
        <w:tab/>
      </w:r>
      <w:r w:rsidRPr="007768C9">
        <w:tab/>
      </w:r>
      <w:bookmarkStart w:id="9" w:name="judge"/>
      <w:bookmarkEnd w:id="9"/>
      <w:r w:rsidR="00407481">
        <w:tab/>
      </w:r>
      <w:r w:rsidR="00B70D93">
        <w:t>McGILL, J</w:t>
      </w:r>
      <w:r w:rsidR="00D867FB">
        <w:t>.</w:t>
      </w:r>
    </w:p>
    <w:p w14:paraId="1B7B2FC9" w14:textId="77777777" w:rsidR="00832223" w:rsidRDefault="00832223" w:rsidP="00832223"/>
    <w:p w14:paraId="5FE4E053" w14:textId="77777777" w:rsidR="00832223" w:rsidRDefault="00832223" w:rsidP="003F06DF">
      <w:pPr>
        <w:spacing w:line="480" w:lineRule="auto"/>
      </w:pPr>
      <w:r>
        <w:t>WE CONCUR:</w:t>
      </w:r>
    </w:p>
    <w:p w14:paraId="6A7EB3BB" w14:textId="77777777" w:rsidR="00D867FB" w:rsidRDefault="00D867FB" w:rsidP="000E0A7C">
      <w:bookmarkStart w:id="10" w:name="multinames"/>
      <w:bookmarkEnd w:id="10"/>
      <w:r>
        <w:t>PURCELL, P. J.</w:t>
      </w:r>
    </w:p>
    <w:p w14:paraId="15D7B042" w14:textId="77777777" w:rsidR="002C0951" w:rsidRDefault="002C0951" w:rsidP="000E0A7C"/>
    <w:p w14:paraId="19C1F623" w14:textId="77777777" w:rsidR="00D867FB" w:rsidRDefault="00D867FB" w:rsidP="000E0A7C">
      <w:r>
        <w:t>HONN, J.</w:t>
      </w:r>
    </w:p>
    <w:p w14:paraId="410C5117" w14:textId="77777777" w:rsidR="00203644" w:rsidRDefault="00203644" w:rsidP="000E0A7C"/>
    <w:p w14:paraId="1E982E6D" w14:textId="5293A047" w:rsidR="00452EE1" w:rsidRDefault="00452EE1" w:rsidP="000E0A7C"/>
    <w:p w14:paraId="4F39CB49" w14:textId="7738987E" w:rsidR="00452EE1" w:rsidRDefault="00452EE1">
      <w:r>
        <w:br w:type="page"/>
      </w:r>
    </w:p>
    <w:p w14:paraId="5B3DCC29" w14:textId="77777777" w:rsidR="00BA4B4A" w:rsidRDefault="00BA4B4A" w:rsidP="00BA4B4A">
      <w:pPr>
        <w:tabs>
          <w:tab w:val="left" w:pos="4994"/>
        </w:tabs>
        <w:rPr>
          <w:b/>
          <w:bCs/>
          <w:sz w:val="28"/>
          <w:szCs w:val="28"/>
        </w:rPr>
      </w:pPr>
      <w:r>
        <w:rPr>
          <w:lang w:val="en-CA"/>
        </w:rPr>
        <w:lastRenderedPageBreak/>
        <w:fldChar w:fldCharType="begin"/>
      </w:r>
      <w:r>
        <w:rPr>
          <w:lang w:val="en-CA"/>
        </w:rPr>
        <w:instrText xml:space="preserve"> SEQ CHAPTER \h \r 1</w:instrText>
      </w:r>
      <w:r>
        <w:rPr>
          <w:lang w:val="en-CA"/>
        </w:rPr>
        <w:fldChar w:fldCharType="end"/>
      </w:r>
    </w:p>
    <w:p w14:paraId="6CCE3927" w14:textId="77777777" w:rsidR="00BA4B4A" w:rsidRDefault="00BA4B4A" w:rsidP="00BA4B4A">
      <w:pPr>
        <w:jc w:val="center"/>
        <w:rPr>
          <w:b/>
          <w:bCs/>
          <w:sz w:val="34"/>
          <w:szCs w:val="34"/>
        </w:rPr>
      </w:pPr>
    </w:p>
    <w:p w14:paraId="3E737B76" w14:textId="77777777" w:rsidR="00BA4B4A" w:rsidRDefault="00BA4B4A" w:rsidP="00BA4B4A">
      <w:pPr>
        <w:jc w:val="center"/>
        <w:outlineLvl w:val="0"/>
        <w:rPr>
          <w:b/>
          <w:bCs/>
          <w:sz w:val="34"/>
          <w:szCs w:val="34"/>
        </w:rPr>
      </w:pPr>
    </w:p>
    <w:p w14:paraId="6F544617" w14:textId="77777777" w:rsidR="00BA4B4A" w:rsidRDefault="00BA4B4A" w:rsidP="00BA4B4A">
      <w:pPr>
        <w:jc w:val="center"/>
        <w:outlineLvl w:val="0"/>
        <w:rPr>
          <w:b/>
          <w:bCs/>
          <w:szCs w:val="34"/>
        </w:rPr>
      </w:pPr>
      <w:r>
        <w:rPr>
          <w:b/>
          <w:bCs/>
          <w:szCs w:val="34"/>
        </w:rPr>
        <w:t>No. 16</w:t>
      </w:r>
      <w:r w:rsidRPr="000166CC">
        <w:rPr>
          <w:b/>
          <w:bCs/>
          <w:szCs w:val="34"/>
        </w:rPr>
        <w:t>-</w:t>
      </w:r>
      <w:r>
        <w:rPr>
          <w:b/>
          <w:bCs/>
          <w:szCs w:val="34"/>
        </w:rPr>
        <w:t>O</w:t>
      </w:r>
      <w:r w:rsidRPr="000166CC">
        <w:rPr>
          <w:b/>
          <w:bCs/>
          <w:szCs w:val="34"/>
        </w:rPr>
        <w:t>-</w:t>
      </w:r>
      <w:r>
        <w:rPr>
          <w:b/>
          <w:bCs/>
          <w:szCs w:val="34"/>
        </w:rPr>
        <w:t>17714</w:t>
      </w:r>
    </w:p>
    <w:p w14:paraId="0F11D399" w14:textId="77777777" w:rsidR="00BA4B4A" w:rsidRDefault="00BA4B4A" w:rsidP="00BA4B4A">
      <w:pPr>
        <w:jc w:val="center"/>
        <w:outlineLvl w:val="0"/>
        <w:rPr>
          <w:szCs w:val="34"/>
        </w:rPr>
      </w:pPr>
    </w:p>
    <w:p w14:paraId="39EF55FF" w14:textId="77777777" w:rsidR="00BA4B4A" w:rsidRDefault="00BA4B4A" w:rsidP="00BA4B4A">
      <w:pPr>
        <w:jc w:val="center"/>
        <w:rPr>
          <w:b/>
          <w:bCs/>
          <w:i/>
          <w:iCs/>
          <w:szCs w:val="34"/>
        </w:rPr>
      </w:pPr>
    </w:p>
    <w:p w14:paraId="2DC2E111" w14:textId="77777777" w:rsidR="00BA4B4A" w:rsidRDefault="00BA4B4A" w:rsidP="00BA4B4A">
      <w:pPr>
        <w:jc w:val="center"/>
        <w:rPr>
          <w:b/>
          <w:bCs/>
          <w:i/>
          <w:iCs/>
          <w:szCs w:val="34"/>
        </w:rPr>
      </w:pPr>
      <w:r>
        <w:rPr>
          <w:b/>
          <w:bCs/>
          <w:i/>
          <w:iCs/>
          <w:szCs w:val="34"/>
        </w:rPr>
        <w:br/>
      </w:r>
    </w:p>
    <w:p w14:paraId="28412351" w14:textId="77777777" w:rsidR="00BA4B4A" w:rsidRDefault="00BA4B4A" w:rsidP="00BA4B4A">
      <w:pPr>
        <w:spacing w:line="360" w:lineRule="auto"/>
        <w:jc w:val="center"/>
        <w:outlineLvl w:val="0"/>
        <w:rPr>
          <w:b/>
          <w:bCs/>
          <w:i/>
          <w:iCs/>
          <w:szCs w:val="34"/>
        </w:rPr>
      </w:pPr>
      <w:r>
        <w:rPr>
          <w:b/>
          <w:bCs/>
          <w:i/>
          <w:iCs/>
          <w:szCs w:val="34"/>
        </w:rPr>
        <w:t xml:space="preserve">In the Matter of </w:t>
      </w:r>
    </w:p>
    <w:p w14:paraId="65F4A19B" w14:textId="77777777" w:rsidR="00BA4B4A" w:rsidRDefault="00BA4B4A" w:rsidP="00BA4B4A">
      <w:pPr>
        <w:spacing w:line="360" w:lineRule="auto"/>
        <w:jc w:val="center"/>
        <w:outlineLvl w:val="0"/>
        <w:rPr>
          <w:szCs w:val="28"/>
        </w:rPr>
      </w:pPr>
      <w:r>
        <w:rPr>
          <w:b/>
          <w:bCs/>
          <w:szCs w:val="34"/>
        </w:rPr>
        <w:t>JOSEPH EARL MARTIN</w:t>
      </w:r>
    </w:p>
    <w:p w14:paraId="74E8A693" w14:textId="77777777" w:rsidR="00BA4B4A" w:rsidRDefault="00BA4B4A" w:rsidP="00BA4B4A">
      <w:pPr>
        <w:spacing w:line="360" w:lineRule="auto"/>
        <w:jc w:val="center"/>
        <w:rPr>
          <w:szCs w:val="28"/>
        </w:rPr>
      </w:pPr>
    </w:p>
    <w:p w14:paraId="1C4B4B7E" w14:textId="77777777" w:rsidR="00BA4B4A" w:rsidRDefault="00BA4B4A" w:rsidP="00BA4B4A">
      <w:pPr>
        <w:spacing w:line="360" w:lineRule="auto"/>
        <w:jc w:val="center"/>
        <w:rPr>
          <w:szCs w:val="28"/>
        </w:rPr>
      </w:pPr>
    </w:p>
    <w:p w14:paraId="0F9BDE71" w14:textId="77777777" w:rsidR="00BA4B4A" w:rsidRDefault="00BA4B4A" w:rsidP="00BA4B4A">
      <w:pPr>
        <w:spacing w:line="360" w:lineRule="auto"/>
        <w:jc w:val="center"/>
        <w:rPr>
          <w:szCs w:val="28"/>
        </w:rPr>
      </w:pPr>
    </w:p>
    <w:p w14:paraId="5409B441" w14:textId="77777777" w:rsidR="00BA4B4A" w:rsidRDefault="00BA4B4A" w:rsidP="00BA4B4A">
      <w:pPr>
        <w:spacing w:line="360" w:lineRule="auto"/>
        <w:jc w:val="center"/>
        <w:rPr>
          <w:szCs w:val="28"/>
        </w:rPr>
      </w:pPr>
    </w:p>
    <w:p w14:paraId="1354FC6E" w14:textId="77777777" w:rsidR="00BA4B4A" w:rsidRDefault="00BA4B4A" w:rsidP="00BA4B4A">
      <w:pPr>
        <w:spacing w:line="360" w:lineRule="auto"/>
        <w:jc w:val="center"/>
        <w:rPr>
          <w:szCs w:val="28"/>
        </w:rPr>
      </w:pPr>
    </w:p>
    <w:p w14:paraId="3E64C122" w14:textId="77777777" w:rsidR="00BA4B4A" w:rsidRDefault="00BA4B4A" w:rsidP="00BA4B4A">
      <w:pPr>
        <w:jc w:val="center"/>
        <w:outlineLvl w:val="0"/>
        <w:rPr>
          <w:i/>
          <w:iCs/>
          <w:szCs w:val="28"/>
        </w:rPr>
      </w:pPr>
      <w:r>
        <w:rPr>
          <w:i/>
          <w:iCs/>
          <w:szCs w:val="28"/>
        </w:rPr>
        <w:t>Hearing Judge</w:t>
      </w:r>
    </w:p>
    <w:p w14:paraId="3A51FF88" w14:textId="77777777" w:rsidR="00BA4B4A" w:rsidRDefault="00BA4B4A" w:rsidP="00BA4B4A">
      <w:pPr>
        <w:jc w:val="center"/>
        <w:outlineLvl w:val="0"/>
        <w:rPr>
          <w:i/>
          <w:iCs/>
          <w:szCs w:val="28"/>
        </w:rPr>
      </w:pPr>
    </w:p>
    <w:p w14:paraId="76C4D780" w14:textId="77777777" w:rsidR="00BA4B4A" w:rsidRDefault="00BA4B4A" w:rsidP="00BA4B4A">
      <w:pPr>
        <w:jc w:val="center"/>
        <w:outlineLvl w:val="0"/>
        <w:rPr>
          <w:szCs w:val="28"/>
        </w:rPr>
      </w:pPr>
      <w:r>
        <w:rPr>
          <w:b/>
          <w:bCs/>
          <w:szCs w:val="32"/>
        </w:rPr>
        <w:t xml:space="preserve">Hon. Manjari Chawla </w:t>
      </w:r>
    </w:p>
    <w:p w14:paraId="788C3432" w14:textId="77777777" w:rsidR="00BA4B4A" w:rsidRDefault="00BA4B4A" w:rsidP="00BA4B4A">
      <w:pPr>
        <w:jc w:val="center"/>
        <w:rPr>
          <w:szCs w:val="28"/>
        </w:rPr>
      </w:pPr>
    </w:p>
    <w:p w14:paraId="35BB552E" w14:textId="77777777" w:rsidR="00BA4B4A" w:rsidRDefault="00BA4B4A" w:rsidP="00BA4B4A">
      <w:pPr>
        <w:jc w:val="center"/>
        <w:rPr>
          <w:szCs w:val="28"/>
        </w:rPr>
      </w:pPr>
    </w:p>
    <w:p w14:paraId="6EBF98A7" w14:textId="77777777" w:rsidR="00BA4B4A" w:rsidRDefault="00BA4B4A" w:rsidP="00BA4B4A">
      <w:pPr>
        <w:jc w:val="center"/>
        <w:rPr>
          <w:szCs w:val="28"/>
        </w:rPr>
      </w:pPr>
    </w:p>
    <w:p w14:paraId="475041CB" w14:textId="77777777" w:rsidR="00BA4B4A" w:rsidRDefault="00BA4B4A" w:rsidP="00BA4B4A">
      <w:pPr>
        <w:jc w:val="center"/>
        <w:rPr>
          <w:szCs w:val="28"/>
        </w:rPr>
      </w:pPr>
    </w:p>
    <w:p w14:paraId="6CF8DDA3" w14:textId="77777777" w:rsidR="00BA4B4A" w:rsidRDefault="00BA4B4A" w:rsidP="00BA4B4A">
      <w:pPr>
        <w:jc w:val="center"/>
        <w:rPr>
          <w:szCs w:val="28"/>
        </w:rPr>
      </w:pPr>
    </w:p>
    <w:p w14:paraId="225BAEB4" w14:textId="77777777" w:rsidR="00BA4B4A" w:rsidRDefault="00BA4B4A" w:rsidP="00BA4B4A">
      <w:pPr>
        <w:jc w:val="center"/>
        <w:rPr>
          <w:szCs w:val="28"/>
        </w:rPr>
      </w:pPr>
    </w:p>
    <w:p w14:paraId="3249E5DD" w14:textId="77777777" w:rsidR="00BA4B4A" w:rsidRDefault="00BA4B4A" w:rsidP="00BA4B4A">
      <w:pPr>
        <w:jc w:val="center"/>
        <w:rPr>
          <w:szCs w:val="28"/>
        </w:rPr>
      </w:pPr>
    </w:p>
    <w:p w14:paraId="58042B25" w14:textId="77777777" w:rsidR="00BA4B4A" w:rsidRDefault="00BA4B4A" w:rsidP="00BA4B4A">
      <w:pPr>
        <w:rPr>
          <w:szCs w:val="28"/>
        </w:rPr>
      </w:pPr>
    </w:p>
    <w:p w14:paraId="32F81ECE" w14:textId="77777777" w:rsidR="00BA4B4A" w:rsidRDefault="00BA4B4A" w:rsidP="00BA4B4A">
      <w:pPr>
        <w:jc w:val="center"/>
        <w:outlineLvl w:val="0"/>
        <w:rPr>
          <w:b/>
          <w:bCs/>
          <w:i/>
          <w:iCs/>
          <w:szCs w:val="28"/>
        </w:rPr>
      </w:pPr>
      <w:r>
        <w:rPr>
          <w:i/>
          <w:iCs/>
          <w:szCs w:val="28"/>
        </w:rPr>
        <w:t>Counsel for the Parties</w:t>
      </w:r>
    </w:p>
    <w:p w14:paraId="73C2A20B" w14:textId="77777777" w:rsidR="00BA4B4A" w:rsidRDefault="00BA4B4A" w:rsidP="00BA4B4A">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BA4B4A" w14:paraId="51E38C27" w14:textId="77777777" w:rsidTr="00D5560E">
        <w:trPr>
          <w:cantSplit/>
        </w:trPr>
        <w:tc>
          <w:tcPr>
            <w:tcW w:w="5310" w:type="dxa"/>
          </w:tcPr>
          <w:p w14:paraId="0CCF7EB4" w14:textId="77777777" w:rsidR="00BA4B4A" w:rsidRDefault="00BA4B4A" w:rsidP="00D5560E">
            <w:pPr>
              <w:spacing w:before="100" w:after="48"/>
              <w:rPr>
                <w:szCs w:val="28"/>
              </w:rPr>
            </w:pPr>
            <w:r>
              <w:rPr>
                <w:b/>
                <w:bCs/>
                <w:szCs w:val="28"/>
              </w:rPr>
              <w:tab/>
            </w:r>
            <w:r>
              <w:rPr>
                <w:szCs w:val="28"/>
              </w:rPr>
              <w:t>For Office of Chief Trial Counsel:</w:t>
            </w:r>
          </w:p>
        </w:tc>
        <w:tc>
          <w:tcPr>
            <w:tcW w:w="4140" w:type="dxa"/>
          </w:tcPr>
          <w:p w14:paraId="0F3C78DD" w14:textId="1EC65FF0" w:rsidR="00BA4B4A" w:rsidRDefault="006208AF" w:rsidP="00D5560E">
            <w:pPr>
              <w:spacing w:before="100"/>
              <w:rPr>
                <w:szCs w:val="28"/>
              </w:rPr>
            </w:pPr>
            <w:r>
              <w:rPr>
                <w:szCs w:val="28"/>
              </w:rPr>
              <w:t>Rachel Sim</w:t>
            </w:r>
            <w:r w:rsidR="009D4702">
              <w:rPr>
                <w:szCs w:val="28"/>
              </w:rPr>
              <w:t>one</w:t>
            </w:r>
            <w:r>
              <w:rPr>
                <w:szCs w:val="28"/>
              </w:rPr>
              <w:t xml:space="preserve"> Grunberg</w:t>
            </w:r>
          </w:p>
          <w:p w14:paraId="1DF575FA" w14:textId="77777777" w:rsidR="00BA4B4A" w:rsidRDefault="00BA4B4A" w:rsidP="009D4702">
            <w:pPr>
              <w:rPr>
                <w:szCs w:val="28"/>
              </w:rPr>
            </w:pPr>
            <w:r>
              <w:rPr>
                <w:szCs w:val="28"/>
              </w:rPr>
              <w:t>Office of Chief Trial Counsel</w:t>
            </w:r>
          </w:p>
          <w:p w14:paraId="6CBBBA6E" w14:textId="77777777" w:rsidR="00BA4B4A" w:rsidRDefault="00BA4B4A" w:rsidP="009D4702">
            <w:pPr>
              <w:rPr>
                <w:szCs w:val="28"/>
              </w:rPr>
            </w:pPr>
            <w:r>
              <w:rPr>
                <w:szCs w:val="28"/>
              </w:rPr>
              <w:t>The State Bar of California</w:t>
            </w:r>
          </w:p>
          <w:p w14:paraId="2CE1A13E" w14:textId="77777777" w:rsidR="006208AF" w:rsidRDefault="006208AF" w:rsidP="009D4702">
            <w:pPr>
              <w:rPr>
                <w:szCs w:val="28"/>
              </w:rPr>
            </w:pPr>
            <w:r>
              <w:rPr>
                <w:szCs w:val="28"/>
              </w:rPr>
              <w:t>180 Howard Street</w:t>
            </w:r>
          </w:p>
          <w:p w14:paraId="0FE8B577" w14:textId="341180E2" w:rsidR="00BA4B4A" w:rsidRDefault="006208AF" w:rsidP="009D4702">
            <w:pPr>
              <w:rPr>
                <w:szCs w:val="28"/>
              </w:rPr>
            </w:pPr>
            <w:r>
              <w:rPr>
                <w:szCs w:val="28"/>
              </w:rPr>
              <w:t>San Francisco, CA  94105</w:t>
            </w:r>
          </w:p>
          <w:p w14:paraId="1E8A201E" w14:textId="1A0B2378" w:rsidR="006208AF" w:rsidRDefault="00BF1A0C" w:rsidP="009D4702">
            <w:pPr>
              <w:rPr>
                <w:szCs w:val="28"/>
              </w:rPr>
            </w:pPr>
            <w:hyperlink r:id="rId9" w:history="1">
              <w:r w:rsidR="006208AF" w:rsidRPr="00A07DC6">
                <w:rPr>
                  <w:rStyle w:val="Hyperlink"/>
                  <w:szCs w:val="28"/>
                </w:rPr>
                <w:t>rachel.grunberg@calbar.ca.gov</w:t>
              </w:r>
            </w:hyperlink>
            <w:r w:rsidR="006208AF">
              <w:rPr>
                <w:szCs w:val="28"/>
              </w:rPr>
              <w:t xml:space="preserve"> </w:t>
            </w:r>
          </w:p>
          <w:p w14:paraId="6D863D1E" w14:textId="77777777" w:rsidR="00BA4B4A" w:rsidRDefault="00BA4B4A" w:rsidP="00D5560E">
            <w:pPr>
              <w:spacing w:after="48"/>
              <w:rPr>
                <w:szCs w:val="28"/>
              </w:rPr>
            </w:pPr>
          </w:p>
        </w:tc>
      </w:tr>
      <w:tr w:rsidR="00BA4B4A" w14:paraId="4230F87A" w14:textId="77777777" w:rsidTr="00D5560E">
        <w:trPr>
          <w:cantSplit/>
        </w:trPr>
        <w:tc>
          <w:tcPr>
            <w:tcW w:w="5310" w:type="dxa"/>
          </w:tcPr>
          <w:p w14:paraId="21848F5C" w14:textId="66F3906D" w:rsidR="00BA4B4A" w:rsidRDefault="00BA4B4A" w:rsidP="00D5560E">
            <w:pPr>
              <w:spacing w:before="100" w:after="48"/>
              <w:rPr>
                <w:szCs w:val="28"/>
              </w:rPr>
            </w:pPr>
            <w:r>
              <w:rPr>
                <w:b/>
                <w:bCs/>
                <w:szCs w:val="28"/>
              </w:rPr>
              <w:tab/>
            </w:r>
            <w:r>
              <w:rPr>
                <w:szCs w:val="28"/>
              </w:rPr>
              <w:t>For Joseph Earl Martin:</w:t>
            </w:r>
          </w:p>
        </w:tc>
        <w:tc>
          <w:tcPr>
            <w:tcW w:w="4140" w:type="dxa"/>
          </w:tcPr>
          <w:p w14:paraId="11CA2715" w14:textId="36B7C7B2" w:rsidR="006208AF" w:rsidRDefault="006208AF" w:rsidP="006208AF">
            <w:pPr>
              <w:spacing w:before="100"/>
            </w:pPr>
            <w:r>
              <w:t>Joseph E. Martin, in pro. per</w:t>
            </w:r>
            <w:r w:rsidR="00624282">
              <w:t>.</w:t>
            </w:r>
          </w:p>
          <w:p w14:paraId="134A1305" w14:textId="77777777" w:rsidR="006208AF" w:rsidRDefault="006208AF" w:rsidP="006208AF">
            <w:r>
              <w:t>Law Offices of Jem Martin</w:t>
            </w:r>
          </w:p>
          <w:p w14:paraId="1BC857BF" w14:textId="20F5F85C" w:rsidR="006208AF" w:rsidRDefault="006208AF" w:rsidP="006208AF">
            <w:r>
              <w:t>2121 Natomas Crossing Drive, #200-2</w:t>
            </w:r>
          </w:p>
          <w:p w14:paraId="6FDB0550" w14:textId="77777777" w:rsidR="006208AF" w:rsidRDefault="006208AF" w:rsidP="006208AF">
            <w:r>
              <w:t>Sacramento, CA  95834</w:t>
            </w:r>
          </w:p>
          <w:p w14:paraId="5B0FC7D1" w14:textId="77777777" w:rsidR="00BA4B4A" w:rsidRDefault="00BF1A0C" w:rsidP="006208AF">
            <w:hyperlink r:id="rId10" w:history="1">
              <w:r w:rsidR="006208AF">
                <w:rPr>
                  <w:rStyle w:val="Hyperlink"/>
                </w:rPr>
                <w:t>martinjem@hotmail.com</w:t>
              </w:r>
            </w:hyperlink>
          </w:p>
          <w:p w14:paraId="757C7211" w14:textId="4B4617E7" w:rsidR="006208AF" w:rsidRPr="006208AF" w:rsidRDefault="006208AF" w:rsidP="006208AF"/>
        </w:tc>
      </w:tr>
    </w:tbl>
    <w:p w14:paraId="6BB9355D" w14:textId="77777777" w:rsidR="00BA4B4A" w:rsidRDefault="00BA4B4A" w:rsidP="00BA4B4A"/>
    <w:p w14:paraId="513F05F8" w14:textId="77777777" w:rsidR="00452EE1" w:rsidRPr="00E26B8A" w:rsidRDefault="00452EE1" w:rsidP="000E0A7C"/>
    <w:sectPr w:rsidR="00452EE1" w:rsidRPr="00E26B8A"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6C81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08933" w14:textId="77777777" w:rsidR="004E0760" w:rsidRDefault="004E0760" w:rsidP="00055C8A">
      <w:r>
        <w:separator/>
      </w:r>
    </w:p>
  </w:endnote>
  <w:endnote w:type="continuationSeparator" w:id="0">
    <w:p w14:paraId="4BF86CF3" w14:textId="77777777" w:rsidR="004E0760" w:rsidRDefault="004E0760"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14:paraId="4DC82C02" w14:textId="77777777" w:rsidR="002413A3" w:rsidRDefault="002413A3" w:rsidP="0099101B">
        <w:pPr>
          <w:pStyle w:val="Footer"/>
          <w:spacing w:before="120"/>
          <w:jc w:val="center"/>
        </w:pPr>
        <w:r>
          <w:t>-</w:t>
        </w:r>
        <w:r>
          <w:fldChar w:fldCharType="begin"/>
        </w:r>
        <w:r>
          <w:instrText xml:space="preserve"> PAGE   \* MERGEFORMAT </w:instrText>
        </w:r>
        <w:r>
          <w:fldChar w:fldCharType="separate"/>
        </w:r>
        <w:r w:rsidR="00BF1A0C">
          <w:rPr>
            <w:noProof/>
          </w:rPr>
          <w:t>19</w:t>
        </w:r>
        <w:r>
          <w:rPr>
            <w:noProof/>
          </w:rPr>
          <w:fldChar w:fldCharType="end"/>
        </w:r>
        <w: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88C8" w14:textId="77777777" w:rsidR="002413A3" w:rsidRPr="005F17DC" w:rsidRDefault="002413A3" w:rsidP="001A6CD9">
    <w:pPr>
      <w:pStyle w:val="Footer"/>
      <w:rPr>
        <w:rFonts w:ascii="Arial" w:hAnsi="Arial"/>
        <w:color w:val="FFFFFF" w:themeColor="background1"/>
        <w:sz w:val="14"/>
        <w:szCs w:val="14"/>
      </w:rPr>
    </w:pPr>
    <w:r w:rsidRPr="005F17DC">
      <w:rPr>
        <w:rFonts w:ascii="Arial" w:hAnsi="Arial"/>
        <w:color w:val="FFFFFF" w:themeColor="background1"/>
        <w:sz w:val="14"/>
        <w:szCs w:val="14"/>
      </w:rPr>
      <w:t>Opinion Frm (20190813)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CD774" w14:textId="77777777" w:rsidR="004E0760" w:rsidRDefault="004E0760" w:rsidP="00055C8A">
      <w:r>
        <w:separator/>
      </w:r>
    </w:p>
  </w:footnote>
  <w:footnote w:type="continuationSeparator" w:id="0">
    <w:p w14:paraId="0344D544" w14:textId="77777777" w:rsidR="004E0760" w:rsidRDefault="004E0760" w:rsidP="00055C8A">
      <w:r>
        <w:continuationSeparator/>
      </w:r>
    </w:p>
  </w:footnote>
  <w:footnote w:id="1">
    <w:p w14:paraId="25CBE2C6" w14:textId="66C003E1" w:rsidR="002413A3" w:rsidRDefault="002413A3" w:rsidP="002926B0">
      <w:pPr>
        <w:pStyle w:val="TemplateFootnote"/>
      </w:pPr>
      <w:r>
        <w:rPr>
          <w:rStyle w:val="FootnoteReference"/>
        </w:rPr>
        <w:footnoteRef/>
      </w:r>
      <w:r>
        <w:t xml:space="preserve"> All further references to rules are to the Rules of Professional Conduct that were in effect from September 14, 1992, to October 31, 2018, unless otherwise noted.</w:t>
      </w:r>
    </w:p>
  </w:footnote>
  <w:footnote w:id="2">
    <w:p w14:paraId="3B232ADE" w14:textId="48F65C33" w:rsidR="002413A3" w:rsidRDefault="002413A3" w:rsidP="002926B0">
      <w:pPr>
        <w:pStyle w:val="FootnoteText"/>
      </w:pPr>
      <w:r>
        <w:rPr>
          <w:rStyle w:val="FootnoteReference"/>
        </w:rPr>
        <w:footnoteRef/>
      </w:r>
      <w:r>
        <w:t xml:space="preserve"> Standard 2.2(a) of the Rules of Procedure of the State Bar, title IV, Standards for Attorney Sanctions for Professional Misconduct, provides that “Actual suspension of three months is the presumed sanction for </w:t>
      </w:r>
      <w:r w:rsidR="002926B0">
        <w:t xml:space="preserve">. . . </w:t>
      </w:r>
      <w:r>
        <w:t>commingling</w:t>
      </w:r>
      <w:r w:rsidR="002926B0">
        <w:t xml:space="preserve"> . . . </w:t>
      </w:r>
      <w:r>
        <w:t xml:space="preserve">.” </w:t>
      </w:r>
      <w:r w:rsidR="002926B0">
        <w:t xml:space="preserve"> </w:t>
      </w:r>
      <w:r>
        <w:t xml:space="preserve">Further references to standards are to this source. </w:t>
      </w:r>
    </w:p>
  </w:footnote>
  <w:footnote w:id="3">
    <w:p w14:paraId="4C66207A" w14:textId="7638ACAF" w:rsidR="002413A3" w:rsidRDefault="002413A3" w:rsidP="00CB7896">
      <w:pPr>
        <w:pStyle w:val="TemplateFootnote"/>
      </w:pPr>
      <w:r>
        <w:rPr>
          <w:rStyle w:val="FootnoteReference"/>
        </w:rPr>
        <w:footnoteRef/>
      </w:r>
      <w:r>
        <w:t xml:space="preserve"> At the beginning of the trial, the hearing judge granted Martin’s request to withdraw from stipulating to the admission of bank records as exhibits</w:t>
      </w:r>
      <w:r w:rsidR="00894F9F">
        <w:t>,</w:t>
      </w:r>
      <w:r>
        <w:t xml:space="preserve"> based on his argument that his stipulation of facts rendered those records unnecessary. </w:t>
      </w:r>
      <w:r w:rsidR="006D1EA3">
        <w:t xml:space="preserve"> </w:t>
      </w:r>
      <w:r>
        <w:t xml:space="preserve">A review of the transcript shows many exhibits were only partially admitted, with OCTC agreeing that </w:t>
      </w:r>
      <w:r w:rsidR="00894F9F">
        <w:t xml:space="preserve">some </w:t>
      </w:r>
      <w:r>
        <w:t xml:space="preserve">records </w:t>
      </w:r>
      <w:r w:rsidR="00894F9F">
        <w:t xml:space="preserve">that had been contained in the Stipulation </w:t>
      </w:r>
      <w:r>
        <w:t xml:space="preserve">did not need to be admitted.  </w:t>
      </w:r>
    </w:p>
  </w:footnote>
  <w:footnote w:id="4">
    <w:p w14:paraId="1EC9FC5B" w14:textId="77777777" w:rsidR="002413A3" w:rsidRDefault="002413A3" w:rsidP="00CE1670">
      <w:pPr>
        <w:pStyle w:val="FootnoteText"/>
        <w:spacing w:after="120"/>
      </w:pPr>
      <w:r>
        <w:rPr>
          <w:rStyle w:val="FootnoteReference"/>
        </w:rPr>
        <w:footnoteRef/>
      </w:r>
      <w:r>
        <w:t xml:space="preserve"> </w:t>
      </w:r>
      <w:r w:rsidRPr="00D55103">
        <w:rPr>
          <w:szCs w:val="24"/>
        </w:rPr>
        <w:t xml:space="preserve">The facts included </w:t>
      </w:r>
      <w:r>
        <w:rPr>
          <w:szCs w:val="24"/>
        </w:rPr>
        <w:t>in this opinion are based on the Stipulation,</w:t>
      </w:r>
      <w:r w:rsidRPr="00D55103">
        <w:rPr>
          <w:szCs w:val="24"/>
        </w:rPr>
        <w:t xml:space="preserve"> trial testimony, documentary evidence, and the hearing judge’s factual findings, which are entitled to great weight.  (Rules Proc. of State Bar, rule 5.155(A).)</w:t>
      </w:r>
    </w:p>
  </w:footnote>
  <w:footnote w:id="5">
    <w:p w14:paraId="162761E7" w14:textId="6BBD596F" w:rsidR="002413A3" w:rsidRDefault="002413A3" w:rsidP="00CB7896">
      <w:pPr>
        <w:pStyle w:val="TemplateFootnote"/>
      </w:pPr>
      <w:r>
        <w:rPr>
          <w:rStyle w:val="FootnoteReference"/>
        </w:rPr>
        <w:footnoteRef/>
      </w:r>
      <w:r>
        <w:t xml:space="preserve"> As established by the Stipulation, Martin made the following deposits into his CTA: 20 deposits from Legal Management Quickbooks (paychecks), six deposits from Spaulding Campri LLC (payments for his work as an independent contractor), and two cash deposits.  Martin made the following payments from his CTA: 68 checks to K. Martin (his </w:t>
      </w:r>
      <w:r w:rsidR="00D970F0">
        <w:t>ex-</w:t>
      </w:r>
      <w:r>
        <w:t xml:space="preserve">wife), 49 cash withdrawals, 11 payments to Target, seven payments to V. Paul (his landlord), three checks to the Department of Motor Vehicles, and two payments to Kaiser Pharmacy.  </w:t>
      </w:r>
    </w:p>
  </w:footnote>
  <w:footnote w:id="6">
    <w:p w14:paraId="5754F91E" w14:textId="2A08CBB0" w:rsidR="002413A3" w:rsidRDefault="002413A3" w:rsidP="00D348D4">
      <w:pPr>
        <w:pStyle w:val="FootnoteText"/>
      </w:pPr>
      <w:r>
        <w:rPr>
          <w:rStyle w:val="FootnoteReference"/>
        </w:rPr>
        <w:footnoteRef/>
      </w:r>
      <w:r>
        <w:t xml:space="preserve"> </w:t>
      </w:r>
      <w:r w:rsidR="00312E65">
        <w:t>Ru</w:t>
      </w:r>
      <w:r>
        <w:t xml:space="preserve">le 4-100 provides, in relevant part, that, “(A) All funds received or held for the benefit of clients by a member </w:t>
      </w:r>
      <w:r w:rsidR="0038352C">
        <w:t>. . .</w:t>
      </w:r>
      <w:r>
        <w:t xml:space="preserve"> </w:t>
      </w:r>
      <w:r w:rsidR="0038352C">
        <w:t xml:space="preserve">shall be deposited in a [CTA] . . . </w:t>
      </w:r>
      <w:r w:rsidR="000F7AFC">
        <w:t>.</w:t>
      </w:r>
      <w:r>
        <w:t xml:space="preserve"> </w:t>
      </w:r>
      <w:r w:rsidR="000F7AFC">
        <w:t xml:space="preserve"> </w:t>
      </w:r>
      <w:r>
        <w:t xml:space="preserve">No funds belonging to the member </w:t>
      </w:r>
      <w:r w:rsidR="000F7AFC">
        <w:t xml:space="preserve">. . . </w:t>
      </w:r>
      <w:r>
        <w:t xml:space="preserve">shall be deposited [into the CTA] or otherwise commingled </w:t>
      </w:r>
      <w:r w:rsidR="0038352C">
        <w:t xml:space="preserve">. . . </w:t>
      </w:r>
      <w:r>
        <w:t xml:space="preserve">. </w:t>
      </w:r>
    </w:p>
    <w:p w14:paraId="43ED1024" w14:textId="5D3B41F0" w:rsidR="002413A3" w:rsidRDefault="002413A3" w:rsidP="005549F6">
      <w:pPr>
        <w:pStyle w:val="FootnoteText"/>
      </w:pPr>
      <w:r>
        <w:t xml:space="preserve">(B) A member shall </w:t>
      </w:r>
      <w:r w:rsidR="0038352C">
        <w:t>. . .</w:t>
      </w:r>
      <w:r>
        <w:t xml:space="preserve"> (3) Maintain complete records of all funds, securities, and other properties of a client coming into the possession of the member</w:t>
      </w:r>
      <w:r w:rsidR="0038352C">
        <w:t xml:space="preserve"> . . . </w:t>
      </w:r>
      <w:r>
        <w:t>.</w:t>
      </w:r>
    </w:p>
    <w:p w14:paraId="5E95CFFF" w14:textId="3B7E066D" w:rsidR="002413A3" w:rsidRDefault="002413A3" w:rsidP="00B2487E">
      <w:pPr>
        <w:pStyle w:val="FootnoteText"/>
      </w:pPr>
      <w:r>
        <w:t xml:space="preserve">(C) The Board of [Trustees] </w:t>
      </w:r>
      <w:r w:rsidR="0038352C">
        <w:t>. . .</w:t>
      </w:r>
      <w:r>
        <w:t xml:space="preserve"> shall have the authority to formulate and adopt standards as to what </w:t>
      </w:r>
      <w:r w:rsidR="004B6142">
        <w:t>‘</w:t>
      </w:r>
      <w:r>
        <w:t>records</w:t>
      </w:r>
      <w:r w:rsidR="004B6142">
        <w:t>’</w:t>
      </w:r>
      <w:r>
        <w:t xml:space="preserve"> shall be maintained by members </w:t>
      </w:r>
      <w:r w:rsidR="0038352C">
        <w:t>. . .</w:t>
      </w:r>
      <w:r>
        <w:t xml:space="preserve"> in accordance with subparagraph (B)(3). </w:t>
      </w:r>
      <w:r w:rsidR="0038352C">
        <w:t xml:space="preserve"> </w:t>
      </w:r>
      <w:r>
        <w:t xml:space="preserve">The standards formulated and adopted by the Board </w:t>
      </w:r>
      <w:r w:rsidR="0038352C">
        <w:t>. . .</w:t>
      </w:r>
      <w:r>
        <w:t xml:space="preserve"> shall be effective and binding on all members.</w:t>
      </w:r>
      <w:r w:rsidR="004B6142">
        <w:t>”</w:t>
      </w:r>
    </w:p>
  </w:footnote>
  <w:footnote w:id="7">
    <w:p w14:paraId="35BC3D11" w14:textId="0447AE7F" w:rsidR="00F37430" w:rsidRDefault="00F37430" w:rsidP="00F37430">
      <w:pPr>
        <w:pStyle w:val="TemplateFootnote"/>
      </w:pPr>
      <w:r>
        <w:rPr>
          <w:rStyle w:val="FootnoteReference"/>
        </w:rPr>
        <w:footnoteRef/>
      </w:r>
      <w:r>
        <w:t xml:space="preserve"> </w:t>
      </w:r>
      <w:r w:rsidRPr="00F37430">
        <w:t xml:space="preserve">The State Bar’s Handbook on Client Trust Accounting also describes the prohibition against using a CTA for personal use: “You </w:t>
      </w:r>
      <w:r w:rsidRPr="00F37430">
        <w:rPr>
          <w:i/>
          <w:iCs/>
        </w:rPr>
        <w:t xml:space="preserve">can’t </w:t>
      </w:r>
      <w:r w:rsidRPr="00F37430">
        <w:t>make payments out of your client trust bank account to cover your own expenses, personal or business, or for any other purpose that isn't directly related to carrying out your d</w:t>
      </w:r>
      <w:r>
        <w:t xml:space="preserve">uties to an individual client.” </w:t>
      </w:r>
      <w:r w:rsidRPr="00F37430">
        <w:t xml:space="preserve"> (The State Bar of Cal., Handbook on Client Trust Accounting for California Attorneys (2018) (“Ha</w:t>
      </w:r>
      <w:r w:rsidR="009C6B58">
        <w:t>ndbook”), § </w:t>
      </w:r>
      <w:r w:rsidRPr="00F37430">
        <w:t>VI, p.</w:t>
      </w:r>
      <w:r w:rsidR="009C6B58">
        <w:t> </w:t>
      </w:r>
      <w:r w:rsidRPr="00F37430">
        <w:t xml:space="preserve">17.) </w:t>
      </w:r>
      <w:r w:rsidR="009C6B58">
        <w:t xml:space="preserve"> The Handbook is available online at the following website: </w:t>
      </w:r>
      <w:r w:rsidR="00193A04" w:rsidRPr="00D27780">
        <w:t>http://www.calbar.ca.gov/Portals/0/documents/ethics/Publications/CTA-Handbook.pdf</w:t>
      </w:r>
      <w:r w:rsidR="009C6B58">
        <w:t>.</w:t>
      </w:r>
    </w:p>
  </w:footnote>
  <w:footnote w:id="8">
    <w:p w14:paraId="37D05F9E" w14:textId="7745A1B1" w:rsidR="002413A3" w:rsidRDefault="002413A3" w:rsidP="00CB7896">
      <w:pPr>
        <w:pStyle w:val="TemplateFootnote"/>
      </w:pPr>
      <w:r>
        <w:rPr>
          <w:rStyle w:val="FootnoteReference"/>
        </w:rPr>
        <w:footnoteRef/>
      </w:r>
      <w:r>
        <w:t xml:space="preserve"> Additionally, Martin </w:t>
      </w:r>
      <w:r w:rsidRPr="00CB7896">
        <w:t>briefly</w:t>
      </w:r>
      <w:r>
        <w:t xml:space="preserve"> argues he had a good faith belief that he was not violating rule</w:t>
      </w:r>
      <w:r w:rsidR="006E3CD5">
        <w:t> </w:t>
      </w:r>
      <w:r>
        <w:t>4-100(A).  Even if true, his good faith belief does not excuse his culpability.  (</w:t>
      </w:r>
      <w:r w:rsidRPr="00FF39AF">
        <w:rPr>
          <w:i/>
        </w:rPr>
        <w:t>Heavey v. State Bar</w:t>
      </w:r>
      <w:r>
        <w:t xml:space="preserve"> (1976) 17 Cal.3d 553, 558 [</w:t>
      </w:r>
      <w:r w:rsidRPr="000040CF">
        <w:t>good faith is not defense to commingling charge</w:t>
      </w:r>
      <w:r>
        <w:t xml:space="preserve">].)  </w:t>
      </w:r>
    </w:p>
  </w:footnote>
  <w:footnote w:id="9">
    <w:p w14:paraId="0F7B1006" w14:textId="71684861" w:rsidR="002413A3" w:rsidRDefault="002413A3" w:rsidP="00CB7896">
      <w:pPr>
        <w:pStyle w:val="TemplateFootnote"/>
      </w:pPr>
      <w:r>
        <w:rPr>
          <w:rStyle w:val="FootnoteReference"/>
        </w:rPr>
        <w:footnoteRef/>
      </w:r>
      <w:r>
        <w:t xml:space="preserve"> Martin requests “a de novo reconsideration of aggravating and mitigating factors.”  For all issues in this proceeding, including aggravating and mitigating factors, we “independently review the record and may make findings, conclusions, or a decision or recommendation different from those of the hearing judge.” (Rules Proc. of State Bar, rule 5.155(A).)</w:t>
      </w:r>
    </w:p>
  </w:footnote>
  <w:footnote w:id="10">
    <w:p w14:paraId="4FD5E699" w14:textId="77777777" w:rsidR="002413A3" w:rsidRDefault="002413A3" w:rsidP="0038352C">
      <w:pPr>
        <w:pStyle w:val="TemplateFootnote"/>
      </w:pPr>
      <w:r>
        <w:rPr>
          <w:rStyle w:val="FootnoteReference"/>
        </w:rPr>
        <w:footnoteRef/>
      </w:r>
      <w:r>
        <w:t xml:space="preserve"> </w:t>
      </w:r>
      <w:r w:rsidRPr="000D4F0C">
        <w:t>Clear and convincing evidence leaves no substantial doubt and is sufficiently strong to command the unhesitating assent of every reasonable mind.  (</w:t>
      </w:r>
      <w:r w:rsidRPr="000D4F0C">
        <w:rPr>
          <w:i/>
        </w:rPr>
        <w:t>Conservatorship of Wendland</w:t>
      </w:r>
      <w:r w:rsidRPr="000D4F0C">
        <w:t xml:space="preserve"> (2001) 26</w:t>
      </w:r>
      <w:r>
        <w:t> </w:t>
      </w:r>
      <w:r w:rsidRPr="000D4F0C">
        <w:t>Cal.4th 519, 552.)</w:t>
      </w:r>
    </w:p>
  </w:footnote>
  <w:footnote w:id="11">
    <w:p w14:paraId="008E6342" w14:textId="28198E36" w:rsidR="002413A3" w:rsidRDefault="002413A3">
      <w:pPr>
        <w:pStyle w:val="FootnoteText"/>
      </w:pPr>
      <w:r>
        <w:rPr>
          <w:rStyle w:val="FootnoteReference"/>
        </w:rPr>
        <w:footnoteRef/>
      </w:r>
      <w:r>
        <w:t xml:space="preserve"> The hearing judge incorrectly stated that Martin</w:t>
      </w:r>
      <w:r w:rsidR="005075CA">
        <w:t>’</w:t>
      </w:r>
      <w:r>
        <w:t>s misconduct occurred over an eight-month period</w:t>
      </w:r>
      <w:r w:rsidR="0038352C">
        <w:t xml:space="preserve">. </w:t>
      </w:r>
      <w:r>
        <w:t xml:space="preserve"> </w:t>
      </w:r>
      <w:r w:rsidR="0038352C">
        <w:t>T</w:t>
      </w:r>
      <w:r>
        <w:t xml:space="preserve">he Stipulation states that Martin’s commingling violations happened over </w:t>
      </w:r>
      <w:r w:rsidR="005075CA">
        <w:t xml:space="preserve">a </w:t>
      </w:r>
      <w:r w:rsidR="00D718A4">
        <w:t xml:space="preserve">   10</w:t>
      </w:r>
      <w:r>
        <w:t>-month period from October</w:t>
      </w:r>
      <w:r w:rsidR="005075CA">
        <w:t> </w:t>
      </w:r>
      <w:r>
        <w:t>1, 2016</w:t>
      </w:r>
      <w:r w:rsidR="00D718A4">
        <w:t>,</w:t>
      </w:r>
      <w:r>
        <w:t xml:space="preserve"> through July</w:t>
      </w:r>
      <w:r w:rsidR="005075CA">
        <w:t> </w:t>
      </w:r>
      <w:r w:rsidR="00510BE0">
        <w:t>26</w:t>
      </w:r>
      <w:r>
        <w:t>, 2017.</w:t>
      </w:r>
    </w:p>
  </w:footnote>
  <w:footnote w:id="12">
    <w:p w14:paraId="56D3F3C7" w14:textId="423EC840" w:rsidR="00396E97" w:rsidRDefault="00396E97">
      <w:pPr>
        <w:pStyle w:val="FootnoteText"/>
      </w:pPr>
      <w:r>
        <w:rPr>
          <w:rStyle w:val="FootnoteReference"/>
        </w:rPr>
        <w:footnoteRef/>
      </w:r>
      <w:r>
        <w:t xml:space="preserve"> The </w:t>
      </w:r>
      <w:r w:rsidR="00A27DC0">
        <w:t xml:space="preserve">hearing </w:t>
      </w:r>
      <w:r>
        <w:t>judge erroneously concluded that Martin began using his CTA</w:t>
      </w:r>
      <w:r w:rsidR="00D61318">
        <w:t xml:space="preserve"> for personal deposits </w:t>
      </w:r>
      <w:r>
        <w:t>in 2004, when in fact</w:t>
      </w:r>
      <w:r w:rsidR="00D61318">
        <w:t>,</w:t>
      </w:r>
      <w:r>
        <w:t xml:space="preserve"> based on his unrebutted testimony, he </w:t>
      </w:r>
      <w:r w:rsidR="00A27DC0">
        <w:t xml:space="preserve">opened the CTA in 2004 and </w:t>
      </w:r>
      <w:r>
        <w:t>began to use it in 2012</w:t>
      </w:r>
      <w:r w:rsidR="00D61318">
        <w:t>.</w:t>
      </w:r>
    </w:p>
  </w:footnote>
  <w:footnote w:id="13">
    <w:p w14:paraId="7900D79F" w14:textId="65FEB55F" w:rsidR="002413A3" w:rsidRDefault="002413A3" w:rsidP="00CB7896">
      <w:pPr>
        <w:pStyle w:val="TemplateFootnote"/>
      </w:pPr>
      <w:r>
        <w:rPr>
          <w:rStyle w:val="FootnoteReference"/>
        </w:rPr>
        <w:footnoteRef/>
      </w:r>
      <w:r>
        <w:t xml:space="preserve"> Standard 2.2(b) provides that “Suspension or reproval is the presumed sanction fo</w:t>
      </w:r>
      <w:r w:rsidR="00312E65">
        <w:t>r any other violation of [</w:t>
      </w:r>
      <w:r>
        <w:t>rule 4-100]</w:t>
      </w:r>
      <w:r w:rsidR="00CA3DA7">
        <w:t>.</w:t>
      </w:r>
      <w:r>
        <w:t>”</w:t>
      </w:r>
    </w:p>
  </w:footnote>
  <w:footnote w:id="14">
    <w:p w14:paraId="10A1A7DC" w14:textId="4F8FC9EE" w:rsidR="002413A3" w:rsidRPr="00572B5E" w:rsidRDefault="002413A3" w:rsidP="00D90101">
      <w:pPr>
        <w:pStyle w:val="TemplateFootnote"/>
      </w:pPr>
      <w:r>
        <w:rPr>
          <w:rStyle w:val="FootnoteReference"/>
        </w:rPr>
        <w:footnoteRef/>
      </w:r>
      <w:r>
        <w:t xml:space="preserve"> S</w:t>
      </w:r>
      <w:r w:rsidRPr="003615F9">
        <w:t>tandard 1.7(c) provides, “If mitigating circumstances are found, they should be considered alone and in balance with any aggravating circumstances, and if the net effect demonstrates that a lesser sanction is needed to fulfill the primary purposes of discipline, it is appropriate to impose or recommend a lesser sanction than what is otherwise specified in a given Standard.  On balance, a lesser sanction is appropriate in cases of minor misconduct, where there is little or no injury to a client, the public, the legal system, or the profession and where the record demonstrates that the member is willing and has the ability to conform to ethical r</w:t>
      </w:r>
      <w:r w:rsidR="00572B5E">
        <w:t>esponsibilities in the future.”</w:t>
      </w:r>
    </w:p>
  </w:footnote>
  <w:footnote w:id="15">
    <w:p w14:paraId="38325E9B" w14:textId="3D4B2E9D" w:rsidR="00DC6A56" w:rsidRPr="00DC6A56" w:rsidRDefault="00DC6A56" w:rsidP="00CB7896">
      <w:pPr>
        <w:pStyle w:val="TemplateFootnote"/>
      </w:pPr>
      <w:r>
        <w:rPr>
          <w:rStyle w:val="FootnoteReference"/>
        </w:rPr>
        <w:footnoteRef/>
      </w:r>
      <w:r>
        <w:t xml:space="preserve"> T</w:t>
      </w:r>
      <w:r w:rsidR="000E1AB5">
        <w:t>he opinion provides that t</w:t>
      </w:r>
      <w:r>
        <w:t xml:space="preserve">he attorney in </w:t>
      </w:r>
      <w:r>
        <w:rPr>
          <w:i/>
        </w:rPr>
        <w:t>Bleecker</w:t>
      </w:r>
      <w:r>
        <w:t xml:space="preserve"> established five mitigating circumstances: financial pressures leading to a cash shortage; </w:t>
      </w:r>
      <w:r w:rsidR="009C3E22">
        <w:t>the attorney hired a business consultant to remedy his business practices; no client was harmed; the attorney admitted misuse of his CTA; and five years had passed since the misconduct had occurred.</w:t>
      </w:r>
    </w:p>
  </w:footnote>
  <w:footnote w:id="16">
    <w:p w14:paraId="15053E66" w14:textId="4290A8C3" w:rsidR="00A6626D" w:rsidRPr="0073707B" w:rsidRDefault="00A6626D" w:rsidP="00CB7896">
      <w:pPr>
        <w:pStyle w:val="TemplateFootnote"/>
      </w:pPr>
      <w:r>
        <w:rPr>
          <w:rStyle w:val="FootnoteReference"/>
        </w:rPr>
        <w:footnoteRef/>
      </w:r>
      <w:r>
        <w:t xml:space="preserve"> In </w:t>
      </w:r>
      <w:r>
        <w:rPr>
          <w:i/>
        </w:rPr>
        <w:t>Bleecker</w:t>
      </w:r>
      <w:r>
        <w:t xml:space="preserve">, because </w:t>
      </w:r>
      <w:r w:rsidR="0054541F">
        <w:t>of multiple culpability findings</w:t>
      </w:r>
      <w:r>
        <w:t>, the disciplinary standard applied was the “most severe”</w:t>
      </w:r>
      <w:r w:rsidR="0054541F">
        <w:t xml:space="preserve"> pursuant to former </w:t>
      </w:r>
      <w:r w:rsidR="00076ED9">
        <w:t>s</w:t>
      </w:r>
      <w:r w:rsidR="0054541F">
        <w:t>tandard</w:t>
      </w:r>
      <w:r w:rsidR="00076ED9">
        <w:t> </w:t>
      </w:r>
      <w:r w:rsidR="0054541F">
        <w:t xml:space="preserve">1.6(a), which was determined to be </w:t>
      </w:r>
      <w:r w:rsidR="00A103AC">
        <w:t xml:space="preserve">former </w:t>
      </w:r>
      <w:r w:rsidR="00076ED9">
        <w:t>s</w:t>
      </w:r>
      <w:r w:rsidR="0054541F">
        <w:t>tandard</w:t>
      </w:r>
      <w:r w:rsidR="00076ED9">
        <w:t> </w:t>
      </w:r>
      <w:r w:rsidR="00A103AC">
        <w:t>2.2(a).  That standard provided</w:t>
      </w:r>
      <w:r w:rsidR="00A103AC" w:rsidRPr="00A103AC">
        <w:t xml:space="preserve"> for disbarment for misappropriation of entrusted funds unless the amount of funds misappropriated </w:t>
      </w:r>
      <w:r w:rsidR="00A103AC">
        <w:t>wa</w:t>
      </w:r>
      <w:r w:rsidR="00A103AC" w:rsidRPr="00A103AC">
        <w:t>s insignificantly small or the most compelling mitigating circumstances clearly predominate</w:t>
      </w:r>
      <w:r w:rsidR="00A103AC">
        <w:t>d</w:t>
      </w:r>
      <w:r w:rsidR="00A103AC" w:rsidRPr="00A103AC">
        <w:t xml:space="preserve">, in which case a minimum of </w:t>
      </w:r>
      <w:r w:rsidR="00A027B8">
        <w:t>a one-</w:t>
      </w:r>
      <w:r w:rsidR="00A103AC" w:rsidRPr="00A103AC">
        <w:t>year actual suspension should be imposed.</w:t>
      </w:r>
      <w:r w:rsidR="00A103AC">
        <w:t xml:space="preserve">  We decided to also apply former standard</w:t>
      </w:r>
      <w:r w:rsidR="00076ED9">
        <w:t> </w:t>
      </w:r>
      <w:r w:rsidR="00A103AC">
        <w:t>1.6(b)(2), which is substantially similar to standard</w:t>
      </w:r>
      <w:r w:rsidR="00076ED9">
        <w:t> </w:t>
      </w:r>
      <w:r w:rsidR="00A103AC">
        <w:t>1.7(c), to go below former standard</w:t>
      </w:r>
      <w:r w:rsidR="00076ED9">
        <w:t> </w:t>
      </w:r>
      <w:r w:rsidR="00A103AC">
        <w:t>2.2(a)’</w:t>
      </w:r>
      <w:r w:rsidR="0073707B">
        <w:t xml:space="preserve">s one-year minimum because of the attorney’s mitigation and that </w:t>
      </w:r>
      <w:r w:rsidR="0073707B">
        <w:rPr>
          <w:color w:val="212121"/>
          <w:sz w:val="25"/>
          <w:szCs w:val="25"/>
        </w:rPr>
        <w:t>he was “</w:t>
      </w:r>
      <w:r w:rsidR="0073707B" w:rsidRPr="0073707B">
        <w:rPr>
          <w:color w:val="212121"/>
          <w:sz w:val="25"/>
          <w:szCs w:val="25"/>
        </w:rPr>
        <w:t>not a venal person and his misconduct was aberrational.</w:t>
      </w:r>
      <w:r w:rsidR="0073707B">
        <w:t>”</w:t>
      </w:r>
      <w:r w:rsidR="007F6D72">
        <w:t xml:space="preserve"> (</w:t>
      </w:r>
      <w:r w:rsidR="007F6D72" w:rsidRPr="00EE10AD">
        <w:rPr>
          <w:i/>
        </w:rPr>
        <w:t>In the Matter of Bleecker</w:t>
      </w:r>
      <w:r w:rsidR="007F6D72">
        <w:t xml:space="preserve">, </w:t>
      </w:r>
      <w:r w:rsidR="007F6D72">
        <w:rPr>
          <w:i/>
        </w:rPr>
        <w:t>supra</w:t>
      </w:r>
      <w:r w:rsidR="007F6D72">
        <w:t>,</w:t>
      </w:r>
      <w:r w:rsidR="007F6D72">
        <w:rPr>
          <w:i/>
        </w:rPr>
        <w:t xml:space="preserve"> </w:t>
      </w:r>
      <w:r w:rsidR="007F6D72">
        <w:t xml:space="preserve">1 Cal. State Bar Ct. Rptr. </w:t>
      </w:r>
      <w:r w:rsidR="0052502B">
        <w:t>at p.</w:t>
      </w:r>
      <w:r w:rsidR="00076ED9">
        <w:t> </w:t>
      </w:r>
      <w:r w:rsidR="0052502B">
        <w:t>127.)</w:t>
      </w:r>
    </w:p>
  </w:footnote>
  <w:footnote w:id="17">
    <w:p w14:paraId="19A67F6D" w14:textId="0389365F" w:rsidR="002413A3" w:rsidRDefault="002413A3" w:rsidP="00CB7896">
      <w:pPr>
        <w:pStyle w:val="TemplateFootnote"/>
      </w:pPr>
      <w:r>
        <w:rPr>
          <w:rStyle w:val="FootnoteReference"/>
        </w:rPr>
        <w:footnoteRef/>
      </w:r>
      <w:r w:rsidR="00491C01">
        <w:t xml:space="preserve"> </w:t>
      </w:r>
      <w:r>
        <w:t xml:space="preserve">In </w:t>
      </w:r>
      <w:r w:rsidRPr="00FD44A3">
        <w:rPr>
          <w:i/>
          <w:iCs/>
        </w:rPr>
        <w:t>McKiernan</w:t>
      </w:r>
      <w:r>
        <w:t xml:space="preserve">, we recommended a 90-day actual suspension for an attorney culpable of commingling and moral turpitude by gross negligence for issuing two NSF checks to a business when </w:t>
      </w:r>
      <w:r w:rsidRPr="00E4444F">
        <w:t>he knew insuffic</w:t>
      </w:r>
      <w:r>
        <w:t xml:space="preserve">ient funds </w:t>
      </w:r>
      <w:r w:rsidR="009A17A4">
        <w:t xml:space="preserve">were </w:t>
      </w:r>
      <w:r>
        <w:t xml:space="preserve">in the CTA </w:t>
      </w:r>
      <w:r w:rsidRPr="00E4444F">
        <w:t>to cover payme</w:t>
      </w:r>
      <w:r>
        <w:t>nt.  The attorney took over three years to finally pay the amount owed</w:t>
      </w:r>
      <w:r w:rsidR="008B36F4">
        <w:t xml:space="preserve"> to the business</w:t>
      </w:r>
      <w:r>
        <w:t xml:space="preserve">, and only after it had filed a complaint with the State Bar, for which moral turpitude was also found.  The attorney’s </w:t>
      </w:r>
      <w:r w:rsidRPr="0039450D">
        <w:t xml:space="preserve">misconduct was aggravated by indifference for failing to repay at least part </w:t>
      </w:r>
      <w:r>
        <w:t xml:space="preserve">of the money, for a pattern of misconduct given </w:t>
      </w:r>
      <w:r w:rsidRPr="00C056F2">
        <w:t>he repe</w:t>
      </w:r>
      <w:r>
        <w:t>atedly misused his CTA</w:t>
      </w:r>
      <w:r w:rsidRPr="00C056F2">
        <w:t xml:space="preserve"> over a prolonged period of time</w:t>
      </w:r>
      <w:r>
        <w:t>, a</w:t>
      </w:r>
      <w:r w:rsidR="004879DB">
        <w:t>nd multiple acts</w:t>
      </w:r>
      <w:r>
        <w:t>,</w:t>
      </w:r>
      <w:r w:rsidRPr="00C056F2">
        <w:t xml:space="preserve"> </w:t>
      </w:r>
      <w:r w:rsidRPr="0039450D">
        <w:t xml:space="preserve">but </w:t>
      </w:r>
      <w:r w:rsidR="004879DB">
        <w:t xml:space="preserve">mitigated by candor and cooperation, remorse and recognition of wrongdoing, 21 </w:t>
      </w:r>
      <w:r w:rsidRPr="0039450D">
        <w:t>ye</w:t>
      </w:r>
      <w:r w:rsidR="004879DB">
        <w:t>ars of discipline-free practice (reduced because for 18 years he never managed his CTA), and limited weight for good character evidence.</w:t>
      </w:r>
      <w:r>
        <w:t xml:space="preserve"> </w:t>
      </w:r>
      <w:r w:rsidRPr="0039450D">
        <w:t xml:space="preserve"> </w:t>
      </w:r>
    </w:p>
  </w:footnote>
  <w:footnote w:id="18">
    <w:p w14:paraId="01D6AD27" w14:textId="68EED728" w:rsidR="002413A3" w:rsidRDefault="002413A3" w:rsidP="00CB7896">
      <w:pPr>
        <w:pStyle w:val="TemplateFootnote"/>
      </w:pPr>
      <w:r>
        <w:rPr>
          <w:rStyle w:val="FootnoteReference"/>
        </w:rPr>
        <w:footnoteRef/>
      </w:r>
      <w:r w:rsidR="00491C01">
        <w:t xml:space="preserve"> </w:t>
      </w:r>
      <w:r>
        <w:t xml:space="preserve">In </w:t>
      </w:r>
      <w:r w:rsidRPr="00271E87">
        <w:rPr>
          <w:i/>
        </w:rPr>
        <w:t>Heiser</w:t>
      </w:r>
      <w:r>
        <w:t xml:space="preserve">, we recommended that the attorney be actually suspended for six months.  He was found culpable for commingling and for moral turpitude by writing NSF checks from his personal account and his closed CTA.  His multiple aggravating circumstances outweighed his one mitigating circumstance. </w:t>
      </w:r>
      <w:r w:rsidR="008B36F4">
        <w:t xml:space="preserve"> </w:t>
      </w:r>
      <w:r>
        <w:t xml:space="preserve">Further, the attorney did not pay two of his NSF checks, and the other two were not paid until the police were involved and legal proceedings commenced, thus causing those two people added expense to obtain their funds.  Finally, the attorney in </w:t>
      </w:r>
      <w:r>
        <w:rPr>
          <w:i/>
        </w:rPr>
        <w:t>Heiser</w:t>
      </w:r>
      <w:r>
        <w:t xml:space="preserve"> did not cooperate with the State Bar investigators and also did not appear for his disciplinary trial.  </w:t>
      </w:r>
    </w:p>
  </w:footnote>
  <w:footnote w:id="19">
    <w:p w14:paraId="30EB5FBD" w14:textId="51F20A5D" w:rsidR="002413A3" w:rsidRDefault="002413A3" w:rsidP="00D90101">
      <w:pPr>
        <w:pStyle w:val="TemplateFootnote"/>
      </w:pPr>
      <w:r>
        <w:rPr>
          <w:rStyle w:val="FootnoteReference"/>
        </w:rPr>
        <w:footnoteRef/>
      </w:r>
      <w:r>
        <w:t xml:space="preserve"> In </w:t>
      </w:r>
      <w:r w:rsidRPr="0060343B">
        <w:rPr>
          <w:i/>
        </w:rPr>
        <w:t>Doran</w:t>
      </w:r>
      <w:r>
        <w:t xml:space="preserve">, we also recommended that the attorney be actually suspended for six months.  The attorney commingled </w:t>
      </w:r>
      <w:r w:rsidR="00484A90">
        <w:t xml:space="preserve">for a period of almost three years </w:t>
      </w:r>
      <w:r>
        <w:t xml:space="preserve">and engaged in acts of moral turpitude by gross negligence when he issued 17 NSF checks.  He </w:t>
      </w:r>
      <w:r w:rsidRPr="002413A3">
        <w:t>testified he had no understanding of the purpose of a trust account, nor did he understand the concept of commingling</w:t>
      </w:r>
      <w:r w:rsidR="00167088">
        <w:t xml:space="preserve">.  </w:t>
      </w:r>
      <w:r>
        <w:t xml:space="preserve">He also was found culpable for acting incompetently when he abandoned a client in one matter and took a position against a client in order to avoid being sanctioned in another uncharged matter.  </w:t>
      </w:r>
      <w:r w:rsidR="00484A90">
        <w:t xml:space="preserve">His multiple aggravating circumstances outweighed his one mitigating circumstance.  </w:t>
      </w:r>
      <w:r>
        <w:t xml:space="preserve">Central to the recommended discipline was our observation </w:t>
      </w:r>
      <w:r w:rsidR="00167088">
        <w:t xml:space="preserve">from the entire record </w:t>
      </w:r>
      <w:r>
        <w:t xml:space="preserve">that the attorney </w:t>
      </w:r>
      <w:r w:rsidR="00167088">
        <w:t xml:space="preserve">demonstrated </w:t>
      </w:r>
      <w:r w:rsidR="004B04E0">
        <w:t xml:space="preserve">he </w:t>
      </w:r>
      <w:r w:rsidR="00167088">
        <w:t>was “</w:t>
      </w:r>
      <w:r w:rsidR="00167088" w:rsidRPr="002413A3">
        <w:t>totally oblivious</w:t>
      </w:r>
      <w:r w:rsidR="00167088">
        <w:t>”</w:t>
      </w:r>
      <w:r w:rsidR="00167088" w:rsidRPr="002413A3">
        <w:t xml:space="preserve"> </w:t>
      </w:r>
      <w:r w:rsidR="00167088">
        <w:t>to his obligations as a lawyer, and we had</w:t>
      </w:r>
      <w:r w:rsidRPr="002413A3">
        <w:t xml:space="preserve"> great c</w:t>
      </w:r>
      <w:r w:rsidR="00167088">
        <w:t>oncern his lack of understanding</w:t>
      </w:r>
      <w:r w:rsidR="00B46EE2">
        <w:t xml:space="preserve"> of</w:t>
      </w:r>
      <w:r w:rsidR="00167088">
        <w:t xml:space="preserve"> </w:t>
      </w:r>
      <w:r w:rsidRPr="002413A3">
        <w:t xml:space="preserve">his </w:t>
      </w:r>
      <w:r w:rsidR="00167088">
        <w:t>obligations as an attorney posed a risk</w:t>
      </w:r>
      <w:r w:rsidRPr="002413A3">
        <w:t xml:space="preserve"> to the public.</w:t>
      </w:r>
      <w:r w:rsidR="008B36F4">
        <w:t xml:space="preserve"> </w:t>
      </w:r>
      <w:r w:rsidR="0052502B">
        <w:t xml:space="preserve"> (</w:t>
      </w:r>
      <w:r w:rsidR="0052502B" w:rsidRPr="00E81211">
        <w:rPr>
          <w:i/>
        </w:rPr>
        <w:t>In the Matter of Doran</w:t>
      </w:r>
      <w:r w:rsidR="0052502B">
        <w:t xml:space="preserve">, </w:t>
      </w:r>
      <w:r w:rsidR="0052502B">
        <w:rPr>
          <w:i/>
        </w:rPr>
        <w:t>supra</w:t>
      </w:r>
      <w:r w:rsidR="0052502B">
        <w:t>,</w:t>
      </w:r>
      <w:r w:rsidR="0052502B">
        <w:rPr>
          <w:i/>
        </w:rPr>
        <w:t xml:space="preserve"> </w:t>
      </w:r>
      <w:r w:rsidR="0052502B">
        <w:t>3 Cal. State Bar Ct. Rptr. at p.</w:t>
      </w:r>
      <w:r w:rsidR="008B36F4">
        <w:t> </w:t>
      </w:r>
      <w:r w:rsidR="0052502B">
        <w:t>881.)</w:t>
      </w:r>
    </w:p>
  </w:footnote>
  <w:footnote w:id="20">
    <w:p w14:paraId="6FDCD1A3" w14:textId="4D847EE1" w:rsidR="009E0076" w:rsidRDefault="009E0076" w:rsidP="00CB7896">
      <w:pPr>
        <w:pStyle w:val="TemplateFootnote"/>
      </w:pPr>
      <w:r>
        <w:rPr>
          <w:rStyle w:val="FootnoteReference"/>
        </w:rPr>
        <w:footnoteRef/>
      </w:r>
      <w:r>
        <w:t xml:space="preserve"> During its questioning of Martin during trial, OCTC failed to establish </w:t>
      </w:r>
      <w:r w:rsidR="00DB52AB">
        <w:t>he</w:t>
      </w:r>
      <w:r w:rsidR="00757126">
        <w:t xml:space="preserve"> was </w:t>
      </w:r>
      <w:r>
        <w:t xml:space="preserve">placing his personal </w:t>
      </w:r>
      <w:r w:rsidR="00757126">
        <w:t xml:space="preserve">money </w:t>
      </w:r>
      <w:r>
        <w:t xml:space="preserve">into the CTA </w:t>
      </w:r>
      <w:r w:rsidR="00757126">
        <w:t xml:space="preserve">for a dishonest motive, including that he was hiding </w:t>
      </w:r>
      <w:r>
        <w:t xml:space="preserve">his money from lien collection </w:t>
      </w:r>
      <w:r w:rsidR="00757126">
        <w:t>effor</w:t>
      </w:r>
      <w:r w:rsidR="00777A2E">
        <w:t xml:space="preserve">ts </w:t>
      </w:r>
      <w:r>
        <w:t>or from his ex-wife.</w:t>
      </w:r>
    </w:p>
  </w:footnote>
  <w:footnote w:id="21">
    <w:p w14:paraId="2D0D5AD8" w14:textId="6F04698F" w:rsidR="00CC0B9C" w:rsidRDefault="00CC0B9C">
      <w:pPr>
        <w:pStyle w:val="FootnoteText"/>
      </w:pPr>
      <w:r>
        <w:rPr>
          <w:rStyle w:val="FootnoteReference"/>
        </w:rPr>
        <w:footnoteRef/>
      </w:r>
      <w:r>
        <w:t xml:space="preserve"> </w:t>
      </w:r>
      <w:r w:rsidR="00AE1F11">
        <w:t>The record shows that, a</w:t>
      </w:r>
      <w:r w:rsidRPr="00CC0B9C">
        <w:t xml:space="preserve">s </w:t>
      </w:r>
      <w:r w:rsidR="00A548E0">
        <w:t>early as February </w:t>
      </w:r>
      <w:r w:rsidR="00AE1F11">
        <w:t xml:space="preserve">7, 2017, </w:t>
      </w:r>
      <w:r w:rsidRPr="00CC0B9C">
        <w:t xml:space="preserve">his then-counsel wrote the </w:t>
      </w:r>
      <w:r w:rsidR="00AE1F11">
        <w:t xml:space="preserve">OCTC </w:t>
      </w:r>
      <w:r w:rsidRPr="00CC0B9C">
        <w:t>investigator and disclosed Martin was depositing his paychecks into the CTA and paying personal expenses from it.</w:t>
      </w:r>
    </w:p>
  </w:footnote>
  <w:footnote w:id="22">
    <w:p w14:paraId="57EB002F" w14:textId="329AAC91" w:rsidR="00167BA7" w:rsidRDefault="00167BA7">
      <w:pPr>
        <w:pStyle w:val="FootnoteText"/>
      </w:pPr>
      <w:r>
        <w:rPr>
          <w:rStyle w:val="FootnoteReference"/>
        </w:rPr>
        <w:footnoteRef/>
      </w:r>
      <w:r>
        <w:t xml:space="preserve"> Rule 5.127</w:t>
      </w:r>
      <w:r w:rsidR="00013854">
        <w:t>(B)</w:t>
      </w:r>
      <w:r>
        <w:t xml:space="preserve"> </w:t>
      </w:r>
      <w:r w:rsidR="00FC04B4">
        <w:t xml:space="preserve">of the Rules of Procedure of the State Bar </w:t>
      </w:r>
      <w:r>
        <w:t>provides: “A public reproval is part of the attorney’s official State Bar attorney records, is disclosed in response to public inquiries, and is reported as a record of public discipline on the S</w:t>
      </w:r>
      <w:r w:rsidR="00291551">
        <w:t>tate Bar’s web page.  The record of the proceeding in which the public reproval was imposed is also public.”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F74183"/>
    <w:multiLevelType w:val="multilevel"/>
    <w:tmpl w:val="CCD6E2B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1"/>
  </w:num>
  <w:num w:numId="14">
    <w:abstractNumId w:val="16"/>
  </w:num>
  <w:num w:numId="15">
    <w:abstractNumId w:val="9"/>
  </w:num>
  <w:num w:numId="16">
    <w:abstractNumId w:val="3"/>
  </w:num>
  <w:num w:numId="17">
    <w:abstractNumId w:val="0"/>
  </w:num>
  <w:num w:numId="18">
    <w:abstractNumId w:val="20"/>
  </w:num>
  <w:num w:numId="19">
    <w:abstractNumId w:val="1"/>
  </w:num>
  <w:num w:numId="20">
    <w:abstractNumId w:val="2"/>
  </w:num>
  <w:num w:numId="21">
    <w:abstractNumId w:val="18"/>
  </w:num>
  <w:num w:numId="22">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lya Tapley">
    <w15:presenceInfo w15:providerId="Windows Live" w15:userId="a59950c0032e6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FB"/>
    <w:rsid w:val="0000269B"/>
    <w:rsid w:val="000040CF"/>
    <w:rsid w:val="00005B3E"/>
    <w:rsid w:val="00010EE7"/>
    <w:rsid w:val="00013854"/>
    <w:rsid w:val="00014605"/>
    <w:rsid w:val="00015D68"/>
    <w:rsid w:val="000161FD"/>
    <w:rsid w:val="00017293"/>
    <w:rsid w:val="00027125"/>
    <w:rsid w:val="0003067D"/>
    <w:rsid w:val="00030C74"/>
    <w:rsid w:val="000319FF"/>
    <w:rsid w:val="0003339E"/>
    <w:rsid w:val="000432A2"/>
    <w:rsid w:val="0005144F"/>
    <w:rsid w:val="000529B5"/>
    <w:rsid w:val="00052DEF"/>
    <w:rsid w:val="0005389A"/>
    <w:rsid w:val="000538BB"/>
    <w:rsid w:val="00053EE7"/>
    <w:rsid w:val="00055C8A"/>
    <w:rsid w:val="0006570C"/>
    <w:rsid w:val="00065A44"/>
    <w:rsid w:val="00071401"/>
    <w:rsid w:val="0007214B"/>
    <w:rsid w:val="00073E72"/>
    <w:rsid w:val="00076ED9"/>
    <w:rsid w:val="00076FB9"/>
    <w:rsid w:val="00081486"/>
    <w:rsid w:val="00084608"/>
    <w:rsid w:val="000904BF"/>
    <w:rsid w:val="000910D3"/>
    <w:rsid w:val="00092189"/>
    <w:rsid w:val="00094584"/>
    <w:rsid w:val="00096164"/>
    <w:rsid w:val="00096890"/>
    <w:rsid w:val="000A154A"/>
    <w:rsid w:val="000A5822"/>
    <w:rsid w:val="000A5F1A"/>
    <w:rsid w:val="000B3BA7"/>
    <w:rsid w:val="000C2BAA"/>
    <w:rsid w:val="000C3811"/>
    <w:rsid w:val="000C4835"/>
    <w:rsid w:val="000C4D16"/>
    <w:rsid w:val="000C5BCE"/>
    <w:rsid w:val="000C668F"/>
    <w:rsid w:val="000C7445"/>
    <w:rsid w:val="000C7EBA"/>
    <w:rsid w:val="000C7F96"/>
    <w:rsid w:val="000D3562"/>
    <w:rsid w:val="000D4283"/>
    <w:rsid w:val="000D49DE"/>
    <w:rsid w:val="000D6487"/>
    <w:rsid w:val="000E0149"/>
    <w:rsid w:val="000E0A7C"/>
    <w:rsid w:val="000E1AB5"/>
    <w:rsid w:val="000E23F8"/>
    <w:rsid w:val="000E3EB3"/>
    <w:rsid w:val="000E5AAE"/>
    <w:rsid w:val="000E6D7B"/>
    <w:rsid w:val="000F1676"/>
    <w:rsid w:val="000F174C"/>
    <w:rsid w:val="000F24C7"/>
    <w:rsid w:val="000F7AFC"/>
    <w:rsid w:val="000F7B7F"/>
    <w:rsid w:val="000F7CA1"/>
    <w:rsid w:val="00102381"/>
    <w:rsid w:val="00115C42"/>
    <w:rsid w:val="001206A8"/>
    <w:rsid w:val="00120FE7"/>
    <w:rsid w:val="00122B6A"/>
    <w:rsid w:val="00123CBF"/>
    <w:rsid w:val="00124F0E"/>
    <w:rsid w:val="00131A32"/>
    <w:rsid w:val="001377E1"/>
    <w:rsid w:val="001404D3"/>
    <w:rsid w:val="001433E3"/>
    <w:rsid w:val="00143CA7"/>
    <w:rsid w:val="001476F9"/>
    <w:rsid w:val="0015203C"/>
    <w:rsid w:val="00152F39"/>
    <w:rsid w:val="00154173"/>
    <w:rsid w:val="0015497C"/>
    <w:rsid w:val="00156A54"/>
    <w:rsid w:val="00160894"/>
    <w:rsid w:val="001633B2"/>
    <w:rsid w:val="001635A6"/>
    <w:rsid w:val="00166F1E"/>
    <w:rsid w:val="00167088"/>
    <w:rsid w:val="00167BA7"/>
    <w:rsid w:val="00174F0B"/>
    <w:rsid w:val="001812EA"/>
    <w:rsid w:val="00185110"/>
    <w:rsid w:val="00185B54"/>
    <w:rsid w:val="00186D80"/>
    <w:rsid w:val="00191280"/>
    <w:rsid w:val="00192995"/>
    <w:rsid w:val="00193A04"/>
    <w:rsid w:val="001A3082"/>
    <w:rsid w:val="001A3601"/>
    <w:rsid w:val="001A5498"/>
    <w:rsid w:val="001A682D"/>
    <w:rsid w:val="001A6A36"/>
    <w:rsid w:val="001A6CD9"/>
    <w:rsid w:val="001B0733"/>
    <w:rsid w:val="001B0816"/>
    <w:rsid w:val="001B12A4"/>
    <w:rsid w:val="001B208B"/>
    <w:rsid w:val="001B21E7"/>
    <w:rsid w:val="001B2F99"/>
    <w:rsid w:val="001B3B9E"/>
    <w:rsid w:val="001B54A2"/>
    <w:rsid w:val="001C0964"/>
    <w:rsid w:val="001C0D68"/>
    <w:rsid w:val="001C1B2B"/>
    <w:rsid w:val="001C2896"/>
    <w:rsid w:val="001C31D9"/>
    <w:rsid w:val="001D3A28"/>
    <w:rsid w:val="001D41D4"/>
    <w:rsid w:val="001D4AFB"/>
    <w:rsid w:val="001D69C0"/>
    <w:rsid w:val="001D797B"/>
    <w:rsid w:val="001D7AF8"/>
    <w:rsid w:val="001D7F23"/>
    <w:rsid w:val="001E0400"/>
    <w:rsid w:val="001E26A4"/>
    <w:rsid w:val="001E3691"/>
    <w:rsid w:val="001E595A"/>
    <w:rsid w:val="001E5A9B"/>
    <w:rsid w:val="001E5B13"/>
    <w:rsid w:val="001E64A0"/>
    <w:rsid w:val="001F3212"/>
    <w:rsid w:val="001F4F46"/>
    <w:rsid w:val="001F6880"/>
    <w:rsid w:val="00203644"/>
    <w:rsid w:val="002042B2"/>
    <w:rsid w:val="00205E53"/>
    <w:rsid w:val="002064A3"/>
    <w:rsid w:val="00207C14"/>
    <w:rsid w:val="002205CC"/>
    <w:rsid w:val="0022234D"/>
    <w:rsid w:val="00223504"/>
    <w:rsid w:val="00223BF0"/>
    <w:rsid w:val="00223E45"/>
    <w:rsid w:val="00234D03"/>
    <w:rsid w:val="00237508"/>
    <w:rsid w:val="0023766E"/>
    <w:rsid w:val="00237A5E"/>
    <w:rsid w:val="002413A3"/>
    <w:rsid w:val="0024299E"/>
    <w:rsid w:val="002431CD"/>
    <w:rsid w:val="00243A9D"/>
    <w:rsid w:val="00244A80"/>
    <w:rsid w:val="002464C0"/>
    <w:rsid w:val="002508B4"/>
    <w:rsid w:val="002518C1"/>
    <w:rsid w:val="00252C67"/>
    <w:rsid w:val="002531F0"/>
    <w:rsid w:val="00254FF7"/>
    <w:rsid w:val="0025724F"/>
    <w:rsid w:val="0026150D"/>
    <w:rsid w:val="002624A5"/>
    <w:rsid w:val="0026280B"/>
    <w:rsid w:val="00264994"/>
    <w:rsid w:val="002676C3"/>
    <w:rsid w:val="00267C11"/>
    <w:rsid w:val="00271108"/>
    <w:rsid w:val="00271E87"/>
    <w:rsid w:val="002838D0"/>
    <w:rsid w:val="0028625D"/>
    <w:rsid w:val="0028666B"/>
    <w:rsid w:val="00290798"/>
    <w:rsid w:val="00291551"/>
    <w:rsid w:val="002926B0"/>
    <w:rsid w:val="00293579"/>
    <w:rsid w:val="002A010C"/>
    <w:rsid w:val="002A535A"/>
    <w:rsid w:val="002B27C6"/>
    <w:rsid w:val="002B73D8"/>
    <w:rsid w:val="002C07B9"/>
    <w:rsid w:val="002C0951"/>
    <w:rsid w:val="002C0A13"/>
    <w:rsid w:val="002C0B6E"/>
    <w:rsid w:val="002C1DF8"/>
    <w:rsid w:val="002C33D4"/>
    <w:rsid w:val="002C600C"/>
    <w:rsid w:val="002C7924"/>
    <w:rsid w:val="002C7E22"/>
    <w:rsid w:val="002D17C3"/>
    <w:rsid w:val="002D22B9"/>
    <w:rsid w:val="002D5E27"/>
    <w:rsid w:val="002D656B"/>
    <w:rsid w:val="002E0704"/>
    <w:rsid w:val="002E1DEB"/>
    <w:rsid w:val="002E1F5A"/>
    <w:rsid w:val="002E2A07"/>
    <w:rsid w:val="002E54E5"/>
    <w:rsid w:val="002E611A"/>
    <w:rsid w:val="002E7B91"/>
    <w:rsid w:val="002F10F3"/>
    <w:rsid w:val="002F1748"/>
    <w:rsid w:val="002F22BF"/>
    <w:rsid w:val="002F24A1"/>
    <w:rsid w:val="002F3BFA"/>
    <w:rsid w:val="002F45AA"/>
    <w:rsid w:val="002F4C65"/>
    <w:rsid w:val="002F4DDE"/>
    <w:rsid w:val="002F5255"/>
    <w:rsid w:val="002F7E9D"/>
    <w:rsid w:val="003000D6"/>
    <w:rsid w:val="003051FE"/>
    <w:rsid w:val="00305260"/>
    <w:rsid w:val="00305508"/>
    <w:rsid w:val="003063A3"/>
    <w:rsid w:val="00306FAC"/>
    <w:rsid w:val="003075C7"/>
    <w:rsid w:val="00311270"/>
    <w:rsid w:val="00311F00"/>
    <w:rsid w:val="00312E65"/>
    <w:rsid w:val="0031422B"/>
    <w:rsid w:val="00315255"/>
    <w:rsid w:val="00317B90"/>
    <w:rsid w:val="003209BE"/>
    <w:rsid w:val="00320B24"/>
    <w:rsid w:val="003221C8"/>
    <w:rsid w:val="003250ED"/>
    <w:rsid w:val="00330F5B"/>
    <w:rsid w:val="003312E3"/>
    <w:rsid w:val="003313E4"/>
    <w:rsid w:val="003414B3"/>
    <w:rsid w:val="00341E43"/>
    <w:rsid w:val="003427DA"/>
    <w:rsid w:val="00344932"/>
    <w:rsid w:val="00345541"/>
    <w:rsid w:val="00345692"/>
    <w:rsid w:val="0034733D"/>
    <w:rsid w:val="003507BC"/>
    <w:rsid w:val="003531FE"/>
    <w:rsid w:val="003535BF"/>
    <w:rsid w:val="00353EE6"/>
    <w:rsid w:val="0035432F"/>
    <w:rsid w:val="0035470E"/>
    <w:rsid w:val="00357051"/>
    <w:rsid w:val="00360EDD"/>
    <w:rsid w:val="003615F9"/>
    <w:rsid w:val="00363DA9"/>
    <w:rsid w:val="0036412D"/>
    <w:rsid w:val="0036562F"/>
    <w:rsid w:val="003661DE"/>
    <w:rsid w:val="00367461"/>
    <w:rsid w:val="0036799F"/>
    <w:rsid w:val="00370E27"/>
    <w:rsid w:val="003720FF"/>
    <w:rsid w:val="00373087"/>
    <w:rsid w:val="00374340"/>
    <w:rsid w:val="003750F6"/>
    <w:rsid w:val="00376A30"/>
    <w:rsid w:val="00381E6F"/>
    <w:rsid w:val="00382480"/>
    <w:rsid w:val="00382790"/>
    <w:rsid w:val="0038352C"/>
    <w:rsid w:val="003876A0"/>
    <w:rsid w:val="00392439"/>
    <w:rsid w:val="00392AC8"/>
    <w:rsid w:val="00392B74"/>
    <w:rsid w:val="00394AB9"/>
    <w:rsid w:val="0039642D"/>
    <w:rsid w:val="00396E97"/>
    <w:rsid w:val="003A023F"/>
    <w:rsid w:val="003A5B1E"/>
    <w:rsid w:val="003A5C4E"/>
    <w:rsid w:val="003A5F40"/>
    <w:rsid w:val="003B1CF6"/>
    <w:rsid w:val="003B388E"/>
    <w:rsid w:val="003B59B1"/>
    <w:rsid w:val="003B5E18"/>
    <w:rsid w:val="003B6C70"/>
    <w:rsid w:val="003B7E0C"/>
    <w:rsid w:val="003B7FD7"/>
    <w:rsid w:val="003C0122"/>
    <w:rsid w:val="003C138D"/>
    <w:rsid w:val="003C28EC"/>
    <w:rsid w:val="003C63E1"/>
    <w:rsid w:val="003C75CE"/>
    <w:rsid w:val="003D09FD"/>
    <w:rsid w:val="003D1C9F"/>
    <w:rsid w:val="003D254F"/>
    <w:rsid w:val="003D2C10"/>
    <w:rsid w:val="003D41D0"/>
    <w:rsid w:val="003D52D8"/>
    <w:rsid w:val="003D7D88"/>
    <w:rsid w:val="003E2BE1"/>
    <w:rsid w:val="003E30EC"/>
    <w:rsid w:val="003E7E37"/>
    <w:rsid w:val="003F041E"/>
    <w:rsid w:val="003F06DF"/>
    <w:rsid w:val="003F5A0E"/>
    <w:rsid w:val="003F68BA"/>
    <w:rsid w:val="003F76A5"/>
    <w:rsid w:val="00401A8E"/>
    <w:rsid w:val="004023EE"/>
    <w:rsid w:val="00403E23"/>
    <w:rsid w:val="0040704A"/>
    <w:rsid w:val="00407481"/>
    <w:rsid w:val="0040777D"/>
    <w:rsid w:val="00410255"/>
    <w:rsid w:val="004115B0"/>
    <w:rsid w:val="00415A9C"/>
    <w:rsid w:val="004208EF"/>
    <w:rsid w:val="00424C49"/>
    <w:rsid w:val="00426015"/>
    <w:rsid w:val="004330DE"/>
    <w:rsid w:val="004331EB"/>
    <w:rsid w:val="00434FA7"/>
    <w:rsid w:val="004406CB"/>
    <w:rsid w:val="00442372"/>
    <w:rsid w:val="00445108"/>
    <w:rsid w:val="00450367"/>
    <w:rsid w:val="0045224D"/>
    <w:rsid w:val="00452EE1"/>
    <w:rsid w:val="00453603"/>
    <w:rsid w:val="004565B8"/>
    <w:rsid w:val="00456A8F"/>
    <w:rsid w:val="0046535F"/>
    <w:rsid w:val="00467CC0"/>
    <w:rsid w:val="00470586"/>
    <w:rsid w:val="00470680"/>
    <w:rsid w:val="00471204"/>
    <w:rsid w:val="004738F0"/>
    <w:rsid w:val="00474987"/>
    <w:rsid w:val="004752DD"/>
    <w:rsid w:val="00484A90"/>
    <w:rsid w:val="00486056"/>
    <w:rsid w:val="004879DB"/>
    <w:rsid w:val="004912DF"/>
    <w:rsid w:val="00491C01"/>
    <w:rsid w:val="00492622"/>
    <w:rsid w:val="004A3599"/>
    <w:rsid w:val="004A469D"/>
    <w:rsid w:val="004A6BDB"/>
    <w:rsid w:val="004B04E0"/>
    <w:rsid w:val="004B2462"/>
    <w:rsid w:val="004B2CD7"/>
    <w:rsid w:val="004B33C9"/>
    <w:rsid w:val="004B345F"/>
    <w:rsid w:val="004B3CB5"/>
    <w:rsid w:val="004B542C"/>
    <w:rsid w:val="004B6142"/>
    <w:rsid w:val="004B7441"/>
    <w:rsid w:val="004B74A7"/>
    <w:rsid w:val="004C0602"/>
    <w:rsid w:val="004C0ACA"/>
    <w:rsid w:val="004C0E40"/>
    <w:rsid w:val="004C102F"/>
    <w:rsid w:val="004C20C3"/>
    <w:rsid w:val="004C6A45"/>
    <w:rsid w:val="004D1C8C"/>
    <w:rsid w:val="004D1E95"/>
    <w:rsid w:val="004D2A2C"/>
    <w:rsid w:val="004D2DEE"/>
    <w:rsid w:val="004D32E9"/>
    <w:rsid w:val="004D423D"/>
    <w:rsid w:val="004D4DC5"/>
    <w:rsid w:val="004D5238"/>
    <w:rsid w:val="004D6563"/>
    <w:rsid w:val="004D6DFC"/>
    <w:rsid w:val="004E0760"/>
    <w:rsid w:val="004E0D84"/>
    <w:rsid w:val="004E2403"/>
    <w:rsid w:val="004F2234"/>
    <w:rsid w:val="004F2B8A"/>
    <w:rsid w:val="004F3451"/>
    <w:rsid w:val="004F4322"/>
    <w:rsid w:val="004F622B"/>
    <w:rsid w:val="005007C8"/>
    <w:rsid w:val="0050354D"/>
    <w:rsid w:val="00504BA2"/>
    <w:rsid w:val="005075CA"/>
    <w:rsid w:val="00507795"/>
    <w:rsid w:val="00510BE0"/>
    <w:rsid w:val="0051108F"/>
    <w:rsid w:val="0051187B"/>
    <w:rsid w:val="0051426A"/>
    <w:rsid w:val="00514D79"/>
    <w:rsid w:val="00520F50"/>
    <w:rsid w:val="0052441F"/>
    <w:rsid w:val="0052447F"/>
    <w:rsid w:val="0052502B"/>
    <w:rsid w:val="00525EBD"/>
    <w:rsid w:val="00534072"/>
    <w:rsid w:val="00540844"/>
    <w:rsid w:val="005416A5"/>
    <w:rsid w:val="00544881"/>
    <w:rsid w:val="005451F2"/>
    <w:rsid w:val="0054541F"/>
    <w:rsid w:val="00546CD9"/>
    <w:rsid w:val="005539CE"/>
    <w:rsid w:val="00554140"/>
    <w:rsid w:val="005549F6"/>
    <w:rsid w:val="00560ED4"/>
    <w:rsid w:val="0056563D"/>
    <w:rsid w:val="00567D95"/>
    <w:rsid w:val="00570C3E"/>
    <w:rsid w:val="005722F8"/>
    <w:rsid w:val="005725C7"/>
    <w:rsid w:val="00572B5E"/>
    <w:rsid w:val="00573FE1"/>
    <w:rsid w:val="00581B64"/>
    <w:rsid w:val="00583579"/>
    <w:rsid w:val="005836F6"/>
    <w:rsid w:val="005859D2"/>
    <w:rsid w:val="005968E6"/>
    <w:rsid w:val="005972C5"/>
    <w:rsid w:val="00597353"/>
    <w:rsid w:val="005B204B"/>
    <w:rsid w:val="005B237E"/>
    <w:rsid w:val="005B244B"/>
    <w:rsid w:val="005B3310"/>
    <w:rsid w:val="005B3377"/>
    <w:rsid w:val="005B3B08"/>
    <w:rsid w:val="005B48E6"/>
    <w:rsid w:val="005B5231"/>
    <w:rsid w:val="005B5308"/>
    <w:rsid w:val="005C0687"/>
    <w:rsid w:val="005C17BF"/>
    <w:rsid w:val="005C1AB3"/>
    <w:rsid w:val="005C37AE"/>
    <w:rsid w:val="005D060D"/>
    <w:rsid w:val="005D0C16"/>
    <w:rsid w:val="005D6AEB"/>
    <w:rsid w:val="005D7DF1"/>
    <w:rsid w:val="005E0349"/>
    <w:rsid w:val="005E058A"/>
    <w:rsid w:val="005E50EF"/>
    <w:rsid w:val="005F057D"/>
    <w:rsid w:val="005F17DC"/>
    <w:rsid w:val="005F6B1A"/>
    <w:rsid w:val="0060090D"/>
    <w:rsid w:val="0060343B"/>
    <w:rsid w:val="00605473"/>
    <w:rsid w:val="00605BA4"/>
    <w:rsid w:val="006102C0"/>
    <w:rsid w:val="00611B6F"/>
    <w:rsid w:val="006125D1"/>
    <w:rsid w:val="0061274E"/>
    <w:rsid w:val="006138F4"/>
    <w:rsid w:val="006208AF"/>
    <w:rsid w:val="00624282"/>
    <w:rsid w:val="00624FC1"/>
    <w:rsid w:val="00625BF1"/>
    <w:rsid w:val="00627527"/>
    <w:rsid w:val="00627D23"/>
    <w:rsid w:val="00630DCE"/>
    <w:rsid w:val="00631D6B"/>
    <w:rsid w:val="00632CD2"/>
    <w:rsid w:val="0063306B"/>
    <w:rsid w:val="006331CE"/>
    <w:rsid w:val="0063336E"/>
    <w:rsid w:val="00642191"/>
    <w:rsid w:val="00643332"/>
    <w:rsid w:val="00643C1D"/>
    <w:rsid w:val="00643C7A"/>
    <w:rsid w:val="00644019"/>
    <w:rsid w:val="006460BC"/>
    <w:rsid w:val="0064655E"/>
    <w:rsid w:val="006476AD"/>
    <w:rsid w:val="0065009F"/>
    <w:rsid w:val="006503FD"/>
    <w:rsid w:val="00650E13"/>
    <w:rsid w:val="00651EB4"/>
    <w:rsid w:val="00652A8F"/>
    <w:rsid w:val="006555B3"/>
    <w:rsid w:val="00657D3E"/>
    <w:rsid w:val="00660943"/>
    <w:rsid w:val="00661C97"/>
    <w:rsid w:val="00662C90"/>
    <w:rsid w:val="00665CDD"/>
    <w:rsid w:val="00670233"/>
    <w:rsid w:val="00672C77"/>
    <w:rsid w:val="00673E6D"/>
    <w:rsid w:val="00673F29"/>
    <w:rsid w:val="00674101"/>
    <w:rsid w:val="00675177"/>
    <w:rsid w:val="006765FF"/>
    <w:rsid w:val="00681023"/>
    <w:rsid w:val="00683767"/>
    <w:rsid w:val="00686F77"/>
    <w:rsid w:val="00687237"/>
    <w:rsid w:val="00687DC8"/>
    <w:rsid w:val="00693DAE"/>
    <w:rsid w:val="00696924"/>
    <w:rsid w:val="006A22C8"/>
    <w:rsid w:val="006B0053"/>
    <w:rsid w:val="006B0440"/>
    <w:rsid w:val="006B0A93"/>
    <w:rsid w:val="006B14A9"/>
    <w:rsid w:val="006B15D6"/>
    <w:rsid w:val="006B1E21"/>
    <w:rsid w:val="006B3460"/>
    <w:rsid w:val="006B485F"/>
    <w:rsid w:val="006B660A"/>
    <w:rsid w:val="006B6DB7"/>
    <w:rsid w:val="006B7524"/>
    <w:rsid w:val="006B7D81"/>
    <w:rsid w:val="006C5A74"/>
    <w:rsid w:val="006D1EA3"/>
    <w:rsid w:val="006D2E7F"/>
    <w:rsid w:val="006D3E0E"/>
    <w:rsid w:val="006D5CEA"/>
    <w:rsid w:val="006D7592"/>
    <w:rsid w:val="006E0823"/>
    <w:rsid w:val="006E0A41"/>
    <w:rsid w:val="006E12C2"/>
    <w:rsid w:val="006E3CD5"/>
    <w:rsid w:val="006E4E39"/>
    <w:rsid w:val="006F0139"/>
    <w:rsid w:val="006F4667"/>
    <w:rsid w:val="006F49E4"/>
    <w:rsid w:val="006F4F14"/>
    <w:rsid w:val="00701768"/>
    <w:rsid w:val="00702FE3"/>
    <w:rsid w:val="0070321B"/>
    <w:rsid w:val="00703541"/>
    <w:rsid w:val="00706936"/>
    <w:rsid w:val="00711F2E"/>
    <w:rsid w:val="007152B1"/>
    <w:rsid w:val="007172A7"/>
    <w:rsid w:val="007178A1"/>
    <w:rsid w:val="00717F75"/>
    <w:rsid w:val="00730A1F"/>
    <w:rsid w:val="00730B4C"/>
    <w:rsid w:val="007313D8"/>
    <w:rsid w:val="007314DC"/>
    <w:rsid w:val="0073275A"/>
    <w:rsid w:val="007344CA"/>
    <w:rsid w:val="00734553"/>
    <w:rsid w:val="007346F1"/>
    <w:rsid w:val="00734D5E"/>
    <w:rsid w:val="00735FF8"/>
    <w:rsid w:val="0073707B"/>
    <w:rsid w:val="007372D9"/>
    <w:rsid w:val="00741B93"/>
    <w:rsid w:val="007422BA"/>
    <w:rsid w:val="0074426B"/>
    <w:rsid w:val="00745D7A"/>
    <w:rsid w:val="00747FA7"/>
    <w:rsid w:val="0075030F"/>
    <w:rsid w:val="007519AE"/>
    <w:rsid w:val="00754B2C"/>
    <w:rsid w:val="00757126"/>
    <w:rsid w:val="007576FD"/>
    <w:rsid w:val="00761693"/>
    <w:rsid w:val="00762ADB"/>
    <w:rsid w:val="00763312"/>
    <w:rsid w:val="007674FA"/>
    <w:rsid w:val="00767C07"/>
    <w:rsid w:val="00772885"/>
    <w:rsid w:val="00772ED9"/>
    <w:rsid w:val="00773B5D"/>
    <w:rsid w:val="00776B44"/>
    <w:rsid w:val="00776BBF"/>
    <w:rsid w:val="00777A2E"/>
    <w:rsid w:val="00781D20"/>
    <w:rsid w:val="007824C2"/>
    <w:rsid w:val="0078319E"/>
    <w:rsid w:val="00786844"/>
    <w:rsid w:val="00790BDF"/>
    <w:rsid w:val="0079450C"/>
    <w:rsid w:val="00794D8A"/>
    <w:rsid w:val="00795963"/>
    <w:rsid w:val="007A1878"/>
    <w:rsid w:val="007A4918"/>
    <w:rsid w:val="007A55A7"/>
    <w:rsid w:val="007A5CF9"/>
    <w:rsid w:val="007B0784"/>
    <w:rsid w:val="007B1920"/>
    <w:rsid w:val="007B3BC3"/>
    <w:rsid w:val="007B6182"/>
    <w:rsid w:val="007C26E8"/>
    <w:rsid w:val="007C27B4"/>
    <w:rsid w:val="007C2ECF"/>
    <w:rsid w:val="007D1060"/>
    <w:rsid w:val="007D1661"/>
    <w:rsid w:val="007D6A52"/>
    <w:rsid w:val="007E1C4E"/>
    <w:rsid w:val="007E4190"/>
    <w:rsid w:val="007E515B"/>
    <w:rsid w:val="007E5547"/>
    <w:rsid w:val="007E61F2"/>
    <w:rsid w:val="007E6A05"/>
    <w:rsid w:val="007E761D"/>
    <w:rsid w:val="007F1A88"/>
    <w:rsid w:val="007F209F"/>
    <w:rsid w:val="007F6D72"/>
    <w:rsid w:val="007F75D6"/>
    <w:rsid w:val="007F7A14"/>
    <w:rsid w:val="0080014F"/>
    <w:rsid w:val="00800373"/>
    <w:rsid w:val="0080132E"/>
    <w:rsid w:val="00803F33"/>
    <w:rsid w:val="00812E41"/>
    <w:rsid w:val="00813125"/>
    <w:rsid w:val="00815347"/>
    <w:rsid w:val="00816126"/>
    <w:rsid w:val="00817433"/>
    <w:rsid w:val="0082164F"/>
    <w:rsid w:val="00821C8A"/>
    <w:rsid w:val="00822F3F"/>
    <w:rsid w:val="00824E47"/>
    <w:rsid w:val="0082752A"/>
    <w:rsid w:val="008311B6"/>
    <w:rsid w:val="00832223"/>
    <w:rsid w:val="00833D5C"/>
    <w:rsid w:val="008419C4"/>
    <w:rsid w:val="00842B9D"/>
    <w:rsid w:val="008431D1"/>
    <w:rsid w:val="0084324A"/>
    <w:rsid w:val="008432D6"/>
    <w:rsid w:val="0084550D"/>
    <w:rsid w:val="008456AE"/>
    <w:rsid w:val="00847E18"/>
    <w:rsid w:val="00850BA4"/>
    <w:rsid w:val="00853CF6"/>
    <w:rsid w:val="00854570"/>
    <w:rsid w:val="00857FE5"/>
    <w:rsid w:val="0086068F"/>
    <w:rsid w:val="00863F00"/>
    <w:rsid w:val="00864806"/>
    <w:rsid w:val="00865D90"/>
    <w:rsid w:val="008678E0"/>
    <w:rsid w:val="00871393"/>
    <w:rsid w:val="008726CB"/>
    <w:rsid w:val="00873525"/>
    <w:rsid w:val="0087400A"/>
    <w:rsid w:val="008816C3"/>
    <w:rsid w:val="00881D17"/>
    <w:rsid w:val="008853E5"/>
    <w:rsid w:val="00885EA7"/>
    <w:rsid w:val="00894F9F"/>
    <w:rsid w:val="00895E82"/>
    <w:rsid w:val="00897E9B"/>
    <w:rsid w:val="008A048D"/>
    <w:rsid w:val="008A06E3"/>
    <w:rsid w:val="008A1D31"/>
    <w:rsid w:val="008A731F"/>
    <w:rsid w:val="008A780D"/>
    <w:rsid w:val="008B02F1"/>
    <w:rsid w:val="008B2DDB"/>
    <w:rsid w:val="008B36F4"/>
    <w:rsid w:val="008B47E8"/>
    <w:rsid w:val="008B522C"/>
    <w:rsid w:val="008C03B7"/>
    <w:rsid w:val="008C13BF"/>
    <w:rsid w:val="008C2C2D"/>
    <w:rsid w:val="008C5F2F"/>
    <w:rsid w:val="008D5F6F"/>
    <w:rsid w:val="008D6952"/>
    <w:rsid w:val="008E0AC1"/>
    <w:rsid w:val="008E3761"/>
    <w:rsid w:val="008E39FC"/>
    <w:rsid w:val="008E648F"/>
    <w:rsid w:val="008E667C"/>
    <w:rsid w:val="00900A60"/>
    <w:rsid w:val="009033E7"/>
    <w:rsid w:val="00907759"/>
    <w:rsid w:val="00910128"/>
    <w:rsid w:val="00913027"/>
    <w:rsid w:val="00915345"/>
    <w:rsid w:val="009172CF"/>
    <w:rsid w:val="009210A7"/>
    <w:rsid w:val="00922319"/>
    <w:rsid w:val="00923891"/>
    <w:rsid w:val="009330C8"/>
    <w:rsid w:val="00934C96"/>
    <w:rsid w:val="009363A3"/>
    <w:rsid w:val="00936A1C"/>
    <w:rsid w:val="009422FE"/>
    <w:rsid w:val="0094519A"/>
    <w:rsid w:val="00947CE2"/>
    <w:rsid w:val="0095157D"/>
    <w:rsid w:val="00952B63"/>
    <w:rsid w:val="009538B7"/>
    <w:rsid w:val="0095435C"/>
    <w:rsid w:val="0096336F"/>
    <w:rsid w:val="009642FE"/>
    <w:rsid w:val="00966399"/>
    <w:rsid w:val="00966763"/>
    <w:rsid w:val="00970A22"/>
    <w:rsid w:val="00974297"/>
    <w:rsid w:val="009742D2"/>
    <w:rsid w:val="009800DD"/>
    <w:rsid w:val="00984020"/>
    <w:rsid w:val="00984C7A"/>
    <w:rsid w:val="00984EDC"/>
    <w:rsid w:val="0099101B"/>
    <w:rsid w:val="009A17A4"/>
    <w:rsid w:val="009A35A5"/>
    <w:rsid w:val="009A469D"/>
    <w:rsid w:val="009A5CB7"/>
    <w:rsid w:val="009B3462"/>
    <w:rsid w:val="009B4736"/>
    <w:rsid w:val="009B6943"/>
    <w:rsid w:val="009B6A72"/>
    <w:rsid w:val="009B6AC9"/>
    <w:rsid w:val="009C2DE0"/>
    <w:rsid w:val="009C3229"/>
    <w:rsid w:val="009C3E22"/>
    <w:rsid w:val="009C6992"/>
    <w:rsid w:val="009C6B58"/>
    <w:rsid w:val="009D1BB3"/>
    <w:rsid w:val="009D402A"/>
    <w:rsid w:val="009D4702"/>
    <w:rsid w:val="009D720E"/>
    <w:rsid w:val="009D7D97"/>
    <w:rsid w:val="009E0076"/>
    <w:rsid w:val="009E3263"/>
    <w:rsid w:val="009E73C9"/>
    <w:rsid w:val="009E7736"/>
    <w:rsid w:val="009F0CA0"/>
    <w:rsid w:val="009F0D32"/>
    <w:rsid w:val="009F41E4"/>
    <w:rsid w:val="00A017E1"/>
    <w:rsid w:val="00A01DBD"/>
    <w:rsid w:val="00A0252A"/>
    <w:rsid w:val="00A027B8"/>
    <w:rsid w:val="00A039C5"/>
    <w:rsid w:val="00A103AC"/>
    <w:rsid w:val="00A106A1"/>
    <w:rsid w:val="00A115E3"/>
    <w:rsid w:val="00A11DE0"/>
    <w:rsid w:val="00A137C1"/>
    <w:rsid w:val="00A15EFA"/>
    <w:rsid w:val="00A169FD"/>
    <w:rsid w:val="00A16A13"/>
    <w:rsid w:val="00A17825"/>
    <w:rsid w:val="00A25AA6"/>
    <w:rsid w:val="00A27795"/>
    <w:rsid w:val="00A27DC0"/>
    <w:rsid w:val="00A3375D"/>
    <w:rsid w:val="00A34F1A"/>
    <w:rsid w:val="00A36E35"/>
    <w:rsid w:val="00A371B9"/>
    <w:rsid w:val="00A4083E"/>
    <w:rsid w:val="00A4125B"/>
    <w:rsid w:val="00A46853"/>
    <w:rsid w:val="00A548E0"/>
    <w:rsid w:val="00A552B9"/>
    <w:rsid w:val="00A60EB6"/>
    <w:rsid w:val="00A61AD8"/>
    <w:rsid w:val="00A63445"/>
    <w:rsid w:val="00A649AA"/>
    <w:rsid w:val="00A6554F"/>
    <w:rsid w:val="00A65642"/>
    <w:rsid w:val="00A65803"/>
    <w:rsid w:val="00A65CB1"/>
    <w:rsid w:val="00A6626D"/>
    <w:rsid w:val="00A70091"/>
    <w:rsid w:val="00A71CEA"/>
    <w:rsid w:val="00A7341D"/>
    <w:rsid w:val="00A74980"/>
    <w:rsid w:val="00A76842"/>
    <w:rsid w:val="00A8103D"/>
    <w:rsid w:val="00A85724"/>
    <w:rsid w:val="00A87FB5"/>
    <w:rsid w:val="00A905BB"/>
    <w:rsid w:val="00A91B2E"/>
    <w:rsid w:val="00A94B9A"/>
    <w:rsid w:val="00A96993"/>
    <w:rsid w:val="00A97AE0"/>
    <w:rsid w:val="00AA18D4"/>
    <w:rsid w:val="00AA1F05"/>
    <w:rsid w:val="00AA1F43"/>
    <w:rsid w:val="00AA226D"/>
    <w:rsid w:val="00AA68E9"/>
    <w:rsid w:val="00AA76BF"/>
    <w:rsid w:val="00AB0417"/>
    <w:rsid w:val="00AB7F12"/>
    <w:rsid w:val="00AC03A1"/>
    <w:rsid w:val="00AC4A2F"/>
    <w:rsid w:val="00AC7394"/>
    <w:rsid w:val="00AC780C"/>
    <w:rsid w:val="00AD0D6D"/>
    <w:rsid w:val="00AD2A86"/>
    <w:rsid w:val="00AE1F11"/>
    <w:rsid w:val="00AE54A5"/>
    <w:rsid w:val="00AE72A1"/>
    <w:rsid w:val="00AF0D46"/>
    <w:rsid w:val="00AF146F"/>
    <w:rsid w:val="00AF39E4"/>
    <w:rsid w:val="00AF566C"/>
    <w:rsid w:val="00AF69A8"/>
    <w:rsid w:val="00AF7121"/>
    <w:rsid w:val="00B01293"/>
    <w:rsid w:val="00B033A8"/>
    <w:rsid w:val="00B05826"/>
    <w:rsid w:val="00B07910"/>
    <w:rsid w:val="00B11333"/>
    <w:rsid w:val="00B11639"/>
    <w:rsid w:val="00B16FDD"/>
    <w:rsid w:val="00B228B0"/>
    <w:rsid w:val="00B231E1"/>
    <w:rsid w:val="00B2487E"/>
    <w:rsid w:val="00B2507A"/>
    <w:rsid w:val="00B36547"/>
    <w:rsid w:val="00B4375F"/>
    <w:rsid w:val="00B44735"/>
    <w:rsid w:val="00B46EE2"/>
    <w:rsid w:val="00B544BC"/>
    <w:rsid w:val="00B552C7"/>
    <w:rsid w:val="00B55956"/>
    <w:rsid w:val="00B57D10"/>
    <w:rsid w:val="00B60960"/>
    <w:rsid w:val="00B616EE"/>
    <w:rsid w:val="00B63BEF"/>
    <w:rsid w:val="00B64AD5"/>
    <w:rsid w:val="00B65CE9"/>
    <w:rsid w:val="00B702EB"/>
    <w:rsid w:val="00B705D6"/>
    <w:rsid w:val="00B70D93"/>
    <w:rsid w:val="00B76F6A"/>
    <w:rsid w:val="00B82B43"/>
    <w:rsid w:val="00B831D0"/>
    <w:rsid w:val="00B833CC"/>
    <w:rsid w:val="00B85B2D"/>
    <w:rsid w:val="00B85D87"/>
    <w:rsid w:val="00B87B3C"/>
    <w:rsid w:val="00B87B92"/>
    <w:rsid w:val="00B9038A"/>
    <w:rsid w:val="00B91E2D"/>
    <w:rsid w:val="00B93B00"/>
    <w:rsid w:val="00B940B6"/>
    <w:rsid w:val="00B96055"/>
    <w:rsid w:val="00B97051"/>
    <w:rsid w:val="00B972EE"/>
    <w:rsid w:val="00B97C84"/>
    <w:rsid w:val="00BA0298"/>
    <w:rsid w:val="00BA442D"/>
    <w:rsid w:val="00BA4B4A"/>
    <w:rsid w:val="00BA67A0"/>
    <w:rsid w:val="00BA7230"/>
    <w:rsid w:val="00BA7675"/>
    <w:rsid w:val="00BA7C50"/>
    <w:rsid w:val="00BB51EA"/>
    <w:rsid w:val="00BB62C6"/>
    <w:rsid w:val="00BC53C2"/>
    <w:rsid w:val="00BD0653"/>
    <w:rsid w:val="00BD3443"/>
    <w:rsid w:val="00BD430D"/>
    <w:rsid w:val="00BD4877"/>
    <w:rsid w:val="00BD4A59"/>
    <w:rsid w:val="00BE4349"/>
    <w:rsid w:val="00BE5B0A"/>
    <w:rsid w:val="00BF098A"/>
    <w:rsid w:val="00BF1A0C"/>
    <w:rsid w:val="00BF2BDD"/>
    <w:rsid w:val="00BF3217"/>
    <w:rsid w:val="00BF38AA"/>
    <w:rsid w:val="00BF4B60"/>
    <w:rsid w:val="00BF5615"/>
    <w:rsid w:val="00BF562D"/>
    <w:rsid w:val="00BF7E3B"/>
    <w:rsid w:val="00C03396"/>
    <w:rsid w:val="00C045E0"/>
    <w:rsid w:val="00C056F2"/>
    <w:rsid w:val="00C05A4A"/>
    <w:rsid w:val="00C128B2"/>
    <w:rsid w:val="00C12C07"/>
    <w:rsid w:val="00C13F27"/>
    <w:rsid w:val="00C14FCA"/>
    <w:rsid w:val="00C23E33"/>
    <w:rsid w:val="00C24754"/>
    <w:rsid w:val="00C2496B"/>
    <w:rsid w:val="00C27718"/>
    <w:rsid w:val="00C32542"/>
    <w:rsid w:val="00C33A23"/>
    <w:rsid w:val="00C359C1"/>
    <w:rsid w:val="00C40E60"/>
    <w:rsid w:val="00C42CD0"/>
    <w:rsid w:val="00C43018"/>
    <w:rsid w:val="00C4443B"/>
    <w:rsid w:val="00C44D74"/>
    <w:rsid w:val="00C452F9"/>
    <w:rsid w:val="00C47AC3"/>
    <w:rsid w:val="00C55D73"/>
    <w:rsid w:val="00C56BC4"/>
    <w:rsid w:val="00C57906"/>
    <w:rsid w:val="00C64F0E"/>
    <w:rsid w:val="00C659C6"/>
    <w:rsid w:val="00C6755D"/>
    <w:rsid w:val="00C71810"/>
    <w:rsid w:val="00C740F9"/>
    <w:rsid w:val="00C76F2C"/>
    <w:rsid w:val="00C77164"/>
    <w:rsid w:val="00C83702"/>
    <w:rsid w:val="00C846EF"/>
    <w:rsid w:val="00C85F80"/>
    <w:rsid w:val="00C8681D"/>
    <w:rsid w:val="00C86F42"/>
    <w:rsid w:val="00C91C62"/>
    <w:rsid w:val="00C92032"/>
    <w:rsid w:val="00C9774C"/>
    <w:rsid w:val="00CA0073"/>
    <w:rsid w:val="00CA119B"/>
    <w:rsid w:val="00CA1595"/>
    <w:rsid w:val="00CA23DE"/>
    <w:rsid w:val="00CA2BE7"/>
    <w:rsid w:val="00CA2C57"/>
    <w:rsid w:val="00CA32D8"/>
    <w:rsid w:val="00CA3635"/>
    <w:rsid w:val="00CA3BEE"/>
    <w:rsid w:val="00CA3C3A"/>
    <w:rsid w:val="00CA3DA7"/>
    <w:rsid w:val="00CA4F28"/>
    <w:rsid w:val="00CA5782"/>
    <w:rsid w:val="00CB160E"/>
    <w:rsid w:val="00CB281D"/>
    <w:rsid w:val="00CB4820"/>
    <w:rsid w:val="00CB7057"/>
    <w:rsid w:val="00CB7896"/>
    <w:rsid w:val="00CB7D2E"/>
    <w:rsid w:val="00CC0A03"/>
    <w:rsid w:val="00CC0B9C"/>
    <w:rsid w:val="00CC52F0"/>
    <w:rsid w:val="00CC6E7F"/>
    <w:rsid w:val="00CE01AC"/>
    <w:rsid w:val="00CE0675"/>
    <w:rsid w:val="00CE1670"/>
    <w:rsid w:val="00CE357E"/>
    <w:rsid w:val="00CE4699"/>
    <w:rsid w:val="00CE47EF"/>
    <w:rsid w:val="00CE596C"/>
    <w:rsid w:val="00CE5CA0"/>
    <w:rsid w:val="00CF03E9"/>
    <w:rsid w:val="00CF2F17"/>
    <w:rsid w:val="00CF3379"/>
    <w:rsid w:val="00CF3CFA"/>
    <w:rsid w:val="00CF6471"/>
    <w:rsid w:val="00D0222C"/>
    <w:rsid w:val="00D024DE"/>
    <w:rsid w:val="00D02688"/>
    <w:rsid w:val="00D048B7"/>
    <w:rsid w:val="00D11146"/>
    <w:rsid w:val="00D1415B"/>
    <w:rsid w:val="00D14BD9"/>
    <w:rsid w:val="00D17B7B"/>
    <w:rsid w:val="00D20F7C"/>
    <w:rsid w:val="00D27780"/>
    <w:rsid w:val="00D27D0C"/>
    <w:rsid w:val="00D30E53"/>
    <w:rsid w:val="00D32B9D"/>
    <w:rsid w:val="00D3348C"/>
    <w:rsid w:val="00D341DB"/>
    <w:rsid w:val="00D348D4"/>
    <w:rsid w:val="00D3739A"/>
    <w:rsid w:val="00D424A5"/>
    <w:rsid w:val="00D435B0"/>
    <w:rsid w:val="00D44917"/>
    <w:rsid w:val="00D46837"/>
    <w:rsid w:val="00D47B64"/>
    <w:rsid w:val="00D51788"/>
    <w:rsid w:val="00D51932"/>
    <w:rsid w:val="00D52FFB"/>
    <w:rsid w:val="00D5385D"/>
    <w:rsid w:val="00D60768"/>
    <w:rsid w:val="00D61318"/>
    <w:rsid w:val="00D62204"/>
    <w:rsid w:val="00D6363C"/>
    <w:rsid w:val="00D63677"/>
    <w:rsid w:val="00D64EE0"/>
    <w:rsid w:val="00D66666"/>
    <w:rsid w:val="00D718A4"/>
    <w:rsid w:val="00D71DE4"/>
    <w:rsid w:val="00D7380E"/>
    <w:rsid w:val="00D75798"/>
    <w:rsid w:val="00D759E7"/>
    <w:rsid w:val="00D75F80"/>
    <w:rsid w:val="00D768B3"/>
    <w:rsid w:val="00D81782"/>
    <w:rsid w:val="00D83CA3"/>
    <w:rsid w:val="00D83D32"/>
    <w:rsid w:val="00D8402B"/>
    <w:rsid w:val="00D867FB"/>
    <w:rsid w:val="00D90101"/>
    <w:rsid w:val="00D91868"/>
    <w:rsid w:val="00D92B9D"/>
    <w:rsid w:val="00D94565"/>
    <w:rsid w:val="00D953F2"/>
    <w:rsid w:val="00D95A84"/>
    <w:rsid w:val="00D970F0"/>
    <w:rsid w:val="00DA2829"/>
    <w:rsid w:val="00DA3709"/>
    <w:rsid w:val="00DA5A9F"/>
    <w:rsid w:val="00DB2BFB"/>
    <w:rsid w:val="00DB52AB"/>
    <w:rsid w:val="00DB6C14"/>
    <w:rsid w:val="00DC1580"/>
    <w:rsid w:val="00DC2BFF"/>
    <w:rsid w:val="00DC4387"/>
    <w:rsid w:val="00DC5622"/>
    <w:rsid w:val="00DC6A56"/>
    <w:rsid w:val="00DD68AA"/>
    <w:rsid w:val="00DD7404"/>
    <w:rsid w:val="00DD745F"/>
    <w:rsid w:val="00DE1405"/>
    <w:rsid w:val="00DE54CA"/>
    <w:rsid w:val="00DE7DC2"/>
    <w:rsid w:val="00DF0102"/>
    <w:rsid w:val="00DF214D"/>
    <w:rsid w:val="00DF517C"/>
    <w:rsid w:val="00E0618C"/>
    <w:rsid w:val="00E065F8"/>
    <w:rsid w:val="00E07295"/>
    <w:rsid w:val="00E07ABB"/>
    <w:rsid w:val="00E132C4"/>
    <w:rsid w:val="00E15A92"/>
    <w:rsid w:val="00E23798"/>
    <w:rsid w:val="00E2516F"/>
    <w:rsid w:val="00E26B8A"/>
    <w:rsid w:val="00E33CD9"/>
    <w:rsid w:val="00E367AC"/>
    <w:rsid w:val="00E43EE0"/>
    <w:rsid w:val="00E4444F"/>
    <w:rsid w:val="00E47DD5"/>
    <w:rsid w:val="00E509DD"/>
    <w:rsid w:val="00E545F1"/>
    <w:rsid w:val="00E556A9"/>
    <w:rsid w:val="00E606BE"/>
    <w:rsid w:val="00E60857"/>
    <w:rsid w:val="00E61917"/>
    <w:rsid w:val="00E62E77"/>
    <w:rsid w:val="00E71EAE"/>
    <w:rsid w:val="00E7567E"/>
    <w:rsid w:val="00E7748F"/>
    <w:rsid w:val="00E77DDF"/>
    <w:rsid w:val="00E81211"/>
    <w:rsid w:val="00E817F8"/>
    <w:rsid w:val="00E82230"/>
    <w:rsid w:val="00E85E0A"/>
    <w:rsid w:val="00E86702"/>
    <w:rsid w:val="00E9386A"/>
    <w:rsid w:val="00E9739F"/>
    <w:rsid w:val="00E976C4"/>
    <w:rsid w:val="00EA0EAD"/>
    <w:rsid w:val="00EA3BC1"/>
    <w:rsid w:val="00EA5160"/>
    <w:rsid w:val="00EA59A1"/>
    <w:rsid w:val="00EA6A99"/>
    <w:rsid w:val="00EB2758"/>
    <w:rsid w:val="00EC02BA"/>
    <w:rsid w:val="00EC38EC"/>
    <w:rsid w:val="00EC73D5"/>
    <w:rsid w:val="00EC7D8D"/>
    <w:rsid w:val="00ED061B"/>
    <w:rsid w:val="00ED3FF1"/>
    <w:rsid w:val="00ED4E96"/>
    <w:rsid w:val="00ED590A"/>
    <w:rsid w:val="00ED64D9"/>
    <w:rsid w:val="00EE10AD"/>
    <w:rsid w:val="00EE142E"/>
    <w:rsid w:val="00EE385B"/>
    <w:rsid w:val="00EE3D11"/>
    <w:rsid w:val="00EE68BA"/>
    <w:rsid w:val="00EF004B"/>
    <w:rsid w:val="00EF2541"/>
    <w:rsid w:val="00EF268A"/>
    <w:rsid w:val="00EF6807"/>
    <w:rsid w:val="00F0506A"/>
    <w:rsid w:val="00F05B3F"/>
    <w:rsid w:val="00F1225D"/>
    <w:rsid w:val="00F130F1"/>
    <w:rsid w:val="00F149FD"/>
    <w:rsid w:val="00F172CA"/>
    <w:rsid w:val="00F22592"/>
    <w:rsid w:val="00F2269B"/>
    <w:rsid w:val="00F22BB3"/>
    <w:rsid w:val="00F32A1C"/>
    <w:rsid w:val="00F34B65"/>
    <w:rsid w:val="00F37430"/>
    <w:rsid w:val="00F41703"/>
    <w:rsid w:val="00F427B6"/>
    <w:rsid w:val="00F43DD1"/>
    <w:rsid w:val="00F45C39"/>
    <w:rsid w:val="00F52FD6"/>
    <w:rsid w:val="00F53059"/>
    <w:rsid w:val="00F57ED7"/>
    <w:rsid w:val="00F61EFC"/>
    <w:rsid w:val="00F62FE3"/>
    <w:rsid w:val="00F637F5"/>
    <w:rsid w:val="00F70E4A"/>
    <w:rsid w:val="00F77EE3"/>
    <w:rsid w:val="00F82249"/>
    <w:rsid w:val="00F8314A"/>
    <w:rsid w:val="00F841E7"/>
    <w:rsid w:val="00F844BE"/>
    <w:rsid w:val="00F844D8"/>
    <w:rsid w:val="00F9130D"/>
    <w:rsid w:val="00F91407"/>
    <w:rsid w:val="00F91750"/>
    <w:rsid w:val="00F917ED"/>
    <w:rsid w:val="00F9654A"/>
    <w:rsid w:val="00F96693"/>
    <w:rsid w:val="00F97ED8"/>
    <w:rsid w:val="00FA0752"/>
    <w:rsid w:val="00FA1DFA"/>
    <w:rsid w:val="00FA48DC"/>
    <w:rsid w:val="00FA699B"/>
    <w:rsid w:val="00FA6E70"/>
    <w:rsid w:val="00FA7889"/>
    <w:rsid w:val="00FA7C0F"/>
    <w:rsid w:val="00FB0F37"/>
    <w:rsid w:val="00FB12DA"/>
    <w:rsid w:val="00FB2FA9"/>
    <w:rsid w:val="00FB3A50"/>
    <w:rsid w:val="00FB6076"/>
    <w:rsid w:val="00FB78A6"/>
    <w:rsid w:val="00FC04B4"/>
    <w:rsid w:val="00FC0E99"/>
    <w:rsid w:val="00FC2ACC"/>
    <w:rsid w:val="00FC36E7"/>
    <w:rsid w:val="00FC38A4"/>
    <w:rsid w:val="00FC778F"/>
    <w:rsid w:val="00FC7AE6"/>
    <w:rsid w:val="00FD0A4B"/>
    <w:rsid w:val="00FE1CDE"/>
    <w:rsid w:val="00FE6B4D"/>
    <w:rsid w:val="00FE70FB"/>
    <w:rsid w:val="00FF344E"/>
    <w:rsid w:val="00FF39AF"/>
    <w:rsid w:val="00FF3CD3"/>
    <w:rsid w:val="00FF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25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Hyperlink">
    <w:name w:val="Hyperlink"/>
    <w:basedOn w:val="DefaultParagraphFont"/>
    <w:uiPriority w:val="99"/>
    <w:unhideWhenUsed/>
    <w:rsid w:val="00A039C5"/>
    <w:rPr>
      <w:color w:val="0000FF" w:themeColor="hyperlink"/>
      <w:u w:val="single"/>
    </w:rPr>
  </w:style>
  <w:style w:type="character" w:styleId="CommentReference">
    <w:name w:val="annotation reference"/>
    <w:basedOn w:val="DefaultParagraphFont"/>
    <w:uiPriority w:val="99"/>
    <w:semiHidden/>
    <w:unhideWhenUsed/>
    <w:rsid w:val="00D7380E"/>
    <w:rPr>
      <w:sz w:val="16"/>
      <w:szCs w:val="16"/>
    </w:rPr>
  </w:style>
  <w:style w:type="paragraph" w:styleId="CommentText">
    <w:name w:val="annotation text"/>
    <w:basedOn w:val="Normal"/>
    <w:link w:val="CommentTextChar"/>
    <w:uiPriority w:val="99"/>
    <w:semiHidden/>
    <w:unhideWhenUsed/>
    <w:rsid w:val="00D7380E"/>
    <w:rPr>
      <w:sz w:val="20"/>
      <w:szCs w:val="20"/>
    </w:rPr>
  </w:style>
  <w:style w:type="character" w:customStyle="1" w:styleId="CommentTextChar">
    <w:name w:val="Comment Text Char"/>
    <w:basedOn w:val="DefaultParagraphFont"/>
    <w:link w:val="CommentText"/>
    <w:uiPriority w:val="99"/>
    <w:semiHidden/>
    <w:rsid w:val="00D738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7380E"/>
    <w:rPr>
      <w:b/>
      <w:bCs/>
    </w:rPr>
  </w:style>
  <w:style w:type="character" w:customStyle="1" w:styleId="CommentSubjectChar">
    <w:name w:val="Comment Subject Char"/>
    <w:basedOn w:val="CommentTextChar"/>
    <w:link w:val="CommentSubject"/>
    <w:uiPriority w:val="99"/>
    <w:semiHidden/>
    <w:rsid w:val="00D7380E"/>
    <w:rPr>
      <w:rFonts w:ascii="Times New Roman" w:hAnsi="Times New Roman"/>
      <w:b/>
      <w:bCs/>
    </w:rPr>
  </w:style>
  <w:style w:type="paragraph" w:styleId="Revision">
    <w:name w:val="Revision"/>
    <w:hidden/>
    <w:uiPriority w:val="99"/>
    <w:semiHidden/>
    <w:rsid w:val="00D7380E"/>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character" w:styleId="Hyperlink">
    <w:name w:val="Hyperlink"/>
    <w:basedOn w:val="DefaultParagraphFont"/>
    <w:uiPriority w:val="99"/>
    <w:unhideWhenUsed/>
    <w:rsid w:val="00A039C5"/>
    <w:rPr>
      <w:color w:val="0000FF" w:themeColor="hyperlink"/>
      <w:u w:val="single"/>
    </w:rPr>
  </w:style>
  <w:style w:type="character" w:styleId="CommentReference">
    <w:name w:val="annotation reference"/>
    <w:basedOn w:val="DefaultParagraphFont"/>
    <w:uiPriority w:val="99"/>
    <w:semiHidden/>
    <w:unhideWhenUsed/>
    <w:rsid w:val="00D7380E"/>
    <w:rPr>
      <w:sz w:val="16"/>
      <w:szCs w:val="16"/>
    </w:rPr>
  </w:style>
  <w:style w:type="paragraph" w:styleId="CommentText">
    <w:name w:val="annotation text"/>
    <w:basedOn w:val="Normal"/>
    <w:link w:val="CommentTextChar"/>
    <w:uiPriority w:val="99"/>
    <w:semiHidden/>
    <w:unhideWhenUsed/>
    <w:rsid w:val="00D7380E"/>
    <w:rPr>
      <w:sz w:val="20"/>
      <w:szCs w:val="20"/>
    </w:rPr>
  </w:style>
  <w:style w:type="character" w:customStyle="1" w:styleId="CommentTextChar">
    <w:name w:val="Comment Text Char"/>
    <w:basedOn w:val="DefaultParagraphFont"/>
    <w:link w:val="CommentText"/>
    <w:uiPriority w:val="99"/>
    <w:semiHidden/>
    <w:rsid w:val="00D738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7380E"/>
    <w:rPr>
      <w:b/>
      <w:bCs/>
    </w:rPr>
  </w:style>
  <w:style w:type="character" w:customStyle="1" w:styleId="CommentSubjectChar">
    <w:name w:val="Comment Subject Char"/>
    <w:basedOn w:val="CommentTextChar"/>
    <w:link w:val="CommentSubject"/>
    <w:uiPriority w:val="99"/>
    <w:semiHidden/>
    <w:rsid w:val="00D7380E"/>
    <w:rPr>
      <w:rFonts w:ascii="Times New Roman" w:hAnsi="Times New Roman"/>
      <w:b/>
      <w:bCs/>
    </w:rPr>
  </w:style>
  <w:style w:type="paragraph" w:styleId="Revision">
    <w:name w:val="Revision"/>
    <w:hidden/>
    <w:uiPriority w:val="99"/>
    <w:semiHidden/>
    <w:rsid w:val="00D7380E"/>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845">
      <w:bodyDiv w:val="1"/>
      <w:marLeft w:val="0"/>
      <w:marRight w:val="0"/>
      <w:marTop w:val="0"/>
      <w:marBottom w:val="0"/>
      <w:divBdr>
        <w:top w:val="none" w:sz="0" w:space="0" w:color="auto"/>
        <w:left w:val="none" w:sz="0" w:space="0" w:color="auto"/>
        <w:bottom w:val="none" w:sz="0" w:space="0" w:color="auto"/>
        <w:right w:val="none" w:sz="0" w:space="0" w:color="auto"/>
      </w:divBdr>
    </w:div>
    <w:div w:id="123273857">
      <w:bodyDiv w:val="1"/>
      <w:marLeft w:val="0"/>
      <w:marRight w:val="0"/>
      <w:marTop w:val="0"/>
      <w:marBottom w:val="0"/>
      <w:divBdr>
        <w:top w:val="none" w:sz="0" w:space="0" w:color="auto"/>
        <w:left w:val="none" w:sz="0" w:space="0" w:color="auto"/>
        <w:bottom w:val="none" w:sz="0" w:space="0" w:color="auto"/>
        <w:right w:val="none" w:sz="0" w:space="0" w:color="auto"/>
      </w:divBdr>
    </w:div>
    <w:div w:id="138810719">
      <w:bodyDiv w:val="1"/>
      <w:marLeft w:val="0"/>
      <w:marRight w:val="0"/>
      <w:marTop w:val="0"/>
      <w:marBottom w:val="0"/>
      <w:divBdr>
        <w:top w:val="none" w:sz="0" w:space="0" w:color="auto"/>
        <w:left w:val="none" w:sz="0" w:space="0" w:color="auto"/>
        <w:bottom w:val="none" w:sz="0" w:space="0" w:color="auto"/>
        <w:right w:val="none" w:sz="0" w:space="0" w:color="auto"/>
      </w:divBdr>
    </w:div>
    <w:div w:id="265046720">
      <w:bodyDiv w:val="1"/>
      <w:marLeft w:val="0"/>
      <w:marRight w:val="0"/>
      <w:marTop w:val="0"/>
      <w:marBottom w:val="0"/>
      <w:divBdr>
        <w:top w:val="none" w:sz="0" w:space="0" w:color="auto"/>
        <w:left w:val="none" w:sz="0" w:space="0" w:color="auto"/>
        <w:bottom w:val="none" w:sz="0" w:space="0" w:color="auto"/>
        <w:right w:val="none" w:sz="0" w:space="0" w:color="auto"/>
      </w:divBdr>
    </w:div>
    <w:div w:id="303195261">
      <w:bodyDiv w:val="1"/>
      <w:marLeft w:val="0"/>
      <w:marRight w:val="0"/>
      <w:marTop w:val="0"/>
      <w:marBottom w:val="0"/>
      <w:divBdr>
        <w:top w:val="none" w:sz="0" w:space="0" w:color="auto"/>
        <w:left w:val="none" w:sz="0" w:space="0" w:color="auto"/>
        <w:bottom w:val="none" w:sz="0" w:space="0" w:color="auto"/>
        <w:right w:val="none" w:sz="0" w:space="0" w:color="auto"/>
      </w:divBdr>
    </w:div>
    <w:div w:id="333537704">
      <w:bodyDiv w:val="1"/>
      <w:marLeft w:val="0"/>
      <w:marRight w:val="0"/>
      <w:marTop w:val="0"/>
      <w:marBottom w:val="0"/>
      <w:divBdr>
        <w:top w:val="none" w:sz="0" w:space="0" w:color="auto"/>
        <w:left w:val="none" w:sz="0" w:space="0" w:color="auto"/>
        <w:bottom w:val="none" w:sz="0" w:space="0" w:color="auto"/>
        <w:right w:val="none" w:sz="0" w:space="0" w:color="auto"/>
      </w:divBdr>
    </w:div>
    <w:div w:id="454255080">
      <w:bodyDiv w:val="1"/>
      <w:marLeft w:val="0"/>
      <w:marRight w:val="0"/>
      <w:marTop w:val="0"/>
      <w:marBottom w:val="0"/>
      <w:divBdr>
        <w:top w:val="none" w:sz="0" w:space="0" w:color="auto"/>
        <w:left w:val="none" w:sz="0" w:space="0" w:color="auto"/>
        <w:bottom w:val="none" w:sz="0" w:space="0" w:color="auto"/>
        <w:right w:val="none" w:sz="0" w:space="0" w:color="auto"/>
      </w:divBdr>
    </w:div>
    <w:div w:id="553811468">
      <w:bodyDiv w:val="1"/>
      <w:marLeft w:val="0"/>
      <w:marRight w:val="0"/>
      <w:marTop w:val="0"/>
      <w:marBottom w:val="0"/>
      <w:divBdr>
        <w:top w:val="none" w:sz="0" w:space="0" w:color="auto"/>
        <w:left w:val="none" w:sz="0" w:space="0" w:color="auto"/>
        <w:bottom w:val="none" w:sz="0" w:space="0" w:color="auto"/>
        <w:right w:val="none" w:sz="0" w:space="0" w:color="auto"/>
      </w:divBdr>
    </w:div>
    <w:div w:id="592591151">
      <w:bodyDiv w:val="1"/>
      <w:marLeft w:val="0"/>
      <w:marRight w:val="0"/>
      <w:marTop w:val="0"/>
      <w:marBottom w:val="0"/>
      <w:divBdr>
        <w:top w:val="none" w:sz="0" w:space="0" w:color="auto"/>
        <w:left w:val="none" w:sz="0" w:space="0" w:color="auto"/>
        <w:bottom w:val="none" w:sz="0" w:space="0" w:color="auto"/>
        <w:right w:val="none" w:sz="0" w:space="0" w:color="auto"/>
      </w:divBdr>
    </w:div>
    <w:div w:id="719594647">
      <w:bodyDiv w:val="1"/>
      <w:marLeft w:val="0"/>
      <w:marRight w:val="0"/>
      <w:marTop w:val="0"/>
      <w:marBottom w:val="0"/>
      <w:divBdr>
        <w:top w:val="none" w:sz="0" w:space="0" w:color="auto"/>
        <w:left w:val="none" w:sz="0" w:space="0" w:color="auto"/>
        <w:bottom w:val="none" w:sz="0" w:space="0" w:color="auto"/>
        <w:right w:val="none" w:sz="0" w:space="0" w:color="auto"/>
      </w:divBdr>
    </w:div>
    <w:div w:id="783157328">
      <w:bodyDiv w:val="1"/>
      <w:marLeft w:val="0"/>
      <w:marRight w:val="0"/>
      <w:marTop w:val="0"/>
      <w:marBottom w:val="0"/>
      <w:divBdr>
        <w:top w:val="none" w:sz="0" w:space="0" w:color="auto"/>
        <w:left w:val="none" w:sz="0" w:space="0" w:color="auto"/>
        <w:bottom w:val="none" w:sz="0" w:space="0" w:color="auto"/>
        <w:right w:val="none" w:sz="0" w:space="0" w:color="auto"/>
      </w:divBdr>
    </w:div>
    <w:div w:id="813178948">
      <w:bodyDiv w:val="1"/>
      <w:marLeft w:val="0"/>
      <w:marRight w:val="0"/>
      <w:marTop w:val="0"/>
      <w:marBottom w:val="0"/>
      <w:divBdr>
        <w:top w:val="none" w:sz="0" w:space="0" w:color="auto"/>
        <w:left w:val="none" w:sz="0" w:space="0" w:color="auto"/>
        <w:bottom w:val="none" w:sz="0" w:space="0" w:color="auto"/>
        <w:right w:val="none" w:sz="0" w:space="0" w:color="auto"/>
      </w:divBdr>
    </w:div>
    <w:div w:id="857085174">
      <w:bodyDiv w:val="1"/>
      <w:marLeft w:val="0"/>
      <w:marRight w:val="0"/>
      <w:marTop w:val="0"/>
      <w:marBottom w:val="0"/>
      <w:divBdr>
        <w:top w:val="none" w:sz="0" w:space="0" w:color="auto"/>
        <w:left w:val="none" w:sz="0" w:space="0" w:color="auto"/>
        <w:bottom w:val="none" w:sz="0" w:space="0" w:color="auto"/>
        <w:right w:val="none" w:sz="0" w:space="0" w:color="auto"/>
      </w:divBdr>
    </w:div>
    <w:div w:id="873077060">
      <w:bodyDiv w:val="1"/>
      <w:marLeft w:val="0"/>
      <w:marRight w:val="0"/>
      <w:marTop w:val="0"/>
      <w:marBottom w:val="0"/>
      <w:divBdr>
        <w:top w:val="none" w:sz="0" w:space="0" w:color="auto"/>
        <w:left w:val="none" w:sz="0" w:space="0" w:color="auto"/>
        <w:bottom w:val="none" w:sz="0" w:space="0" w:color="auto"/>
        <w:right w:val="none" w:sz="0" w:space="0" w:color="auto"/>
      </w:divBdr>
    </w:div>
    <w:div w:id="930161464">
      <w:bodyDiv w:val="1"/>
      <w:marLeft w:val="0"/>
      <w:marRight w:val="0"/>
      <w:marTop w:val="0"/>
      <w:marBottom w:val="0"/>
      <w:divBdr>
        <w:top w:val="none" w:sz="0" w:space="0" w:color="auto"/>
        <w:left w:val="none" w:sz="0" w:space="0" w:color="auto"/>
        <w:bottom w:val="none" w:sz="0" w:space="0" w:color="auto"/>
        <w:right w:val="none" w:sz="0" w:space="0" w:color="auto"/>
      </w:divBdr>
    </w:div>
    <w:div w:id="974870602">
      <w:bodyDiv w:val="1"/>
      <w:marLeft w:val="0"/>
      <w:marRight w:val="0"/>
      <w:marTop w:val="0"/>
      <w:marBottom w:val="0"/>
      <w:divBdr>
        <w:top w:val="none" w:sz="0" w:space="0" w:color="auto"/>
        <w:left w:val="none" w:sz="0" w:space="0" w:color="auto"/>
        <w:bottom w:val="none" w:sz="0" w:space="0" w:color="auto"/>
        <w:right w:val="none" w:sz="0" w:space="0" w:color="auto"/>
      </w:divBdr>
    </w:div>
    <w:div w:id="1108230785">
      <w:bodyDiv w:val="1"/>
      <w:marLeft w:val="0"/>
      <w:marRight w:val="0"/>
      <w:marTop w:val="0"/>
      <w:marBottom w:val="0"/>
      <w:divBdr>
        <w:top w:val="none" w:sz="0" w:space="0" w:color="auto"/>
        <w:left w:val="none" w:sz="0" w:space="0" w:color="auto"/>
        <w:bottom w:val="none" w:sz="0" w:space="0" w:color="auto"/>
        <w:right w:val="none" w:sz="0" w:space="0" w:color="auto"/>
      </w:divBdr>
    </w:div>
    <w:div w:id="1114787795">
      <w:bodyDiv w:val="1"/>
      <w:marLeft w:val="0"/>
      <w:marRight w:val="0"/>
      <w:marTop w:val="0"/>
      <w:marBottom w:val="0"/>
      <w:divBdr>
        <w:top w:val="none" w:sz="0" w:space="0" w:color="auto"/>
        <w:left w:val="none" w:sz="0" w:space="0" w:color="auto"/>
        <w:bottom w:val="none" w:sz="0" w:space="0" w:color="auto"/>
        <w:right w:val="none" w:sz="0" w:space="0" w:color="auto"/>
      </w:divBdr>
    </w:div>
    <w:div w:id="1155218903">
      <w:bodyDiv w:val="1"/>
      <w:marLeft w:val="0"/>
      <w:marRight w:val="0"/>
      <w:marTop w:val="0"/>
      <w:marBottom w:val="0"/>
      <w:divBdr>
        <w:top w:val="none" w:sz="0" w:space="0" w:color="auto"/>
        <w:left w:val="none" w:sz="0" w:space="0" w:color="auto"/>
        <w:bottom w:val="none" w:sz="0" w:space="0" w:color="auto"/>
        <w:right w:val="none" w:sz="0" w:space="0" w:color="auto"/>
      </w:divBdr>
    </w:div>
    <w:div w:id="1195119220">
      <w:bodyDiv w:val="1"/>
      <w:marLeft w:val="0"/>
      <w:marRight w:val="0"/>
      <w:marTop w:val="0"/>
      <w:marBottom w:val="0"/>
      <w:divBdr>
        <w:top w:val="none" w:sz="0" w:space="0" w:color="auto"/>
        <w:left w:val="none" w:sz="0" w:space="0" w:color="auto"/>
        <w:bottom w:val="none" w:sz="0" w:space="0" w:color="auto"/>
        <w:right w:val="none" w:sz="0" w:space="0" w:color="auto"/>
      </w:divBdr>
    </w:div>
    <w:div w:id="1346666310">
      <w:bodyDiv w:val="1"/>
      <w:marLeft w:val="0"/>
      <w:marRight w:val="0"/>
      <w:marTop w:val="0"/>
      <w:marBottom w:val="0"/>
      <w:divBdr>
        <w:top w:val="none" w:sz="0" w:space="0" w:color="auto"/>
        <w:left w:val="none" w:sz="0" w:space="0" w:color="auto"/>
        <w:bottom w:val="none" w:sz="0" w:space="0" w:color="auto"/>
        <w:right w:val="none" w:sz="0" w:space="0" w:color="auto"/>
      </w:divBdr>
    </w:div>
    <w:div w:id="1359282748">
      <w:bodyDiv w:val="1"/>
      <w:marLeft w:val="0"/>
      <w:marRight w:val="0"/>
      <w:marTop w:val="0"/>
      <w:marBottom w:val="0"/>
      <w:divBdr>
        <w:top w:val="none" w:sz="0" w:space="0" w:color="auto"/>
        <w:left w:val="none" w:sz="0" w:space="0" w:color="auto"/>
        <w:bottom w:val="none" w:sz="0" w:space="0" w:color="auto"/>
        <w:right w:val="none" w:sz="0" w:space="0" w:color="auto"/>
      </w:divBdr>
    </w:div>
    <w:div w:id="1394624001">
      <w:bodyDiv w:val="1"/>
      <w:marLeft w:val="0"/>
      <w:marRight w:val="0"/>
      <w:marTop w:val="0"/>
      <w:marBottom w:val="0"/>
      <w:divBdr>
        <w:top w:val="none" w:sz="0" w:space="0" w:color="auto"/>
        <w:left w:val="none" w:sz="0" w:space="0" w:color="auto"/>
        <w:bottom w:val="none" w:sz="0" w:space="0" w:color="auto"/>
        <w:right w:val="none" w:sz="0" w:space="0" w:color="auto"/>
      </w:divBdr>
    </w:div>
    <w:div w:id="1411385469">
      <w:bodyDiv w:val="1"/>
      <w:marLeft w:val="0"/>
      <w:marRight w:val="0"/>
      <w:marTop w:val="0"/>
      <w:marBottom w:val="0"/>
      <w:divBdr>
        <w:top w:val="none" w:sz="0" w:space="0" w:color="auto"/>
        <w:left w:val="none" w:sz="0" w:space="0" w:color="auto"/>
        <w:bottom w:val="none" w:sz="0" w:space="0" w:color="auto"/>
        <w:right w:val="none" w:sz="0" w:space="0" w:color="auto"/>
      </w:divBdr>
    </w:div>
    <w:div w:id="1542939572">
      <w:bodyDiv w:val="1"/>
      <w:marLeft w:val="0"/>
      <w:marRight w:val="0"/>
      <w:marTop w:val="0"/>
      <w:marBottom w:val="0"/>
      <w:divBdr>
        <w:top w:val="none" w:sz="0" w:space="0" w:color="auto"/>
        <w:left w:val="none" w:sz="0" w:space="0" w:color="auto"/>
        <w:bottom w:val="none" w:sz="0" w:space="0" w:color="auto"/>
        <w:right w:val="none" w:sz="0" w:space="0" w:color="auto"/>
      </w:divBdr>
    </w:div>
    <w:div w:id="1594044999">
      <w:bodyDiv w:val="1"/>
      <w:marLeft w:val="0"/>
      <w:marRight w:val="0"/>
      <w:marTop w:val="0"/>
      <w:marBottom w:val="0"/>
      <w:divBdr>
        <w:top w:val="none" w:sz="0" w:space="0" w:color="auto"/>
        <w:left w:val="none" w:sz="0" w:space="0" w:color="auto"/>
        <w:bottom w:val="none" w:sz="0" w:space="0" w:color="auto"/>
        <w:right w:val="none" w:sz="0" w:space="0" w:color="auto"/>
      </w:divBdr>
    </w:div>
    <w:div w:id="1618175922">
      <w:bodyDiv w:val="1"/>
      <w:marLeft w:val="0"/>
      <w:marRight w:val="0"/>
      <w:marTop w:val="0"/>
      <w:marBottom w:val="0"/>
      <w:divBdr>
        <w:top w:val="none" w:sz="0" w:space="0" w:color="auto"/>
        <w:left w:val="none" w:sz="0" w:space="0" w:color="auto"/>
        <w:bottom w:val="none" w:sz="0" w:space="0" w:color="auto"/>
        <w:right w:val="none" w:sz="0" w:space="0" w:color="auto"/>
      </w:divBdr>
    </w:div>
    <w:div w:id="1630016389">
      <w:bodyDiv w:val="1"/>
      <w:marLeft w:val="0"/>
      <w:marRight w:val="0"/>
      <w:marTop w:val="0"/>
      <w:marBottom w:val="0"/>
      <w:divBdr>
        <w:top w:val="none" w:sz="0" w:space="0" w:color="auto"/>
        <w:left w:val="none" w:sz="0" w:space="0" w:color="auto"/>
        <w:bottom w:val="none" w:sz="0" w:space="0" w:color="auto"/>
        <w:right w:val="none" w:sz="0" w:space="0" w:color="auto"/>
      </w:divBdr>
    </w:div>
    <w:div w:id="1750039469">
      <w:bodyDiv w:val="1"/>
      <w:marLeft w:val="0"/>
      <w:marRight w:val="0"/>
      <w:marTop w:val="0"/>
      <w:marBottom w:val="0"/>
      <w:divBdr>
        <w:top w:val="none" w:sz="0" w:space="0" w:color="auto"/>
        <w:left w:val="none" w:sz="0" w:space="0" w:color="auto"/>
        <w:bottom w:val="none" w:sz="0" w:space="0" w:color="auto"/>
        <w:right w:val="none" w:sz="0" w:space="0" w:color="auto"/>
      </w:divBdr>
    </w:div>
    <w:div w:id="1782384419">
      <w:bodyDiv w:val="1"/>
      <w:marLeft w:val="0"/>
      <w:marRight w:val="0"/>
      <w:marTop w:val="0"/>
      <w:marBottom w:val="0"/>
      <w:divBdr>
        <w:top w:val="none" w:sz="0" w:space="0" w:color="auto"/>
        <w:left w:val="none" w:sz="0" w:space="0" w:color="auto"/>
        <w:bottom w:val="none" w:sz="0" w:space="0" w:color="auto"/>
        <w:right w:val="none" w:sz="0" w:space="0" w:color="auto"/>
      </w:divBdr>
    </w:div>
    <w:div w:id="1804034598">
      <w:bodyDiv w:val="1"/>
      <w:marLeft w:val="0"/>
      <w:marRight w:val="0"/>
      <w:marTop w:val="0"/>
      <w:marBottom w:val="0"/>
      <w:divBdr>
        <w:top w:val="none" w:sz="0" w:space="0" w:color="auto"/>
        <w:left w:val="none" w:sz="0" w:space="0" w:color="auto"/>
        <w:bottom w:val="none" w:sz="0" w:space="0" w:color="auto"/>
        <w:right w:val="none" w:sz="0" w:space="0" w:color="auto"/>
      </w:divBdr>
    </w:div>
    <w:div w:id="1841000757">
      <w:bodyDiv w:val="1"/>
      <w:marLeft w:val="0"/>
      <w:marRight w:val="0"/>
      <w:marTop w:val="0"/>
      <w:marBottom w:val="0"/>
      <w:divBdr>
        <w:top w:val="none" w:sz="0" w:space="0" w:color="auto"/>
        <w:left w:val="none" w:sz="0" w:space="0" w:color="auto"/>
        <w:bottom w:val="none" w:sz="0" w:space="0" w:color="auto"/>
        <w:right w:val="none" w:sz="0" w:space="0" w:color="auto"/>
      </w:divBdr>
    </w:div>
    <w:div w:id="1852062711">
      <w:bodyDiv w:val="1"/>
      <w:marLeft w:val="0"/>
      <w:marRight w:val="0"/>
      <w:marTop w:val="0"/>
      <w:marBottom w:val="0"/>
      <w:divBdr>
        <w:top w:val="none" w:sz="0" w:space="0" w:color="auto"/>
        <w:left w:val="none" w:sz="0" w:space="0" w:color="auto"/>
        <w:bottom w:val="none" w:sz="0" w:space="0" w:color="auto"/>
        <w:right w:val="none" w:sz="0" w:space="0" w:color="auto"/>
      </w:divBdr>
    </w:div>
    <w:div w:id="1934194444">
      <w:bodyDiv w:val="1"/>
      <w:marLeft w:val="0"/>
      <w:marRight w:val="0"/>
      <w:marTop w:val="0"/>
      <w:marBottom w:val="0"/>
      <w:divBdr>
        <w:top w:val="none" w:sz="0" w:space="0" w:color="auto"/>
        <w:left w:val="none" w:sz="0" w:space="0" w:color="auto"/>
        <w:bottom w:val="none" w:sz="0" w:space="0" w:color="auto"/>
        <w:right w:val="none" w:sz="0" w:space="0" w:color="auto"/>
      </w:divBdr>
    </w:div>
    <w:div w:id="1977950004">
      <w:bodyDiv w:val="1"/>
      <w:marLeft w:val="0"/>
      <w:marRight w:val="0"/>
      <w:marTop w:val="0"/>
      <w:marBottom w:val="0"/>
      <w:divBdr>
        <w:top w:val="none" w:sz="0" w:space="0" w:color="auto"/>
        <w:left w:val="none" w:sz="0" w:space="0" w:color="auto"/>
        <w:bottom w:val="none" w:sz="0" w:space="0" w:color="auto"/>
        <w:right w:val="none" w:sz="0" w:space="0" w:color="auto"/>
      </w:divBdr>
    </w:div>
    <w:div w:id="2034570709">
      <w:bodyDiv w:val="1"/>
      <w:marLeft w:val="0"/>
      <w:marRight w:val="0"/>
      <w:marTop w:val="0"/>
      <w:marBottom w:val="0"/>
      <w:divBdr>
        <w:top w:val="none" w:sz="0" w:space="0" w:color="auto"/>
        <w:left w:val="none" w:sz="0" w:space="0" w:color="auto"/>
        <w:bottom w:val="none" w:sz="0" w:space="0" w:color="auto"/>
        <w:right w:val="none" w:sz="0" w:space="0" w:color="auto"/>
      </w:divBdr>
    </w:div>
    <w:div w:id="212896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tinjem@hotmail.com" TargetMode="External"/><Relationship Id="rId4" Type="http://schemas.microsoft.com/office/2007/relationships/stylesWithEffects" Target="stylesWithEffects.xml"/><Relationship Id="rId9" Type="http://schemas.openxmlformats.org/officeDocument/2006/relationships/hyperlink" Target="mailto:rachel.grunberg@calbar.c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User%20Templates\2019_CNSL\2019-Judge_Counsel_%20Forms\Opinion_F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8C01-06D0-4DEB-97B3-10758CA4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Opinion_Frm.dotm</Template>
  <TotalTime>0</TotalTime>
  <Pages>19</Pages>
  <Words>4351</Words>
  <Characters>24806</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29099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Talya Tapley</dc:creator>
  <cp:lastModifiedBy>fontesj</cp:lastModifiedBy>
  <cp:revision>2</cp:revision>
  <cp:lastPrinted>2020-08-25T21:02:00Z</cp:lastPrinted>
  <dcterms:created xsi:type="dcterms:W3CDTF">2020-10-02T21:57:00Z</dcterms:created>
  <dcterms:modified xsi:type="dcterms:W3CDTF">2020-10-02T21:57:00Z</dcterms:modified>
</cp:coreProperties>
</file>