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861D0" w14:textId="22072673" w:rsidR="00A46F61" w:rsidRPr="00E26B8A" w:rsidRDefault="00A46F61" w:rsidP="00A46F61">
      <w:pPr>
        <w:tabs>
          <w:tab w:val="left" w:pos="720"/>
        </w:tabs>
      </w:pPr>
      <w:r>
        <w:t>PUBLIC MATTER—</w:t>
      </w:r>
      <w:sdt>
        <w:sdtPr>
          <w:alias w:val="Designation"/>
          <w:tag w:val="Designation"/>
          <w:id w:val="122977762"/>
          <w:placeholder>
            <w:docPart w:val="B48C90045DFC489DA412FC699AD51FAF"/>
          </w:placeholder>
          <w15:color w:val="FF0000"/>
          <w:dropDownList>
            <w:listItem w:displayText="DESIGNATED FOR PUBLICATION" w:value="DESIGNATED FOR PUBLICATION"/>
            <w:listItem w:displayText="NOT DESIGNATED FOR PUBLICATION" w:value="NOT DESIGNATED FOR PUBLICATION"/>
          </w:dropDownList>
        </w:sdtPr>
        <w:sdtEndPr/>
        <w:sdtContent>
          <w:r w:rsidR="00064719">
            <w:t>DESIGNATED FOR PUBLICATION</w:t>
          </w:r>
        </w:sdtContent>
      </w:sdt>
    </w:p>
    <w:p w14:paraId="3AAD4F84" w14:textId="647E4F63" w:rsidR="00A46F61" w:rsidRDefault="00D16FAE" w:rsidP="00A46F61">
      <w:pPr>
        <w:tabs>
          <w:tab w:val="left" w:pos="720"/>
        </w:tabs>
      </w:pPr>
      <w:r>
        <w:tab/>
      </w:r>
      <w:r>
        <w:tab/>
      </w:r>
      <w:r>
        <w:tab/>
      </w:r>
      <w:r>
        <w:tab/>
      </w:r>
      <w:r>
        <w:tab/>
      </w:r>
      <w:r>
        <w:tab/>
      </w:r>
      <w:r>
        <w:tab/>
      </w:r>
      <w:r>
        <w:tab/>
      </w:r>
      <w:r>
        <w:tab/>
      </w:r>
    </w:p>
    <w:p w14:paraId="710231EA" w14:textId="1E04F8CD" w:rsidR="0074687E" w:rsidRDefault="00A46F61" w:rsidP="0074687E">
      <w:pPr>
        <w:tabs>
          <w:tab w:val="left" w:pos="720"/>
        </w:tabs>
      </w:pPr>
      <w:r>
        <w:tab/>
      </w:r>
      <w:r>
        <w:tab/>
      </w:r>
      <w:r>
        <w:tab/>
      </w:r>
      <w:r>
        <w:tab/>
      </w:r>
      <w:r>
        <w:tab/>
      </w:r>
      <w:r>
        <w:tab/>
      </w:r>
      <w:r>
        <w:tab/>
      </w:r>
      <w:r>
        <w:tab/>
      </w:r>
      <w:r>
        <w:tab/>
      </w:r>
      <w:r w:rsidR="0074687E">
        <w:t xml:space="preserve">Filed </w:t>
      </w:r>
      <w:sdt>
        <w:sdtPr>
          <w:alias w:val="Date"/>
          <w:tag w:val="Date"/>
          <w:id w:val="-947154644"/>
          <w:placeholder>
            <w:docPart w:val="B5936AD466D644B783A4343684F1F5CC"/>
          </w:placeholder>
          <w15:color w:val="FF0000"/>
        </w:sdtPr>
        <w:sdtEndPr/>
        <w:sdtContent>
          <w:r w:rsidR="00F47A26">
            <w:t>December 5, 2022</w:t>
          </w:r>
        </w:sdtContent>
      </w:sdt>
    </w:p>
    <w:p w14:paraId="25D04476" w14:textId="7C41C0E9" w:rsidR="00832223" w:rsidRDefault="00832223" w:rsidP="00A46F61">
      <w:pPr>
        <w:tabs>
          <w:tab w:val="left" w:pos="720"/>
        </w:tabs>
      </w:pPr>
    </w:p>
    <w:p w14:paraId="41DF1D9C" w14:textId="77777777" w:rsidR="00832223" w:rsidRPr="00C11CC8" w:rsidRDefault="00832223" w:rsidP="00C13F27"/>
    <w:p w14:paraId="277FD319" w14:textId="77777777" w:rsidR="00832223" w:rsidRPr="00C11CC8" w:rsidRDefault="00832223" w:rsidP="00C13F27"/>
    <w:p w14:paraId="6DD22F5C" w14:textId="77777777" w:rsidR="00832223" w:rsidRPr="00B76F6A" w:rsidRDefault="00832223" w:rsidP="00B76F6A">
      <w:pPr>
        <w:pStyle w:val="OpinionHeading"/>
      </w:pPr>
      <w:r w:rsidRPr="00B76F6A">
        <w:t>STATE BAR COURT OF CALIFORNIA</w:t>
      </w:r>
    </w:p>
    <w:p w14:paraId="336FCEFD" w14:textId="77777777" w:rsidR="00832223" w:rsidRPr="00B76F6A" w:rsidRDefault="00832223" w:rsidP="00B76F6A">
      <w:pPr>
        <w:pStyle w:val="OpinionHeading"/>
      </w:pPr>
    </w:p>
    <w:p w14:paraId="63648F68" w14:textId="77777777" w:rsidR="00832223" w:rsidRPr="00B76F6A" w:rsidRDefault="00832223" w:rsidP="00B76F6A">
      <w:pPr>
        <w:pStyle w:val="OpinionHeading"/>
      </w:pPr>
      <w:r w:rsidRPr="00B76F6A">
        <w:t>REVIEW DEPARTMENT</w:t>
      </w:r>
    </w:p>
    <w:p w14:paraId="23DE7E45" w14:textId="77777777" w:rsidR="00832223" w:rsidRPr="00C11CC8" w:rsidRDefault="00832223" w:rsidP="00832223">
      <w:pPr>
        <w:jc w:val="center"/>
        <w:rPr>
          <w:b/>
        </w:rPr>
      </w:pPr>
    </w:p>
    <w:p w14:paraId="299EEFB7" w14:textId="77777777" w:rsidR="00832223" w:rsidRPr="00C11CC8" w:rsidRDefault="00832223" w:rsidP="00832223">
      <w:pPr>
        <w:rPr>
          <w:b/>
        </w:rPr>
      </w:pPr>
    </w:p>
    <w:tbl>
      <w:tblPr>
        <w:tblStyle w:val="TableGrid"/>
        <w:tblW w:w="0" w:type="auto"/>
        <w:tblLook w:val="04A0" w:firstRow="1" w:lastRow="0" w:firstColumn="1" w:lastColumn="0" w:noHBand="0" w:noVBand="1"/>
      </w:tblPr>
      <w:tblGrid>
        <w:gridCol w:w="4712"/>
        <w:gridCol w:w="491"/>
        <w:gridCol w:w="4157"/>
      </w:tblGrid>
      <w:tr w:rsidR="00832223" w:rsidRPr="00C11CC8" w14:paraId="25A77C95" w14:textId="77777777" w:rsidTr="00357051">
        <w:tc>
          <w:tcPr>
            <w:tcW w:w="4770" w:type="dxa"/>
            <w:tcBorders>
              <w:top w:val="nil"/>
              <w:left w:val="nil"/>
              <w:right w:val="nil"/>
            </w:tcBorders>
            <w:tcMar>
              <w:left w:w="0" w:type="dxa"/>
              <w:right w:w="0" w:type="dxa"/>
            </w:tcMar>
          </w:tcPr>
          <w:p w14:paraId="515F005E" w14:textId="77777777" w:rsidR="00832223" w:rsidRDefault="00832223" w:rsidP="00357051">
            <w:r>
              <w:t>In the Matter of</w:t>
            </w:r>
          </w:p>
          <w:p w14:paraId="449DFB87" w14:textId="77777777" w:rsidR="00832223" w:rsidRDefault="00832223" w:rsidP="00357051"/>
          <w:bookmarkStart w:id="0" w:name="Respondent"/>
          <w:bookmarkEnd w:id="0"/>
          <w:p w14:paraId="7BC73AAA" w14:textId="216CC2D8" w:rsidR="00832223" w:rsidRPr="008F3169" w:rsidRDefault="00F47A26" w:rsidP="00357051">
            <w:sdt>
              <w:sdtPr>
                <w:alias w:val="Enter Respondent's Name"/>
                <w:tag w:val="Enter Respondent's Name"/>
                <w:id w:val="-1392577500"/>
                <w:placeholder>
                  <w:docPart w:val="0D1692EC03EC4C3DBAF850399175180F"/>
                </w:placeholder>
                <w15:color w:val="FF0000"/>
              </w:sdtPr>
              <w:sdtEndPr/>
              <w:sdtContent>
                <w:r w:rsidR="00BB7B04">
                  <w:t>LISA FISHER</w:t>
                </w:r>
              </w:sdtContent>
            </w:sdt>
            <w:r w:rsidR="00832223" w:rsidRPr="008F3169">
              <w:t>,</w:t>
            </w:r>
          </w:p>
          <w:p w14:paraId="252276AF" w14:textId="77777777" w:rsidR="00832223" w:rsidRDefault="00832223" w:rsidP="00357051"/>
          <w:p w14:paraId="362FD2D8" w14:textId="211117A8" w:rsidR="00832223" w:rsidRPr="00C11CC8" w:rsidRDefault="000469FB" w:rsidP="00357051">
            <w:bookmarkStart w:id="1" w:name="type"/>
            <w:bookmarkEnd w:id="1"/>
            <w:r>
              <w:t>State Bar No.</w:t>
            </w:r>
            <w:r w:rsidR="00832223">
              <w:t xml:space="preserve"> </w:t>
            </w:r>
            <w:bookmarkStart w:id="2" w:name="memno"/>
            <w:bookmarkStart w:id="3" w:name="MemberNo"/>
            <w:bookmarkEnd w:id="2"/>
            <w:bookmarkEnd w:id="3"/>
            <w:sdt>
              <w:sdtPr>
                <w:alias w:val="Enter State Bar No."/>
                <w:tag w:val="Enter State Bar No."/>
                <w:id w:val="-1539580479"/>
                <w:placeholder>
                  <w:docPart w:val="30FD283179A541CA97772D1015943C02"/>
                </w:placeholder>
                <w15:color w:val="FF0000"/>
              </w:sdtPr>
              <w:sdtEndPr/>
              <w:sdtContent>
                <w:r w:rsidR="00BB7B04">
                  <w:t>192777</w:t>
                </w:r>
              </w:sdtContent>
            </w:sdt>
            <w:r w:rsidR="00D8287E">
              <w:t>.</w:t>
            </w:r>
          </w:p>
        </w:tc>
        <w:tc>
          <w:tcPr>
            <w:tcW w:w="497" w:type="dxa"/>
            <w:tcBorders>
              <w:top w:val="nil"/>
              <w:left w:val="nil"/>
              <w:bottom w:val="nil"/>
              <w:right w:val="nil"/>
            </w:tcBorders>
            <w:tcMar>
              <w:left w:w="0" w:type="dxa"/>
              <w:right w:w="0" w:type="dxa"/>
            </w:tcMar>
          </w:tcPr>
          <w:p w14:paraId="63B875F1" w14:textId="77777777" w:rsidR="00832223" w:rsidRPr="004D32E9" w:rsidRDefault="00832223" w:rsidP="00357051">
            <w:r w:rsidRPr="004D32E9">
              <w:t>)</w:t>
            </w:r>
          </w:p>
          <w:p w14:paraId="369197B6" w14:textId="77777777" w:rsidR="00832223" w:rsidRPr="004D32E9" w:rsidRDefault="00832223" w:rsidP="00357051">
            <w:r w:rsidRPr="004D32E9">
              <w:t>)</w:t>
            </w:r>
            <w:r w:rsidRPr="004D32E9">
              <w:br/>
              <w:t>)</w:t>
            </w:r>
            <w:r w:rsidRPr="004D32E9">
              <w:br/>
              <w:t>)</w:t>
            </w:r>
            <w:r w:rsidRPr="004D32E9">
              <w:br/>
              <w:t>)</w:t>
            </w:r>
            <w:r w:rsidRPr="004D32E9">
              <w:br/>
              <w:t>)</w:t>
            </w:r>
          </w:p>
        </w:tc>
        <w:tc>
          <w:tcPr>
            <w:tcW w:w="4201" w:type="dxa"/>
            <w:tcBorders>
              <w:top w:val="nil"/>
              <w:left w:val="nil"/>
              <w:bottom w:val="nil"/>
              <w:right w:val="nil"/>
            </w:tcBorders>
          </w:tcPr>
          <w:bookmarkStart w:id="4" w:name="caseno" w:displacedByCustomXml="next"/>
          <w:bookmarkEnd w:id="4" w:displacedByCustomXml="next"/>
          <w:sdt>
            <w:sdtPr>
              <w:alias w:val="Enter Case No."/>
              <w:tag w:val="Enter Case No."/>
              <w:id w:val="1364322504"/>
              <w:placeholder>
                <w:docPart w:val="D4047F4B9B1B40F28087BDD5EC8C4861"/>
              </w:placeholder>
              <w15:color w:val="FF0000"/>
            </w:sdtPr>
            <w:sdtEndPr/>
            <w:sdtContent>
              <w:p w14:paraId="0A75EFF2" w14:textId="68E6D75C" w:rsidR="00832223" w:rsidRPr="005E6703" w:rsidRDefault="00BB7B04" w:rsidP="00357051">
                <w:r>
                  <w:t>SBC-21-J-30482</w:t>
                </w:r>
              </w:p>
            </w:sdtContent>
          </w:sdt>
          <w:p w14:paraId="6982CDAF" w14:textId="77777777" w:rsidR="00832223" w:rsidRDefault="00832223" w:rsidP="00357051"/>
          <w:bookmarkStart w:id="5" w:name="title" w:displacedByCustomXml="next"/>
          <w:bookmarkEnd w:id="5" w:displacedByCustomXml="next"/>
          <w:sdt>
            <w:sdtPr>
              <w:alias w:val="Select Title"/>
              <w:tag w:val="Select Title"/>
              <w:id w:val="2093728980"/>
              <w:placeholder>
                <w:docPart w:val="BC08339517D2448DA3D56A21C9DDB069"/>
              </w:placeholder>
              <w15:color w:val="FF0000"/>
              <w:dropDownList>
                <w:listItem w:displayText="OPINION" w:value="OPINION"/>
                <w:listItem w:displayText="OPINION AND ORDER" w:value="OPINION AND ORDER"/>
              </w:dropDownList>
            </w:sdtPr>
            <w:sdtEndPr/>
            <w:sdtContent>
              <w:p w14:paraId="5A19AA4F" w14:textId="61285F4E" w:rsidR="00832223" w:rsidRPr="00D90643" w:rsidRDefault="009D6962" w:rsidP="00357051">
                <w:r>
                  <w:t>OPINION AND ORDER</w:t>
                </w:r>
              </w:p>
            </w:sdtContent>
          </w:sdt>
        </w:tc>
      </w:tr>
    </w:tbl>
    <w:p w14:paraId="2563187A" w14:textId="77777777" w:rsidR="00832223" w:rsidRDefault="00832223" w:rsidP="00832223"/>
    <w:p w14:paraId="3032E55C" w14:textId="2D4CA2CF" w:rsidR="00250278" w:rsidRDefault="009D1BB3" w:rsidP="002518C1">
      <w:pPr>
        <w:spacing w:line="480" w:lineRule="auto"/>
      </w:pPr>
      <w:r>
        <w:tab/>
      </w:r>
      <w:bookmarkStart w:id="6" w:name="start"/>
      <w:bookmarkEnd w:id="6"/>
      <w:r w:rsidR="004F1F6A">
        <w:t xml:space="preserve">In her first disciplinary case since her December 1997 </w:t>
      </w:r>
      <w:r w:rsidR="00251BEF">
        <w:t xml:space="preserve">licensure </w:t>
      </w:r>
      <w:r w:rsidR="00710E58">
        <w:t xml:space="preserve">to practice law </w:t>
      </w:r>
      <w:r w:rsidR="0093113E">
        <w:t>in California</w:t>
      </w:r>
      <w:r w:rsidR="004F1F6A">
        <w:t xml:space="preserve">, Lisa Fisher was publicly reprimanded by the Supreme Court of South Carolina for misconduct committed while she served as counsel </w:t>
      </w:r>
      <w:r w:rsidR="00E844CA">
        <w:t xml:space="preserve">admitted to practice </w:t>
      </w:r>
      <w:r w:rsidR="004F1F6A" w:rsidRPr="005D2D71">
        <w:rPr>
          <w:i/>
          <w:iCs/>
        </w:rPr>
        <w:t>pro hac vice</w:t>
      </w:r>
      <w:r w:rsidR="004F1F6A">
        <w:t xml:space="preserve"> in </w:t>
      </w:r>
      <w:r w:rsidR="003E7E96">
        <w:t>a case pending before the</w:t>
      </w:r>
      <w:r w:rsidR="00902B1D">
        <w:t xml:space="preserve"> </w:t>
      </w:r>
      <w:r w:rsidR="004F1F6A">
        <w:t>South Carolina</w:t>
      </w:r>
      <w:r w:rsidR="00902B1D">
        <w:t xml:space="preserve"> courts</w:t>
      </w:r>
      <w:r w:rsidR="004F1F6A">
        <w:t>.  A hearing judge of th</w:t>
      </w:r>
      <w:r w:rsidR="003A573B">
        <w:t>is</w:t>
      </w:r>
      <w:r w:rsidR="004F1F6A">
        <w:t xml:space="preserve"> California State Bar Court, proceeding on the South Carolina reprimand</w:t>
      </w:r>
      <w:r w:rsidR="003002C3">
        <w:t xml:space="preserve"> as a reciprocal discipline matter</w:t>
      </w:r>
      <w:r w:rsidR="004F1F6A">
        <w:t xml:space="preserve">, has now imposed a public reproval with certain duties attached to it.  Fisher appeals, contending </w:t>
      </w:r>
      <w:r w:rsidR="00B623EF">
        <w:t xml:space="preserve">that the </w:t>
      </w:r>
      <w:r w:rsidR="005E2A4F">
        <w:t xml:space="preserve">law governing </w:t>
      </w:r>
      <w:r w:rsidR="005F762B">
        <w:t xml:space="preserve">California </w:t>
      </w:r>
      <w:r w:rsidR="005E2A4F">
        <w:t>reciprocal discipline cases provides too narrow a definition of the other states’ “proceedings</w:t>
      </w:r>
      <w:r w:rsidR="00E27BC5">
        <w:t>,</w:t>
      </w:r>
      <w:r w:rsidR="005E2A4F">
        <w:t xml:space="preserve">” </w:t>
      </w:r>
      <w:r w:rsidR="005F762B">
        <w:t xml:space="preserve">but if we were to uphold the </w:t>
      </w:r>
      <w:r w:rsidR="0001110E">
        <w:t>hearing judge on this aspect, Fisher</w:t>
      </w:r>
      <w:r w:rsidR="00DC51E3">
        <w:t xml:space="preserve"> </w:t>
      </w:r>
      <w:r w:rsidR="00B93D1D">
        <w:t xml:space="preserve">does not challenge </w:t>
      </w:r>
      <w:r w:rsidR="003209EC">
        <w:t>the judge’s</w:t>
      </w:r>
      <w:r w:rsidR="00CD13D8">
        <w:t xml:space="preserve"> </w:t>
      </w:r>
      <w:r w:rsidR="00E144BA">
        <w:t xml:space="preserve">findings of culpability, </w:t>
      </w:r>
      <w:r w:rsidR="00375A44">
        <w:t xml:space="preserve">on </w:t>
      </w:r>
      <w:r w:rsidR="00E144BA">
        <w:t xml:space="preserve">aggravating and mitigating </w:t>
      </w:r>
      <w:r w:rsidR="00375A44">
        <w:t>factors</w:t>
      </w:r>
      <w:r w:rsidR="00EA5EE1">
        <w:t>,</w:t>
      </w:r>
      <w:r w:rsidR="00375A44">
        <w:t xml:space="preserve"> or her decision of public reproval</w:t>
      </w:r>
      <w:r w:rsidR="00725877">
        <w:t>.</w:t>
      </w:r>
      <w:r w:rsidR="00117F66">
        <w:t xml:space="preserve">  The Office of Chief Trial Counsel</w:t>
      </w:r>
      <w:r w:rsidR="00600463">
        <w:t xml:space="preserve"> of the State Bar</w:t>
      </w:r>
      <w:r w:rsidR="00117F66">
        <w:t xml:space="preserve"> (OCTC) supports the </w:t>
      </w:r>
      <w:r w:rsidR="001B59BF">
        <w:t xml:space="preserve">judge’s </w:t>
      </w:r>
      <w:r w:rsidR="003A573B">
        <w:t xml:space="preserve">culpability </w:t>
      </w:r>
      <w:r w:rsidR="001B59BF">
        <w:t>findings</w:t>
      </w:r>
      <w:r w:rsidR="00AD02FD">
        <w:t xml:space="preserve">, all but one of the </w:t>
      </w:r>
      <w:r w:rsidR="009A291F">
        <w:t>judge’s findings in mitigation,</w:t>
      </w:r>
      <w:r w:rsidR="001B59BF">
        <w:t xml:space="preserve"> and </w:t>
      </w:r>
      <w:r w:rsidR="003A573B">
        <w:t xml:space="preserve">the </w:t>
      </w:r>
      <w:r w:rsidR="001B59BF">
        <w:t xml:space="preserve">decision of public reproval. </w:t>
      </w:r>
    </w:p>
    <w:p w14:paraId="4A85695E" w14:textId="0953D929" w:rsidR="00B013BD" w:rsidRDefault="002C534A" w:rsidP="002518C1">
      <w:pPr>
        <w:spacing w:line="480" w:lineRule="auto"/>
      </w:pPr>
      <w:r>
        <w:tab/>
      </w:r>
      <w:r w:rsidR="00B2775A">
        <w:t xml:space="preserve">Upon </w:t>
      </w:r>
      <w:r>
        <w:t xml:space="preserve">our </w:t>
      </w:r>
      <w:r w:rsidR="00B2775A">
        <w:t xml:space="preserve">independent </w:t>
      </w:r>
      <w:r>
        <w:t>review</w:t>
      </w:r>
      <w:r w:rsidR="00B2775A">
        <w:t xml:space="preserve"> (Cal. Rules of Court, rule 9.12)</w:t>
      </w:r>
      <w:r>
        <w:t xml:space="preserve">, we </w:t>
      </w:r>
      <w:r w:rsidR="00723FAA">
        <w:t>affirm the decision of the hearing judge</w:t>
      </w:r>
      <w:r w:rsidR="008F534E">
        <w:t>,</w:t>
      </w:r>
      <w:r w:rsidR="00723FAA">
        <w:t xml:space="preserve"> </w:t>
      </w:r>
      <w:r w:rsidR="008F534E">
        <w:t xml:space="preserve">including </w:t>
      </w:r>
      <w:r w:rsidR="00723FAA">
        <w:t>public reproval as appropriate discipline</w:t>
      </w:r>
      <w:r w:rsidR="00FA5354">
        <w:t>.</w:t>
      </w:r>
    </w:p>
    <w:p w14:paraId="2C0036B0" w14:textId="1F3EC2F3" w:rsidR="00723FAA" w:rsidRDefault="00723FAA" w:rsidP="002518C1">
      <w:pPr>
        <w:spacing w:line="480" w:lineRule="auto"/>
      </w:pPr>
    </w:p>
    <w:p w14:paraId="444B4EC3" w14:textId="4AC22510" w:rsidR="00BB7B04" w:rsidRDefault="003E4C04" w:rsidP="003E4C04">
      <w:pPr>
        <w:pStyle w:val="ListParagraph"/>
        <w:spacing w:line="480" w:lineRule="auto"/>
        <w:ind w:left="0"/>
        <w:jc w:val="center"/>
        <w:rPr>
          <w:b/>
          <w:bCs/>
        </w:rPr>
      </w:pPr>
      <w:r>
        <w:rPr>
          <w:b/>
          <w:bCs/>
        </w:rPr>
        <w:lastRenderedPageBreak/>
        <w:t xml:space="preserve">I.  </w:t>
      </w:r>
      <w:r w:rsidR="00BB7B04" w:rsidRPr="003516D2">
        <w:rPr>
          <w:b/>
          <w:bCs/>
        </w:rPr>
        <w:t>PROCEDURAL BACKGROUND</w:t>
      </w:r>
    </w:p>
    <w:p w14:paraId="11A3B31E" w14:textId="70EE262C" w:rsidR="003235C2" w:rsidRDefault="00FC4A79" w:rsidP="000E7F8A">
      <w:pPr>
        <w:pStyle w:val="ListParagraph"/>
        <w:spacing w:line="480" w:lineRule="auto"/>
        <w:ind w:left="0" w:firstLine="720"/>
      </w:pPr>
      <w:r w:rsidRPr="00FC4A79">
        <w:t xml:space="preserve">This </w:t>
      </w:r>
      <w:r w:rsidR="00B013BD">
        <w:t xml:space="preserve">reciprocal discipline case originated </w:t>
      </w:r>
      <w:r w:rsidR="002C24D5">
        <w:t xml:space="preserve">following the </w:t>
      </w:r>
      <w:r w:rsidR="003670DE">
        <w:t xml:space="preserve">finality of the unanimous memorandum opinion and order of the Supreme Court of South Carolina, filed </w:t>
      </w:r>
      <w:r w:rsidR="00624BC6">
        <w:t>January</w:t>
      </w:r>
      <w:r w:rsidR="0053626B">
        <w:t xml:space="preserve"> 27</w:t>
      </w:r>
      <w:r w:rsidR="00B2775A">
        <w:t>,</w:t>
      </w:r>
      <w:r w:rsidR="0053626B">
        <w:t xml:space="preserve"> 2021</w:t>
      </w:r>
      <w:r w:rsidR="001E4A07">
        <w:t>.  It</w:t>
      </w:r>
      <w:r w:rsidR="003670DE">
        <w:t xml:space="preserve"> </w:t>
      </w:r>
      <w:r w:rsidR="00C51348">
        <w:t>issu</w:t>
      </w:r>
      <w:r w:rsidR="00FF25D0">
        <w:t>ed</w:t>
      </w:r>
      <w:r w:rsidR="00C51348">
        <w:t xml:space="preserve"> a public reprimand of Fisher</w:t>
      </w:r>
      <w:r w:rsidR="000E2379">
        <w:t xml:space="preserve"> as a result of her misconduct while appearing </w:t>
      </w:r>
      <w:r w:rsidR="000E2379" w:rsidRPr="005D2D71">
        <w:rPr>
          <w:i/>
          <w:iCs/>
        </w:rPr>
        <w:t>pro hac vice</w:t>
      </w:r>
      <w:r w:rsidR="005F15A9">
        <w:t xml:space="preserve"> in</w:t>
      </w:r>
      <w:r w:rsidR="00624BC6">
        <w:t xml:space="preserve"> family-</w:t>
      </w:r>
      <w:r w:rsidR="00207832">
        <w:t>related matters pending in the South Carolina state courts</w:t>
      </w:r>
      <w:r w:rsidR="00454525">
        <w:t>.</w:t>
      </w:r>
      <w:r w:rsidR="00454525">
        <w:rPr>
          <w:rStyle w:val="FootnoteReference"/>
        </w:rPr>
        <w:footnoteReference w:id="1"/>
      </w:r>
    </w:p>
    <w:p w14:paraId="6187D021" w14:textId="10081347" w:rsidR="000E7F8A" w:rsidRDefault="00FB0EDD" w:rsidP="000E7F8A">
      <w:pPr>
        <w:pStyle w:val="ListParagraph"/>
        <w:spacing w:line="480" w:lineRule="auto"/>
        <w:ind w:left="0" w:firstLine="720"/>
      </w:pPr>
      <w:r>
        <w:t xml:space="preserve">On </w:t>
      </w:r>
      <w:r w:rsidR="00BC1B41">
        <w:t>June 30, 2021</w:t>
      </w:r>
      <w:r>
        <w:t xml:space="preserve">, OCTC filed in our Hearing Department a </w:t>
      </w:r>
      <w:r w:rsidR="00BC1B41">
        <w:t>Notice of Disciplinary Charges</w:t>
      </w:r>
      <w:r w:rsidR="002603F6">
        <w:t xml:space="preserve"> (NDC)</w:t>
      </w:r>
      <w:r w:rsidR="00BC1B41">
        <w:t xml:space="preserve">, pursuant to California’s </w:t>
      </w:r>
      <w:r w:rsidR="000E7F8A">
        <w:t>expedited</w:t>
      </w:r>
      <w:r w:rsidR="00BC1B41">
        <w:t xml:space="preserve"> disciplinary </w:t>
      </w:r>
      <w:r w:rsidR="00882A78">
        <w:t>procedures</w:t>
      </w:r>
      <w:r w:rsidR="000E7F8A">
        <w:t xml:space="preserve"> when a California </w:t>
      </w:r>
      <w:r w:rsidR="00E27BC5">
        <w:t>State Bar</w:t>
      </w:r>
      <w:r w:rsidR="000E7F8A">
        <w:t xml:space="preserve"> licensee is found culpable of professional misconduct in another jurisdiction</w:t>
      </w:r>
      <w:r w:rsidR="00882A78">
        <w:t xml:space="preserve">. </w:t>
      </w:r>
      <w:r w:rsidR="00005F69">
        <w:t xml:space="preserve">               </w:t>
      </w:r>
      <w:r w:rsidR="00882A78">
        <w:t xml:space="preserve">(Bus. &amp; Prof. Code, </w:t>
      </w:r>
      <w:r w:rsidR="00D13A94">
        <w:t xml:space="preserve">§ </w:t>
      </w:r>
      <w:r w:rsidR="00333C19">
        <w:t>6049.1</w:t>
      </w:r>
      <w:r w:rsidR="00DD0657">
        <w:t>, subd.</w:t>
      </w:r>
      <w:r w:rsidR="00FB4DE8">
        <w:t xml:space="preserve"> (b)</w:t>
      </w:r>
      <w:r w:rsidR="003235C2">
        <w:t>;</w:t>
      </w:r>
      <w:r w:rsidR="000E7F8A">
        <w:rPr>
          <w:rStyle w:val="FootnoteReference"/>
        </w:rPr>
        <w:footnoteReference w:id="2"/>
      </w:r>
      <w:r w:rsidR="000E7F8A">
        <w:t xml:space="preserve"> Rules Proc. of State Bar</w:t>
      </w:r>
      <w:r w:rsidR="00005F69">
        <w:t>,</w:t>
      </w:r>
      <w:r w:rsidR="000E7F8A">
        <w:t xml:space="preserve"> rules 5.350-5.354.</w:t>
      </w:r>
      <w:r w:rsidR="00AC0166">
        <w:t>)</w:t>
      </w:r>
      <w:r w:rsidR="008A1689">
        <w:t xml:space="preserve">  OCTC filed an amended NDC on September 16, 2021, which attached certified copies of the South Carolina disciplin</w:t>
      </w:r>
      <w:r w:rsidR="00FC7186">
        <w:t>ary</w:t>
      </w:r>
      <w:r w:rsidR="008A1689">
        <w:t xml:space="preserve"> order but did not include any substantive changes.</w:t>
      </w:r>
    </w:p>
    <w:p w14:paraId="7E8134E6" w14:textId="0894DD64" w:rsidR="00687443" w:rsidRDefault="000E7F8A" w:rsidP="00687443">
      <w:pPr>
        <w:pStyle w:val="ListParagraph"/>
        <w:spacing w:line="480" w:lineRule="auto"/>
        <w:ind w:left="0" w:firstLine="720"/>
      </w:pPr>
      <w:r>
        <w:t xml:space="preserve">Trial </w:t>
      </w:r>
      <w:r w:rsidR="007432D0">
        <w:t xml:space="preserve">on the charges </w:t>
      </w:r>
      <w:r>
        <w:t xml:space="preserve">was conducted in our </w:t>
      </w:r>
      <w:r w:rsidR="00D13A94">
        <w:t>c</w:t>
      </w:r>
      <w:r>
        <w:t>ourt’s Hearing Department in September</w:t>
      </w:r>
      <w:r w:rsidR="00F76F63">
        <w:t> </w:t>
      </w:r>
      <w:r>
        <w:t xml:space="preserve">2021.  After post-trial briefing, the hearing judge </w:t>
      </w:r>
      <w:r w:rsidR="00510257">
        <w:t>filed her decision on December 28, 2021.</w:t>
      </w:r>
      <w:r w:rsidR="0002334D">
        <w:t xml:space="preserve">  Fisher </w:t>
      </w:r>
      <w:r w:rsidR="00510257">
        <w:t>appeal</w:t>
      </w:r>
      <w:r w:rsidR="0002334D">
        <w:t>ed that decision to us</w:t>
      </w:r>
      <w:r w:rsidR="00510257">
        <w:t>.</w:t>
      </w:r>
      <w:r w:rsidR="0002334D">
        <w:t xml:space="preserve">  On September </w:t>
      </w:r>
      <w:r w:rsidR="006B7D04">
        <w:t>28</w:t>
      </w:r>
      <w:r w:rsidR="0002334D">
        <w:t>, 2022, we heard oral argument</w:t>
      </w:r>
      <w:r w:rsidR="00687443">
        <w:t>.</w:t>
      </w:r>
    </w:p>
    <w:p w14:paraId="5BC7084E" w14:textId="5B213C9B" w:rsidR="00510257" w:rsidRDefault="003E4C04" w:rsidP="003E4C04">
      <w:pPr>
        <w:pStyle w:val="ListParagraph"/>
        <w:spacing w:line="480" w:lineRule="auto"/>
        <w:ind w:left="0"/>
        <w:jc w:val="center"/>
      </w:pPr>
      <w:r>
        <w:rPr>
          <w:b/>
          <w:bCs/>
        </w:rPr>
        <w:t xml:space="preserve">II.  </w:t>
      </w:r>
      <w:r w:rsidR="00510257" w:rsidRPr="00510257">
        <w:rPr>
          <w:b/>
          <w:bCs/>
        </w:rPr>
        <w:t>BASIS OF FISHER’S DISCIPLINE IN SOUTH CAROLINA</w:t>
      </w:r>
    </w:p>
    <w:p w14:paraId="2EC9606A" w14:textId="51FE05EA" w:rsidR="00483B1A" w:rsidRDefault="00493A5C" w:rsidP="00DD438A">
      <w:pPr>
        <w:spacing w:line="480" w:lineRule="auto"/>
        <w:ind w:firstLine="720"/>
      </w:pPr>
      <w:r w:rsidRPr="00493A5C">
        <w:t xml:space="preserve">The South Carolina Supreme Court </w:t>
      </w:r>
      <w:r>
        <w:t xml:space="preserve">publicly reprimanded Fisher based on </w:t>
      </w:r>
      <w:r w:rsidR="002A38AC">
        <w:t>its</w:t>
      </w:r>
      <w:r>
        <w:t xml:space="preserve"> statement of</w:t>
      </w:r>
      <w:r w:rsidR="00C60093">
        <w:t xml:space="preserve"> Fisher’s</w:t>
      </w:r>
      <w:r>
        <w:t xml:space="preserve"> misconduct</w:t>
      </w:r>
      <w:r w:rsidR="006B7D04">
        <w:t xml:space="preserve">, </w:t>
      </w:r>
      <w:r w:rsidR="006B7D04" w:rsidRPr="006B7D04">
        <w:rPr>
          <w:i/>
          <w:iCs/>
        </w:rPr>
        <w:t>post</w:t>
      </w:r>
      <w:r w:rsidR="006E49CE">
        <w:t>.</w:t>
      </w:r>
      <w:r w:rsidR="006115E1">
        <w:t xml:space="preserve"> </w:t>
      </w:r>
      <w:r w:rsidR="006E49CE">
        <w:t xml:space="preserve"> </w:t>
      </w:r>
      <w:r w:rsidR="0070494E">
        <w:t xml:space="preserve">It </w:t>
      </w:r>
      <w:r w:rsidR="006E49CE">
        <w:t>held that Fisher had violated rule</w:t>
      </w:r>
      <w:r w:rsidR="00F72CDD">
        <w:t>s</w:t>
      </w:r>
      <w:r w:rsidR="006E49CE">
        <w:t xml:space="preserve"> 3.1</w:t>
      </w:r>
      <w:r w:rsidR="00F72CDD">
        <w:t xml:space="preserve"> and</w:t>
      </w:r>
      <w:r w:rsidR="00687443">
        <w:t xml:space="preserve"> 8.4(a) </w:t>
      </w:r>
      <w:r w:rsidR="006E49CE">
        <w:t>of the South Carolina Rules of Professional Conduct.</w:t>
      </w:r>
      <w:r w:rsidR="007F57FD">
        <w:rPr>
          <w:rStyle w:val="FootnoteReference"/>
        </w:rPr>
        <w:footnoteReference w:id="3"/>
      </w:r>
      <w:r w:rsidR="00595FE9">
        <w:t xml:space="preserve">  </w:t>
      </w:r>
      <w:r w:rsidR="00C41D88">
        <w:t xml:space="preserve">In essence, the South Carolina </w:t>
      </w:r>
      <w:r w:rsidR="0070494E">
        <w:t xml:space="preserve">Supreme </w:t>
      </w:r>
      <w:r w:rsidR="00C41D88">
        <w:t xml:space="preserve">Court </w:t>
      </w:r>
      <w:r w:rsidR="00C41D88">
        <w:lastRenderedPageBreak/>
        <w:t>concluded that</w:t>
      </w:r>
      <w:r w:rsidR="004C772B">
        <w:t xml:space="preserve">, while acting </w:t>
      </w:r>
      <w:r w:rsidR="004C772B" w:rsidRPr="005D2D71">
        <w:rPr>
          <w:i/>
          <w:iCs/>
        </w:rPr>
        <w:t>pro hac vice</w:t>
      </w:r>
      <w:r w:rsidR="004C772B">
        <w:t xml:space="preserve"> in </w:t>
      </w:r>
      <w:r w:rsidR="0051534E">
        <w:t>a probate</w:t>
      </w:r>
      <w:r w:rsidR="004C772B">
        <w:t xml:space="preserve"> action,</w:t>
      </w:r>
      <w:r w:rsidR="00C41D88">
        <w:t xml:space="preserve"> Fisher </w:t>
      </w:r>
      <w:r w:rsidR="004C772B">
        <w:t>engaged in frivolous litigation which protracted the underlying court proceeding</w:t>
      </w:r>
      <w:r w:rsidR="00BE354D">
        <w:t xml:space="preserve"> </w:t>
      </w:r>
      <w:r w:rsidR="00064719">
        <w:t>for</w:t>
      </w:r>
      <w:r w:rsidR="00BE354D">
        <w:t xml:space="preserve"> ten years</w:t>
      </w:r>
      <w:r w:rsidR="00B774A7">
        <w:t>:</w:t>
      </w:r>
      <w:r w:rsidR="004C772B">
        <w:t xml:space="preserve">  </w:t>
      </w:r>
    </w:p>
    <w:p w14:paraId="392990E5" w14:textId="00CB3B7C" w:rsidR="00DD438A" w:rsidRDefault="004D31B0" w:rsidP="00F06C04">
      <w:pPr>
        <w:ind w:left="720" w:right="720"/>
      </w:pPr>
      <w:r>
        <w:t>[</w:t>
      </w:r>
      <w:r w:rsidR="00E31635">
        <w:t>Fisher’s] great-aunt pa</w:t>
      </w:r>
      <w:r w:rsidR="00983BEA">
        <w:t xml:space="preserve">ssed </w:t>
      </w:r>
      <w:r w:rsidR="00DD438A">
        <w:t xml:space="preserve">away in February 2009, and through a series of frivolous pleadings, motions, and appeals, [Fisher] raised various challenges to the will and protracted the related litigation for over ten years until the Supreme Court of the United States finally denied her petition for a writ of certiorari. [Citations.] </w:t>
      </w:r>
      <w:r>
        <w:t xml:space="preserve"> </w:t>
      </w:r>
      <w:r w:rsidR="00DD438A">
        <w:t xml:space="preserve">In our opinion addressing the lower court’s award of sanctions against [Fisher], this Court concluded [she] lacked standing and repeatedly pursued claims that were meritless and wholly without evidence to support them. </w:t>
      </w:r>
      <w:r w:rsidR="000B50E3">
        <w:t xml:space="preserve"> </w:t>
      </w:r>
      <w:r w:rsidR="001B7CF0" w:rsidRPr="001B7CF0">
        <w:rPr>
          <w:i/>
          <w:iCs/>
        </w:rPr>
        <w:t>See Fisher v. Huckabee</w:t>
      </w:r>
      <w:r w:rsidR="001B7CF0">
        <w:t xml:space="preserve">, 140 S.Ct. 59 (2019) (denying certiorari); </w:t>
      </w:r>
      <w:r w:rsidR="000B50E3" w:rsidRPr="00D61062">
        <w:rPr>
          <w:i/>
          <w:iCs/>
        </w:rPr>
        <w:t>Fisher v. Huckabee</w:t>
      </w:r>
      <w:r w:rsidR="00760EE2">
        <w:t>,</w:t>
      </w:r>
      <w:r w:rsidR="000B50E3">
        <w:t xml:space="preserve"> 422 S.C. 234, 811 S.E.2d 739</w:t>
      </w:r>
      <w:r w:rsidR="001B7CF0">
        <w:t xml:space="preserve"> (2018) (rejecting [Fisher’s] legally flawed claims</w:t>
      </w:r>
      <w:r w:rsidR="000B50E3">
        <w:t>)</w:t>
      </w:r>
      <w:r w:rsidR="001B7CF0">
        <w:t>.</w:t>
      </w:r>
      <w:r w:rsidR="00DD438A">
        <w:t xml:space="preserve">  </w:t>
      </w:r>
      <w:r w:rsidR="001B7CF0">
        <w:t xml:space="preserve">In our opinion addressing the lower court’s award of sanctions against [Fisher,] this Court concluded [Fisher] lacked standing and repeatedly pursued claims that were meritless and wholly without evidence to support them.  </w:t>
      </w:r>
      <w:r w:rsidR="001B7CF0" w:rsidRPr="00584075">
        <w:rPr>
          <w:i/>
          <w:iCs/>
        </w:rPr>
        <w:t>Fisher v. Huckabee</w:t>
      </w:r>
      <w:r w:rsidR="001B7CF0">
        <w:t>, Op. No. 2018-MO-039 (S.C. Sup. Ct. filed Dec. 12, 2018) (withdrawn, substituted, and refiled Jan. 16, 2019).</w:t>
      </w:r>
      <w:r w:rsidR="00584075">
        <w:t xml:space="preserve">  </w:t>
      </w:r>
      <w:r w:rsidR="00DD438A">
        <w:t xml:space="preserve">In doing so, we observed [Fisher] “has certainly engaged in abusive litigation tactics that amount to sanctionable conduct” under Rule 11, SCRCP. </w:t>
      </w:r>
      <w:r w:rsidR="00584075">
        <w:t xml:space="preserve"> </w:t>
      </w:r>
      <w:r w:rsidR="00DD438A">
        <w:t>[Citation.]  [Fisher’s] misconduct resulted in a substantial waste of time, judicial resources, and estate assets.</w:t>
      </w:r>
    </w:p>
    <w:p w14:paraId="21A5A450" w14:textId="77777777" w:rsidR="005D2D71" w:rsidRDefault="005D2D71" w:rsidP="00625853">
      <w:pPr>
        <w:ind w:left="720" w:right="720"/>
      </w:pPr>
    </w:p>
    <w:p w14:paraId="0AA875F0" w14:textId="1935D1E1" w:rsidR="00DD438A" w:rsidRDefault="00DD438A" w:rsidP="00F06C04">
      <w:pPr>
        <w:ind w:left="720" w:right="720"/>
      </w:pPr>
      <w:r>
        <w:t xml:space="preserve">Accordingly, we accept the </w:t>
      </w:r>
      <w:r w:rsidR="00C51318">
        <w:t xml:space="preserve">[Hearing] </w:t>
      </w:r>
      <w:r>
        <w:t>Panel’s finding that [Fisher] violated Rule</w:t>
      </w:r>
      <w:r w:rsidR="00760EE2">
        <w:t> </w:t>
      </w:r>
      <w:r>
        <w:t xml:space="preserve">3.1, RPC, Rule 407, SCACR (setting forth a lawyer’s duty not to abuse legal procedure through frivolous proceedings).  We further find [Fisher] committed professional misconduct under Rule 8.4(a), RPC, Rule 407, SCACR, which constitutes </w:t>
      </w:r>
      <w:r w:rsidR="00064719">
        <w:t xml:space="preserve">grounds </w:t>
      </w:r>
      <w:r>
        <w:t>for discipline under Rule 7(a)(1), RLDE, Rule 413, SCACR. We find a public reprimand is the appropriate sanction [</w:t>
      </w:r>
      <w:r w:rsidR="00584075">
        <w:t>c</w:t>
      </w:r>
      <w:r>
        <w:t>itation]</w:t>
      </w:r>
      <w:r w:rsidR="00584075">
        <w:t>,</w:t>
      </w:r>
      <w:r>
        <w:t xml:space="preserve"> and we hereby publicly reprimand [Fisher]</w:t>
      </w:r>
      <w:r w:rsidR="00584075">
        <w:t xml:space="preserve"> . . . .</w:t>
      </w:r>
    </w:p>
    <w:p w14:paraId="7BC13C5E" w14:textId="77777777" w:rsidR="00DD438A" w:rsidRDefault="00DD438A" w:rsidP="00DD438A">
      <w:pPr>
        <w:ind w:firstLine="720"/>
      </w:pPr>
    </w:p>
    <w:p w14:paraId="7BE75902" w14:textId="4F873416" w:rsidR="00856F6E" w:rsidRDefault="00C51318" w:rsidP="000603E5">
      <w:pPr>
        <w:spacing w:line="480" w:lineRule="auto"/>
        <w:ind w:firstLine="720"/>
      </w:pPr>
      <w:r>
        <w:t>The findings</w:t>
      </w:r>
      <w:r w:rsidR="00B774A7">
        <w:t xml:space="preserve"> of the Hearing Panel of the South Carolina Commission on Lawyer Conduct </w:t>
      </w:r>
      <w:r w:rsidR="002603F6">
        <w:t>(Hearing Panel)</w:t>
      </w:r>
      <w:r w:rsidR="00367080">
        <w:t>,</w:t>
      </w:r>
      <w:r w:rsidR="002603F6">
        <w:t xml:space="preserve"> </w:t>
      </w:r>
      <w:r>
        <w:t xml:space="preserve">accepted by the South Carolina Supreme Court, </w:t>
      </w:r>
      <w:r w:rsidR="000603E5">
        <w:t xml:space="preserve">showed </w:t>
      </w:r>
      <w:r w:rsidR="00941413">
        <w:t xml:space="preserve">these </w:t>
      </w:r>
      <w:r w:rsidR="00BE354D">
        <w:t>additional</w:t>
      </w:r>
      <w:r w:rsidR="00941413">
        <w:t xml:space="preserve"> </w:t>
      </w:r>
      <w:r w:rsidR="000F0A77">
        <w:t xml:space="preserve">background </w:t>
      </w:r>
      <w:r w:rsidR="00941413">
        <w:t xml:space="preserve">facts. </w:t>
      </w:r>
      <w:r w:rsidR="00D044D2">
        <w:t xml:space="preserve"> </w:t>
      </w:r>
      <w:r w:rsidR="00941413">
        <w:t>I</w:t>
      </w:r>
      <w:r w:rsidR="000603E5">
        <w:t xml:space="preserve">n 2008, Fisher retained South Carolina counsel to represent her and her mother in a guardianship or conservatorship action in South Carolina concerning Fisher’s elderly aunt. </w:t>
      </w:r>
      <w:r w:rsidR="00D044D2">
        <w:t xml:space="preserve"> </w:t>
      </w:r>
      <w:r w:rsidR="000603E5">
        <w:t>After the aunt passed away in 2009, Fisher’s counsel challenged the aunt’s will.  In June</w:t>
      </w:r>
      <w:r w:rsidR="00D301AF">
        <w:t> </w:t>
      </w:r>
      <w:r w:rsidR="000603E5">
        <w:t xml:space="preserve">2009, the probate court granted Fisher’s application to act </w:t>
      </w:r>
      <w:r w:rsidR="000603E5" w:rsidRPr="005D2D71">
        <w:rPr>
          <w:i/>
          <w:iCs/>
        </w:rPr>
        <w:t>pro hac vice</w:t>
      </w:r>
      <w:r w:rsidR="000603E5">
        <w:t xml:space="preserve"> as counsel in the litigation. </w:t>
      </w:r>
      <w:r w:rsidR="00D044D2">
        <w:t xml:space="preserve"> </w:t>
      </w:r>
      <w:r w:rsidR="000603E5">
        <w:t xml:space="preserve">She remained as counsel </w:t>
      </w:r>
      <w:r w:rsidR="000603E5" w:rsidRPr="005D2D71">
        <w:rPr>
          <w:i/>
          <w:iCs/>
        </w:rPr>
        <w:t>pro hac vice</w:t>
      </w:r>
      <w:r w:rsidR="000603E5">
        <w:t xml:space="preserve"> until April 2018, when the South Carolina Supreme Court terminated Fisher’s </w:t>
      </w:r>
      <w:r w:rsidR="000603E5" w:rsidRPr="005D2D71">
        <w:rPr>
          <w:i/>
          <w:iCs/>
        </w:rPr>
        <w:t>pro hac vice</w:t>
      </w:r>
      <w:r w:rsidR="000603E5">
        <w:t xml:space="preserve"> status. </w:t>
      </w:r>
      <w:r w:rsidR="00D044D2">
        <w:t xml:space="preserve"> </w:t>
      </w:r>
      <w:r w:rsidR="00856F6E">
        <w:t xml:space="preserve">About this time, the probate court conducted a trial on the will contest.  This resulted in a jury verdict upholding the will.  The </w:t>
      </w:r>
      <w:r w:rsidR="00856F6E">
        <w:lastRenderedPageBreak/>
        <w:t>probate court then resolved the equitable claims set forth in the probate action.</w:t>
      </w:r>
      <w:r w:rsidR="00D044D2">
        <w:t xml:space="preserve"> </w:t>
      </w:r>
      <w:r w:rsidR="00856F6E">
        <w:t xml:space="preserve"> In doing so, the probate court found in March 2018, that</w:t>
      </w:r>
      <w:r w:rsidR="00367080">
        <w:t>,</w:t>
      </w:r>
      <w:r w:rsidR="00856F6E">
        <w:t xml:space="preserve"> by “overwhelming clear and convincing evidence</w:t>
      </w:r>
      <w:r w:rsidR="00367080">
        <w:t>,</w:t>
      </w:r>
      <w:r w:rsidR="00856F6E">
        <w:t xml:space="preserve">” Fisher’s claims in the probate action were entirely frivolous and Fisher and her counsel had violated rule 11 of the South Carolina Rules of Civil Procedure, subjecting them to sanctions. </w:t>
      </w:r>
    </w:p>
    <w:p w14:paraId="2F156D9D" w14:textId="40C15F7B" w:rsidR="000603E5" w:rsidRDefault="00856F6E" w:rsidP="00FD435B">
      <w:pPr>
        <w:spacing w:line="480" w:lineRule="auto"/>
        <w:ind w:firstLine="720"/>
      </w:pPr>
      <w:r>
        <w:t>Fisher appealed th</w:t>
      </w:r>
      <w:r w:rsidR="005570A4">
        <w:t>e</w:t>
      </w:r>
      <w:r>
        <w:t xml:space="preserve"> probate court</w:t>
      </w:r>
      <w:r w:rsidR="00D044D2">
        <w:t>’s</w:t>
      </w:r>
      <w:r>
        <w:t xml:space="preserve"> decision to the Supreme Court of South Carolina</w:t>
      </w:r>
      <w:r w:rsidR="00067ED6">
        <w:t>,</w:t>
      </w:r>
      <w:r>
        <w:t xml:space="preserve"> which upheld it by </w:t>
      </w:r>
      <w:r w:rsidR="00335759">
        <w:t xml:space="preserve">opinion </w:t>
      </w:r>
      <w:r>
        <w:t>of December 12, 2018 (</w:t>
      </w:r>
      <w:r w:rsidR="00335759">
        <w:t xml:space="preserve">revised and refiled </w:t>
      </w:r>
      <w:r>
        <w:t>on January 16, 2019)</w:t>
      </w:r>
      <w:r w:rsidR="00D044D2">
        <w:t xml:space="preserve"> </w:t>
      </w:r>
      <w:r w:rsidR="00064719">
        <w:t>(</w:t>
      </w:r>
      <w:r w:rsidR="00064719" w:rsidRPr="008B6309">
        <w:rPr>
          <w:i/>
          <w:iCs/>
        </w:rPr>
        <w:t xml:space="preserve">Fisher v. Huckabee </w:t>
      </w:r>
      <w:r w:rsidR="00064719">
        <w:t>(</w:t>
      </w:r>
      <w:r w:rsidR="00335759">
        <w:t>2018</w:t>
      </w:r>
      <w:r w:rsidR="00064719">
        <w:t>)</w:t>
      </w:r>
      <w:r w:rsidR="00335759">
        <w:t xml:space="preserve"> Op. No. 2018-MO-039</w:t>
      </w:r>
      <w:r w:rsidR="009026C1">
        <w:t>) and</w:t>
      </w:r>
      <w:r w:rsidR="00D044D2">
        <w:t xml:space="preserve"> </w:t>
      </w:r>
      <w:r w:rsidR="00430506">
        <w:t xml:space="preserve">reduced the amount of the sanctions imposed by the </w:t>
      </w:r>
      <w:r w:rsidR="00D044D2">
        <w:t xml:space="preserve">probate </w:t>
      </w:r>
      <w:r w:rsidR="00430506">
        <w:t>court.</w:t>
      </w:r>
      <w:r w:rsidR="009026C1">
        <w:t xml:space="preserve">  </w:t>
      </w:r>
      <w:r w:rsidR="00430506">
        <w:t xml:space="preserve">The 2018 </w:t>
      </w:r>
      <w:r w:rsidR="00335759">
        <w:t xml:space="preserve">opinion </w:t>
      </w:r>
      <w:r w:rsidR="00430506">
        <w:t>clarified that the sanctions rested only on Fisher’s violations of rule 11</w:t>
      </w:r>
      <w:r w:rsidR="00D13A94">
        <w:t xml:space="preserve"> of the South Carolina Rules of Civil Procedure</w:t>
      </w:r>
      <w:r w:rsidR="00430506">
        <w:t xml:space="preserve">. </w:t>
      </w:r>
      <w:r w:rsidR="00D044D2">
        <w:t xml:space="preserve"> </w:t>
      </w:r>
      <w:r w:rsidR="00430506">
        <w:t xml:space="preserve">Fisher unsuccessfully petitioned the Supreme Court of the United States for </w:t>
      </w:r>
      <w:r w:rsidR="00941413">
        <w:t xml:space="preserve">certiorari. </w:t>
      </w:r>
      <w:r w:rsidR="00760EE2">
        <w:t xml:space="preserve"> </w:t>
      </w:r>
      <w:r w:rsidR="002603F6">
        <w:t>(</w:t>
      </w:r>
      <w:r w:rsidR="002603F6" w:rsidRPr="005D2D71">
        <w:rPr>
          <w:i/>
          <w:iCs/>
        </w:rPr>
        <w:t>Fisher v. Huckabee</w:t>
      </w:r>
      <w:r w:rsidR="002603F6">
        <w:rPr>
          <w:i/>
          <w:iCs/>
        </w:rPr>
        <w:t xml:space="preserve"> </w:t>
      </w:r>
      <w:r w:rsidR="002603F6">
        <w:t>(2019) 140 S.Ct. 59</w:t>
      </w:r>
      <w:r w:rsidR="00760EE2">
        <w:t>, cert. den</w:t>
      </w:r>
      <w:r w:rsidR="002603F6">
        <w:t xml:space="preserve">.) </w:t>
      </w:r>
    </w:p>
    <w:p w14:paraId="07EC896C" w14:textId="48EAB11F" w:rsidR="00B774A7" w:rsidRDefault="00B774A7" w:rsidP="000603E5">
      <w:pPr>
        <w:spacing w:line="480" w:lineRule="auto"/>
        <w:ind w:firstLine="720"/>
      </w:pPr>
      <w:r>
        <w:t xml:space="preserve">The Hearing Panel explained in its </w:t>
      </w:r>
      <w:r w:rsidR="002603F6">
        <w:t xml:space="preserve">report </w:t>
      </w:r>
      <w:r>
        <w:t xml:space="preserve">why its findings of fact did not contain more detail as to Fisher’s conduct.  As the </w:t>
      </w:r>
      <w:r w:rsidR="002603F6">
        <w:t xml:space="preserve">Hearing </w:t>
      </w:r>
      <w:r>
        <w:t xml:space="preserve">Panel reported, South Carolina’s prosecuting disciplinary counsel chose to rely solely on the prior orders entered by the probate court and the </w:t>
      </w:r>
      <w:r w:rsidR="00D32C8E">
        <w:t xml:space="preserve">South Carolina Supreme Court’s resolution of Fisher’s appeal of the probate court decision.  </w:t>
      </w:r>
      <w:r w:rsidR="002603F6">
        <w:t>The d</w:t>
      </w:r>
      <w:r w:rsidR="00D32C8E">
        <w:t xml:space="preserve">isciplinary </w:t>
      </w:r>
      <w:r w:rsidR="002603F6">
        <w:t>c</w:t>
      </w:r>
      <w:r w:rsidR="00D32C8E">
        <w:t xml:space="preserve">ounsel </w:t>
      </w:r>
      <w:r w:rsidR="002603F6">
        <w:t xml:space="preserve">also </w:t>
      </w:r>
      <w:r w:rsidR="00D32C8E">
        <w:t>chose not</w:t>
      </w:r>
      <w:r w:rsidR="000F0A77">
        <w:t xml:space="preserve"> to</w:t>
      </w:r>
      <w:r w:rsidR="00D32C8E">
        <w:t xml:space="preserve"> present evidence of specific instances of abusive litigation tactics utilized by Fisher.</w:t>
      </w:r>
      <w:r w:rsidR="002603F6">
        <w:t xml:space="preserve"> </w:t>
      </w:r>
      <w:r w:rsidR="00D32C8E">
        <w:t xml:space="preserve"> The Hearing Panel noted that, when </w:t>
      </w:r>
      <w:r w:rsidR="005570A4">
        <w:t xml:space="preserve">the </w:t>
      </w:r>
      <w:r w:rsidR="002603F6">
        <w:t xml:space="preserve">South Carolina </w:t>
      </w:r>
      <w:r w:rsidR="005570A4">
        <w:t>Supreme Court</w:t>
      </w:r>
      <w:r w:rsidR="00D32C8E">
        <w:t xml:space="preserve"> affirmed the probate court’s </w:t>
      </w:r>
      <w:r w:rsidR="005570A4">
        <w:t>decision,</w:t>
      </w:r>
      <w:r w:rsidR="00D32C8E">
        <w:t xml:space="preserve"> </w:t>
      </w:r>
      <w:r w:rsidR="005570A4">
        <w:t>it admonished</w:t>
      </w:r>
      <w:r w:rsidR="00D32C8E">
        <w:t xml:space="preserve"> Fisher </w:t>
      </w:r>
      <w:r w:rsidR="005570A4">
        <w:t>and imposed sanctions upon her.</w:t>
      </w:r>
      <w:r w:rsidR="00D32C8E">
        <w:t xml:space="preserve"> </w:t>
      </w:r>
      <w:r>
        <w:t xml:space="preserve">  </w:t>
      </w:r>
    </w:p>
    <w:p w14:paraId="7FAAA301" w14:textId="56A6DC71" w:rsidR="00DD438A" w:rsidRPr="00FB7F10" w:rsidRDefault="003E4C04" w:rsidP="003E4C04">
      <w:pPr>
        <w:pStyle w:val="ListParagraph"/>
        <w:spacing w:line="480" w:lineRule="auto"/>
        <w:ind w:left="0"/>
        <w:jc w:val="center"/>
        <w:rPr>
          <w:b/>
          <w:bCs/>
        </w:rPr>
      </w:pPr>
      <w:r>
        <w:rPr>
          <w:b/>
          <w:bCs/>
        </w:rPr>
        <w:t xml:space="preserve">III.  </w:t>
      </w:r>
      <w:r w:rsidR="00DD438A" w:rsidRPr="00FB7F10">
        <w:rPr>
          <w:b/>
          <w:bCs/>
        </w:rPr>
        <w:t>RECIPROCAL DISCIPLINE IN CALIFORNIA IS WARRANTED</w:t>
      </w:r>
    </w:p>
    <w:p w14:paraId="57436A1F" w14:textId="00CBD25D" w:rsidR="000F0A77" w:rsidRDefault="00DD438A" w:rsidP="00DD438A">
      <w:pPr>
        <w:spacing w:line="480" w:lineRule="auto"/>
        <w:ind w:firstLine="720"/>
      </w:pPr>
      <w:r>
        <w:t xml:space="preserve"> </w:t>
      </w:r>
      <w:r w:rsidR="002603F6">
        <w:t xml:space="preserve">The </w:t>
      </w:r>
      <w:r>
        <w:t xml:space="preserve">NDC starting this California proceeding was based solely on </w:t>
      </w:r>
      <w:r w:rsidR="005570A4">
        <w:t>Fisher’s</w:t>
      </w:r>
      <w:r>
        <w:t xml:space="preserve"> discipline in South Carolina, </w:t>
      </w:r>
      <w:r w:rsidR="000F0A77" w:rsidRPr="000F0A77">
        <w:t xml:space="preserve">and its </w:t>
      </w:r>
      <w:r w:rsidR="000F0A77">
        <w:t xml:space="preserve">supporting </w:t>
      </w:r>
      <w:r w:rsidR="000F0A77" w:rsidRPr="000F0A77">
        <w:t>record</w:t>
      </w:r>
      <w:r>
        <w:t xml:space="preserve">. </w:t>
      </w:r>
    </w:p>
    <w:p w14:paraId="51CE0A0F" w14:textId="5578DB1B" w:rsidR="00E17F68" w:rsidRDefault="000F0A77" w:rsidP="00DD438A">
      <w:pPr>
        <w:spacing w:line="480" w:lineRule="auto"/>
        <w:ind w:firstLine="720"/>
      </w:pPr>
      <w:r>
        <w:t xml:space="preserve">For </w:t>
      </w:r>
      <w:r w:rsidR="004E1751">
        <w:t xml:space="preserve">the past </w:t>
      </w:r>
      <w:r w:rsidR="00AD735E">
        <w:t>36</w:t>
      </w:r>
      <w:r w:rsidR="00E17F68">
        <w:t xml:space="preserve"> years, California law</w:t>
      </w:r>
      <w:r w:rsidR="00AD735E">
        <w:t>, following the practice of sister jurisdictions,</w:t>
      </w:r>
      <w:r w:rsidR="00E17F68">
        <w:t xml:space="preserve"> has provided </w:t>
      </w:r>
      <w:r w:rsidR="00333A65">
        <w:t xml:space="preserve">a streamlined process for trial and adjudication </w:t>
      </w:r>
      <w:r w:rsidR="00AD735E">
        <w:t xml:space="preserve">of </w:t>
      </w:r>
      <w:r w:rsidR="004E1751">
        <w:t xml:space="preserve">State Bar </w:t>
      </w:r>
      <w:r w:rsidR="00333A65">
        <w:t xml:space="preserve">disciplinary proceedings </w:t>
      </w:r>
      <w:r w:rsidR="00333A65">
        <w:lastRenderedPageBreak/>
        <w:t xml:space="preserve">when California </w:t>
      </w:r>
      <w:r w:rsidR="002603F6">
        <w:t xml:space="preserve">attorneys </w:t>
      </w:r>
      <w:r w:rsidR="00333A65">
        <w:t xml:space="preserve">have been </w:t>
      </w:r>
      <w:r w:rsidR="002B3502">
        <w:t xml:space="preserve">found by </w:t>
      </w:r>
      <w:r w:rsidR="00333A65">
        <w:t>another jurisdiction</w:t>
      </w:r>
      <w:r w:rsidR="002B3502">
        <w:t xml:space="preserve"> to have committed professional misconduct in that other jurisdiction</w:t>
      </w:r>
      <w:r w:rsidR="00333A65">
        <w:t xml:space="preserve">.  </w:t>
      </w:r>
      <w:r w:rsidR="00FD545B">
        <w:t>(§</w:t>
      </w:r>
      <w:r w:rsidR="00B504E6">
        <w:t xml:space="preserve"> </w:t>
      </w:r>
      <w:r w:rsidR="00FD545B">
        <w:t>6049.1</w:t>
      </w:r>
      <w:r w:rsidR="00AD735E">
        <w:t xml:space="preserve">; </w:t>
      </w:r>
      <w:r w:rsidR="002B3502">
        <w:t xml:space="preserve">e.g., </w:t>
      </w:r>
      <w:r w:rsidR="00AD735E">
        <w:rPr>
          <w:i/>
        </w:rPr>
        <w:t>In the Matter of Jenkins</w:t>
      </w:r>
      <w:r w:rsidR="00AD735E">
        <w:t xml:space="preserve"> (Review Dept. 2000) 4 Cal. State Bar Ct. Rptr. 157, 162-163</w:t>
      </w:r>
      <w:r w:rsidR="002F242F">
        <w:t xml:space="preserve"> [California attorney’s Michigan law license </w:t>
      </w:r>
      <w:r w:rsidR="00762092">
        <w:t xml:space="preserve">previously </w:t>
      </w:r>
      <w:r w:rsidR="002F242F">
        <w:t>revoked by Supreme Court of Michigan for corrupt conduct while serving as Michigan state court judge</w:t>
      </w:r>
      <w:r w:rsidR="00871111">
        <w:t>;</w:t>
      </w:r>
      <w:r w:rsidR="00762092">
        <w:t xml:space="preserve"> disbarred in California</w:t>
      </w:r>
      <w:r w:rsidR="002F242F">
        <w:t>].</w:t>
      </w:r>
      <w:r w:rsidR="00FD545B">
        <w:t>)</w:t>
      </w:r>
      <w:r w:rsidR="002603F6">
        <w:t xml:space="preserve"> </w:t>
      </w:r>
      <w:r w:rsidR="00FD545B">
        <w:t xml:space="preserve"> </w:t>
      </w:r>
      <w:r w:rsidR="002F242F">
        <w:t xml:space="preserve">These </w:t>
      </w:r>
      <w:r w:rsidR="005F2372">
        <w:t xml:space="preserve">cases </w:t>
      </w:r>
      <w:r w:rsidR="002F242F">
        <w:t>are commonly referred to as “reciprocal” disciplinary proceedings.</w:t>
      </w:r>
    </w:p>
    <w:p w14:paraId="0C5B7722" w14:textId="187A8A74" w:rsidR="002B3502" w:rsidRDefault="002F242F" w:rsidP="00DD438A">
      <w:pPr>
        <w:spacing w:line="480" w:lineRule="auto"/>
        <w:ind w:firstLine="720"/>
      </w:pPr>
      <w:r>
        <w:t xml:space="preserve">In addition to </w:t>
      </w:r>
      <w:r>
        <w:rPr>
          <w:i/>
        </w:rPr>
        <w:t>In the Matter of Jenkins</w:t>
      </w:r>
      <w:r w:rsidRPr="00F06C04">
        <w:rPr>
          <w:iCs/>
        </w:rPr>
        <w:t>,</w:t>
      </w:r>
      <w:r>
        <w:rPr>
          <w:i/>
        </w:rPr>
        <w:t xml:space="preserve"> supra</w:t>
      </w:r>
      <w:r>
        <w:t xml:space="preserve">, our </w:t>
      </w:r>
      <w:r w:rsidR="00001323">
        <w:t>c</w:t>
      </w:r>
      <w:r>
        <w:t>ourt has published three opinions in reciprocal discipline cases.</w:t>
      </w:r>
      <w:r w:rsidR="000D038F">
        <w:t xml:space="preserve"> </w:t>
      </w:r>
      <w:r w:rsidR="002B3502">
        <w:t xml:space="preserve"> </w:t>
      </w:r>
      <w:r w:rsidR="00BB44F0">
        <w:t>(</w:t>
      </w:r>
      <w:r w:rsidR="00BB44F0">
        <w:rPr>
          <w:i/>
        </w:rPr>
        <w:t>In the Matter of Romano</w:t>
      </w:r>
      <w:r w:rsidR="00BB44F0">
        <w:t xml:space="preserve"> (Review Dept. 2015) 5 Cal. State Bar Ct. Rptr. 391</w:t>
      </w:r>
      <w:r w:rsidR="008C573B">
        <w:t xml:space="preserve"> </w:t>
      </w:r>
      <w:r w:rsidR="006078CC">
        <w:t>[</w:t>
      </w:r>
      <w:r w:rsidR="005F2372">
        <w:t>California attorney suspended indefinitely by United States Bankruptcy Court for the Central District of California for professional misconduct committed in cases pending before that court]</w:t>
      </w:r>
      <w:r w:rsidR="00BB44F0">
        <w:t xml:space="preserve">; </w:t>
      </w:r>
      <w:r w:rsidR="00BB44F0">
        <w:rPr>
          <w:i/>
        </w:rPr>
        <w:t>In the Matter of Freydl</w:t>
      </w:r>
      <w:r w:rsidR="00BB44F0">
        <w:t xml:space="preserve"> (Review Dept. 2001) 4 Cal. State Bar Ct. Rptr. 349</w:t>
      </w:r>
      <w:r w:rsidR="006078CC">
        <w:t xml:space="preserve"> [California attorney suspended for misconduct in Michigan]</w:t>
      </w:r>
      <w:r w:rsidR="00BB44F0">
        <w:t xml:space="preserve">; </w:t>
      </w:r>
      <w:r>
        <w:t xml:space="preserve">and </w:t>
      </w:r>
      <w:r w:rsidR="001406C8">
        <w:rPr>
          <w:i/>
        </w:rPr>
        <w:t>In the Matter of Kauffman</w:t>
      </w:r>
      <w:r w:rsidR="001406C8">
        <w:t xml:space="preserve"> (Review Dept. 2001) 4 Cal. State Bar Ct. Rptr. 213 [California attorney suspended for professional misconduct</w:t>
      </w:r>
      <w:r w:rsidR="00C275DA">
        <w:t xml:space="preserve"> committed while handling Illinois cases].)</w:t>
      </w:r>
    </w:p>
    <w:p w14:paraId="1BACB217" w14:textId="77039C69" w:rsidR="005F2372" w:rsidRDefault="005F2372" w:rsidP="00DD438A">
      <w:pPr>
        <w:spacing w:line="480" w:lineRule="auto"/>
        <w:ind w:firstLine="720"/>
      </w:pPr>
      <w:r>
        <w:t>Section 6049.1</w:t>
      </w:r>
      <w:r w:rsidR="00B504E6">
        <w:t xml:space="preserve">, subdivision </w:t>
      </w:r>
      <w:r w:rsidR="00921837">
        <w:t>(a),</w:t>
      </w:r>
      <w:r>
        <w:t xml:space="preserve"> provides that</w:t>
      </w:r>
      <w:r w:rsidR="00921837">
        <w:t xml:space="preserve">, </w:t>
      </w:r>
      <w:r w:rsidR="00B504E6">
        <w:t>subject only to the</w:t>
      </w:r>
      <w:r w:rsidR="00921837">
        <w:t xml:space="preserve"> two exceptions in section 6049.1</w:t>
      </w:r>
      <w:r w:rsidR="00B504E6">
        <w:t xml:space="preserve">, subdivision </w:t>
      </w:r>
      <w:r w:rsidR="00921837">
        <w:t>(b),</w:t>
      </w:r>
      <w:r>
        <w:t xml:space="preserve"> the final determination of professional misconduct found </w:t>
      </w:r>
      <w:r w:rsidR="00921837">
        <w:t xml:space="preserve">by another jurisdiction shall be conclusive evidence that the California law licensee is culpable of professional misconduct disciplinable in this </w:t>
      </w:r>
      <w:r w:rsidR="00E67A3C">
        <w:t>s</w:t>
      </w:r>
      <w:r w:rsidR="00921837">
        <w:t>tate.</w:t>
      </w:r>
      <w:r w:rsidR="00B504E6">
        <w:t xml:space="preserve"> </w:t>
      </w:r>
      <w:r w:rsidR="004E1751">
        <w:t xml:space="preserve"> The two exceptions are whether</w:t>
      </w:r>
      <w:r w:rsidR="00C456C3">
        <w:t>,</w:t>
      </w:r>
      <w:r w:rsidR="004E1751">
        <w:t xml:space="preserve"> as a matter of law, the attorney’s culpability in the other jurisdiction’s proceeding would not warrant imposition of discipline </w:t>
      </w:r>
      <w:r w:rsidR="00997EF3">
        <w:t>in California under the governing laws or rules at the time of the misconduct</w:t>
      </w:r>
      <w:r w:rsidR="00D73D8B">
        <w:t>,</w:t>
      </w:r>
      <w:r w:rsidR="00997EF3">
        <w:t xml:space="preserve"> and whether the proceedings of the other jurisdiction lacked fundamental constitutional protection</w:t>
      </w:r>
      <w:r w:rsidR="00C456C3">
        <w:t>.</w:t>
      </w:r>
      <w:r w:rsidR="00997EF3">
        <w:t xml:space="preserve"> </w:t>
      </w:r>
      <w:r w:rsidR="00FD435B">
        <w:t xml:space="preserve"> </w:t>
      </w:r>
      <w:r w:rsidR="00997EF3">
        <w:t>(§</w:t>
      </w:r>
      <w:r w:rsidR="00B504E6">
        <w:t xml:space="preserve"> </w:t>
      </w:r>
      <w:r w:rsidR="00997EF3">
        <w:t>6049.1</w:t>
      </w:r>
      <w:r w:rsidR="00874E9E">
        <w:t xml:space="preserve">, subd. </w:t>
      </w:r>
      <w:r w:rsidR="00997EF3">
        <w:t>(b)(2)-(3).)</w:t>
      </w:r>
      <w:r w:rsidR="007A6333">
        <w:t xml:space="preserve"> </w:t>
      </w:r>
      <w:r w:rsidR="00874E9E">
        <w:t xml:space="preserve"> </w:t>
      </w:r>
      <w:r w:rsidR="007A6333">
        <w:t xml:space="preserve">Moreover, the licensee shall have the burden to establish that the exceptions do not warrant the imposition of discipline by our </w:t>
      </w:r>
      <w:r w:rsidR="00E67A3C">
        <w:t>c</w:t>
      </w:r>
      <w:r w:rsidR="007A6333">
        <w:t>ourt. (§</w:t>
      </w:r>
      <w:r w:rsidR="00B504E6">
        <w:t xml:space="preserve"> </w:t>
      </w:r>
      <w:r w:rsidR="007A6333">
        <w:t>6049.1(b).)</w:t>
      </w:r>
    </w:p>
    <w:p w14:paraId="54D2F34A" w14:textId="28445DD9" w:rsidR="00222FD6" w:rsidRDefault="007A6333" w:rsidP="007A6333">
      <w:pPr>
        <w:spacing w:line="480" w:lineRule="auto"/>
        <w:ind w:firstLine="720"/>
      </w:pPr>
      <w:r>
        <w:lastRenderedPageBreak/>
        <w:t>In this case, the hearing judge</w:t>
      </w:r>
      <w:r w:rsidR="00FD2E2F">
        <w:t xml:space="preserve"> determined </w:t>
      </w:r>
      <w:r w:rsidR="003238FD">
        <w:t>that the record of the South Carolina disciplinary proceedings of Fisher</w:t>
      </w:r>
      <w:r>
        <w:t xml:space="preserve"> </w:t>
      </w:r>
      <w:r w:rsidR="003238FD">
        <w:t xml:space="preserve">met the </w:t>
      </w:r>
      <w:r w:rsidR="003109B6">
        <w:t xml:space="preserve">criteria </w:t>
      </w:r>
      <w:r w:rsidR="003238FD">
        <w:t xml:space="preserve">of section 6049.1 </w:t>
      </w:r>
      <w:r w:rsidR="00C456C3">
        <w:t>in order to warrant</w:t>
      </w:r>
      <w:r w:rsidR="003238FD">
        <w:t xml:space="preserve"> </w:t>
      </w:r>
      <w:r w:rsidR="00C456C3">
        <w:t>giving</w:t>
      </w:r>
      <w:r w:rsidR="003238FD">
        <w:t xml:space="preserve"> conclusive effect </w:t>
      </w:r>
      <w:r w:rsidR="00B22A00">
        <w:t>of culpability under California</w:t>
      </w:r>
      <w:r w:rsidR="003109B6">
        <w:t xml:space="preserve"> law</w:t>
      </w:r>
      <w:r w:rsidR="00762092">
        <w:t xml:space="preserve">.  The judge found </w:t>
      </w:r>
      <w:r w:rsidR="00222FD6">
        <w:t xml:space="preserve">neither of that section’s two exceptions </w:t>
      </w:r>
      <w:r w:rsidR="00181FD5">
        <w:t xml:space="preserve">was </w:t>
      </w:r>
      <w:r w:rsidR="00222FD6">
        <w:t>established by Fisher.</w:t>
      </w:r>
      <w:r w:rsidR="00B22A00">
        <w:t xml:space="preserve"> </w:t>
      </w:r>
      <w:r w:rsidR="003109B6">
        <w:t xml:space="preserve"> </w:t>
      </w:r>
      <w:r w:rsidR="00B22A00">
        <w:t>Further, the judge found that, as charged in the NDC, Fisher’s</w:t>
      </w:r>
      <w:r w:rsidR="00B22A00" w:rsidRPr="00B22A00">
        <w:t xml:space="preserve"> </w:t>
      </w:r>
      <w:r w:rsidR="00B22A00">
        <w:t>South Carolina misconduct constituted wil</w:t>
      </w:r>
      <w:r w:rsidR="003109B6">
        <w:t>l</w:t>
      </w:r>
      <w:r w:rsidR="00B22A00">
        <w:t xml:space="preserve">ful violations of </w:t>
      </w:r>
      <w:r w:rsidR="00D77DEB">
        <w:t xml:space="preserve">California ethical duties found in </w:t>
      </w:r>
      <w:r w:rsidR="003109B6">
        <w:t>s</w:t>
      </w:r>
      <w:r w:rsidR="00B22A00">
        <w:t>ection 6068</w:t>
      </w:r>
      <w:r w:rsidR="003109B6">
        <w:t xml:space="preserve">, subdivision </w:t>
      </w:r>
      <w:r w:rsidR="00B22A00">
        <w:t>(c)</w:t>
      </w:r>
      <w:r w:rsidR="00D301AF">
        <w:t>,</w:t>
      </w:r>
      <w:r w:rsidR="00F710AB">
        <w:rPr>
          <w:rStyle w:val="FootnoteReference"/>
        </w:rPr>
        <w:footnoteReference w:id="4"/>
      </w:r>
      <w:r w:rsidR="00B22A00">
        <w:t xml:space="preserve"> and former</w:t>
      </w:r>
      <w:r w:rsidR="000B1B2B">
        <w:t xml:space="preserve"> rule 3-200</w:t>
      </w:r>
      <w:r w:rsidR="00222FD6">
        <w:t>(</w:t>
      </w:r>
      <w:r w:rsidR="003109B6">
        <w:t>B</w:t>
      </w:r>
      <w:r w:rsidR="00FD435B">
        <w:t>)</w:t>
      </w:r>
      <w:r w:rsidR="00FD435B" w:rsidRPr="00FD435B">
        <w:t xml:space="preserve"> </w:t>
      </w:r>
      <w:r w:rsidR="00FD435B">
        <w:t>of the Rules of Professional Conduct.</w:t>
      </w:r>
      <w:r w:rsidR="00222FD6">
        <w:rPr>
          <w:rStyle w:val="FootnoteReference"/>
        </w:rPr>
        <w:footnoteReference w:id="5"/>
      </w:r>
      <w:r w:rsidR="005E2A4F">
        <w:t xml:space="preserve"> </w:t>
      </w:r>
    </w:p>
    <w:p w14:paraId="237731E9" w14:textId="486A206D" w:rsidR="00222FD6" w:rsidRDefault="00222FD6" w:rsidP="00BC50AD">
      <w:pPr>
        <w:spacing w:line="480" w:lineRule="auto"/>
        <w:ind w:firstLine="720"/>
      </w:pPr>
      <w:r>
        <w:t xml:space="preserve">On appeal, Fisher focuses her </w:t>
      </w:r>
      <w:r w:rsidR="002269EF">
        <w:t xml:space="preserve">main </w:t>
      </w:r>
      <w:r>
        <w:t xml:space="preserve">argument on the point that </w:t>
      </w:r>
      <w:r w:rsidR="005F2FEA">
        <w:t xml:space="preserve">the hearing judge’s decision rests on </w:t>
      </w:r>
      <w:r w:rsidR="00BC50AD">
        <w:t>too</w:t>
      </w:r>
      <w:r w:rsidR="00181FD5">
        <w:t xml:space="preserve"> </w:t>
      </w:r>
      <w:r w:rsidR="00BC50AD">
        <w:t xml:space="preserve">narrow </w:t>
      </w:r>
      <w:r w:rsidR="00181FD5">
        <w:t xml:space="preserve">an </w:t>
      </w:r>
      <w:r w:rsidR="005F2FEA">
        <w:t>interpretation of section 6049.1</w:t>
      </w:r>
      <w:r w:rsidR="00671432">
        <w:t>,</w:t>
      </w:r>
      <w:r w:rsidR="00E67A3C">
        <w:t xml:space="preserve"> </w:t>
      </w:r>
      <w:r w:rsidR="00671432">
        <w:t xml:space="preserve">subdivision </w:t>
      </w:r>
      <w:r w:rsidR="005F2FEA">
        <w:t xml:space="preserve">(b)(3).  As Fisher argues, the section’s exception to </w:t>
      </w:r>
      <w:r w:rsidR="00BC50AD">
        <w:t xml:space="preserve">treating the South Carolina decision as </w:t>
      </w:r>
      <w:r w:rsidR="005F2FEA">
        <w:t>conclusive evidence</w:t>
      </w:r>
      <w:r w:rsidR="00BC50AD">
        <w:t xml:space="preserve"> of culpability in California should be interpreted by considering whether all of the court proceedings in the underlying probate action, which led the South Carolina Supreme Court</w:t>
      </w:r>
      <w:r w:rsidR="002269EF">
        <w:t xml:space="preserve"> to</w:t>
      </w:r>
      <w:r w:rsidR="00BC50AD">
        <w:t xml:space="preserve"> impos</w:t>
      </w:r>
      <w:r w:rsidR="002269EF">
        <w:t>e</w:t>
      </w:r>
      <w:r w:rsidR="00B5196F">
        <w:t xml:space="preserve"> a</w:t>
      </w:r>
      <w:r w:rsidR="00BC50AD">
        <w:t xml:space="preserve"> public reprimand, lacked fundamental constitutional protection.  Since the judge evaluated the exception in section 6049.1</w:t>
      </w:r>
      <w:r w:rsidR="00671432">
        <w:t xml:space="preserve">, subdivision </w:t>
      </w:r>
      <w:r w:rsidR="00BC50AD">
        <w:t>(b)(3)</w:t>
      </w:r>
      <w:r w:rsidR="00FD435B">
        <w:t>,</w:t>
      </w:r>
      <w:r w:rsidR="00BC50AD">
        <w:t xml:space="preserve"> only as to whether the South Carolina </w:t>
      </w:r>
      <w:r w:rsidR="00BC50AD" w:rsidRPr="00BC50AD">
        <w:rPr>
          <w:i/>
          <w:iCs/>
        </w:rPr>
        <w:t>disciplinary</w:t>
      </w:r>
      <w:r w:rsidR="00BC50AD">
        <w:t xml:space="preserve"> proceeding</w:t>
      </w:r>
      <w:r w:rsidR="00480517">
        <w:t>s</w:t>
      </w:r>
      <w:r w:rsidR="00BC50AD">
        <w:t xml:space="preserve"> lacked fundamental constitutional protection, </w:t>
      </w:r>
      <w:r w:rsidR="00671432">
        <w:t xml:space="preserve">Fisher argues the judge held an </w:t>
      </w:r>
      <w:r w:rsidR="00BC50AD">
        <w:t>incorrectly narrow view of this exception.</w:t>
      </w:r>
    </w:p>
    <w:p w14:paraId="5E7B8037" w14:textId="2A6ACC24" w:rsidR="00480517" w:rsidRDefault="00BC50AD" w:rsidP="00003E39">
      <w:pPr>
        <w:spacing w:line="480" w:lineRule="auto"/>
        <w:ind w:firstLine="720"/>
      </w:pPr>
      <w:r>
        <w:t>OCTC has not sought review but argues that the hearing judge correctly interpreted section 6049.1</w:t>
      </w:r>
      <w:r w:rsidR="00671432">
        <w:t xml:space="preserve">, subdivision </w:t>
      </w:r>
      <w:r>
        <w:t>(b)(3)</w:t>
      </w:r>
      <w:r w:rsidR="00FD435B">
        <w:t>,</w:t>
      </w:r>
      <w:r w:rsidR="009026C1">
        <w:t xml:space="preserve"> </w:t>
      </w:r>
      <w:r w:rsidR="00671432">
        <w:t xml:space="preserve">as relating only </w:t>
      </w:r>
      <w:r>
        <w:t xml:space="preserve">to whether the South Carolina </w:t>
      </w:r>
      <w:r w:rsidRPr="00BC50AD">
        <w:rPr>
          <w:i/>
          <w:iCs/>
        </w:rPr>
        <w:t>disciplinary</w:t>
      </w:r>
      <w:r>
        <w:t xml:space="preserve"> proceeding lacked fundamental constitutional protection.  We agree with OCTC and uphold the </w:t>
      </w:r>
      <w:r>
        <w:lastRenderedPageBreak/>
        <w:t>judge’s analysis and decision</w:t>
      </w:r>
      <w:r w:rsidR="002269EF">
        <w:t xml:space="preserve"> to give conclusive evidence of culpability to Fisher’s South Carolina reprimand.</w:t>
      </w:r>
    </w:p>
    <w:p w14:paraId="626AE0FD" w14:textId="2F75E876" w:rsidR="00762092" w:rsidRDefault="00480517" w:rsidP="00BC50AD">
      <w:pPr>
        <w:spacing w:line="480" w:lineRule="auto"/>
        <w:ind w:firstLine="720"/>
      </w:pPr>
      <w:r>
        <w:t>The plain meaning of section 6049.1</w:t>
      </w:r>
      <w:r w:rsidR="002269EF">
        <w:t xml:space="preserve"> </w:t>
      </w:r>
      <w:r>
        <w:t xml:space="preserve">is apparent </w:t>
      </w:r>
      <w:r w:rsidR="00242E13">
        <w:t xml:space="preserve">that </w:t>
      </w:r>
      <w:r>
        <w:t xml:space="preserve">it concerns only the attorney </w:t>
      </w:r>
      <w:r w:rsidRPr="00F93E07">
        <w:rPr>
          <w:i/>
          <w:iCs/>
        </w:rPr>
        <w:t>disciplinary</w:t>
      </w:r>
      <w:r>
        <w:t xml:space="preserve"> proceeding imposed on a California attorney in a separate jurisdiction</w:t>
      </w:r>
      <w:r w:rsidR="00F73206">
        <w:t xml:space="preserve">, and not </w:t>
      </w:r>
      <w:r w:rsidR="00762092">
        <w:t xml:space="preserve">predicate </w:t>
      </w:r>
      <w:r w:rsidR="00F73206">
        <w:t xml:space="preserve">court proceedings </w:t>
      </w:r>
      <w:r w:rsidR="00217058">
        <w:t>that</w:t>
      </w:r>
      <w:r w:rsidR="00F73206">
        <w:t xml:space="preserve"> may have led to the disciplinary proceeding</w:t>
      </w:r>
      <w:r>
        <w:t xml:space="preserve">. </w:t>
      </w:r>
      <w:r w:rsidR="00671432">
        <w:t xml:space="preserve"> </w:t>
      </w:r>
      <w:r w:rsidR="00E74003">
        <w:t xml:space="preserve">Accordingly, </w:t>
      </w:r>
      <w:r w:rsidR="00986C2C">
        <w:t xml:space="preserve">in this situation, </w:t>
      </w:r>
      <w:r w:rsidR="00BF0E5F">
        <w:t xml:space="preserve">no resort is needed to discern legislative history or to consult related interpretive sources. </w:t>
      </w:r>
      <w:r w:rsidR="00671432">
        <w:t xml:space="preserve"> </w:t>
      </w:r>
      <w:r w:rsidR="00BF0E5F">
        <w:t>(</w:t>
      </w:r>
      <w:r w:rsidR="00BF0E5F" w:rsidRPr="00986C2C">
        <w:rPr>
          <w:i/>
          <w:iCs/>
        </w:rPr>
        <w:t>Hoechst Celanese Corporation v. Franchise Tax Board</w:t>
      </w:r>
      <w:r w:rsidR="00BF0E5F">
        <w:t xml:space="preserve"> (2001) 25 Cal.4</w:t>
      </w:r>
      <w:r w:rsidR="00671432">
        <w:t>th</w:t>
      </w:r>
      <w:r w:rsidR="00BF0E5F">
        <w:t xml:space="preserve"> 5</w:t>
      </w:r>
      <w:r w:rsidR="00986C2C">
        <w:t>08</w:t>
      </w:r>
      <w:r w:rsidR="00BF0E5F">
        <w:t>,</w:t>
      </w:r>
      <w:r w:rsidR="00986C2C">
        <w:t xml:space="preserve"> </w:t>
      </w:r>
      <w:r w:rsidR="00BF0E5F">
        <w:t>519.)</w:t>
      </w:r>
      <w:r w:rsidR="00F93E07">
        <w:t xml:space="preserve"> </w:t>
      </w:r>
      <w:r w:rsidR="00BF0E5F">
        <w:t>Moreover, the meaning of a statute</w:t>
      </w:r>
      <w:r w:rsidR="00044130">
        <w:t>’s words</w:t>
      </w:r>
      <w:r w:rsidR="00BF0E5F">
        <w:t xml:space="preserve"> </w:t>
      </w:r>
      <w:r w:rsidR="00FF25D0">
        <w:t>is</w:t>
      </w:r>
      <w:r w:rsidR="00BF0E5F">
        <w:t xml:space="preserve"> informed from the context of the law. </w:t>
      </w:r>
      <w:r w:rsidR="00F93E07">
        <w:t xml:space="preserve"> </w:t>
      </w:r>
      <w:r w:rsidR="00BF0E5F">
        <w:t>(</w:t>
      </w:r>
      <w:r w:rsidR="00F93E07" w:rsidRPr="00F93E07">
        <w:rPr>
          <w:i/>
          <w:iCs/>
        </w:rPr>
        <w:t>Busker v. Wabtec Corp</w:t>
      </w:r>
      <w:r w:rsidR="00F93E07">
        <w:t>. (2021) 11 Cal.5</w:t>
      </w:r>
      <w:r w:rsidR="00671432">
        <w:t>th</w:t>
      </w:r>
      <w:r w:rsidR="00F93E07">
        <w:t xml:space="preserve"> 1147, 1159</w:t>
      </w:r>
      <w:r w:rsidR="00BF0E5F">
        <w:t>.</w:t>
      </w:r>
      <w:r w:rsidR="00986C2C">
        <w:t>)</w:t>
      </w:r>
      <w:r w:rsidR="00BF0E5F">
        <w:t xml:space="preserve"> </w:t>
      </w:r>
      <w:r w:rsidR="00671432">
        <w:t xml:space="preserve"> </w:t>
      </w:r>
      <w:r w:rsidR="00F93E07">
        <w:t>Section 6049.1</w:t>
      </w:r>
      <w:r w:rsidR="00C817EC">
        <w:t xml:space="preserve"> begins with the phrase, “In any disciplinary proceeding under this chapter, a certified copy of a final order made by any</w:t>
      </w:r>
      <w:r w:rsidR="00D301AF">
        <w:t xml:space="preserve"> . . . </w:t>
      </w:r>
      <w:r w:rsidR="00C817EC">
        <w:t>body authorized</w:t>
      </w:r>
      <w:r w:rsidR="0020766A">
        <w:t xml:space="preserve"> . . . </w:t>
      </w:r>
      <w:r w:rsidR="00C817EC">
        <w:t>to conduct disciplinary proceedings against attorneys</w:t>
      </w:r>
      <w:r w:rsidR="00D301AF">
        <w:t xml:space="preserve"> . . . </w:t>
      </w:r>
      <w:r w:rsidR="00C817EC">
        <w:t>determining that a [California attorney] committed professional misconduct in such other jurisdiction shall be conclusive evidence that the [attorney] is culpable of professional misconduct in this state, subject only to the [exceptions of subdivision (b)</w:t>
      </w:r>
      <w:r w:rsidR="007F1C60">
        <w:t>]</w:t>
      </w:r>
      <w:r w:rsidR="0020766A">
        <w:t>.</w:t>
      </w:r>
      <w:r w:rsidR="00C817EC">
        <w:t xml:space="preserve">”  </w:t>
      </w:r>
    </w:p>
    <w:p w14:paraId="447D4933" w14:textId="5963B967" w:rsidR="007F1C60" w:rsidRPr="007F1C60" w:rsidRDefault="008C3777" w:rsidP="007F1C60">
      <w:pPr>
        <w:pStyle w:val="FootnoteText"/>
        <w:spacing w:line="480" w:lineRule="auto"/>
      </w:pPr>
      <w:r>
        <w:t>S</w:t>
      </w:r>
      <w:r w:rsidR="00C817EC">
        <w:t xml:space="preserve">ection </w:t>
      </w:r>
      <w:r>
        <w:t xml:space="preserve">6049.1 </w:t>
      </w:r>
      <w:r w:rsidR="00C817EC">
        <w:t xml:space="preserve">concerns only </w:t>
      </w:r>
      <w:r w:rsidR="00BF0E5F">
        <w:t xml:space="preserve">creating an expedited California disciplinary proceeding to consider and act on </w:t>
      </w:r>
      <w:r w:rsidR="00C817EC">
        <w:t>the separate</w:t>
      </w:r>
      <w:r w:rsidR="00BF0E5F">
        <w:t>, and final,</w:t>
      </w:r>
      <w:r w:rsidR="00C817EC">
        <w:t xml:space="preserve"> disciplinary proceeding</w:t>
      </w:r>
      <w:r w:rsidR="00BF0E5F">
        <w:t xml:space="preserve"> which resulted in discipline in another jurisdiction</w:t>
      </w:r>
      <w:r>
        <w:t>.</w:t>
      </w:r>
      <w:r w:rsidR="00C817EC">
        <w:t xml:space="preserve"> </w:t>
      </w:r>
      <w:r w:rsidR="0020766A">
        <w:t xml:space="preserve"> </w:t>
      </w:r>
      <w:r>
        <w:t xml:space="preserve">Thus, </w:t>
      </w:r>
      <w:r w:rsidR="00C817EC">
        <w:t>the only apt reading of section 6049.1</w:t>
      </w:r>
      <w:r w:rsidR="006D4824">
        <w:t xml:space="preserve">, subdivision </w:t>
      </w:r>
      <w:r w:rsidR="00C817EC">
        <w:t xml:space="preserve">(b)(3)’s exception is that California looks to the fundamental constitutional protection </w:t>
      </w:r>
      <w:r w:rsidR="00003E39">
        <w:t xml:space="preserve">afforded </w:t>
      </w:r>
      <w:r w:rsidR="00C817EC">
        <w:t xml:space="preserve">only </w:t>
      </w:r>
      <w:r w:rsidR="00003E39">
        <w:t>by</w:t>
      </w:r>
      <w:r w:rsidR="00C817EC">
        <w:t xml:space="preserve"> the </w:t>
      </w:r>
      <w:r w:rsidR="00C817EC" w:rsidRPr="00C817EC">
        <w:rPr>
          <w:i/>
          <w:iCs/>
        </w:rPr>
        <w:t>disciplinary</w:t>
      </w:r>
      <w:r w:rsidR="00C817EC">
        <w:t xml:space="preserve"> proceeding and not an analysis of </w:t>
      </w:r>
      <w:r w:rsidR="00195E24">
        <w:t>any underlying court proceedings</w:t>
      </w:r>
      <w:r w:rsidR="00665926">
        <w:t xml:space="preserve"> in the </w:t>
      </w:r>
      <w:r>
        <w:t>foreign jurisdiction</w:t>
      </w:r>
      <w:r w:rsidR="00195E24">
        <w:t xml:space="preserve">. </w:t>
      </w:r>
      <w:r w:rsidR="00AE7C3C">
        <w:t xml:space="preserve"> </w:t>
      </w:r>
      <w:r w:rsidR="00195E24">
        <w:t>To analyze section 6049.1</w:t>
      </w:r>
      <w:r>
        <w:t xml:space="preserve">, subdivision </w:t>
      </w:r>
      <w:r w:rsidR="00195E24">
        <w:t>(b)(3)</w:t>
      </w:r>
      <w:r w:rsidR="005319D1">
        <w:t>,</w:t>
      </w:r>
      <w:r w:rsidR="00195E24">
        <w:t xml:space="preserve"> as broadly as Fisher urges would </w:t>
      </w:r>
      <w:r w:rsidR="00986C2C">
        <w:t xml:space="preserve">not only be contrary to the law’s plain meaning, </w:t>
      </w:r>
      <w:r w:rsidR="005A1991">
        <w:t>it</w:t>
      </w:r>
      <w:r w:rsidR="00986C2C">
        <w:t xml:space="preserve"> would </w:t>
      </w:r>
      <w:r w:rsidR="009D6FD8">
        <w:t xml:space="preserve">also </w:t>
      </w:r>
      <w:r w:rsidR="00BF0E5F">
        <w:t>alter</w:t>
      </w:r>
      <w:r w:rsidR="00195E24">
        <w:t xml:space="preserve"> the very purposes of section</w:t>
      </w:r>
      <w:r w:rsidR="0020766A">
        <w:t> </w:t>
      </w:r>
      <w:r w:rsidR="00195E24">
        <w:t>6049.1 by</w:t>
      </w:r>
      <w:r w:rsidR="00665926">
        <w:t xml:space="preserve"> routinely</w:t>
      </w:r>
      <w:r w:rsidR="00195E24">
        <w:t xml:space="preserve"> </w:t>
      </w:r>
      <w:r w:rsidR="00DE4E38">
        <w:t>allowing</w:t>
      </w:r>
      <w:r w:rsidR="00195E24">
        <w:t xml:space="preserve"> collateral attack</w:t>
      </w:r>
      <w:r w:rsidR="00986C2C">
        <w:t>s</w:t>
      </w:r>
      <w:r w:rsidR="00195E24">
        <w:t xml:space="preserve"> on disciplinary proceedings taken by other bodies</w:t>
      </w:r>
      <w:r w:rsidR="005A1991">
        <w:t xml:space="preserve"> </w:t>
      </w:r>
      <w:r w:rsidR="00003E39">
        <w:t>and which extend beyond</w:t>
      </w:r>
      <w:r w:rsidR="005A1991">
        <w:t xml:space="preserve"> the two limited statutory exceptions we discuss</w:t>
      </w:r>
      <w:r w:rsidR="00003E39">
        <w:t>ed</w:t>
      </w:r>
      <w:r w:rsidR="005A1991">
        <w:t xml:space="preserve">, </w:t>
      </w:r>
      <w:r w:rsidR="005A1991" w:rsidRPr="005A1991">
        <w:rPr>
          <w:i/>
          <w:iCs/>
        </w:rPr>
        <w:t>ante</w:t>
      </w:r>
      <w:r w:rsidR="007F1C60">
        <w:rPr>
          <w:i/>
          <w:iCs/>
        </w:rPr>
        <w:t xml:space="preserve">. </w:t>
      </w:r>
    </w:p>
    <w:p w14:paraId="3D2E2B0A" w14:textId="109BCACD" w:rsidR="002C30EA" w:rsidRDefault="007F1C60" w:rsidP="002C30EA">
      <w:pPr>
        <w:pStyle w:val="FootnoteText"/>
        <w:spacing w:line="480" w:lineRule="auto"/>
      </w:pPr>
      <w:r>
        <w:lastRenderedPageBreak/>
        <w:t>We are aware that a record of discipline in another jurisdiction could show constitutional infirmity</w:t>
      </w:r>
      <w:r w:rsidR="00D73681">
        <w:t>,</w:t>
      </w:r>
      <w:r>
        <w:t xml:space="preserve"> which could call into question the fairness of imposing discipline in California based on </w:t>
      </w:r>
      <w:r w:rsidR="00181FD5">
        <w:t xml:space="preserve">giving </w:t>
      </w:r>
      <w:r>
        <w:t xml:space="preserve">the other jurisdiction’s discipline conclusive </w:t>
      </w:r>
      <w:r w:rsidR="00181FD5">
        <w:t>effect</w:t>
      </w:r>
      <w:r>
        <w:t xml:space="preserve">. </w:t>
      </w:r>
      <w:r w:rsidR="0020766A">
        <w:t xml:space="preserve"> </w:t>
      </w:r>
      <w:r>
        <w:t>(§ 6049.1</w:t>
      </w:r>
      <w:r w:rsidR="00D301AF">
        <w:t xml:space="preserve">, subd. </w:t>
      </w:r>
      <w:r>
        <w:t>(b)(3).)  But in this case, Fisher has not sustained her burden to establish such infirmity.</w:t>
      </w:r>
      <w:r w:rsidR="007E0F43">
        <w:t xml:space="preserve">  (§ 6049.1</w:t>
      </w:r>
      <w:r w:rsidR="00CE44B8">
        <w:t xml:space="preserve">, subd. </w:t>
      </w:r>
      <w:r w:rsidR="007E0F43">
        <w:t>(b).)</w:t>
      </w:r>
      <w:r>
        <w:t xml:space="preserve">  Her primary argument before us </w:t>
      </w:r>
      <w:r w:rsidR="00F06C04">
        <w:t xml:space="preserve">on this point </w:t>
      </w:r>
      <w:r>
        <w:t>is that she was subjected to sanctions and disciplinary proceedings in South Carolina</w:t>
      </w:r>
      <w:r w:rsidR="005A2696">
        <w:t>,</w:t>
      </w:r>
      <w:r>
        <w:t xml:space="preserve"> </w:t>
      </w:r>
      <w:r w:rsidRPr="00181FD5">
        <w:t>but</w:t>
      </w:r>
      <w:r>
        <w:t xml:space="preserve"> her local counsel, who filed all papers and made all appearances in the underlying probate matters was not so subjected.</w:t>
      </w:r>
      <w:r w:rsidR="00181FD5">
        <w:t xml:space="preserve">  However, </w:t>
      </w:r>
      <w:r>
        <w:t xml:space="preserve">this different treatment does not show unfairness of the proceeding as to Fisher, especially since </w:t>
      </w:r>
      <w:r w:rsidR="007E0F43">
        <w:t xml:space="preserve">we read </w:t>
      </w:r>
      <w:r>
        <w:t xml:space="preserve">the record of South Carolina </w:t>
      </w:r>
      <w:r w:rsidR="007E0F43">
        <w:t xml:space="preserve">disciplinary </w:t>
      </w:r>
      <w:r>
        <w:t xml:space="preserve">proceedings </w:t>
      </w:r>
      <w:r w:rsidR="007E0F43">
        <w:t xml:space="preserve">to </w:t>
      </w:r>
      <w:r>
        <w:t>ascrib</w:t>
      </w:r>
      <w:r w:rsidR="007E0F43">
        <w:t>e</w:t>
      </w:r>
      <w:r>
        <w:t xml:space="preserve"> to Fisher </w:t>
      </w:r>
      <w:r w:rsidR="007E0F43">
        <w:t xml:space="preserve">responsibility for the </w:t>
      </w:r>
      <w:r>
        <w:t xml:space="preserve">frivolous </w:t>
      </w:r>
      <w:r w:rsidR="007E0F43">
        <w:t xml:space="preserve">and dilatory </w:t>
      </w:r>
      <w:r>
        <w:t xml:space="preserve">basis of the </w:t>
      </w:r>
      <w:r w:rsidR="007E0F43">
        <w:t xml:space="preserve">probate </w:t>
      </w:r>
      <w:r>
        <w:t>litigation</w:t>
      </w:r>
      <w:r w:rsidR="002C30EA">
        <w:t>.</w:t>
      </w:r>
    </w:p>
    <w:p w14:paraId="3FC6DB00" w14:textId="61CC89A5" w:rsidR="00BC50AD" w:rsidRDefault="007F1C60" w:rsidP="002C30EA">
      <w:pPr>
        <w:pStyle w:val="FootnoteText"/>
        <w:spacing w:line="480" w:lineRule="auto"/>
      </w:pPr>
      <w:r>
        <w:t>The record shows that Fisher had ample notice of the South Carolina charges, participated, and was represented by counsel in an evidentiary hearing before the Hearing Panel, litigated the matter before the Supreme Court of South Carolina, and sought review before the Supreme Court of the United States.  As is the evidentiary burden in California, the South Carolina disciplinary proceeding required presentation by Fisher’s opposing counsel of clear and convincing evidence of misconduct in order to support culpability.  (</w:t>
      </w:r>
      <w:r w:rsidRPr="00330872">
        <w:rPr>
          <w:i/>
          <w:iCs/>
        </w:rPr>
        <w:t>In re Pennington</w:t>
      </w:r>
      <w:r>
        <w:t xml:space="preserve"> (2008) 380</w:t>
      </w:r>
      <w:r w:rsidR="0020766A">
        <w:t> </w:t>
      </w:r>
      <w:r>
        <w:t>S.C. 49</w:t>
      </w:r>
      <w:r w:rsidR="002C30EA">
        <w:t>,</w:t>
      </w:r>
      <w:r>
        <w:t xml:space="preserve"> 58</w:t>
      </w:r>
      <w:r w:rsidR="0020766A">
        <w:t xml:space="preserve"> [668 S.E.2d 402</w:t>
      </w:r>
      <w:r w:rsidR="00755315">
        <w:t>, 406]</w:t>
      </w:r>
      <w:r>
        <w:t>.)  Fisher’s participation in the South Carolina proceedings was the opportunity for her to put at issue and litigate any relevant or cognizable topic as to the civil or probate court proceedings used by the courts of that state which formed the basis of her reprimand.</w:t>
      </w:r>
      <w:r w:rsidR="002C30EA">
        <w:t xml:space="preserve"> </w:t>
      </w:r>
    </w:p>
    <w:p w14:paraId="61E7B492" w14:textId="1F84E1C9" w:rsidR="003510E2" w:rsidRDefault="003510E2">
      <w:pPr>
        <w:spacing w:line="480" w:lineRule="auto"/>
        <w:ind w:firstLine="720"/>
      </w:pPr>
      <w:r>
        <w:t>Fisher advances two other procedural arguments which we hold are unmerited.  First</w:t>
      </w:r>
      <w:r w:rsidR="00FF2177">
        <w:t>,</w:t>
      </w:r>
      <w:r>
        <w:t xml:space="preserve"> she urges that</w:t>
      </w:r>
      <w:r w:rsidR="00FF2177">
        <w:t xml:space="preserve"> the hearing judge erred by allowing OCTC to amend the NDC just three days before the start of trial.  </w:t>
      </w:r>
      <w:r w:rsidR="00673A78">
        <w:t>Second, she claims that the judge erred by not allowing a continuance of trial after allowing OCTC to amend the NDC.</w:t>
      </w:r>
      <w:r w:rsidR="008D0CEF">
        <w:t xml:space="preserve">  </w:t>
      </w:r>
      <w:r w:rsidR="00FF2177">
        <w:t xml:space="preserve">However, </w:t>
      </w:r>
      <w:r w:rsidR="005A1991">
        <w:t xml:space="preserve">it is undisputed that </w:t>
      </w:r>
      <w:r w:rsidR="00FF2177">
        <w:t xml:space="preserve">the only amendments </w:t>
      </w:r>
      <w:r w:rsidR="00FF2177">
        <w:lastRenderedPageBreak/>
        <w:t xml:space="preserve">OCTC made to the NDC </w:t>
      </w:r>
      <w:r w:rsidR="005A1991">
        <w:t>were</w:t>
      </w:r>
      <w:r w:rsidR="00FF2177">
        <w:t xml:space="preserve"> to allege and attach </w:t>
      </w:r>
      <w:r w:rsidR="00FF2177" w:rsidRPr="00C80FA7">
        <w:rPr>
          <w:i/>
          <w:iCs/>
        </w:rPr>
        <w:t>certified</w:t>
      </w:r>
      <w:r w:rsidR="00FF2177">
        <w:t xml:space="preserve"> copies of the final South Carolina disciplinary order and underlying attorney disciplinary rules</w:t>
      </w:r>
      <w:r w:rsidR="005A1991">
        <w:t xml:space="preserve">, in place of the uncertified </w:t>
      </w:r>
      <w:r w:rsidR="0059625C">
        <w:t>records</w:t>
      </w:r>
      <w:r w:rsidR="005A1991">
        <w:t xml:space="preserve"> submitted with the original NDC</w:t>
      </w:r>
      <w:r w:rsidR="00FF2177">
        <w:t xml:space="preserve">.  OCTC offered no substantive </w:t>
      </w:r>
      <w:r w:rsidR="00673A78">
        <w:t>amendments</w:t>
      </w:r>
      <w:r w:rsidR="00FF2177">
        <w:t xml:space="preserve"> </w:t>
      </w:r>
      <w:r w:rsidR="0059625C">
        <w:t>to the NDC</w:t>
      </w:r>
      <w:r w:rsidR="00FF2177">
        <w:t>.</w:t>
      </w:r>
      <w:r w:rsidR="0059625C">
        <w:t xml:space="preserve"> </w:t>
      </w:r>
      <w:r w:rsidR="00FF2177">
        <w:t xml:space="preserve"> </w:t>
      </w:r>
      <w:r w:rsidR="000E39F5">
        <w:t xml:space="preserve">Yet Fisher contends on review that the allowed amendment prejudiced her defense strategy by affecting the nature of her defense, including </w:t>
      </w:r>
      <w:r w:rsidR="00C3755E">
        <w:t>what</w:t>
      </w:r>
      <w:r w:rsidR="000E39F5">
        <w:t xml:space="preserve"> witnesses to call at trial.  We uphold the judge’s allowance of OCTC’s amendment to the original NDC as non-substantive</w:t>
      </w:r>
      <w:r w:rsidR="00673A78">
        <w:t xml:space="preserve"> wh</w:t>
      </w:r>
      <w:r w:rsidR="009522CF">
        <w:t>en</w:t>
      </w:r>
      <w:r w:rsidR="00673A78">
        <w:t xml:space="preserve"> denying Fisher’s request for a continuance of trial</w:t>
      </w:r>
      <w:r w:rsidR="000E39F5">
        <w:t>.  Such an amendment</w:t>
      </w:r>
      <w:r w:rsidR="00673A78">
        <w:t xml:space="preserve"> to the NDC</w:t>
      </w:r>
      <w:r w:rsidR="000E39F5">
        <w:t xml:space="preserve"> is allowed by </w:t>
      </w:r>
      <w:r w:rsidR="0059625C">
        <w:t>r</w:t>
      </w:r>
      <w:r w:rsidR="000E39F5">
        <w:t>ules</w:t>
      </w:r>
      <w:r w:rsidR="00682DED">
        <w:t> </w:t>
      </w:r>
      <w:r w:rsidR="000E39F5">
        <w:t>5.44(B) and 5.3</w:t>
      </w:r>
      <w:r w:rsidR="00673A78">
        <w:t>54(C)</w:t>
      </w:r>
      <w:r w:rsidR="00CE44B8">
        <w:t xml:space="preserve"> of the Rules of Procedure of the State Bar</w:t>
      </w:r>
      <w:r w:rsidR="000E39F5">
        <w:t>.</w:t>
      </w:r>
      <w:r w:rsidR="00F07B3D">
        <w:t xml:space="preserve"> </w:t>
      </w:r>
      <w:r w:rsidR="005A1991">
        <w:t xml:space="preserve"> </w:t>
      </w:r>
      <w:r w:rsidR="00673A78">
        <w:t>Moreover, the record shows that Fisher was fully prepared to defend OCTC’s case and to offer witness testimony</w:t>
      </w:r>
      <w:r w:rsidR="00A2573A">
        <w:t>,</w:t>
      </w:r>
      <w:r w:rsidR="00673A78">
        <w:t xml:space="preserve"> and she did both.  Thus, she has not established the required showing of prejudice to support her claims.  </w:t>
      </w:r>
      <w:r w:rsidR="00FF2177">
        <w:t xml:space="preserve">  </w:t>
      </w:r>
    </w:p>
    <w:p w14:paraId="646BE8D9" w14:textId="6DABB6EC" w:rsidR="006134F1" w:rsidRDefault="00673A78" w:rsidP="007A6333">
      <w:pPr>
        <w:spacing w:line="480" w:lineRule="auto"/>
        <w:ind w:firstLine="720"/>
      </w:pPr>
      <w:r w:rsidRPr="00673A78">
        <w:t xml:space="preserve">Returning </w:t>
      </w:r>
      <w:r>
        <w:t>to the merits of the hearing judge’s decision finding Fisher culpable of section</w:t>
      </w:r>
      <w:r w:rsidR="00CE44B8">
        <w:t> </w:t>
      </w:r>
      <w:r>
        <w:t>6068</w:t>
      </w:r>
      <w:r w:rsidR="00CE44B8">
        <w:t xml:space="preserve">, subdivision </w:t>
      </w:r>
      <w:r>
        <w:t>(c)</w:t>
      </w:r>
      <w:r w:rsidR="00682DED">
        <w:t>,</w:t>
      </w:r>
      <w:r>
        <w:t xml:space="preserve"> and </w:t>
      </w:r>
      <w:r w:rsidR="0059625C">
        <w:t xml:space="preserve">former </w:t>
      </w:r>
      <w:r>
        <w:t>rule 3-200(</w:t>
      </w:r>
      <w:r w:rsidR="009522CF">
        <w:t>B</w:t>
      </w:r>
      <w:r>
        <w:t>), we note Fisher</w:t>
      </w:r>
      <w:r w:rsidR="00A67ADB">
        <w:t xml:space="preserve"> has stated her</w:t>
      </w:r>
      <w:r>
        <w:t xml:space="preserve"> position on review </w:t>
      </w:r>
      <w:r w:rsidR="00A67ADB">
        <w:t>that if we reject her argument on broadening section 6049.1</w:t>
      </w:r>
      <w:r w:rsidR="0059625C">
        <w:t>, subdivision</w:t>
      </w:r>
      <w:r w:rsidR="00CE44B8">
        <w:t> </w:t>
      </w:r>
      <w:r w:rsidR="00A67ADB">
        <w:t>(b)(3)</w:t>
      </w:r>
      <w:r w:rsidR="00CF67B4">
        <w:t>,</w:t>
      </w:r>
      <w:r w:rsidR="00A67ADB">
        <w:t xml:space="preserve"> as she urged, which we have rejected, </w:t>
      </w:r>
      <w:r w:rsidR="00A67ADB" w:rsidRPr="00F53554">
        <w:rPr>
          <w:i/>
          <w:iCs/>
        </w:rPr>
        <w:t>ante</w:t>
      </w:r>
      <w:r w:rsidR="00A67ADB">
        <w:t xml:space="preserve">, then Fisher does not challenge the judge’s findings </w:t>
      </w:r>
      <w:r w:rsidR="0057706F">
        <w:t>regarding culpability, aggravating and mitigating circumstances, or the judge’s decision for a public reproval.</w:t>
      </w:r>
      <w:r w:rsidR="00991182">
        <w:t xml:space="preserve"> </w:t>
      </w:r>
      <w:r w:rsidR="002C30EA">
        <w:t xml:space="preserve"> </w:t>
      </w:r>
      <w:r w:rsidR="00991182">
        <w:t>Accordingly, we uphold the judge’s findings and conclusions that Fisher is culpable of section 6068</w:t>
      </w:r>
      <w:r w:rsidR="00CE44B8">
        <w:t xml:space="preserve">, subdivision </w:t>
      </w:r>
      <w:r w:rsidR="00991182">
        <w:t>(c)</w:t>
      </w:r>
      <w:r w:rsidR="00682DED">
        <w:t>,</w:t>
      </w:r>
      <w:r w:rsidR="00991182">
        <w:t xml:space="preserve"> and former rule 3-200(B).</w:t>
      </w:r>
    </w:p>
    <w:p w14:paraId="503C5FAA" w14:textId="6F955DAA" w:rsidR="00DD438A" w:rsidRDefault="0057706F" w:rsidP="00F53554">
      <w:pPr>
        <w:spacing w:line="480" w:lineRule="auto"/>
        <w:ind w:firstLine="720"/>
      </w:pPr>
      <w:r>
        <w:t>OCTC also supports</w:t>
      </w:r>
      <w:r w:rsidR="00F53554">
        <w:t xml:space="preserve"> in full</w:t>
      </w:r>
      <w:r>
        <w:t xml:space="preserve"> the above aspects of the hearing judge’s decision</w:t>
      </w:r>
      <w:r w:rsidR="00F53554">
        <w:t xml:space="preserve"> and urges our affirmance.  </w:t>
      </w:r>
      <w:r>
        <w:t xml:space="preserve">Nevertheless, </w:t>
      </w:r>
      <w:r w:rsidR="00F53554">
        <w:t xml:space="preserve">as is our function, </w:t>
      </w:r>
      <w:r>
        <w:t>we have independently reviewed the record</w:t>
      </w:r>
      <w:r w:rsidR="00F53554">
        <w:t xml:space="preserve"> and adopt the judge’s findings of culpability. </w:t>
      </w:r>
      <w:r w:rsidR="0059625C">
        <w:t xml:space="preserve"> </w:t>
      </w:r>
      <w:r w:rsidR="00F53554">
        <w:t xml:space="preserve">As we discuss, </w:t>
      </w:r>
      <w:r w:rsidR="00F53554" w:rsidRPr="00F53554">
        <w:rPr>
          <w:i/>
          <w:iCs/>
        </w:rPr>
        <w:t>post</w:t>
      </w:r>
      <w:r w:rsidR="00F53554">
        <w:t>, we shall uphold the judge’s balance of aggravating and mitigating circumstances, and her decision of public reproval.</w:t>
      </w:r>
    </w:p>
    <w:p w14:paraId="50372C2E" w14:textId="6FA6D06D" w:rsidR="00682DED" w:rsidRDefault="00682DED" w:rsidP="00F53554">
      <w:pPr>
        <w:spacing w:line="480" w:lineRule="auto"/>
        <w:ind w:firstLine="720"/>
      </w:pPr>
    </w:p>
    <w:p w14:paraId="6D96DF21" w14:textId="77777777" w:rsidR="00682DED" w:rsidRDefault="00682DED" w:rsidP="00F53554">
      <w:pPr>
        <w:spacing w:line="480" w:lineRule="auto"/>
        <w:ind w:firstLine="720"/>
      </w:pPr>
    </w:p>
    <w:p w14:paraId="365EB276" w14:textId="3B9D84BC" w:rsidR="006358EB" w:rsidRDefault="003E4C04" w:rsidP="003E4C04">
      <w:pPr>
        <w:pStyle w:val="ListParagraph"/>
        <w:spacing w:line="480" w:lineRule="auto"/>
        <w:ind w:left="0"/>
        <w:jc w:val="center"/>
      </w:pPr>
      <w:r>
        <w:rPr>
          <w:b/>
          <w:bCs/>
        </w:rPr>
        <w:lastRenderedPageBreak/>
        <w:t xml:space="preserve">IV.  </w:t>
      </w:r>
      <w:r w:rsidR="006358EB" w:rsidRPr="006358EB">
        <w:rPr>
          <w:b/>
          <w:bCs/>
        </w:rPr>
        <w:t>PUBLIC REPROVAL IS APPROPRIATE DISCIPLINE</w:t>
      </w:r>
    </w:p>
    <w:p w14:paraId="5386B6D9" w14:textId="1F90C894" w:rsidR="00C456C3" w:rsidRDefault="00C456C3" w:rsidP="00C456C3">
      <w:pPr>
        <w:spacing w:line="480" w:lineRule="auto"/>
        <w:ind w:firstLine="720"/>
      </w:pPr>
      <w:r>
        <w:t xml:space="preserve">Significantly, California reciprocal disciplinary proceedings have more flexibility than found in </w:t>
      </w:r>
      <w:r w:rsidR="00762092">
        <w:t xml:space="preserve">many </w:t>
      </w:r>
      <w:r>
        <w:t xml:space="preserve">other states’ reciprocal proceedings in one key area, in that the degree of discipline is </w:t>
      </w:r>
      <w:r w:rsidR="00991182">
        <w:t xml:space="preserve">a </w:t>
      </w:r>
      <w:r>
        <w:t>completely open</w:t>
      </w:r>
      <w:r w:rsidR="00991182">
        <w:t xml:space="preserve"> issue</w:t>
      </w:r>
      <w:r w:rsidR="00762092">
        <w:t xml:space="preserve"> in California</w:t>
      </w:r>
      <w:r w:rsidR="0059625C">
        <w:t xml:space="preserve">. </w:t>
      </w:r>
      <w:r>
        <w:t xml:space="preserve"> (§</w:t>
      </w:r>
      <w:r w:rsidR="00F07B3D">
        <w:t xml:space="preserve"> </w:t>
      </w:r>
      <w:r>
        <w:t>6049.1</w:t>
      </w:r>
      <w:r w:rsidR="00F07B3D">
        <w:t>, sub</w:t>
      </w:r>
      <w:r w:rsidR="00E16A0D">
        <w:t>d</w:t>
      </w:r>
      <w:r w:rsidR="00F07B3D">
        <w:t xml:space="preserve">. </w:t>
      </w:r>
      <w:r>
        <w:t xml:space="preserve">(b)(1); </w:t>
      </w:r>
      <w:r w:rsidRPr="00C456C3">
        <w:rPr>
          <w:i/>
        </w:rPr>
        <w:t>In the Matter of Jenkins</w:t>
      </w:r>
      <w:r w:rsidRPr="00E16A0D">
        <w:rPr>
          <w:iCs/>
        </w:rPr>
        <w:t>,</w:t>
      </w:r>
      <w:r w:rsidRPr="00C456C3">
        <w:rPr>
          <w:i/>
        </w:rPr>
        <w:t xml:space="preserve"> supra</w:t>
      </w:r>
      <w:r w:rsidRPr="00E16A0D">
        <w:rPr>
          <w:iCs/>
        </w:rPr>
        <w:t>,</w:t>
      </w:r>
      <w:r w:rsidRPr="00C456C3">
        <w:rPr>
          <w:i/>
        </w:rPr>
        <w:t xml:space="preserve"> </w:t>
      </w:r>
      <w:r>
        <w:t>4 Cal. State Bar Ct. Rptr. at pp. 163-164.)</w:t>
      </w:r>
      <w:r w:rsidR="003D1DFF">
        <w:tab/>
      </w:r>
    </w:p>
    <w:p w14:paraId="39B951F4" w14:textId="15A0220F" w:rsidR="003D1DFF" w:rsidRDefault="003D1DFF" w:rsidP="00C456C3">
      <w:pPr>
        <w:spacing w:line="480" w:lineRule="auto"/>
        <w:ind w:firstLine="720"/>
      </w:pPr>
      <w:r>
        <w:t>Guided by the Standards for Attorney Sanctions for Professional Misconduct (Standards)</w:t>
      </w:r>
      <w:r w:rsidR="00CE44B8">
        <w:t>,</w:t>
      </w:r>
      <w:r w:rsidR="00680AC3">
        <w:rPr>
          <w:rStyle w:val="FootnoteReference"/>
        </w:rPr>
        <w:footnoteReference w:id="6"/>
      </w:r>
      <w:r>
        <w:t xml:space="preserve"> we next consider the record as it reflects on aggravating and mitigating circumstances. </w:t>
      </w:r>
      <w:r w:rsidR="00F07B3D">
        <w:t xml:space="preserve"> </w:t>
      </w:r>
      <w:r>
        <w:t>(</w:t>
      </w:r>
      <w:r w:rsidRPr="003D1DFF">
        <w:rPr>
          <w:i/>
          <w:iCs/>
        </w:rPr>
        <w:t>In the Matter of Freydl</w:t>
      </w:r>
      <w:r w:rsidRPr="00CE44B8">
        <w:t>,</w:t>
      </w:r>
      <w:r w:rsidRPr="003D1DFF">
        <w:rPr>
          <w:i/>
          <w:iCs/>
        </w:rPr>
        <w:t xml:space="preserve"> supra</w:t>
      </w:r>
      <w:r w:rsidRPr="00CE44B8">
        <w:t xml:space="preserve">, </w:t>
      </w:r>
      <w:r>
        <w:t>4 Cal. State Bar Ct. Rptr. at p. 358-359.)</w:t>
      </w:r>
    </w:p>
    <w:p w14:paraId="2DE2AC5F" w14:textId="3207495D" w:rsidR="003D1DFF" w:rsidRDefault="003D1DFF" w:rsidP="003D1DFF">
      <w:pPr>
        <w:spacing w:line="480" w:lineRule="auto"/>
      </w:pPr>
      <w:r w:rsidRPr="00D8196C">
        <w:t>Standard</w:t>
      </w:r>
      <w:r>
        <w:t> </w:t>
      </w:r>
      <w:r w:rsidRPr="00D8196C">
        <w:t xml:space="preserve">1.5 requires OCTC to establish aggravating circumstances by clear and convincing evidence.  </w:t>
      </w:r>
      <w:r>
        <w:t>Fisher</w:t>
      </w:r>
      <w:r w:rsidRPr="00D8196C">
        <w:t xml:space="preserve"> has the same burden to prove mitigation.  (Std.</w:t>
      </w:r>
      <w:r>
        <w:t> </w:t>
      </w:r>
      <w:r w:rsidRPr="00D8196C">
        <w:t>1.6.)</w:t>
      </w:r>
    </w:p>
    <w:p w14:paraId="25E06DD8" w14:textId="2EA0E413" w:rsidR="003D1DFF" w:rsidRPr="003D1DFF" w:rsidRDefault="003D1DFF" w:rsidP="00CE44B8">
      <w:pPr>
        <w:spacing w:line="480" w:lineRule="auto"/>
        <w:rPr>
          <w:b/>
        </w:rPr>
      </w:pPr>
      <w:r>
        <w:rPr>
          <w:b/>
        </w:rPr>
        <w:t>A.</w:t>
      </w:r>
      <w:r>
        <w:rPr>
          <w:b/>
        </w:rPr>
        <w:tab/>
      </w:r>
      <w:r w:rsidRPr="00D8196C">
        <w:rPr>
          <w:b/>
        </w:rPr>
        <w:t>Aggravation</w:t>
      </w:r>
    </w:p>
    <w:p w14:paraId="554218C4" w14:textId="6E3EAE6B" w:rsidR="003D1DFF" w:rsidRDefault="003074E0" w:rsidP="003074E0">
      <w:pPr>
        <w:spacing w:line="480" w:lineRule="auto"/>
        <w:ind w:firstLine="720"/>
      </w:pPr>
      <w:r>
        <w:t>Although</w:t>
      </w:r>
      <w:r w:rsidR="005D2A85">
        <w:t>,</w:t>
      </w:r>
      <w:r>
        <w:t xml:space="preserve"> at trial, OCTC urged that the record showed three aggravating circumstance</w:t>
      </w:r>
      <w:r w:rsidR="00DE4848">
        <w:t>s</w:t>
      </w:r>
      <w:r>
        <w:t xml:space="preserve"> surrounding Fisher’s misconduct, </w:t>
      </w:r>
      <w:r w:rsidR="00680AC3">
        <w:t xml:space="preserve">the hearing judge </w:t>
      </w:r>
      <w:r>
        <w:t>did not find that the evidence showed</w:t>
      </w:r>
      <w:r w:rsidR="008B18B4">
        <w:t xml:space="preserve"> that they </w:t>
      </w:r>
      <w:r>
        <w:t>were aggravating.</w:t>
      </w:r>
      <w:r w:rsidR="00F07B3D">
        <w:t xml:space="preserve"> </w:t>
      </w:r>
      <w:r>
        <w:t xml:space="preserve"> On our review, we agree</w:t>
      </w:r>
      <w:r w:rsidR="00762092">
        <w:t xml:space="preserve"> with the judge</w:t>
      </w:r>
      <w:r>
        <w:t>, noting that OCTC has not disputed the judge’s findings.</w:t>
      </w:r>
      <w:r w:rsidR="00680AC3">
        <w:t xml:space="preserve"> </w:t>
      </w:r>
      <w:r>
        <w:t xml:space="preserve"> </w:t>
      </w:r>
      <w:r w:rsidR="00BD19DB">
        <w:t xml:space="preserve">Accordingly, we discuss them briefly. </w:t>
      </w:r>
    </w:p>
    <w:p w14:paraId="34EE09B5" w14:textId="25B23B52" w:rsidR="00FF2AE2" w:rsidRDefault="00967942" w:rsidP="00FF2AE2">
      <w:pPr>
        <w:spacing w:line="480" w:lineRule="auto"/>
        <w:ind w:firstLine="720"/>
      </w:pPr>
      <w:r>
        <w:t xml:space="preserve">Significant harm to the client, public, or the </w:t>
      </w:r>
      <w:r w:rsidR="00FF2AE2">
        <w:t>administration of justice is an aggravating circumstance if established.</w:t>
      </w:r>
      <w:r w:rsidR="00F07B3D">
        <w:t xml:space="preserve"> </w:t>
      </w:r>
      <w:r w:rsidR="00FF2AE2">
        <w:t xml:space="preserve"> (Std. 1.5(j).) </w:t>
      </w:r>
      <w:r w:rsidR="00F07B3D">
        <w:t xml:space="preserve"> </w:t>
      </w:r>
      <w:r w:rsidR="00FF2AE2">
        <w:t>The hearing judge decided that the record</w:t>
      </w:r>
      <w:r w:rsidR="00680AC3">
        <w:t>—</w:t>
      </w:r>
      <w:r w:rsidR="00FF2AE2">
        <w:t>including a paucity of evidence bearing on any specific harm Fisher caused</w:t>
      </w:r>
      <w:r w:rsidR="00680AC3">
        <w:t>—</w:t>
      </w:r>
      <w:r w:rsidR="00FF2AE2">
        <w:t>did not warrant concluding that whatever burden Fisher caused to the courts was significant harm.  We agree.</w:t>
      </w:r>
    </w:p>
    <w:p w14:paraId="3D1FB596" w14:textId="222019DC" w:rsidR="00BD19DB" w:rsidRDefault="00FF2AE2" w:rsidP="00FF2AE2">
      <w:pPr>
        <w:spacing w:line="480" w:lineRule="auto"/>
      </w:pPr>
      <w:r>
        <w:tab/>
        <w:t>Indifference as to the consequences of misconduct (</w:t>
      </w:r>
      <w:r w:rsidR="00CE44B8">
        <w:t>s</w:t>
      </w:r>
      <w:r>
        <w:t>td. 1.5(k)</w:t>
      </w:r>
      <w:r w:rsidR="00CE74B4">
        <w:t xml:space="preserve">) was also not established in the hearing judge’s decision.  Although the judge noted Fisher’s testimony that she did not consider her probate filings in the South Carolina case underlying her reprimand to be frivolous, </w:t>
      </w:r>
      <w:r w:rsidR="00E16A0D">
        <w:lastRenderedPageBreak/>
        <w:t xml:space="preserve">the judge </w:t>
      </w:r>
      <w:r w:rsidR="00CE74B4">
        <w:t xml:space="preserve">believed that Fisher’s actions showed she had appropriately accepted her culpability.  Supporting this conclusion, the judge noted Fisher’s </w:t>
      </w:r>
      <w:r w:rsidR="00014D31">
        <w:t xml:space="preserve">credible </w:t>
      </w:r>
      <w:r w:rsidR="00CE74B4">
        <w:t>testimony</w:t>
      </w:r>
      <w:r w:rsidR="00014D31">
        <w:t xml:space="preserve"> respecting the finality of her South Carolina discipline, that she </w:t>
      </w:r>
      <w:r w:rsidR="00762092">
        <w:t xml:space="preserve">since </w:t>
      </w:r>
      <w:r w:rsidR="00014D31">
        <w:t>brought an increased level of care to her law practice, and that she has paid in full the South Carolina disciplinary cost assessment</w:t>
      </w:r>
      <w:r w:rsidR="00762092">
        <w:t xml:space="preserve"> incident to her disciplinary proceeding</w:t>
      </w:r>
      <w:r w:rsidR="00014D31">
        <w:t xml:space="preserve">. </w:t>
      </w:r>
      <w:r w:rsidR="00680AC3">
        <w:t xml:space="preserve"> </w:t>
      </w:r>
      <w:r w:rsidR="00014A6D">
        <w:t xml:space="preserve">We agree with the judge’s decision. </w:t>
      </w:r>
    </w:p>
    <w:p w14:paraId="6DB42F46" w14:textId="448CDC92" w:rsidR="00014D31" w:rsidRDefault="00014D31" w:rsidP="00FF2AE2">
      <w:pPr>
        <w:spacing w:line="480" w:lineRule="auto"/>
      </w:pPr>
      <w:r>
        <w:tab/>
        <w:t>Finally</w:t>
      </w:r>
      <w:r w:rsidR="00014A6D">
        <w:t xml:space="preserve">, OCTC sought to prove in aggravation that the record established Fisher had engaged in a pattern of misconduct. </w:t>
      </w:r>
      <w:r w:rsidR="00680AC3">
        <w:t xml:space="preserve"> </w:t>
      </w:r>
      <w:r w:rsidR="00014A6D">
        <w:t>The hearing judge rejected this</w:t>
      </w:r>
      <w:r w:rsidR="00762092">
        <w:t>,</w:t>
      </w:r>
      <w:r w:rsidR="00014A6D">
        <w:t xml:space="preserve"> noting that a significant showing is required to establish a pattern of misconduct (citing </w:t>
      </w:r>
      <w:r w:rsidR="00014A6D" w:rsidRPr="00014A6D">
        <w:rPr>
          <w:i/>
          <w:iCs/>
        </w:rPr>
        <w:t>Levin v. State Bar</w:t>
      </w:r>
      <w:r w:rsidR="00014A6D">
        <w:t xml:space="preserve"> (1989) 47</w:t>
      </w:r>
      <w:r w:rsidR="00CE44B8">
        <w:t> </w:t>
      </w:r>
      <w:r w:rsidR="00014A6D">
        <w:t>Cal.3d 1140, 1149, fn. 14)</w:t>
      </w:r>
      <w:r w:rsidR="00445028">
        <w:t>,</w:t>
      </w:r>
      <w:r w:rsidR="00014A6D">
        <w:t xml:space="preserve"> </w:t>
      </w:r>
      <w:r w:rsidR="007B1D68">
        <w:t>which</w:t>
      </w:r>
      <w:r w:rsidR="00014A6D">
        <w:t xml:space="preserve"> was not made by the small quantum of evidence adduced. </w:t>
      </w:r>
      <w:r w:rsidR="00680AC3">
        <w:t xml:space="preserve"> </w:t>
      </w:r>
      <w:r w:rsidR="00014A6D">
        <w:t xml:space="preserve">Again, we agree with the judge’s conclusion. </w:t>
      </w:r>
    </w:p>
    <w:p w14:paraId="6BBAA874" w14:textId="57218970" w:rsidR="00C415C0" w:rsidRDefault="003D1DFF" w:rsidP="00CE44B8">
      <w:pPr>
        <w:spacing w:line="480" w:lineRule="auto"/>
      </w:pPr>
      <w:r w:rsidRPr="005D2D71">
        <w:rPr>
          <w:b/>
          <w:bCs/>
        </w:rPr>
        <w:t>B.</w:t>
      </w:r>
      <w:r w:rsidR="00CE44B8">
        <w:tab/>
      </w:r>
      <w:r w:rsidRPr="00BD19DB">
        <w:rPr>
          <w:b/>
          <w:bCs/>
        </w:rPr>
        <w:t>Mitigation</w:t>
      </w:r>
      <w:r>
        <w:t xml:space="preserve"> </w:t>
      </w:r>
    </w:p>
    <w:p w14:paraId="52861445" w14:textId="094C6DEE" w:rsidR="003D1DFF" w:rsidRDefault="007B1D68" w:rsidP="00C456C3">
      <w:pPr>
        <w:spacing w:line="480" w:lineRule="auto"/>
        <w:ind w:firstLine="720"/>
      </w:pPr>
      <w:r>
        <w:t xml:space="preserve">The hearing judge found </w:t>
      </w:r>
      <w:r w:rsidR="00445028">
        <w:t xml:space="preserve">three </w:t>
      </w:r>
      <w:r>
        <w:t>mitigating factors</w:t>
      </w:r>
      <w:r w:rsidR="00700D21">
        <w:t xml:space="preserve">: </w:t>
      </w:r>
      <w:r w:rsidR="002A6D79">
        <w:t xml:space="preserve">Fisher’s </w:t>
      </w:r>
      <w:r w:rsidR="00700D21">
        <w:t xml:space="preserve">lack of prior discipline, </w:t>
      </w:r>
      <w:r w:rsidR="002A6D79">
        <w:t xml:space="preserve">her evidence of </w:t>
      </w:r>
      <w:r w:rsidR="00700D21">
        <w:t xml:space="preserve">good character, </w:t>
      </w:r>
      <w:r w:rsidR="002A6D79">
        <w:t>and her remorse.</w:t>
      </w:r>
      <w:r w:rsidR="00AC1A41">
        <w:t xml:space="preserve">  Fisher </w:t>
      </w:r>
      <w:r w:rsidR="00AA1F47">
        <w:t xml:space="preserve">does not take issue with the mitigation found or weighed by the judge.  </w:t>
      </w:r>
      <w:r w:rsidR="00AC1A41">
        <w:t>OCTC take</w:t>
      </w:r>
      <w:r w:rsidR="00AA1F47">
        <w:t>s</w:t>
      </w:r>
      <w:r w:rsidR="00AC1A41">
        <w:t xml:space="preserve"> issue </w:t>
      </w:r>
      <w:r w:rsidR="00AA1F47">
        <w:t xml:space="preserve">only with one mitigating factor found, which we discuss, </w:t>
      </w:r>
      <w:r w:rsidR="00AA1F47" w:rsidRPr="00AA1F47">
        <w:rPr>
          <w:i/>
          <w:iCs/>
        </w:rPr>
        <w:t>post</w:t>
      </w:r>
      <w:r w:rsidR="00AA1F47">
        <w:t>.</w:t>
      </w:r>
    </w:p>
    <w:p w14:paraId="594F11F3" w14:textId="49D47C68" w:rsidR="007B1D68" w:rsidRDefault="007B1D68" w:rsidP="00C456C3">
      <w:pPr>
        <w:spacing w:line="480" w:lineRule="auto"/>
        <w:ind w:firstLine="720"/>
      </w:pPr>
      <w:r>
        <w:t xml:space="preserve">As to </w:t>
      </w:r>
      <w:r w:rsidR="002A6D79">
        <w:t>lack of prior discipline (</w:t>
      </w:r>
      <w:r w:rsidR="00CE44B8">
        <w:t>s</w:t>
      </w:r>
      <w:r w:rsidR="002A6D79">
        <w:t xml:space="preserve">td.1.6(a)), the hearing judge </w:t>
      </w:r>
      <w:r w:rsidR="00AC1A41">
        <w:t xml:space="preserve">gave moderate weight to Fisher’s history of no prior discipline since her licensure in California in 1997.  What was not established </w:t>
      </w:r>
      <w:r w:rsidR="00891EB4">
        <w:t>by the record</w:t>
      </w:r>
      <w:r w:rsidR="00512B99">
        <w:t>,</w:t>
      </w:r>
      <w:r w:rsidR="00891EB4">
        <w:t xml:space="preserve"> </w:t>
      </w:r>
      <w:r w:rsidR="00AC1A41">
        <w:t xml:space="preserve">was whether Fisher’s involvement in the frivolous filings and improper litigation steps she took in South Carolina lasted the entirety of a ten-year period or </w:t>
      </w:r>
      <w:r w:rsidR="0045624B">
        <w:t xml:space="preserve">occurred </w:t>
      </w:r>
      <w:r w:rsidR="00AC1A41">
        <w:t xml:space="preserve">over a lesser time.  </w:t>
      </w:r>
      <w:r w:rsidR="00F706CE">
        <w:t xml:space="preserve">We agree with weighing this factor as moderate.  </w:t>
      </w:r>
    </w:p>
    <w:p w14:paraId="7483C27E" w14:textId="4B1E0F92" w:rsidR="00F706CE" w:rsidRDefault="00EA74EC" w:rsidP="00C456C3">
      <w:pPr>
        <w:spacing w:line="480" w:lineRule="auto"/>
        <w:ind w:firstLine="720"/>
      </w:pPr>
      <w:r>
        <w:t xml:space="preserve">Regarding Fisher’s evidence of good character, the hearing judge also assigned moderate weight, noting that the quality and quantity </w:t>
      </w:r>
      <w:r w:rsidR="00E93A51">
        <w:t xml:space="preserve">of character evidence </w:t>
      </w:r>
      <w:r>
        <w:t>supports “at least” moderate weight</w:t>
      </w:r>
      <w:r w:rsidR="00EB5153">
        <w:t xml:space="preserve">.  Of the nine witnesses who submitted character declarations, five were attorneys and two </w:t>
      </w:r>
      <w:r w:rsidR="008B18B4">
        <w:t xml:space="preserve">of these attorneys </w:t>
      </w:r>
      <w:r w:rsidR="00EB5153">
        <w:t xml:space="preserve">testified </w:t>
      </w:r>
      <w:r w:rsidR="00E93A51">
        <w:t xml:space="preserve">before the hearing judge.  </w:t>
      </w:r>
      <w:r w:rsidR="008B18B4">
        <w:t>These tw</w:t>
      </w:r>
      <w:r w:rsidR="00E93A51">
        <w:t xml:space="preserve">o attorneys </w:t>
      </w:r>
      <w:r w:rsidR="00680AC3">
        <w:t>held</w:t>
      </w:r>
      <w:r w:rsidR="00E93A51">
        <w:t xml:space="preserve"> long practice </w:t>
      </w:r>
      <w:r w:rsidR="00E93A51">
        <w:lastRenderedPageBreak/>
        <w:t>experience in South Carolina</w:t>
      </w:r>
      <w:r w:rsidR="00677E08">
        <w:t xml:space="preserve"> and</w:t>
      </w:r>
      <w:r w:rsidR="00E93A51">
        <w:t xml:space="preserve"> </w:t>
      </w:r>
      <w:r w:rsidR="00680AC3">
        <w:t xml:space="preserve">were </w:t>
      </w:r>
      <w:r w:rsidR="00677E08">
        <w:t xml:space="preserve">well </w:t>
      </w:r>
      <w:r w:rsidR="00E93A51">
        <w:t xml:space="preserve">familiar with Fisher’s conduct which led to </w:t>
      </w:r>
      <w:r w:rsidR="00677E08">
        <w:t xml:space="preserve">her public reprimand.  The witnesses were highly laudatory of her character, </w:t>
      </w:r>
      <w:r w:rsidR="00AE7C3C">
        <w:t>diligence,</w:t>
      </w:r>
      <w:r w:rsidR="00677E08">
        <w:t xml:space="preserve"> and honesty.  We agree with the </w:t>
      </w:r>
      <w:r w:rsidR="00680AC3">
        <w:t xml:space="preserve">moderate </w:t>
      </w:r>
      <w:r w:rsidR="00677E08">
        <w:t xml:space="preserve">weight assigned by the judge. </w:t>
      </w:r>
    </w:p>
    <w:p w14:paraId="5C28D749" w14:textId="47D6B08A" w:rsidR="00ED1F9A" w:rsidRDefault="00677E08">
      <w:pPr>
        <w:spacing w:line="480" w:lineRule="auto"/>
        <w:ind w:firstLine="720"/>
      </w:pPr>
      <w:r>
        <w:t xml:space="preserve">Finally, the hearing judge accorded limited weight to the mitigating factor of </w:t>
      </w:r>
      <w:r w:rsidR="007A0B28">
        <w:t>remorse.</w:t>
      </w:r>
      <w:r w:rsidR="00A5557A">
        <w:t xml:space="preserve"> (Std. 1.6(g).)</w:t>
      </w:r>
      <w:r w:rsidR="00181FD5">
        <w:t xml:space="preserve">  </w:t>
      </w:r>
      <w:r w:rsidR="00A5557A">
        <w:t xml:space="preserve">On review, OCTC takes issue with </w:t>
      </w:r>
      <w:r w:rsidR="00F009D7">
        <w:t xml:space="preserve">the judge </w:t>
      </w:r>
      <w:r w:rsidR="00A5557A">
        <w:t xml:space="preserve">crediting Fisher with mitigation for showing remorse.  As OCTC argues, the requirement for </w:t>
      </w:r>
      <w:r w:rsidR="005B15B1">
        <w:t>this factor calls for the evidence of remorse to be shown as prompt and objective steps</w:t>
      </w:r>
      <w:r w:rsidR="00D15B3C">
        <w:t>,</w:t>
      </w:r>
      <w:r w:rsidR="005B15B1">
        <w:t xml:space="preserve"> and Fisher’s actions were not prompt, since her misconduct lasted a decade.  However, </w:t>
      </w:r>
      <w:r w:rsidR="00A2567E">
        <w:t xml:space="preserve">the judge correctly cited </w:t>
      </w:r>
      <w:r w:rsidR="00F009D7">
        <w:t>Fisher’s</w:t>
      </w:r>
      <w:r w:rsidR="00A2567E">
        <w:t xml:space="preserve"> evidence of contrition and the increased care that she gives matters she currently handles before courts.  Our review shows that within three months of her South Carolina reprimand becoming final, Fisher satisfied in full the costs assessed by that </w:t>
      </w:r>
      <w:r w:rsidR="00680AC3">
        <w:t>c</w:t>
      </w:r>
      <w:r w:rsidR="00A2567E">
        <w:t>ourt.  In our view, these factors justif</w:t>
      </w:r>
      <w:r w:rsidR="00ED1F9A">
        <w:t>y</w:t>
      </w:r>
      <w:r w:rsidR="00A2567E">
        <w:t xml:space="preserve"> the slight mitigating weight found. </w:t>
      </w:r>
      <w:r w:rsidR="00680AC3">
        <w:t xml:space="preserve"> </w:t>
      </w:r>
      <w:r w:rsidR="00F009D7">
        <w:t>This</w:t>
      </w:r>
      <w:r w:rsidR="00C24D10">
        <w:t xml:space="preserve"> finding</w:t>
      </w:r>
      <w:r w:rsidR="00F009D7">
        <w:t xml:space="preserve"> also </w:t>
      </w:r>
      <w:r w:rsidR="007A0B28">
        <w:t>appear</w:t>
      </w:r>
      <w:r w:rsidR="00D31C2B">
        <w:t>s</w:t>
      </w:r>
      <w:r w:rsidR="007A0B28">
        <w:t xml:space="preserve"> consistent with </w:t>
      </w:r>
      <w:r w:rsidR="00BE2DE4">
        <w:t>th</w:t>
      </w:r>
      <w:r w:rsidR="007A0B28" w:rsidRPr="00BE2DE4">
        <w:t>e</w:t>
      </w:r>
      <w:r w:rsidR="007A0B28">
        <w:t xml:space="preserve"> decisions</w:t>
      </w:r>
      <w:r w:rsidR="00F009D7">
        <w:t>, cited by the judge,</w:t>
      </w:r>
      <w:r w:rsidR="007A0B28">
        <w:t xml:space="preserve"> which do not normally accord the expression of remorse </w:t>
      </w:r>
      <w:r w:rsidR="00BE2DE4">
        <w:t xml:space="preserve">significant weight by itself. </w:t>
      </w:r>
      <w:r w:rsidR="00680AC3">
        <w:t xml:space="preserve"> </w:t>
      </w:r>
      <w:r w:rsidR="00F009D7">
        <w:t>(</w:t>
      </w:r>
      <w:r w:rsidR="00BE2DE4">
        <w:rPr>
          <w:i/>
        </w:rPr>
        <w:t xml:space="preserve">Hipolito v. State </w:t>
      </w:r>
      <w:r w:rsidR="00BE2DE4" w:rsidRPr="00CE44B8">
        <w:rPr>
          <w:i/>
          <w:iCs/>
        </w:rPr>
        <w:t xml:space="preserve">Bar </w:t>
      </w:r>
      <w:r w:rsidR="00BE2DE4">
        <w:t xml:space="preserve">(1989) 48 Cal.3d 621, 626-627, fn.2; </w:t>
      </w:r>
      <w:r w:rsidR="00BE2DE4">
        <w:rPr>
          <w:i/>
        </w:rPr>
        <w:t>Calaway v. State Bar</w:t>
      </w:r>
      <w:r w:rsidR="00BE2DE4">
        <w:t xml:space="preserve"> (1986) 41</w:t>
      </w:r>
      <w:r w:rsidR="00902A8B">
        <w:t> </w:t>
      </w:r>
      <w:r w:rsidR="00BE2DE4">
        <w:t xml:space="preserve">Cal.3d 743, 748.).  We </w:t>
      </w:r>
      <w:r w:rsidR="00F009D7">
        <w:t xml:space="preserve">therefore </w:t>
      </w:r>
      <w:r w:rsidR="00680AC3">
        <w:t>affirm</w:t>
      </w:r>
      <w:r w:rsidR="00BE2DE4">
        <w:t xml:space="preserve"> limited weight</w:t>
      </w:r>
      <w:r w:rsidR="00680AC3">
        <w:t xml:space="preserve"> under this circumstance</w:t>
      </w:r>
      <w:r w:rsidR="00BE2DE4">
        <w:t>.</w:t>
      </w:r>
    </w:p>
    <w:p w14:paraId="606B4ACC" w14:textId="1A63FC41" w:rsidR="00BE2DE4" w:rsidRPr="00CE44B8" w:rsidRDefault="00BE2DE4" w:rsidP="00CE44B8">
      <w:pPr>
        <w:spacing w:line="480" w:lineRule="auto"/>
        <w:rPr>
          <w:b/>
          <w:bCs/>
        </w:rPr>
      </w:pPr>
      <w:r w:rsidRPr="0060687F">
        <w:rPr>
          <w:b/>
          <w:bCs/>
        </w:rPr>
        <w:t>C.</w:t>
      </w:r>
      <w:r w:rsidR="00CE44B8">
        <w:rPr>
          <w:b/>
          <w:bCs/>
        </w:rPr>
        <w:tab/>
      </w:r>
      <w:r w:rsidRPr="0060687F">
        <w:rPr>
          <w:b/>
          <w:bCs/>
        </w:rPr>
        <w:t xml:space="preserve">Discussion on </w:t>
      </w:r>
      <w:r w:rsidR="00CE44B8">
        <w:rPr>
          <w:b/>
          <w:bCs/>
        </w:rPr>
        <w:t>D</w:t>
      </w:r>
      <w:r w:rsidRPr="0060687F">
        <w:rPr>
          <w:b/>
          <w:bCs/>
        </w:rPr>
        <w:t xml:space="preserve">egree of </w:t>
      </w:r>
      <w:r w:rsidR="00CE44B8">
        <w:rPr>
          <w:b/>
          <w:bCs/>
        </w:rPr>
        <w:t>D</w:t>
      </w:r>
      <w:r w:rsidRPr="0060687F">
        <w:rPr>
          <w:b/>
          <w:bCs/>
        </w:rPr>
        <w:t>iscipline</w:t>
      </w:r>
    </w:p>
    <w:p w14:paraId="1A6A0B66" w14:textId="6F8E905A" w:rsidR="00954892" w:rsidRDefault="0045042A" w:rsidP="00954892">
      <w:pPr>
        <w:spacing w:line="480" w:lineRule="auto"/>
        <w:ind w:firstLine="720"/>
        <w:rPr>
          <w:rFonts w:eastAsia="Times New Roman"/>
          <w:szCs w:val="24"/>
        </w:rPr>
      </w:pPr>
      <w:r>
        <w:t>T</w:t>
      </w:r>
      <w:r w:rsidR="00BE2DE4">
        <w:t>he purpose of attorney discipline is not to punish the violator but to protect the public</w:t>
      </w:r>
      <w:r w:rsidR="00B007DD">
        <w:t xml:space="preserve"> and courts, </w:t>
      </w:r>
      <w:r w:rsidR="00BE2DE4">
        <w:t>preserve confidence in the legal profession</w:t>
      </w:r>
      <w:r w:rsidR="00B007DD">
        <w:t>,</w:t>
      </w:r>
      <w:r w:rsidR="00BE2DE4">
        <w:t xml:space="preserve"> and maintain high professional standards for attorneys.</w:t>
      </w:r>
      <w:r w:rsidR="006F031B">
        <w:t xml:space="preserve"> </w:t>
      </w:r>
      <w:r w:rsidR="00BE2DE4">
        <w:t xml:space="preserve"> (Std. 1.1; </w:t>
      </w:r>
      <w:r w:rsidR="00954892">
        <w:t xml:space="preserve">e.g., </w:t>
      </w:r>
      <w:r w:rsidR="00954892">
        <w:rPr>
          <w:i/>
        </w:rPr>
        <w:t>In the Matter of Hoffman</w:t>
      </w:r>
      <w:r w:rsidR="00954892">
        <w:t xml:space="preserve"> (Review Dept. 2020) 5 Cal. State Bar Ct. Rptr. 698, </w:t>
      </w:r>
      <w:r w:rsidR="00ED1F9A">
        <w:t>710</w:t>
      </w:r>
      <w:r w:rsidR="00B007DD">
        <w:t>.)  Our disciplinary analysis begins with the standards.  Although not binding, they are entitled to great weight.</w:t>
      </w:r>
      <w:r w:rsidR="006F031B">
        <w:t xml:space="preserve"> </w:t>
      </w:r>
      <w:r w:rsidR="00B007DD">
        <w:t xml:space="preserve"> </w:t>
      </w:r>
      <w:r w:rsidR="00B007DD" w:rsidRPr="00402EAB">
        <w:rPr>
          <w:rFonts w:eastAsia="Times New Roman"/>
          <w:szCs w:val="24"/>
        </w:rPr>
        <w:t>(</w:t>
      </w:r>
      <w:r w:rsidR="00B007DD" w:rsidRPr="00402EAB">
        <w:rPr>
          <w:rFonts w:eastAsia="Times New Roman"/>
          <w:i/>
          <w:szCs w:val="24"/>
        </w:rPr>
        <w:t>In re Silverton</w:t>
      </w:r>
      <w:r w:rsidR="00B007DD" w:rsidRPr="00402EAB">
        <w:rPr>
          <w:rFonts w:eastAsia="Times New Roman"/>
          <w:szCs w:val="24"/>
        </w:rPr>
        <w:t xml:space="preserve"> (2005) 36 Cal.4th 81, 91</w:t>
      </w:r>
      <w:r w:rsidR="00B007DD">
        <w:rPr>
          <w:rFonts w:eastAsia="Times New Roman"/>
          <w:color w:val="000000" w:themeColor="text1"/>
          <w:szCs w:val="24"/>
        </w:rPr>
        <w:t>-</w:t>
      </w:r>
      <w:r w:rsidR="00B007DD" w:rsidRPr="00402EAB">
        <w:rPr>
          <w:rFonts w:eastAsia="Times New Roman"/>
          <w:szCs w:val="24"/>
        </w:rPr>
        <w:t>92.)</w:t>
      </w:r>
      <w:r w:rsidR="008B18B4">
        <w:rPr>
          <w:rFonts w:eastAsia="Times New Roman"/>
          <w:szCs w:val="24"/>
        </w:rPr>
        <w:t xml:space="preserve">  </w:t>
      </w:r>
      <w:r w:rsidR="00B007DD">
        <w:rPr>
          <w:rFonts w:eastAsia="Times New Roman"/>
          <w:szCs w:val="24"/>
        </w:rPr>
        <w:t xml:space="preserve">We are guided by the Supreme Court to follow them whenever possible </w:t>
      </w:r>
      <w:r w:rsidR="00B007DD" w:rsidRPr="00402EAB">
        <w:rPr>
          <w:rFonts w:eastAsia="Times New Roman"/>
          <w:szCs w:val="24"/>
        </w:rPr>
        <w:t>(</w:t>
      </w:r>
      <w:r w:rsidR="00B007DD">
        <w:rPr>
          <w:rFonts w:eastAsia="Times New Roman"/>
          <w:szCs w:val="24"/>
        </w:rPr>
        <w:t xml:space="preserve">see </w:t>
      </w:r>
      <w:bookmarkStart w:id="7" w:name="_Hlk106356798"/>
      <w:r w:rsidR="00B007DD" w:rsidRPr="00402EAB">
        <w:rPr>
          <w:rFonts w:eastAsia="Times New Roman"/>
          <w:i/>
          <w:szCs w:val="24"/>
        </w:rPr>
        <w:t>In re Young</w:t>
      </w:r>
      <w:r w:rsidR="00B007DD" w:rsidRPr="00402EAB">
        <w:rPr>
          <w:rFonts w:eastAsia="Times New Roman"/>
          <w:szCs w:val="24"/>
        </w:rPr>
        <w:t xml:space="preserve"> (1989) 49 Cal.3d 257, 267, fn. 11), </w:t>
      </w:r>
      <w:bookmarkEnd w:id="7"/>
      <w:r w:rsidR="00B007DD" w:rsidRPr="00402EAB">
        <w:rPr>
          <w:rFonts w:eastAsia="Times New Roman"/>
          <w:szCs w:val="24"/>
        </w:rPr>
        <w:t>and to look to comparab</w:t>
      </w:r>
      <w:r w:rsidR="00B007DD">
        <w:rPr>
          <w:rFonts w:eastAsia="Times New Roman"/>
          <w:szCs w:val="24"/>
        </w:rPr>
        <w:t>le case law for additional guidance.  (</w:t>
      </w:r>
      <w:bookmarkStart w:id="8" w:name="_Hlk106356806"/>
      <w:r w:rsidR="00B007DD" w:rsidRPr="00402EAB">
        <w:rPr>
          <w:rFonts w:eastAsia="Times New Roman"/>
          <w:i/>
          <w:szCs w:val="24"/>
        </w:rPr>
        <w:t>Snyder v. State Bar</w:t>
      </w:r>
      <w:r w:rsidR="00B007DD" w:rsidRPr="00402EAB">
        <w:rPr>
          <w:rFonts w:eastAsia="Times New Roman"/>
          <w:szCs w:val="24"/>
        </w:rPr>
        <w:t xml:space="preserve"> (1990) 49 Cal.3d 1302, 1310</w:t>
      </w:r>
      <w:r w:rsidR="00B007DD">
        <w:rPr>
          <w:rFonts w:eastAsia="Times New Roman"/>
          <w:color w:val="000000" w:themeColor="text1"/>
          <w:szCs w:val="24"/>
        </w:rPr>
        <w:t>-</w:t>
      </w:r>
      <w:r w:rsidR="00B007DD" w:rsidRPr="00402EAB">
        <w:rPr>
          <w:rFonts w:eastAsia="Times New Roman"/>
          <w:szCs w:val="24"/>
        </w:rPr>
        <w:t>1311</w:t>
      </w:r>
      <w:bookmarkEnd w:id="8"/>
      <w:r w:rsidR="00B007DD" w:rsidRPr="00402EAB">
        <w:rPr>
          <w:rFonts w:eastAsia="Times New Roman"/>
          <w:szCs w:val="24"/>
        </w:rPr>
        <w:t>.)</w:t>
      </w:r>
    </w:p>
    <w:p w14:paraId="377F7CAF" w14:textId="7B15A080" w:rsidR="001E33D5" w:rsidRDefault="002862EE" w:rsidP="00954892">
      <w:pPr>
        <w:spacing w:line="480" w:lineRule="auto"/>
        <w:ind w:firstLine="720"/>
      </w:pPr>
      <w:r>
        <w:rPr>
          <w:rFonts w:eastAsia="Times New Roman"/>
          <w:szCs w:val="24"/>
        </w:rPr>
        <w:lastRenderedPageBreak/>
        <w:t xml:space="preserve">When we analyze the applicable standards, we determine first which standard </w:t>
      </w:r>
      <w:r w:rsidR="00684AD4" w:rsidRPr="000F432C">
        <w:t xml:space="preserve">specifies the most severe sanction for the at-issue misconduct.  (Std. 1.7(a) [most severe sanction shall be imposed where multiple sanctions apply].)  </w:t>
      </w:r>
      <w:r w:rsidR="00684AD4">
        <w:t xml:space="preserve">The hearing judge </w:t>
      </w:r>
      <w:r w:rsidR="004D7F90">
        <w:t xml:space="preserve">correctly </w:t>
      </w:r>
      <w:r w:rsidR="00684AD4">
        <w:t>applied standard 2.</w:t>
      </w:r>
      <w:r w:rsidR="004D7F90">
        <w:t>9</w:t>
      </w:r>
      <w:r w:rsidR="00684AD4">
        <w:t>(b)</w:t>
      </w:r>
      <w:r w:rsidR="004D7F90">
        <w:t>,</w:t>
      </w:r>
      <w:r w:rsidR="00ED1F9A">
        <w:t xml:space="preserve"> </w:t>
      </w:r>
      <w:r w:rsidR="004D7F90">
        <w:t>as it is the substantive guideline for violations of section 6068</w:t>
      </w:r>
      <w:r w:rsidR="006F031B">
        <w:t xml:space="preserve">, subdivision </w:t>
      </w:r>
      <w:r w:rsidR="004D7F90">
        <w:t>(c)</w:t>
      </w:r>
      <w:r w:rsidR="00D57C53">
        <w:t>,</w:t>
      </w:r>
      <w:r w:rsidR="004D7F90">
        <w:t xml:space="preserve"> through Fisher’s filing of frivolous litigation steps</w:t>
      </w:r>
      <w:r w:rsidR="002A1693">
        <w:t>,</w:t>
      </w:r>
      <w:r w:rsidR="004D7F90">
        <w:t xml:space="preserve"> which, as here, do not show proof of significant harm to an individual or to the administration of justice.</w:t>
      </w:r>
      <w:r w:rsidR="008F277C">
        <w:rPr>
          <w:rStyle w:val="FootnoteReference"/>
        </w:rPr>
        <w:footnoteReference w:id="7"/>
      </w:r>
      <w:r w:rsidR="0040164D">
        <w:t xml:space="preserve">  That standard </w:t>
      </w:r>
      <w:r w:rsidR="00BC7784">
        <w:t xml:space="preserve">provides for </w:t>
      </w:r>
      <w:r w:rsidR="0040164D">
        <w:t>a range of reproval to suspension as the basic guideline.</w:t>
      </w:r>
    </w:p>
    <w:p w14:paraId="1FF61CFE" w14:textId="77777777" w:rsidR="008B18B4" w:rsidRDefault="0040164D">
      <w:pPr>
        <w:spacing w:line="480" w:lineRule="auto"/>
        <w:ind w:firstLine="720"/>
      </w:pPr>
      <w:r>
        <w:t xml:space="preserve">Our balancing of the mitigating and aggravating circumstances </w:t>
      </w:r>
      <w:r w:rsidR="002C30EA">
        <w:t>l</w:t>
      </w:r>
      <w:r>
        <w:t>ead</w:t>
      </w:r>
      <w:r w:rsidR="006F031B">
        <w:t>s</w:t>
      </w:r>
      <w:r>
        <w:t xml:space="preserve"> us to conclude </w:t>
      </w:r>
      <w:r w:rsidR="00697FCB">
        <w:t xml:space="preserve">that mitigating circumstances </w:t>
      </w:r>
      <w:r w:rsidR="00AD7DD9">
        <w:t xml:space="preserve">clearly </w:t>
      </w:r>
      <w:r w:rsidR="00697FCB">
        <w:t>predominate, as there are no aggravating ones found.</w:t>
      </w:r>
    </w:p>
    <w:p w14:paraId="4853B063" w14:textId="5FBF524B" w:rsidR="0014018A" w:rsidRDefault="0014018A" w:rsidP="008B18B4">
      <w:pPr>
        <w:spacing w:line="480" w:lineRule="auto"/>
        <w:ind w:firstLine="720"/>
      </w:pPr>
      <w:r>
        <w:t xml:space="preserve">In her decision, the </w:t>
      </w:r>
      <w:r w:rsidR="004C25D8">
        <w:t xml:space="preserve">hearing </w:t>
      </w:r>
      <w:r>
        <w:t>judge found</w:t>
      </w:r>
      <w:r w:rsidR="00D15AA7">
        <w:t xml:space="preserve"> the 30-day actual suspension ordered in</w:t>
      </w:r>
      <w:r>
        <w:t xml:space="preserve"> </w:t>
      </w:r>
      <w:bookmarkStart w:id="9" w:name="_Hlk114527473"/>
      <w:r>
        <w:rPr>
          <w:i/>
        </w:rPr>
        <w:t>Sorensen</w:t>
      </w:r>
      <w:bookmarkEnd w:id="9"/>
      <w:r w:rsidR="00015406">
        <w:rPr>
          <w:i/>
        </w:rPr>
        <w:t> </w:t>
      </w:r>
      <w:r>
        <w:rPr>
          <w:i/>
        </w:rPr>
        <w:t>v. State Bar</w:t>
      </w:r>
      <w:r>
        <w:t xml:space="preserve"> (1991) 52 Cal.3d 1036</w:t>
      </w:r>
      <w:r w:rsidR="00D15AA7">
        <w:t>, cited by Fisher,</w:t>
      </w:r>
      <w:r>
        <w:t xml:space="preserve"> </w:t>
      </w:r>
      <w:r w:rsidR="00ED1F9A">
        <w:t xml:space="preserve">to be </w:t>
      </w:r>
      <w:r>
        <w:t>far more comparable to this case than the decisions cited below by OCTC when it was seeking actual suspension.</w:t>
      </w:r>
      <w:r w:rsidR="006F031B">
        <w:rPr>
          <w:rStyle w:val="FootnoteReference"/>
        </w:rPr>
        <w:footnoteReference w:id="8"/>
      </w:r>
      <w:r>
        <w:t xml:space="preserve">  </w:t>
      </w:r>
      <w:r w:rsidR="00D15AA7">
        <w:t xml:space="preserve">In </w:t>
      </w:r>
      <w:r w:rsidR="00D15AA7" w:rsidRPr="005D2D71">
        <w:rPr>
          <w:i/>
          <w:iCs/>
        </w:rPr>
        <w:t>Sorens</w:t>
      </w:r>
      <w:r w:rsidR="00ED1F9A" w:rsidRPr="005D2D71">
        <w:rPr>
          <w:i/>
          <w:iCs/>
        </w:rPr>
        <w:t>e</w:t>
      </w:r>
      <w:r w:rsidR="00D15AA7" w:rsidRPr="005D2D71">
        <w:rPr>
          <w:i/>
          <w:iCs/>
        </w:rPr>
        <w:t>n</w:t>
      </w:r>
      <w:r w:rsidR="006F031B">
        <w:t>, the attorney</w:t>
      </w:r>
      <w:r w:rsidR="00D15AA7">
        <w:t xml:space="preserve"> brought litigation against a court reporter over a $45 billing dispute in which Sorens</w:t>
      </w:r>
      <w:r w:rsidR="00ED1F9A">
        <w:t>e</w:t>
      </w:r>
      <w:r w:rsidR="00D15AA7">
        <w:t xml:space="preserve">n sought $14,000 in exemplary damages as part of a baseless fraud action.  Correctly, the judge assessed that </w:t>
      </w:r>
      <w:r w:rsidR="00D15AA7" w:rsidRPr="00D15AA7">
        <w:t xml:space="preserve">Fisher’s </w:t>
      </w:r>
      <w:r w:rsidR="00D15AA7">
        <w:t xml:space="preserve">case revealed less serious and more mitigated conduct than in Sorensen’s case. </w:t>
      </w:r>
      <w:r w:rsidR="006F031B">
        <w:t xml:space="preserve"> </w:t>
      </w:r>
      <w:r w:rsidR="00D15AA7">
        <w:t xml:space="preserve">On review, </w:t>
      </w:r>
      <w:r w:rsidR="00FF0FCD">
        <w:t xml:space="preserve">as we noted </w:t>
      </w:r>
      <w:r w:rsidR="00FF0FCD" w:rsidRPr="00FF0FCD">
        <w:rPr>
          <w:i/>
          <w:iCs/>
        </w:rPr>
        <w:t>ante</w:t>
      </w:r>
      <w:r w:rsidR="00FF0FCD">
        <w:t xml:space="preserve">, </w:t>
      </w:r>
      <w:r w:rsidR="00D15AA7">
        <w:t xml:space="preserve">OCTC seeks to uphold the public reproval </w:t>
      </w:r>
      <w:r w:rsidR="00FF0FCD">
        <w:t>ordered</w:t>
      </w:r>
      <w:r w:rsidR="00D15AA7">
        <w:t xml:space="preserve"> by the judge as appropriate discipline. </w:t>
      </w:r>
      <w:r w:rsidR="006F031B">
        <w:t xml:space="preserve"> </w:t>
      </w:r>
      <w:r w:rsidR="00D15AA7">
        <w:t xml:space="preserve">Fisher </w:t>
      </w:r>
      <w:r w:rsidR="006F031B">
        <w:t xml:space="preserve">also </w:t>
      </w:r>
      <w:r w:rsidR="00D15AA7">
        <w:t xml:space="preserve">accepts public reproval, upon our rejection of her </w:t>
      </w:r>
      <w:r w:rsidR="00AE7C3C">
        <w:t>overly expansive</w:t>
      </w:r>
      <w:r w:rsidR="00D15AA7">
        <w:t xml:space="preserve"> </w:t>
      </w:r>
      <w:r w:rsidR="0045624B">
        <w:t xml:space="preserve">interpretation </w:t>
      </w:r>
      <w:r w:rsidR="00D15AA7">
        <w:t>of section 6049.1</w:t>
      </w:r>
      <w:r w:rsidR="00FF0FCD">
        <w:t>.</w:t>
      </w:r>
    </w:p>
    <w:p w14:paraId="2EA55CFE" w14:textId="59530710" w:rsidR="00884361" w:rsidRDefault="00D15AA7" w:rsidP="00C80FA7">
      <w:pPr>
        <w:spacing w:line="480" w:lineRule="auto"/>
        <w:rPr>
          <w:b/>
          <w:bCs/>
        </w:rPr>
      </w:pPr>
      <w:r>
        <w:lastRenderedPageBreak/>
        <w:tab/>
        <w:t xml:space="preserve">For all the reasons set forth, we shall impose </w:t>
      </w:r>
      <w:r w:rsidR="00EC4607">
        <w:t xml:space="preserve">a </w:t>
      </w:r>
      <w:r>
        <w:t>public reproval.</w:t>
      </w:r>
    </w:p>
    <w:p w14:paraId="2488C4B3" w14:textId="16CF6D6B" w:rsidR="00A81D07" w:rsidRPr="00220EF5" w:rsidRDefault="003E4C04" w:rsidP="00902A8B">
      <w:pPr>
        <w:pStyle w:val="ListParagraph"/>
        <w:spacing w:line="480" w:lineRule="auto"/>
        <w:ind w:left="0"/>
        <w:jc w:val="center"/>
      </w:pPr>
      <w:r>
        <w:rPr>
          <w:b/>
          <w:bCs/>
        </w:rPr>
        <w:t xml:space="preserve">V.  </w:t>
      </w:r>
      <w:r w:rsidR="00082A8A" w:rsidRPr="00A81D07">
        <w:rPr>
          <w:b/>
          <w:bCs/>
        </w:rPr>
        <w:t>ORDER</w:t>
      </w:r>
    </w:p>
    <w:p w14:paraId="2DEEBA5B" w14:textId="77B2E5AC" w:rsidR="00A81D07" w:rsidRPr="00DA4ABC" w:rsidRDefault="00015406" w:rsidP="00902A8B">
      <w:pPr>
        <w:spacing w:line="480" w:lineRule="auto"/>
        <w:ind w:firstLine="720"/>
        <w:rPr>
          <w:rFonts w:eastAsiaTheme="minorHAnsi"/>
        </w:rPr>
      </w:pPr>
      <w:r>
        <w:rPr>
          <w:rFonts w:eastAsiaTheme="minorHAnsi"/>
        </w:rPr>
        <w:t>We order</w:t>
      </w:r>
      <w:r w:rsidR="00A81D07" w:rsidRPr="00DA4ABC">
        <w:rPr>
          <w:rFonts w:eastAsiaTheme="minorHAnsi"/>
        </w:rPr>
        <w:t xml:space="preserve"> that </w:t>
      </w:r>
      <w:r w:rsidR="00A81D07">
        <w:rPr>
          <w:rFonts w:eastAsiaTheme="minorHAnsi"/>
        </w:rPr>
        <w:t>Lisa Fisher</w:t>
      </w:r>
      <w:r w:rsidR="00A81D07" w:rsidRPr="00DA4ABC">
        <w:rPr>
          <w:rFonts w:eastAsiaTheme="minorHAnsi"/>
        </w:rPr>
        <w:t xml:space="preserve">, State Bar Number </w:t>
      </w:r>
      <w:r w:rsidR="00A81D07">
        <w:rPr>
          <w:rFonts w:eastAsiaTheme="minorHAnsi"/>
        </w:rPr>
        <w:t>192777</w:t>
      </w:r>
      <w:r w:rsidR="00A81D07" w:rsidRPr="00DA4ABC">
        <w:rPr>
          <w:rFonts w:eastAsiaTheme="minorHAnsi"/>
        </w:rPr>
        <w:t xml:space="preserve">, is </w:t>
      </w:r>
      <w:r w:rsidR="00A81D07">
        <w:rPr>
          <w:rFonts w:eastAsiaTheme="minorHAnsi"/>
        </w:rPr>
        <w:t>publicly</w:t>
      </w:r>
      <w:r w:rsidR="00A81D07" w:rsidRPr="00DA4ABC">
        <w:rPr>
          <w:rFonts w:eastAsiaTheme="minorHAnsi"/>
        </w:rPr>
        <w:t xml:space="preserve"> reproved.  Pursuant to the provisions of rule 5.127(A) of the Rules of Procedure of the State Bar, this reproval will be effective when this </w:t>
      </w:r>
      <w:r w:rsidR="00A81D07">
        <w:rPr>
          <w:rFonts w:eastAsiaTheme="minorHAnsi"/>
        </w:rPr>
        <w:t>Opinion</w:t>
      </w:r>
      <w:r w:rsidR="00A81D07" w:rsidRPr="00DA4ABC">
        <w:rPr>
          <w:rFonts w:eastAsiaTheme="minorHAnsi"/>
        </w:rPr>
        <w:t xml:space="preserve"> becomes final.  Furthermore, pursuant to rule 9.19(a) of the California Rules of Court and rule 5.128 of the Rules of Procedure</w:t>
      </w:r>
      <w:r>
        <w:rPr>
          <w:rFonts w:eastAsiaTheme="minorHAnsi"/>
        </w:rPr>
        <w:t xml:space="preserve"> of the State Bar</w:t>
      </w:r>
      <w:r w:rsidR="00A81D07" w:rsidRPr="00DA4ABC">
        <w:rPr>
          <w:rFonts w:eastAsiaTheme="minorHAnsi"/>
        </w:rPr>
        <w:t xml:space="preserve">, the court finds that the protection of the public and the interests of </w:t>
      </w:r>
      <w:r w:rsidR="00A81D07">
        <w:rPr>
          <w:rFonts w:eastAsiaTheme="minorHAnsi"/>
        </w:rPr>
        <w:t>Fisher</w:t>
      </w:r>
      <w:r w:rsidR="00A81D07" w:rsidRPr="00DA4ABC">
        <w:rPr>
          <w:rFonts w:eastAsiaTheme="minorHAnsi"/>
        </w:rPr>
        <w:t xml:space="preserve"> will be served by the following conditions being attached to this reproval.  Failure to comply with any condition attached to this reproval may constitute cause for a separate disciplinary proceeding </w:t>
      </w:r>
      <w:r w:rsidR="00A81D07">
        <w:rPr>
          <w:rFonts w:eastAsiaTheme="minorHAnsi"/>
        </w:rPr>
        <w:t>for willful breach of rule</w:t>
      </w:r>
      <w:r>
        <w:rPr>
          <w:rFonts w:eastAsiaTheme="minorHAnsi"/>
        </w:rPr>
        <w:t> </w:t>
      </w:r>
      <w:r w:rsidR="00A81D07">
        <w:rPr>
          <w:rFonts w:eastAsiaTheme="minorHAnsi"/>
        </w:rPr>
        <w:t>8.1.1</w:t>
      </w:r>
      <w:r w:rsidR="00A81D07" w:rsidRPr="00DA4ABC">
        <w:rPr>
          <w:rFonts w:eastAsiaTheme="minorHAnsi"/>
        </w:rPr>
        <w:t xml:space="preserve"> of the State Bar Rules of Professional Conduct.  </w:t>
      </w:r>
      <w:r w:rsidR="00A81D07">
        <w:rPr>
          <w:rFonts w:eastAsiaTheme="minorHAnsi"/>
        </w:rPr>
        <w:t>Fisher</w:t>
      </w:r>
      <w:r w:rsidR="00A81D07" w:rsidRPr="00DA4ABC">
        <w:rPr>
          <w:rFonts w:eastAsiaTheme="minorHAnsi"/>
        </w:rPr>
        <w:t xml:space="preserve"> is ordered to comply with the following conditions attached to this reproval for </w:t>
      </w:r>
      <w:r w:rsidR="00A81D07">
        <w:rPr>
          <w:rFonts w:eastAsiaTheme="minorHAnsi"/>
        </w:rPr>
        <w:t>one year</w:t>
      </w:r>
      <w:r w:rsidR="00A81D07" w:rsidRPr="00DA4ABC">
        <w:rPr>
          <w:rFonts w:eastAsiaTheme="minorHAnsi"/>
        </w:rPr>
        <w:t xml:space="preserve"> following the effective date of the reproval.  </w:t>
      </w:r>
    </w:p>
    <w:p w14:paraId="41AAE128" w14:textId="5756EC0B" w:rsidR="00E47ECB" w:rsidRDefault="00E47ECB" w:rsidP="00E47ECB">
      <w:pPr>
        <w:pStyle w:val="paragraph"/>
        <w:spacing w:before="0" w:beforeAutospacing="0" w:after="0" w:afterAutospacing="0"/>
        <w:ind w:left="360" w:hanging="360"/>
        <w:textAlignment w:val="baseline"/>
        <w:rPr>
          <w:rFonts w:ascii="Segoe UI" w:hAnsi="Segoe UI" w:cs="Segoe UI"/>
          <w:sz w:val="18"/>
          <w:szCs w:val="18"/>
        </w:rPr>
      </w:pPr>
      <w:r>
        <w:rPr>
          <w:rStyle w:val="normaltextrun"/>
          <w:b/>
          <w:bCs/>
        </w:rPr>
        <w:t>1.</w:t>
      </w:r>
      <w:r>
        <w:rPr>
          <w:rStyle w:val="tabchar"/>
          <w:rFonts w:ascii="Calibri" w:hAnsi="Calibri" w:cs="Calibri"/>
        </w:rPr>
        <w:tab/>
      </w:r>
      <w:r>
        <w:rPr>
          <w:rStyle w:val="normaltextrun"/>
          <w:b/>
          <w:bCs/>
        </w:rPr>
        <w:t xml:space="preserve">Review Rules of Professional Conduct.  </w:t>
      </w:r>
      <w:r>
        <w:rPr>
          <w:rStyle w:val="normaltextrun"/>
        </w:rPr>
        <w:t>Within 30 days after the effective date of the order imposing discipline in this matter, Fisher</w:t>
      </w:r>
      <w:r>
        <w:rPr>
          <w:rStyle w:val="normaltextrun"/>
          <w:b/>
          <w:bCs/>
        </w:rPr>
        <w:t xml:space="preserve"> </w:t>
      </w:r>
      <w:r>
        <w:rPr>
          <w:rStyle w:val="normaltextrun"/>
        </w:rPr>
        <w:t xml:space="preserve">must (1) read the California Rules of Professional Conduct (Rules of Professional Conduct) and Business and Professions Code sections 6067, 6068, and 6103 through 6126, and (2) provide a declaration, under penalty of perjury, attesting to her compliance with this requirement, to the State Bar’s Office of Probation </w:t>
      </w:r>
      <w:r>
        <w:rPr>
          <w:rStyle w:val="normaltextrun"/>
          <w:color w:val="000000"/>
        </w:rPr>
        <w:t>with Fisher’s first quarterly report</w:t>
      </w:r>
      <w:r>
        <w:rPr>
          <w:rStyle w:val="normaltextrun"/>
        </w:rPr>
        <w:t>.</w:t>
      </w:r>
      <w:r>
        <w:rPr>
          <w:rStyle w:val="eop"/>
        </w:rPr>
        <w:t> </w:t>
      </w:r>
    </w:p>
    <w:p w14:paraId="538C8C01" w14:textId="77777777" w:rsidR="00E47ECB" w:rsidRDefault="00E47ECB" w:rsidP="00E47ECB">
      <w:pPr>
        <w:pStyle w:val="paragraph"/>
        <w:spacing w:before="0" w:beforeAutospacing="0" w:after="0" w:afterAutospacing="0"/>
        <w:textAlignment w:val="baseline"/>
        <w:rPr>
          <w:rFonts w:ascii="Segoe UI" w:hAnsi="Segoe UI" w:cs="Segoe UI"/>
          <w:sz w:val="18"/>
          <w:szCs w:val="18"/>
        </w:rPr>
      </w:pPr>
      <w:r>
        <w:rPr>
          <w:rStyle w:val="eop"/>
        </w:rPr>
        <w:t> </w:t>
      </w:r>
    </w:p>
    <w:p w14:paraId="51E3DF59" w14:textId="440265A9" w:rsidR="00E47ECB" w:rsidRDefault="00E47ECB" w:rsidP="00E47ECB">
      <w:pPr>
        <w:pStyle w:val="paragraph"/>
        <w:spacing w:before="0" w:beforeAutospacing="0" w:after="0" w:afterAutospacing="0"/>
        <w:ind w:left="360" w:hanging="360"/>
        <w:textAlignment w:val="baseline"/>
        <w:rPr>
          <w:rFonts w:ascii="Segoe UI" w:hAnsi="Segoe UI" w:cs="Segoe UI"/>
          <w:sz w:val="18"/>
          <w:szCs w:val="18"/>
        </w:rPr>
      </w:pPr>
      <w:r>
        <w:rPr>
          <w:rStyle w:val="normaltextrun"/>
          <w:b/>
          <w:bCs/>
        </w:rPr>
        <w:t>2.</w:t>
      </w:r>
      <w:r>
        <w:rPr>
          <w:rStyle w:val="tabchar"/>
          <w:rFonts w:ascii="Calibri" w:hAnsi="Calibri" w:cs="Calibri"/>
        </w:rPr>
        <w:tab/>
      </w:r>
      <w:r>
        <w:rPr>
          <w:rStyle w:val="normaltextrun"/>
          <w:b/>
          <w:bCs/>
        </w:rPr>
        <w:t xml:space="preserve">Comply with State Bar Act, Rules of Professional Conduct, and Reproval Conditions.  </w:t>
      </w:r>
      <w:r>
        <w:rPr>
          <w:rStyle w:val="normaltextrun"/>
        </w:rPr>
        <w:t>Fisher</w:t>
      </w:r>
      <w:r>
        <w:rPr>
          <w:rStyle w:val="normaltextrun"/>
          <w:b/>
          <w:bCs/>
        </w:rPr>
        <w:t xml:space="preserve"> </w:t>
      </w:r>
      <w:r>
        <w:rPr>
          <w:rStyle w:val="normaltextrun"/>
        </w:rPr>
        <w:t>must comply with the provisions of the State Bar Act, the Rules of Professional Conduct, and all conditions of this reproval.</w:t>
      </w:r>
      <w:r>
        <w:rPr>
          <w:rStyle w:val="eop"/>
        </w:rPr>
        <w:t> </w:t>
      </w:r>
    </w:p>
    <w:p w14:paraId="2DFC4322" w14:textId="77777777" w:rsidR="00E47ECB" w:rsidRDefault="00E47ECB" w:rsidP="00E47ECB">
      <w:pPr>
        <w:pStyle w:val="paragraph"/>
        <w:spacing w:before="0" w:beforeAutospacing="0" w:after="0" w:afterAutospacing="0"/>
        <w:ind w:left="360" w:hanging="360"/>
        <w:textAlignment w:val="baseline"/>
        <w:rPr>
          <w:rFonts w:ascii="Segoe UI" w:hAnsi="Segoe UI" w:cs="Segoe UI"/>
          <w:sz w:val="18"/>
          <w:szCs w:val="18"/>
        </w:rPr>
      </w:pPr>
      <w:r>
        <w:rPr>
          <w:rStyle w:val="eop"/>
        </w:rPr>
        <w:t> </w:t>
      </w:r>
    </w:p>
    <w:p w14:paraId="41A8351C" w14:textId="5D5B7B28" w:rsidR="00E47ECB" w:rsidRDefault="00E47ECB" w:rsidP="00E47ECB">
      <w:pPr>
        <w:pStyle w:val="paragraph"/>
        <w:spacing w:before="0" w:beforeAutospacing="0" w:after="0" w:afterAutospacing="0"/>
        <w:ind w:left="360" w:hanging="360"/>
        <w:textAlignment w:val="baseline"/>
        <w:rPr>
          <w:rFonts w:ascii="Segoe UI" w:hAnsi="Segoe UI" w:cs="Segoe UI"/>
          <w:sz w:val="18"/>
          <w:szCs w:val="18"/>
        </w:rPr>
      </w:pPr>
      <w:r>
        <w:rPr>
          <w:rStyle w:val="normaltextrun"/>
          <w:b/>
          <w:bCs/>
        </w:rPr>
        <w:t>3.</w:t>
      </w:r>
      <w:r>
        <w:rPr>
          <w:rStyle w:val="tabchar"/>
          <w:rFonts w:ascii="Calibri" w:hAnsi="Calibri" w:cs="Calibri"/>
        </w:rPr>
        <w:tab/>
      </w:r>
      <w:r>
        <w:rPr>
          <w:rStyle w:val="normaltextrun"/>
          <w:b/>
          <w:bCs/>
        </w:rPr>
        <w:t xml:space="preserve">Maintain Valid Official State Bar Record Address and Other Required Contact Information.  </w:t>
      </w:r>
      <w:r>
        <w:rPr>
          <w:rStyle w:val="normaltextrun"/>
        </w:rPr>
        <w:t>Within 30 days after the effective date of the order imposing discipline in this matter, Fisher must make certain that the State Bar Attorney Regulation and Consumer Resources Office (ARCR) has her current office address, email address, and telephone number.  If she does not maintain an office, she must provide the mailing address, email address, and telephone number to be used for State Bar purposes.  Fisher must report, in writing, any change in the above information to ARCR within 10 days after such change, in the manner required by that office.</w:t>
      </w:r>
      <w:r>
        <w:rPr>
          <w:rStyle w:val="eop"/>
        </w:rPr>
        <w:t> </w:t>
      </w:r>
    </w:p>
    <w:p w14:paraId="6D0A5121" w14:textId="77777777" w:rsidR="00E47ECB" w:rsidRDefault="00E47ECB" w:rsidP="00E47ECB">
      <w:pPr>
        <w:pStyle w:val="paragraph"/>
        <w:spacing w:before="0" w:beforeAutospacing="0" w:after="0" w:afterAutospacing="0"/>
        <w:ind w:left="360" w:hanging="360"/>
        <w:textAlignment w:val="baseline"/>
        <w:rPr>
          <w:rFonts w:ascii="Segoe UI" w:hAnsi="Segoe UI" w:cs="Segoe UI"/>
          <w:sz w:val="18"/>
          <w:szCs w:val="18"/>
        </w:rPr>
      </w:pPr>
      <w:r>
        <w:rPr>
          <w:rStyle w:val="eop"/>
        </w:rPr>
        <w:t> </w:t>
      </w:r>
    </w:p>
    <w:p w14:paraId="3FD756A6" w14:textId="2521F3CB" w:rsidR="00E47ECB" w:rsidRDefault="00E47ECB" w:rsidP="00E47ECB">
      <w:pPr>
        <w:pStyle w:val="paragraph"/>
        <w:spacing w:before="0" w:beforeAutospacing="0" w:after="0" w:afterAutospacing="0"/>
        <w:ind w:left="360" w:hanging="360"/>
        <w:textAlignment w:val="baseline"/>
        <w:rPr>
          <w:rStyle w:val="eop"/>
        </w:rPr>
      </w:pPr>
      <w:r>
        <w:rPr>
          <w:rStyle w:val="normaltextrun"/>
          <w:b/>
          <w:bCs/>
        </w:rPr>
        <w:t>4.</w:t>
      </w:r>
      <w:r>
        <w:rPr>
          <w:rStyle w:val="tabchar"/>
          <w:rFonts w:ascii="Calibri" w:hAnsi="Calibri" w:cs="Calibri"/>
        </w:rPr>
        <w:tab/>
      </w:r>
      <w:r>
        <w:rPr>
          <w:rStyle w:val="normaltextrun"/>
          <w:b/>
          <w:bCs/>
        </w:rPr>
        <w:t xml:space="preserve">Meet and Cooperate with Office of Probation.  </w:t>
      </w:r>
      <w:r>
        <w:rPr>
          <w:rStyle w:val="normaltextrun"/>
        </w:rPr>
        <w:t xml:space="preserve">Within 30 days after the effective date of the order imposing discipline in this matter, Fisher must schedule a meeting with her assigned probation case specialist to discuss the terms and conditions of Fisher’s discipline and, within 45 days after the effective date of the court’s order, must participate in such </w:t>
      </w:r>
      <w:r>
        <w:rPr>
          <w:rStyle w:val="normaltextrun"/>
        </w:rPr>
        <w:lastRenderedPageBreak/>
        <w:t>meeting.  Unless otherwise instructed by the Office of Probation, she may meet with the probation case specialist in person or by telephone.  During the Reproval Conditions Period, Fisher must promptly meet with representatives of the Office of Probation as requested by it and, subject to the assertion of applicable privileges, must fully, promptly, and truthfully answer any inquiries by it and provide any other information requested by it.</w:t>
      </w:r>
      <w:r>
        <w:rPr>
          <w:rStyle w:val="eop"/>
        </w:rPr>
        <w:t> </w:t>
      </w:r>
    </w:p>
    <w:p w14:paraId="4323FB4A" w14:textId="77777777" w:rsidR="00E47ECB" w:rsidRDefault="00E47ECB" w:rsidP="00E47ECB">
      <w:pPr>
        <w:pStyle w:val="paragraph"/>
        <w:spacing w:before="0" w:beforeAutospacing="0" w:after="0" w:afterAutospacing="0"/>
        <w:ind w:left="360" w:hanging="360"/>
        <w:textAlignment w:val="baseline"/>
        <w:rPr>
          <w:rFonts w:ascii="Segoe UI" w:hAnsi="Segoe UI" w:cs="Segoe UI"/>
          <w:sz w:val="18"/>
          <w:szCs w:val="18"/>
        </w:rPr>
      </w:pPr>
      <w:r>
        <w:rPr>
          <w:rStyle w:val="eop"/>
        </w:rPr>
        <w:t> </w:t>
      </w:r>
    </w:p>
    <w:p w14:paraId="566C2FAE" w14:textId="44130DC2" w:rsidR="00E47ECB" w:rsidRDefault="00E47ECB" w:rsidP="00E47ECB">
      <w:pPr>
        <w:pStyle w:val="paragraph"/>
        <w:spacing w:before="0" w:beforeAutospacing="0" w:after="0" w:afterAutospacing="0"/>
        <w:ind w:left="360" w:hanging="360"/>
        <w:textAlignment w:val="baseline"/>
        <w:rPr>
          <w:rFonts w:ascii="Segoe UI" w:hAnsi="Segoe UI" w:cs="Segoe UI"/>
          <w:sz w:val="18"/>
          <w:szCs w:val="18"/>
        </w:rPr>
      </w:pPr>
      <w:r>
        <w:rPr>
          <w:rStyle w:val="normaltextrun"/>
          <w:b/>
          <w:bCs/>
        </w:rPr>
        <w:t>5.</w:t>
      </w:r>
      <w:r>
        <w:rPr>
          <w:rStyle w:val="tabchar"/>
          <w:rFonts w:ascii="Calibri" w:hAnsi="Calibri" w:cs="Calibri"/>
        </w:rPr>
        <w:tab/>
      </w:r>
      <w:r>
        <w:rPr>
          <w:rStyle w:val="normaltextrun"/>
          <w:b/>
          <w:bCs/>
        </w:rPr>
        <w:t xml:space="preserve">State Bar Court Retains Jurisdiction/Appear Before and Cooperate with State Bar Court.  </w:t>
      </w:r>
      <w:r>
        <w:rPr>
          <w:rStyle w:val="normaltextrun"/>
        </w:rPr>
        <w:t>During the Reproval Conditions Period, the State Bar Court retains jurisdiction over Fisher to address issues concerning compliance with reproval conditions.  During this period, Fisher must appear before the State Bar Court as required by the court or by the Office of Probation after written notice mailed to her official State Bar record address, as provided above.  Subject to the assertion of applicable privileges, she must fully, promptly, and truthfully answer any inquiries by the court and must provide any other information the court requests. </w:t>
      </w:r>
      <w:r>
        <w:rPr>
          <w:rStyle w:val="eop"/>
        </w:rPr>
        <w:t> </w:t>
      </w:r>
    </w:p>
    <w:p w14:paraId="0F6E1256" w14:textId="77777777" w:rsidR="00E47ECB" w:rsidRDefault="00E47ECB" w:rsidP="00E47ECB">
      <w:pPr>
        <w:pStyle w:val="paragraph"/>
        <w:spacing w:before="0" w:beforeAutospacing="0" w:after="0" w:afterAutospacing="0"/>
        <w:textAlignment w:val="baseline"/>
        <w:rPr>
          <w:rFonts w:ascii="Segoe UI" w:hAnsi="Segoe UI" w:cs="Segoe UI"/>
          <w:sz w:val="18"/>
          <w:szCs w:val="18"/>
        </w:rPr>
      </w:pPr>
      <w:r>
        <w:rPr>
          <w:rStyle w:val="eop"/>
        </w:rPr>
        <w:t> </w:t>
      </w:r>
    </w:p>
    <w:p w14:paraId="0CC224D8" w14:textId="77777777" w:rsidR="00E47ECB" w:rsidRDefault="00E47ECB" w:rsidP="00E47ECB">
      <w:pPr>
        <w:pStyle w:val="paragraph"/>
        <w:spacing w:before="0" w:beforeAutospacing="0" w:after="0" w:afterAutospacing="0"/>
        <w:ind w:left="360" w:hanging="360"/>
        <w:textAlignment w:val="baseline"/>
        <w:rPr>
          <w:rFonts w:ascii="Segoe UI" w:hAnsi="Segoe UI" w:cs="Segoe UI"/>
          <w:sz w:val="18"/>
          <w:szCs w:val="18"/>
        </w:rPr>
      </w:pPr>
      <w:r>
        <w:rPr>
          <w:rStyle w:val="normaltextrun"/>
          <w:b/>
          <w:bCs/>
        </w:rPr>
        <w:t>6.  Quarterly and Final Reports.</w:t>
      </w:r>
      <w:r>
        <w:rPr>
          <w:rStyle w:val="eop"/>
        </w:rPr>
        <w:t> </w:t>
      </w:r>
    </w:p>
    <w:p w14:paraId="0F0C1D68" w14:textId="77777777" w:rsidR="00E47ECB" w:rsidRDefault="00E47ECB" w:rsidP="00E47ECB">
      <w:pPr>
        <w:pStyle w:val="paragraph"/>
        <w:spacing w:before="0" w:beforeAutospacing="0" w:after="0" w:afterAutospacing="0"/>
        <w:ind w:left="360" w:hanging="360"/>
        <w:textAlignment w:val="baseline"/>
        <w:rPr>
          <w:rFonts w:ascii="Segoe UI" w:hAnsi="Segoe UI" w:cs="Segoe UI"/>
          <w:sz w:val="18"/>
          <w:szCs w:val="18"/>
        </w:rPr>
      </w:pPr>
      <w:r>
        <w:rPr>
          <w:rStyle w:val="eop"/>
        </w:rPr>
        <w:t> </w:t>
      </w:r>
    </w:p>
    <w:p w14:paraId="5ED0D554" w14:textId="3CB004FA" w:rsidR="00E47ECB" w:rsidRDefault="00E47ECB" w:rsidP="00E47ECB">
      <w:pPr>
        <w:pStyle w:val="paragraph"/>
        <w:spacing w:before="0" w:beforeAutospacing="0" w:after="0" w:afterAutospacing="0"/>
        <w:ind w:left="1080" w:hanging="360"/>
        <w:textAlignment w:val="baseline"/>
        <w:rPr>
          <w:rFonts w:ascii="Segoe UI" w:hAnsi="Segoe UI" w:cs="Segoe UI"/>
          <w:sz w:val="18"/>
          <w:szCs w:val="18"/>
        </w:rPr>
      </w:pPr>
      <w:r>
        <w:rPr>
          <w:rStyle w:val="normaltextrun"/>
          <w:b/>
          <w:bCs/>
        </w:rPr>
        <w:t>a.</w:t>
      </w:r>
      <w:r>
        <w:rPr>
          <w:rStyle w:val="normaltextrun"/>
        </w:rPr>
        <w:t xml:space="preserve">  </w:t>
      </w:r>
      <w:r>
        <w:rPr>
          <w:rStyle w:val="normaltextrun"/>
          <w:b/>
          <w:bCs/>
        </w:rPr>
        <w:t>Deadlines for Reports.</w:t>
      </w:r>
      <w:r>
        <w:rPr>
          <w:rStyle w:val="normaltextrun"/>
        </w:rPr>
        <w:t>  Fisher must</w:t>
      </w:r>
      <w:r>
        <w:rPr>
          <w:rStyle w:val="normaltextrun"/>
          <w:b/>
          <w:bCs/>
        </w:rPr>
        <w:t xml:space="preserve"> </w:t>
      </w:r>
      <w:r>
        <w:rPr>
          <w:rStyle w:val="normaltextrun"/>
        </w:rPr>
        <w:t>submit</w:t>
      </w:r>
      <w:r>
        <w:rPr>
          <w:rStyle w:val="normaltextrun"/>
          <w:b/>
          <w:bCs/>
        </w:rPr>
        <w:t xml:space="preserve"> </w:t>
      </w:r>
      <w:r>
        <w:rPr>
          <w:rStyle w:val="normaltextrun"/>
        </w:rPr>
        <w:t>written quarterly reports to the Office of Probation no later than each January 10 (covering October 1 through December 31 of the prior year), April 10 (covering January 1 through March 31), July 10 (covering April 1 through June 30), and October 10 (covering July 1 through September 30) within the Reproval Conditions Period.  If the first report would cover less than 30 days, that report must be submitted on the next quarter date and cover the extended deadline.  In addition to all quarterly reports Fisher must submit a final report no earlier than 10 days before the last day of the Reproval Conditions Period and no later than the last day of the Reproval Conditions Period.  </w:t>
      </w:r>
      <w:r>
        <w:rPr>
          <w:rStyle w:val="eop"/>
        </w:rPr>
        <w:t> </w:t>
      </w:r>
    </w:p>
    <w:p w14:paraId="43E24DD1" w14:textId="20C3E04F" w:rsidR="00A71E93" w:rsidRDefault="00A71E93">
      <w:pPr>
        <w:rPr>
          <w:rStyle w:val="eop"/>
          <w:rFonts w:eastAsia="Times New Roman"/>
          <w:szCs w:val="24"/>
        </w:rPr>
      </w:pPr>
    </w:p>
    <w:p w14:paraId="45895236" w14:textId="2A03B5CD" w:rsidR="00E47ECB" w:rsidRDefault="00E47ECB" w:rsidP="00E47ECB">
      <w:pPr>
        <w:pStyle w:val="paragraph"/>
        <w:spacing w:before="0" w:beforeAutospacing="0" w:after="0" w:afterAutospacing="0"/>
        <w:ind w:left="1080" w:hanging="360"/>
        <w:textAlignment w:val="baseline"/>
        <w:rPr>
          <w:rFonts w:ascii="Segoe UI" w:hAnsi="Segoe UI" w:cs="Segoe UI"/>
          <w:sz w:val="18"/>
          <w:szCs w:val="18"/>
        </w:rPr>
      </w:pPr>
      <w:r>
        <w:rPr>
          <w:rStyle w:val="normaltextrun"/>
          <w:b/>
          <w:bCs/>
        </w:rPr>
        <w:t>b.</w:t>
      </w:r>
      <w:r>
        <w:rPr>
          <w:rStyle w:val="normaltextrun"/>
        </w:rPr>
        <w:t xml:space="preserve">  </w:t>
      </w:r>
      <w:r>
        <w:rPr>
          <w:rStyle w:val="normaltextrun"/>
          <w:b/>
          <w:bCs/>
        </w:rPr>
        <w:t>Contents of Reports.</w:t>
      </w:r>
      <w:r>
        <w:rPr>
          <w:rStyle w:val="normaltextrun"/>
        </w:rPr>
        <w:t>  Fisher must answer, under penalty of perjury, all inquiries contained in the quarterly report form provided by the Office of Probation, including stating whether she has complied with the State Bar Act and the Rules of Professional Conduct during the applicable quarter or period.  All reports must be: (1) submitted on the form provided by the Office of Probation; (2) signed and dated after the completion of the period for which the report is being submitted (except for the final report); (3) filled out completely and signed under penalty of perjury; and (4) submitted to the Office of Probation on or before each report’s due date.</w:t>
      </w:r>
      <w:r>
        <w:rPr>
          <w:rStyle w:val="eop"/>
        </w:rPr>
        <w:t> </w:t>
      </w:r>
    </w:p>
    <w:p w14:paraId="4023BF34" w14:textId="77777777" w:rsidR="00E47ECB" w:rsidRDefault="00E47ECB" w:rsidP="00E47ECB">
      <w:pPr>
        <w:pStyle w:val="paragraph"/>
        <w:spacing w:before="0" w:beforeAutospacing="0" w:after="0" w:afterAutospacing="0"/>
        <w:ind w:left="1080" w:hanging="360"/>
        <w:textAlignment w:val="baseline"/>
        <w:rPr>
          <w:rFonts w:ascii="Segoe UI" w:hAnsi="Segoe UI" w:cs="Segoe UI"/>
          <w:sz w:val="18"/>
          <w:szCs w:val="18"/>
        </w:rPr>
      </w:pPr>
      <w:r>
        <w:rPr>
          <w:rStyle w:val="eop"/>
        </w:rPr>
        <w:t> </w:t>
      </w:r>
    </w:p>
    <w:p w14:paraId="366B02B6" w14:textId="77777777" w:rsidR="00E47ECB" w:rsidRDefault="00E47ECB" w:rsidP="00E47ECB">
      <w:pPr>
        <w:pStyle w:val="paragraph"/>
        <w:spacing w:before="0" w:beforeAutospacing="0" w:after="0" w:afterAutospacing="0"/>
        <w:ind w:left="1080" w:hanging="360"/>
        <w:textAlignment w:val="baseline"/>
        <w:rPr>
          <w:rFonts w:ascii="Segoe UI" w:hAnsi="Segoe UI" w:cs="Segoe UI"/>
          <w:sz w:val="18"/>
          <w:szCs w:val="18"/>
        </w:rPr>
      </w:pPr>
      <w:r>
        <w:rPr>
          <w:rStyle w:val="normaltextrun"/>
          <w:b/>
          <w:bCs/>
        </w:rPr>
        <w:t>c.</w:t>
      </w:r>
      <w:r>
        <w:rPr>
          <w:rStyle w:val="normaltextrun"/>
        </w:rPr>
        <w:t xml:space="preserve">  </w:t>
      </w:r>
      <w:r>
        <w:rPr>
          <w:rStyle w:val="normaltextrun"/>
          <w:b/>
          <w:bCs/>
        </w:rPr>
        <w:t>Submission of Reports.</w:t>
      </w:r>
      <w:r>
        <w:rPr>
          <w:rStyle w:val="normaltextrun"/>
        </w:rPr>
        <w:t>  All reports must be submitted to the Office of Probation by: (1) fax or email; (2) personal delivery; (3) certified mail, return receipt requested (postmarked on or before the due date); or (4) other tracked-service provider, such as Federal Express or United Parcel Service, etc. (physically delivered to such provider on or before the due date). </w:t>
      </w:r>
      <w:r>
        <w:rPr>
          <w:rStyle w:val="eop"/>
        </w:rPr>
        <w:t> </w:t>
      </w:r>
    </w:p>
    <w:p w14:paraId="4253CB45" w14:textId="77777777" w:rsidR="00E47ECB" w:rsidRDefault="00E47ECB" w:rsidP="00E47ECB">
      <w:pPr>
        <w:pStyle w:val="paragraph"/>
        <w:spacing w:before="0" w:beforeAutospacing="0" w:after="0" w:afterAutospacing="0"/>
        <w:ind w:left="1080" w:hanging="360"/>
        <w:textAlignment w:val="baseline"/>
        <w:rPr>
          <w:rFonts w:ascii="Segoe UI" w:hAnsi="Segoe UI" w:cs="Segoe UI"/>
          <w:sz w:val="18"/>
          <w:szCs w:val="18"/>
        </w:rPr>
      </w:pPr>
      <w:r>
        <w:rPr>
          <w:rStyle w:val="eop"/>
        </w:rPr>
        <w:t> </w:t>
      </w:r>
    </w:p>
    <w:p w14:paraId="23A9F707" w14:textId="5639498B" w:rsidR="00E47ECB" w:rsidRDefault="00E47ECB" w:rsidP="00E47ECB">
      <w:pPr>
        <w:pStyle w:val="paragraph"/>
        <w:spacing w:before="0" w:beforeAutospacing="0" w:after="0" w:afterAutospacing="0"/>
        <w:ind w:left="1080" w:hanging="360"/>
        <w:textAlignment w:val="baseline"/>
        <w:rPr>
          <w:rFonts w:ascii="Segoe UI" w:hAnsi="Segoe UI" w:cs="Segoe UI"/>
          <w:sz w:val="18"/>
          <w:szCs w:val="18"/>
        </w:rPr>
      </w:pPr>
      <w:r>
        <w:rPr>
          <w:rStyle w:val="normaltextrun"/>
          <w:b/>
          <w:bCs/>
        </w:rPr>
        <w:t xml:space="preserve">d.  Proof of Compliance.  </w:t>
      </w:r>
      <w:r>
        <w:rPr>
          <w:rStyle w:val="normaltextrun"/>
        </w:rPr>
        <w:t>Fisher is directed to maintain proof of h</w:t>
      </w:r>
      <w:r w:rsidR="0045624B">
        <w:rPr>
          <w:rStyle w:val="normaltextrun"/>
        </w:rPr>
        <w:t>er</w:t>
      </w:r>
      <w:r>
        <w:rPr>
          <w:rStyle w:val="normaltextrun"/>
        </w:rPr>
        <w:t xml:space="preserve"> compliance with the above requirements for each such report for a minimum of one year after the Reproval Conditions Period has ended.  She is required to present such proof upon request by the State Bar, the Office of Probation, or the State Bar Court.  </w:t>
      </w:r>
      <w:r>
        <w:rPr>
          <w:rStyle w:val="eop"/>
        </w:rPr>
        <w:t> </w:t>
      </w:r>
    </w:p>
    <w:p w14:paraId="4A767CAB" w14:textId="77777777" w:rsidR="00E47ECB" w:rsidRDefault="00E47ECB" w:rsidP="00E47ECB">
      <w:pPr>
        <w:pStyle w:val="paragraph"/>
        <w:spacing w:before="0" w:beforeAutospacing="0" w:after="0" w:afterAutospacing="0"/>
        <w:ind w:firstLine="720"/>
        <w:textAlignment w:val="baseline"/>
        <w:rPr>
          <w:rFonts w:ascii="Segoe UI" w:hAnsi="Segoe UI" w:cs="Segoe UI"/>
          <w:sz w:val="18"/>
          <w:szCs w:val="18"/>
        </w:rPr>
      </w:pPr>
      <w:r>
        <w:rPr>
          <w:rStyle w:val="eop"/>
        </w:rPr>
        <w:t> </w:t>
      </w:r>
    </w:p>
    <w:p w14:paraId="3E997DA5" w14:textId="2BCA3912" w:rsidR="00E47ECB" w:rsidRDefault="00E47ECB" w:rsidP="00E47ECB">
      <w:pPr>
        <w:pStyle w:val="paragraph"/>
        <w:spacing w:before="0" w:beforeAutospacing="0" w:after="0" w:afterAutospacing="0"/>
        <w:ind w:left="360" w:hanging="360"/>
        <w:textAlignment w:val="baseline"/>
        <w:rPr>
          <w:rStyle w:val="eop"/>
        </w:rPr>
      </w:pPr>
      <w:r>
        <w:rPr>
          <w:rStyle w:val="normaltextrun"/>
          <w:b/>
          <w:bCs/>
        </w:rPr>
        <w:lastRenderedPageBreak/>
        <w:t>7.</w:t>
      </w:r>
      <w:r>
        <w:rPr>
          <w:rStyle w:val="tabchar"/>
          <w:rFonts w:ascii="Calibri" w:hAnsi="Calibri" w:cs="Calibri"/>
        </w:rPr>
        <w:tab/>
      </w:r>
      <w:r>
        <w:rPr>
          <w:rStyle w:val="normaltextrun"/>
          <w:b/>
          <w:bCs/>
        </w:rPr>
        <w:t xml:space="preserve">State Bar Ethics School.  </w:t>
      </w:r>
      <w:r>
        <w:rPr>
          <w:rStyle w:val="normaltextrun"/>
        </w:rPr>
        <w:t>Within one year after the effective date of the order imposing discipline in this matter, Fisher must submit to the Office of Probation satisfactory evidence of completion of the State Bar Ethics School and passage of the test given at the end of that session.  This requirement is separate from any Minimum Continuing Legal Education (MCLE) requirement, and Fisher will not receive MCLE credit for attending this session.</w:t>
      </w:r>
      <w:r>
        <w:rPr>
          <w:rStyle w:val="eop"/>
        </w:rPr>
        <w:t> </w:t>
      </w:r>
    </w:p>
    <w:p w14:paraId="07FC268F" w14:textId="6F5FE635" w:rsidR="00FF2081" w:rsidRPr="005D2D71" w:rsidRDefault="00FF2081" w:rsidP="00E47ECB">
      <w:pPr>
        <w:pStyle w:val="paragraph"/>
        <w:spacing w:before="0" w:beforeAutospacing="0" w:after="0" w:afterAutospacing="0"/>
        <w:ind w:left="360" w:hanging="360"/>
        <w:textAlignment w:val="baseline"/>
      </w:pPr>
    </w:p>
    <w:p w14:paraId="4D0F6A2D" w14:textId="33CD32E3" w:rsidR="00FF2081" w:rsidRDefault="00FF2081" w:rsidP="00E47ECB">
      <w:pPr>
        <w:pStyle w:val="paragraph"/>
        <w:spacing w:before="0" w:beforeAutospacing="0" w:after="0" w:afterAutospacing="0"/>
        <w:ind w:left="360" w:hanging="360"/>
        <w:textAlignment w:val="baseline"/>
      </w:pPr>
      <w:r w:rsidRPr="005D2D71">
        <w:rPr>
          <w:b/>
          <w:bCs/>
        </w:rPr>
        <w:t>8.</w:t>
      </w:r>
      <w:r w:rsidRPr="005D2D71">
        <w:rPr>
          <w:b/>
          <w:bCs/>
        </w:rPr>
        <w:tab/>
        <w:t>Multistate Professional Responsibility Examination.</w:t>
      </w:r>
      <w:r w:rsidRPr="005D2D71">
        <w:t xml:space="preserve">  Within</w:t>
      </w:r>
      <w:r>
        <w:t xml:space="preserve"> </w:t>
      </w:r>
      <w:r>
        <w:rPr>
          <w:rStyle w:val="normaltextrun"/>
        </w:rPr>
        <w:t xml:space="preserve">one year after the effective date of the order imposing discipline in this matter, Fisher must </w:t>
      </w:r>
      <w:r w:rsidRPr="002F45AA">
        <w:t xml:space="preserve">take and pass the Multistate Professional Responsibility Examination </w:t>
      </w:r>
      <w:r w:rsidRPr="004D40BE">
        <w:t>administered by the National Conference of Bar Examiners</w:t>
      </w:r>
      <w:r>
        <w:t xml:space="preserve"> </w:t>
      </w:r>
      <w:r w:rsidRPr="004D40BE">
        <w:t>and provide satisfactory proof of such passage to the State Bar’s Office of Probation within the same period.</w:t>
      </w:r>
    </w:p>
    <w:p w14:paraId="6225F66F" w14:textId="77777777" w:rsidR="00902A8B" w:rsidRDefault="00902A8B" w:rsidP="00E47ECB">
      <w:pPr>
        <w:pStyle w:val="paragraph"/>
        <w:spacing w:before="0" w:beforeAutospacing="0" w:after="0" w:afterAutospacing="0"/>
        <w:ind w:left="360" w:hanging="360"/>
        <w:textAlignment w:val="baseline"/>
      </w:pPr>
    </w:p>
    <w:p w14:paraId="49B68C00" w14:textId="22BE8A13" w:rsidR="00F42B5E" w:rsidRDefault="009234B2" w:rsidP="00C80FA7">
      <w:pPr>
        <w:spacing w:line="480" w:lineRule="auto"/>
        <w:jc w:val="center"/>
        <w:rPr>
          <w:rFonts w:eastAsiaTheme="minorHAnsi"/>
          <w:b/>
          <w:bCs/>
        </w:rPr>
      </w:pPr>
      <w:r>
        <w:rPr>
          <w:rFonts w:eastAsiaTheme="minorHAnsi"/>
          <w:b/>
          <w:bCs/>
        </w:rPr>
        <w:t xml:space="preserve">VI.  </w:t>
      </w:r>
      <w:r w:rsidR="00E47ECB" w:rsidRPr="005D2D71">
        <w:rPr>
          <w:rFonts w:eastAsiaTheme="minorHAnsi"/>
          <w:b/>
          <w:bCs/>
        </w:rPr>
        <w:t>MONETARY SANCTIONS</w:t>
      </w:r>
    </w:p>
    <w:p w14:paraId="71EE7D11" w14:textId="4458FABE" w:rsidR="00F42B5E" w:rsidRDefault="00F42B5E" w:rsidP="00902A8B">
      <w:pPr>
        <w:spacing w:line="480" w:lineRule="auto"/>
        <w:rPr>
          <w:rFonts w:eastAsiaTheme="minorHAnsi"/>
        </w:rPr>
      </w:pPr>
      <w:r>
        <w:rPr>
          <w:rFonts w:eastAsiaTheme="minorHAnsi"/>
        </w:rPr>
        <w:tab/>
        <w:t xml:space="preserve">We do not recommend the imposition of monetary sanctions in this matter as </w:t>
      </w:r>
      <w:r w:rsidR="00FF2081">
        <w:rPr>
          <w:rFonts w:eastAsiaTheme="minorHAnsi"/>
        </w:rPr>
        <w:t>sanctions</w:t>
      </w:r>
      <w:r>
        <w:rPr>
          <w:rFonts w:eastAsiaTheme="minorHAnsi"/>
        </w:rPr>
        <w:t xml:space="preserve"> are not applicable since actual suspension or disbarment was not imposed.  (Rules Proc. of State Bar, rule 5.137(A).)  </w:t>
      </w:r>
    </w:p>
    <w:p w14:paraId="269BADB1" w14:textId="61D253BE" w:rsidR="00E47ECB" w:rsidRPr="00506854" w:rsidRDefault="009234B2" w:rsidP="00C80FA7">
      <w:pPr>
        <w:tabs>
          <w:tab w:val="left" w:pos="720"/>
        </w:tabs>
        <w:spacing w:line="480" w:lineRule="auto"/>
        <w:jc w:val="center"/>
        <w:rPr>
          <w:b/>
          <w:bCs/>
        </w:rPr>
      </w:pPr>
      <w:r>
        <w:rPr>
          <w:b/>
          <w:bCs/>
        </w:rPr>
        <w:t xml:space="preserve">VII.  </w:t>
      </w:r>
      <w:r w:rsidR="00E47ECB" w:rsidRPr="00506854">
        <w:rPr>
          <w:b/>
          <w:bCs/>
        </w:rPr>
        <w:t>COSTS</w:t>
      </w:r>
    </w:p>
    <w:p w14:paraId="20C80072" w14:textId="639BAA2E" w:rsidR="00E47ECB" w:rsidRDefault="00015406" w:rsidP="00902A8B">
      <w:pPr>
        <w:spacing w:line="480" w:lineRule="auto"/>
        <w:ind w:firstLine="720"/>
        <w:rPr>
          <w:szCs w:val="24"/>
        </w:rPr>
      </w:pPr>
      <w:r>
        <w:t>We</w:t>
      </w:r>
      <w:r w:rsidR="00E47ECB">
        <w:t xml:space="preserve"> further order that costs be awarded to the State Bar in accordance with Business and Professions Code section 6086.10 </w:t>
      </w:r>
      <w:r w:rsidR="00E47ECB" w:rsidRPr="00392DD8">
        <w:rPr>
          <w:szCs w:val="24"/>
        </w:rPr>
        <w:t>and are enforceable both as provided in Business and Professions Code section</w:t>
      </w:r>
      <w:r w:rsidR="00E47ECB">
        <w:rPr>
          <w:szCs w:val="24"/>
        </w:rPr>
        <w:t> </w:t>
      </w:r>
      <w:r w:rsidR="00E47ECB" w:rsidRPr="00392DD8">
        <w:rPr>
          <w:szCs w:val="24"/>
        </w:rPr>
        <w:t>6140.7 and as a money judgment</w:t>
      </w:r>
      <w:r w:rsidR="00E47ECB">
        <w:rPr>
          <w:szCs w:val="24"/>
        </w:rPr>
        <w:t>, and may be collected by the State Bar through any means permitted by law</w:t>
      </w:r>
      <w:r w:rsidR="00E47ECB" w:rsidRPr="00392DD8">
        <w:rPr>
          <w:szCs w:val="24"/>
        </w:rPr>
        <w:t>.</w:t>
      </w:r>
      <w:r w:rsidR="00E47ECB">
        <w:rPr>
          <w:szCs w:val="24"/>
        </w:rPr>
        <w:t xml:space="preserve"> </w:t>
      </w:r>
    </w:p>
    <w:p w14:paraId="61E0508D" w14:textId="77777777" w:rsidR="00E47ECB" w:rsidRPr="00A81D07" w:rsidRDefault="00E47ECB" w:rsidP="00210E28">
      <w:pPr>
        <w:rPr>
          <w:rFonts w:eastAsiaTheme="minorHAnsi"/>
        </w:rPr>
      </w:pPr>
    </w:p>
    <w:p w14:paraId="3AC5E79D" w14:textId="37A1E958" w:rsidR="00DD438A" w:rsidRDefault="00FD545B" w:rsidP="00210E28">
      <w:pPr>
        <w:spacing w:line="480" w:lineRule="auto"/>
        <w:ind w:left="5040" w:firstLine="720"/>
      </w:pPr>
      <w:r>
        <w:t>STOVITZ, J</w:t>
      </w:r>
      <w:r w:rsidR="005E5ECD">
        <w:t>*</w:t>
      </w:r>
    </w:p>
    <w:p w14:paraId="555338FE" w14:textId="30289CFE" w:rsidR="00DD438A" w:rsidRDefault="00DD438A" w:rsidP="00DD438A">
      <w:pPr>
        <w:spacing w:line="480" w:lineRule="auto"/>
      </w:pPr>
      <w:r>
        <w:t>WE CONCUR:</w:t>
      </w:r>
    </w:p>
    <w:p w14:paraId="211B79A4" w14:textId="2BB14FE6" w:rsidR="00FD545B" w:rsidRDefault="00FD545B" w:rsidP="00DD438A">
      <w:pPr>
        <w:spacing w:line="480" w:lineRule="auto"/>
      </w:pPr>
      <w:r>
        <w:t>HONN, P.J.</w:t>
      </w:r>
    </w:p>
    <w:p w14:paraId="19442CB6" w14:textId="2E46C070" w:rsidR="00FD545B" w:rsidRDefault="00FD545B" w:rsidP="00DD438A">
      <w:bookmarkStart w:id="10" w:name="multinames"/>
      <w:bookmarkEnd w:id="10"/>
      <w:r>
        <w:t xml:space="preserve">McGILL, J. </w:t>
      </w:r>
    </w:p>
    <w:p w14:paraId="6B515EC7" w14:textId="2BADED2F" w:rsidR="00EC5045" w:rsidRDefault="00EC5045" w:rsidP="00DD438A"/>
    <w:p w14:paraId="6D5FFF76" w14:textId="16D83EAA" w:rsidR="00EC5045" w:rsidRDefault="00EC5045" w:rsidP="00DD438A"/>
    <w:p w14:paraId="24362693" w14:textId="4C72A1C1" w:rsidR="00EC5045" w:rsidRDefault="00EC5045" w:rsidP="00DD438A"/>
    <w:p w14:paraId="64B44679" w14:textId="7300763B" w:rsidR="00EC5045" w:rsidRDefault="00EC5045" w:rsidP="00DD438A"/>
    <w:p w14:paraId="6E5366C5" w14:textId="109A7F64" w:rsidR="00EC5045" w:rsidRDefault="00EC5045" w:rsidP="00DD438A"/>
    <w:p w14:paraId="1215E17E" w14:textId="6C786128" w:rsidR="00EC5045" w:rsidRDefault="00EC5045" w:rsidP="00DD438A"/>
    <w:p w14:paraId="39601D75" w14:textId="77777777" w:rsidR="00EC5045" w:rsidRDefault="00EC5045" w:rsidP="00DD438A"/>
    <w:p w14:paraId="74DA9A66" w14:textId="370A201D" w:rsidR="00DD438A" w:rsidRDefault="00DD438A" w:rsidP="00DD438A">
      <w:r>
        <w:t>__________________________________________________________________________</w:t>
      </w:r>
    </w:p>
    <w:p w14:paraId="01622588" w14:textId="25ECB916" w:rsidR="00DD438A" w:rsidRDefault="00DD438A" w:rsidP="00DD438A">
      <w:pPr>
        <w:spacing w:after="120"/>
        <w:ind w:firstLine="720"/>
        <w:rPr>
          <w:szCs w:val="24"/>
        </w:rPr>
      </w:pPr>
      <w:r w:rsidRPr="00432238">
        <w:rPr>
          <w:rStyle w:val="FootnoteReference"/>
        </w:rPr>
        <w:sym w:font="Symbol" w:char="F02A"/>
      </w:r>
      <w:r>
        <w:t xml:space="preserve"> </w:t>
      </w:r>
      <w:r>
        <w:rPr>
          <w:szCs w:val="24"/>
        </w:rPr>
        <w:t>Retired Presiding Judge of the State Bar Court, serving as Review Judge Pro Tem by appointment of the California Supreme Court.</w:t>
      </w:r>
    </w:p>
    <w:p w14:paraId="63ECBDBC" w14:textId="06919B69" w:rsidR="0045624B" w:rsidRDefault="0045624B" w:rsidP="0045624B">
      <w:pPr>
        <w:tabs>
          <w:tab w:val="left" w:pos="4994"/>
        </w:tabs>
        <w:rPr>
          <w:b/>
          <w:bCs/>
          <w:sz w:val="28"/>
          <w:szCs w:val="28"/>
        </w:rPr>
      </w:pPr>
      <w:r>
        <w:rPr>
          <w:lang w:val="en-CA"/>
        </w:rPr>
        <w:lastRenderedPageBreak/>
        <w:fldChar w:fldCharType="begin"/>
      </w:r>
      <w:r>
        <w:rPr>
          <w:lang w:val="en-CA"/>
        </w:rPr>
        <w:instrText xml:space="preserve"> SEQ CHAPTER \h \r 1</w:instrText>
      </w:r>
      <w:r>
        <w:rPr>
          <w:lang w:val="en-CA"/>
        </w:rPr>
        <w:fldChar w:fldCharType="end"/>
      </w:r>
    </w:p>
    <w:p w14:paraId="0C37CC96" w14:textId="77777777" w:rsidR="0045624B" w:rsidRDefault="0045624B" w:rsidP="0045624B">
      <w:pPr>
        <w:jc w:val="center"/>
        <w:rPr>
          <w:b/>
          <w:bCs/>
          <w:sz w:val="34"/>
          <w:szCs w:val="34"/>
        </w:rPr>
      </w:pPr>
    </w:p>
    <w:p w14:paraId="53B05090" w14:textId="77777777" w:rsidR="0045624B" w:rsidRDefault="0045624B" w:rsidP="0045624B">
      <w:pPr>
        <w:jc w:val="center"/>
        <w:outlineLvl w:val="0"/>
        <w:rPr>
          <w:b/>
          <w:bCs/>
          <w:sz w:val="34"/>
          <w:szCs w:val="34"/>
        </w:rPr>
      </w:pPr>
    </w:p>
    <w:p w14:paraId="2E0F7563" w14:textId="4E7C48A6" w:rsidR="0045624B" w:rsidRDefault="0045624B" w:rsidP="0045624B">
      <w:pPr>
        <w:jc w:val="center"/>
        <w:outlineLvl w:val="0"/>
        <w:rPr>
          <w:b/>
          <w:bCs/>
          <w:szCs w:val="34"/>
        </w:rPr>
      </w:pPr>
      <w:r>
        <w:rPr>
          <w:b/>
          <w:bCs/>
          <w:szCs w:val="34"/>
        </w:rPr>
        <w:t xml:space="preserve">No. </w:t>
      </w:r>
      <w:sdt>
        <w:sdtPr>
          <w:rPr>
            <w:b/>
            <w:bCs/>
            <w:szCs w:val="34"/>
          </w:rPr>
          <w:id w:val="1857532092"/>
          <w:placeholder>
            <w:docPart w:val="F3164E4B1D9341FDAC259FB546352B67"/>
          </w:placeholder>
          <w:text/>
        </w:sdtPr>
        <w:sdtEndPr/>
        <w:sdtContent>
          <w:r>
            <w:rPr>
              <w:b/>
              <w:bCs/>
              <w:szCs w:val="34"/>
            </w:rPr>
            <w:t>SBC-21-J-30482</w:t>
          </w:r>
        </w:sdtContent>
      </w:sdt>
    </w:p>
    <w:p w14:paraId="22171EF9" w14:textId="77777777" w:rsidR="0045624B" w:rsidRDefault="0045624B" w:rsidP="0045624B">
      <w:pPr>
        <w:jc w:val="center"/>
        <w:outlineLvl w:val="0"/>
        <w:rPr>
          <w:szCs w:val="34"/>
        </w:rPr>
      </w:pPr>
    </w:p>
    <w:p w14:paraId="6C0BFF49" w14:textId="77777777" w:rsidR="0045624B" w:rsidRDefault="0045624B" w:rsidP="0045624B">
      <w:pPr>
        <w:jc w:val="center"/>
        <w:rPr>
          <w:b/>
          <w:bCs/>
          <w:i/>
          <w:iCs/>
          <w:szCs w:val="34"/>
        </w:rPr>
      </w:pPr>
    </w:p>
    <w:p w14:paraId="234D82A4" w14:textId="77777777" w:rsidR="0045624B" w:rsidRDefault="0045624B" w:rsidP="0045624B">
      <w:pPr>
        <w:jc w:val="center"/>
        <w:rPr>
          <w:b/>
          <w:bCs/>
          <w:i/>
          <w:iCs/>
          <w:szCs w:val="34"/>
        </w:rPr>
      </w:pPr>
      <w:r>
        <w:rPr>
          <w:b/>
          <w:bCs/>
          <w:i/>
          <w:iCs/>
          <w:szCs w:val="34"/>
        </w:rPr>
        <w:br/>
      </w:r>
    </w:p>
    <w:p w14:paraId="6F998F70" w14:textId="77777777" w:rsidR="0045624B" w:rsidRDefault="0045624B" w:rsidP="0045624B">
      <w:pPr>
        <w:spacing w:line="360" w:lineRule="auto"/>
        <w:jc w:val="center"/>
        <w:outlineLvl w:val="0"/>
        <w:rPr>
          <w:b/>
          <w:bCs/>
          <w:i/>
          <w:iCs/>
          <w:szCs w:val="34"/>
        </w:rPr>
      </w:pPr>
      <w:r>
        <w:rPr>
          <w:b/>
          <w:bCs/>
          <w:i/>
          <w:iCs/>
          <w:szCs w:val="34"/>
        </w:rPr>
        <w:t xml:space="preserve">In the Matter of </w:t>
      </w:r>
    </w:p>
    <w:sdt>
      <w:sdtPr>
        <w:rPr>
          <w:b/>
          <w:bCs/>
          <w:szCs w:val="28"/>
        </w:rPr>
        <w:id w:val="-1673560664"/>
        <w:placeholder>
          <w:docPart w:val="F3164E4B1D9341FDAC259FB546352B67"/>
        </w:placeholder>
        <w:text/>
      </w:sdtPr>
      <w:sdtEndPr/>
      <w:sdtContent>
        <w:p w14:paraId="7120AEED" w14:textId="79F90551" w:rsidR="0045624B" w:rsidRPr="00D319FF" w:rsidRDefault="003C454D" w:rsidP="0045624B">
          <w:pPr>
            <w:spacing w:line="360" w:lineRule="auto"/>
            <w:jc w:val="center"/>
            <w:outlineLvl w:val="0"/>
            <w:rPr>
              <w:b/>
              <w:bCs/>
              <w:szCs w:val="28"/>
            </w:rPr>
          </w:pPr>
          <w:r w:rsidRPr="00D319FF">
            <w:rPr>
              <w:b/>
              <w:bCs/>
              <w:szCs w:val="28"/>
            </w:rPr>
            <w:t>L</w:t>
          </w:r>
          <w:r w:rsidR="00D319FF" w:rsidRPr="00D319FF">
            <w:rPr>
              <w:b/>
              <w:bCs/>
              <w:szCs w:val="28"/>
            </w:rPr>
            <w:t>ISA FISHER</w:t>
          </w:r>
        </w:p>
      </w:sdtContent>
    </w:sdt>
    <w:p w14:paraId="0DE3A207" w14:textId="77777777" w:rsidR="0045624B" w:rsidRDefault="0045624B" w:rsidP="0045624B">
      <w:pPr>
        <w:spacing w:line="360" w:lineRule="auto"/>
        <w:jc w:val="center"/>
        <w:rPr>
          <w:szCs w:val="28"/>
        </w:rPr>
      </w:pPr>
    </w:p>
    <w:p w14:paraId="70CB979E" w14:textId="77777777" w:rsidR="0045624B" w:rsidRDefault="0045624B" w:rsidP="0045624B">
      <w:pPr>
        <w:spacing w:line="360" w:lineRule="auto"/>
        <w:jc w:val="center"/>
        <w:rPr>
          <w:szCs w:val="28"/>
        </w:rPr>
      </w:pPr>
    </w:p>
    <w:p w14:paraId="4D8487A0" w14:textId="77777777" w:rsidR="0045624B" w:rsidRDefault="0045624B" w:rsidP="0045624B">
      <w:pPr>
        <w:spacing w:line="360" w:lineRule="auto"/>
        <w:jc w:val="center"/>
        <w:rPr>
          <w:szCs w:val="28"/>
        </w:rPr>
      </w:pPr>
    </w:p>
    <w:p w14:paraId="5F15DEF3" w14:textId="77777777" w:rsidR="0045624B" w:rsidRDefault="0045624B" w:rsidP="0045624B">
      <w:pPr>
        <w:spacing w:line="360" w:lineRule="auto"/>
        <w:jc w:val="center"/>
        <w:rPr>
          <w:szCs w:val="28"/>
        </w:rPr>
      </w:pPr>
    </w:p>
    <w:p w14:paraId="6516F7E7" w14:textId="19B3D575" w:rsidR="0045624B" w:rsidRPr="00D319FF" w:rsidRDefault="0045624B" w:rsidP="0045624B">
      <w:pPr>
        <w:jc w:val="center"/>
        <w:outlineLvl w:val="0"/>
        <w:rPr>
          <w:b/>
          <w:bCs/>
          <w:i/>
          <w:iCs/>
          <w:szCs w:val="28"/>
        </w:rPr>
      </w:pPr>
      <w:r w:rsidRPr="00D319FF">
        <w:rPr>
          <w:b/>
          <w:bCs/>
          <w:i/>
          <w:iCs/>
          <w:szCs w:val="28"/>
        </w:rPr>
        <w:t>Hearing Judge</w:t>
      </w:r>
    </w:p>
    <w:p w14:paraId="24A8A050" w14:textId="28FDA668" w:rsidR="0045624B" w:rsidRPr="00D319FF" w:rsidRDefault="002C30EA" w:rsidP="002C30EA">
      <w:pPr>
        <w:jc w:val="center"/>
        <w:outlineLvl w:val="0"/>
        <w:rPr>
          <w:b/>
          <w:bCs/>
          <w:szCs w:val="28"/>
        </w:rPr>
      </w:pPr>
      <w:r w:rsidRPr="00D319FF">
        <w:rPr>
          <w:b/>
          <w:bCs/>
          <w:szCs w:val="28"/>
        </w:rPr>
        <w:t>Hon. Phong Wang</w:t>
      </w:r>
    </w:p>
    <w:p w14:paraId="741AE37E" w14:textId="77777777" w:rsidR="0045624B" w:rsidRDefault="0045624B" w:rsidP="0045624B">
      <w:pPr>
        <w:jc w:val="center"/>
        <w:rPr>
          <w:szCs w:val="28"/>
        </w:rPr>
      </w:pPr>
    </w:p>
    <w:p w14:paraId="46964F16" w14:textId="77777777" w:rsidR="0045624B" w:rsidRDefault="0045624B" w:rsidP="0045624B">
      <w:pPr>
        <w:jc w:val="center"/>
        <w:rPr>
          <w:szCs w:val="28"/>
        </w:rPr>
      </w:pPr>
    </w:p>
    <w:p w14:paraId="0F64D1A4" w14:textId="77777777" w:rsidR="0045624B" w:rsidRDefault="0045624B" w:rsidP="0045624B">
      <w:pPr>
        <w:jc w:val="center"/>
        <w:rPr>
          <w:szCs w:val="28"/>
        </w:rPr>
      </w:pPr>
    </w:p>
    <w:p w14:paraId="29CB4178" w14:textId="77777777" w:rsidR="0045624B" w:rsidRDefault="0045624B" w:rsidP="0045624B">
      <w:pPr>
        <w:jc w:val="center"/>
        <w:rPr>
          <w:szCs w:val="28"/>
        </w:rPr>
      </w:pPr>
    </w:p>
    <w:p w14:paraId="759B579B" w14:textId="77777777" w:rsidR="0045624B" w:rsidRDefault="0045624B" w:rsidP="0045624B">
      <w:pPr>
        <w:jc w:val="center"/>
        <w:rPr>
          <w:szCs w:val="28"/>
        </w:rPr>
      </w:pPr>
    </w:p>
    <w:p w14:paraId="637CCC4B" w14:textId="77777777" w:rsidR="0045624B" w:rsidRDefault="0045624B" w:rsidP="0045624B">
      <w:pPr>
        <w:rPr>
          <w:szCs w:val="28"/>
        </w:rPr>
      </w:pPr>
    </w:p>
    <w:p w14:paraId="45B6442B" w14:textId="158108E6" w:rsidR="0045624B" w:rsidRDefault="0045624B" w:rsidP="0045624B">
      <w:pPr>
        <w:jc w:val="center"/>
        <w:outlineLvl w:val="0"/>
        <w:rPr>
          <w:b/>
          <w:bCs/>
          <w:i/>
          <w:iCs/>
          <w:szCs w:val="28"/>
        </w:rPr>
      </w:pPr>
      <w:r w:rsidRPr="008B6309">
        <w:rPr>
          <w:b/>
          <w:bCs/>
          <w:i/>
          <w:iCs/>
          <w:szCs w:val="28"/>
        </w:rPr>
        <w:t>Counsel for the Parties</w:t>
      </w:r>
    </w:p>
    <w:p w14:paraId="123F1D00" w14:textId="77777777" w:rsidR="008B6309" w:rsidRPr="008B6309" w:rsidRDefault="008B6309" w:rsidP="0045624B">
      <w:pPr>
        <w:jc w:val="center"/>
        <w:outlineLvl w:val="0"/>
        <w:rPr>
          <w:b/>
          <w:bCs/>
          <w:i/>
          <w:iCs/>
          <w:szCs w:val="28"/>
        </w:rPr>
      </w:pPr>
    </w:p>
    <w:p w14:paraId="7C62072D" w14:textId="77777777" w:rsidR="0045624B" w:rsidRDefault="0045624B" w:rsidP="0045624B">
      <w:pPr>
        <w:rPr>
          <w:b/>
          <w:bCs/>
          <w:szCs w:val="28"/>
        </w:rPr>
      </w:pPr>
    </w:p>
    <w:tbl>
      <w:tblPr>
        <w:tblW w:w="0" w:type="auto"/>
        <w:tblInd w:w="100" w:type="dxa"/>
        <w:tblLayout w:type="fixed"/>
        <w:tblCellMar>
          <w:left w:w="100" w:type="dxa"/>
          <w:right w:w="100" w:type="dxa"/>
        </w:tblCellMar>
        <w:tblLook w:val="0000" w:firstRow="0" w:lastRow="0" w:firstColumn="0" w:lastColumn="0" w:noHBand="0" w:noVBand="0"/>
      </w:tblPr>
      <w:tblGrid>
        <w:gridCol w:w="5310"/>
        <w:gridCol w:w="4140"/>
      </w:tblGrid>
      <w:tr w:rsidR="0045624B" w14:paraId="164006C0" w14:textId="77777777" w:rsidTr="00642D6E">
        <w:trPr>
          <w:cantSplit/>
        </w:trPr>
        <w:tc>
          <w:tcPr>
            <w:tcW w:w="5310" w:type="dxa"/>
          </w:tcPr>
          <w:p w14:paraId="57BA3638" w14:textId="77777777" w:rsidR="0045624B" w:rsidRDefault="0045624B" w:rsidP="00642D6E">
            <w:pPr>
              <w:spacing w:before="100" w:after="48"/>
              <w:rPr>
                <w:szCs w:val="28"/>
              </w:rPr>
            </w:pPr>
            <w:r>
              <w:rPr>
                <w:b/>
                <w:bCs/>
                <w:szCs w:val="28"/>
              </w:rPr>
              <w:tab/>
            </w:r>
            <w:r>
              <w:rPr>
                <w:szCs w:val="28"/>
              </w:rPr>
              <w:t>For Office of Chief Trial Counsel:</w:t>
            </w:r>
          </w:p>
        </w:tc>
        <w:tc>
          <w:tcPr>
            <w:tcW w:w="4140" w:type="dxa"/>
          </w:tcPr>
          <w:sdt>
            <w:sdtPr>
              <w:rPr>
                <w:szCs w:val="28"/>
              </w:rPr>
              <w:alias w:val="DTC Name"/>
              <w:tag w:val="DTC Name"/>
              <w:id w:val="2129961319"/>
              <w:placeholder>
                <w:docPart w:val="F3164E4B1D9341FDAC259FB546352B67"/>
              </w:placeholder>
              <w:text/>
            </w:sdtPr>
            <w:sdtEndPr/>
            <w:sdtContent>
              <w:p w14:paraId="1DBED957" w14:textId="07F464B5" w:rsidR="0045624B" w:rsidRDefault="003C454D" w:rsidP="00642D6E">
                <w:pPr>
                  <w:spacing w:before="100"/>
                  <w:rPr>
                    <w:szCs w:val="28"/>
                  </w:rPr>
                </w:pPr>
                <w:r>
                  <w:rPr>
                    <w:szCs w:val="28"/>
                  </w:rPr>
                  <w:t>Peter Allen Klivans</w:t>
                </w:r>
              </w:p>
            </w:sdtContent>
          </w:sdt>
          <w:p w14:paraId="3DA48DA9" w14:textId="77777777" w:rsidR="0045624B" w:rsidRDefault="0045624B" w:rsidP="00642D6E">
            <w:pPr>
              <w:rPr>
                <w:szCs w:val="28"/>
              </w:rPr>
            </w:pPr>
            <w:r>
              <w:rPr>
                <w:szCs w:val="28"/>
              </w:rPr>
              <w:t>Office of Chief Trial Counsel</w:t>
            </w:r>
          </w:p>
          <w:p w14:paraId="6CDB68EE" w14:textId="77777777" w:rsidR="0045624B" w:rsidRDefault="0045624B" w:rsidP="00642D6E">
            <w:pPr>
              <w:rPr>
                <w:szCs w:val="28"/>
              </w:rPr>
            </w:pPr>
            <w:r>
              <w:rPr>
                <w:szCs w:val="28"/>
              </w:rPr>
              <w:t>The State Bar of California</w:t>
            </w:r>
          </w:p>
          <w:sdt>
            <w:sdtPr>
              <w:rPr>
                <w:szCs w:val="28"/>
              </w:rPr>
              <w:alias w:val="Street"/>
              <w:tag w:val="Address"/>
              <w:id w:val="1418752663"/>
              <w:placeholder>
                <w:docPart w:val="FFCA07FA7CCA4ED3A6131C3224877D3A"/>
              </w:placeholder>
              <w:dropDownList>
                <w:listItem w:value="Choose an item."/>
                <w:listItem w:displayText="180 Howard St." w:value="180 Howard St."/>
                <w:listItem w:displayText="### Figueroa St." w:value="### Figueroa St."/>
              </w:dropDownList>
            </w:sdtPr>
            <w:sdtEndPr/>
            <w:sdtContent>
              <w:p w14:paraId="385558D0" w14:textId="0E157E45" w:rsidR="0045624B" w:rsidRDefault="003C454D" w:rsidP="00642D6E">
                <w:pPr>
                  <w:rPr>
                    <w:szCs w:val="28"/>
                  </w:rPr>
                </w:pPr>
                <w:r>
                  <w:rPr>
                    <w:szCs w:val="28"/>
                  </w:rPr>
                  <w:t>180 Howard St.</w:t>
                </w:r>
              </w:p>
            </w:sdtContent>
          </w:sdt>
          <w:sdt>
            <w:sdtPr>
              <w:rPr>
                <w:szCs w:val="28"/>
              </w:rPr>
              <w:alias w:val="City"/>
              <w:tag w:val="Address"/>
              <w:id w:val="1183703080"/>
              <w:placeholder>
                <w:docPart w:val="FFCA07FA7CCA4ED3A6131C3224877D3A"/>
              </w:placeholder>
              <w:dropDownList>
                <w:listItem w:value="Choose an item."/>
                <w:listItem w:displayText="San Francisco, CA 94105" w:value="San Francisco, CA 94105"/>
                <w:listItem w:displayText="Los Angeles, CA #####" w:value="Los Angeles, CA #####"/>
              </w:dropDownList>
            </w:sdtPr>
            <w:sdtEndPr/>
            <w:sdtContent>
              <w:p w14:paraId="3D3D0233" w14:textId="68C900E0" w:rsidR="0045624B" w:rsidRDefault="003C454D" w:rsidP="00642D6E">
                <w:pPr>
                  <w:spacing w:after="48"/>
                  <w:rPr>
                    <w:szCs w:val="28"/>
                  </w:rPr>
                </w:pPr>
                <w:r>
                  <w:rPr>
                    <w:szCs w:val="28"/>
                  </w:rPr>
                  <w:t>San Francisco, CA 94105</w:t>
                </w:r>
              </w:p>
            </w:sdtContent>
          </w:sdt>
          <w:p w14:paraId="6F06700A" w14:textId="77777777" w:rsidR="0045624B" w:rsidRDefault="0045624B" w:rsidP="00642D6E">
            <w:pPr>
              <w:spacing w:after="48"/>
              <w:rPr>
                <w:szCs w:val="28"/>
              </w:rPr>
            </w:pPr>
          </w:p>
          <w:p w14:paraId="0AFBBC65" w14:textId="26B21CCD" w:rsidR="001102AB" w:rsidRDefault="001102AB" w:rsidP="001102AB">
            <w:pPr>
              <w:rPr>
                <w:szCs w:val="28"/>
              </w:rPr>
            </w:pPr>
            <w:r>
              <w:rPr>
                <w:szCs w:val="28"/>
              </w:rPr>
              <w:t>Kimberly Gay Anderson</w:t>
            </w:r>
          </w:p>
          <w:p w14:paraId="1CD98409" w14:textId="77777777" w:rsidR="001102AB" w:rsidRDefault="001102AB" w:rsidP="001102AB">
            <w:pPr>
              <w:rPr>
                <w:szCs w:val="28"/>
              </w:rPr>
            </w:pPr>
            <w:r>
              <w:rPr>
                <w:szCs w:val="28"/>
              </w:rPr>
              <w:t>Office of Chief Trial Counsel</w:t>
            </w:r>
          </w:p>
          <w:p w14:paraId="6EE17FE7" w14:textId="77777777" w:rsidR="001102AB" w:rsidRDefault="001102AB" w:rsidP="001102AB">
            <w:pPr>
              <w:rPr>
                <w:szCs w:val="28"/>
              </w:rPr>
            </w:pPr>
            <w:r>
              <w:rPr>
                <w:szCs w:val="28"/>
              </w:rPr>
              <w:t>The State Bar of California</w:t>
            </w:r>
          </w:p>
          <w:p w14:paraId="7D2215B9" w14:textId="368C424D" w:rsidR="001102AB" w:rsidRDefault="001102AB" w:rsidP="001102AB">
            <w:pPr>
              <w:rPr>
                <w:szCs w:val="28"/>
              </w:rPr>
            </w:pPr>
            <w:r>
              <w:rPr>
                <w:szCs w:val="28"/>
              </w:rPr>
              <w:t>845 South Figueroa St.</w:t>
            </w:r>
          </w:p>
          <w:p w14:paraId="20D1F232" w14:textId="77777777" w:rsidR="001102AB" w:rsidRDefault="001102AB" w:rsidP="001102AB">
            <w:pPr>
              <w:rPr>
                <w:szCs w:val="28"/>
              </w:rPr>
            </w:pPr>
            <w:r>
              <w:rPr>
                <w:szCs w:val="28"/>
              </w:rPr>
              <w:t>Los Angeles, CA  90017</w:t>
            </w:r>
          </w:p>
          <w:p w14:paraId="688A21D0" w14:textId="3ED8DE38" w:rsidR="001102AB" w:rsidRDefault="001102AB" w:rsidP="00642D6E">
            <w:pPr>
              <w:spacing w:after="48"/>
              <w:rPr>
                <w:szCs w:val="28"/>
              </w:rPr>
            </w:pPr>
          </w:p>
        </w:tc>
      </w:tr>
      <w:tr w:rsidR="0045624B" w14:paraId="21FB5666" w14:textId="77777777" w:rsidTr="00642D6E">
        <w:trPr>
          <w:cantSplit/>
          <w:trHeight w:val="1458"/>
        </w:trPr>
        <w:tc>
          <w:tcPr>
            <w:tcW w:w="5310" w:type="dxa"/>
          </w:tcPr>
          <w:p w14:paraId="314FB397" w14:textId="41662281" w:rsidR="0045624B" w:rsidRDefault="0045624B" w:rsidP="00642D6E">
            <w:pPr>
              <w:spacing w:before="100" w:after="48"/>
              <w:rPr>
                <w:szCs w:val="28"/>
              </w:rPr>
            </w:pPr>
            <w:r>
              <w:rPr>
                <w:b/>
                <w:bCs/>
                <w:szCs w:val="28"/>
              </w:rPr>
              <w:tab/>
            </w:r>
            <w:r>
              <w:rPr>
                <w:szCs w:val="28"/>
              </w:rPr>
              <w:t xml:space="preserve">For </w:t>
            </w:r>
            <w:sdt>
              <w:sdtPr>
                <w:rPr>
                  <w:szCs w:val="28"/>
                </w:rPr>
                <w:id w:val="1280833705"/>
                <w:placeholder>
                  <w:docPart w:val="F3164E4B1D9341FDAC259FB546352B67"/>
                </w:placeholder>
                <w:text/>
              </w:sdtPr>
              <w:sdtEndPr/>
              <w:sdtContent>
                <w:r w:rsidR="003C454D">
                  <w:rPr>
                    <w:szCs w:val="28"/>
                  </w:rPr>
                  <w:t>Respondent</w:t>
                </w:r>
              </w:sdtContent>
            </w:sdt>
          </w:p>
        </w:tc>
        <w:tc>
          <w:tcPr>
            <w:tcW w:w="4140" w:type="dxa"/>
          </w:tcPr>
          <w:sdt>
            <w:sdtPr>
              <w:rPr>
                <w:szCs w:val="28"/>
              </w:rPr>
              <w:id w:val="1627428901"/>
              <w:placeholder>
                <w:docPart w:val="F3164E4B1D9341FDAC259FB546352B67"/>
              </w:placeholder>
              <w:text/>
            </w:sdtPr>
            <w:sdtEndPr/>
            <w:sdtContent>
              <w:p w14:paraId="59A97867" w14:textId="1A441E0F" w:rsidR="0045624B" w:rsidRDefault="003C454D" w:rsidP="00642D6E">
                <w:pPr>
                  <w:rPr>
                    <w:szCs w:val="28"/>
                  </w:rPr>
                </w:pPr>
                <w:r>
                  <w:rPr>
                    <w:szCs w:val="28"/>
                  </w:rPr>
                  <w:t xml:space="preserve">Ashod Mooradian </w:t>
                </w:r>
              </w:p>
            </w:sdtContent>
          </w:sdt>
          <w:sdt>
            <w:sdtPr>
              <w:rPr>
                <w:szCs w:val="28"/>
              </w:rPr>
              <w:id w:val="784239175"/>
              <w:placeholder>
                <w:docPart w:val="F3164E4B1D9341FDAC259FB546352B67"/>
              </w:placeholder>
              <w:text/>
            </w:sdtPr>
            <w:sdtEndPr/>
            <w:sdtContent>
              <w:p w14:paraId="557CEB5F" w14:textId="2EDB844E" w:rsidR="0045624B" w:rsidRDefault="003C454D" w:rsidP="00642D6E">
                <w:pPr>
                  <w:rPr>
                    <w:szCs w:val="28"/>
                  </w:rPr>
                </w:pPr>
                <w:r>
                  <w:rPr>
                    <w:szCs w:val="28"/>
                  </w:rPr>
                  <w:t>Law Office of Ashod Mooradian, APC</w:t>
                </w:r>
              </w:p>
            </w:sdtContent>
          </w:sdt>
          <w:sdt>
            <w:sdtPr>
              <w:rPr>
                <w:szCs w:val="28"/>
              </w:rPr>
              <w:id w:val="718857921"/>
              <w:placeholder>
                <w:docPart w:val="F3164E4B1D9341FDAC259FB546352B67"/>
              </w:placeholder>
              <w:text/>
            </w:sdtPr>
            <w:sdtEndPr/>
            <w:sdtContent>
              <w:p w14:paraId="345E8131" w14:textId="606C3867" w:rsidR="0045624B" w:rsidRDefault="003C454D" w:rsidP="00642D6E">
                <w:pPr>
                  <w:rPr>
                    <w:szCs w:val="28"/>
                  </w:rPr>
                </w:pPr>
                <w:r>
                  <w:rPr>
                    <w:szCs w:val="28"/>
                  </w:rPr>
                  <w:t>1304 W Beverly Blvd., Suite 200C</w:t>
                </w:r>
              </w:p>
            </w:sdtContent>
          </w:sdt>
          <w:sdt>
            <w:sdtPr>
              <w:rPr>
                <w:szCs w:val="28"/>
              </w:rPr>
              <w:id w:val="-1762370624"/>
              <w:placeholder>
                <w:docPart w:val="F3164E4B1D9341FDAC259FB546352B67"/>
              </w:placeholder>
              <w:text/>
            </w:sdtPr>
            <w:sdtEndPr/>
            <w:sdtContent>
              <w:p w14:paraId="288EFAEF" w14:textId="412A56CD" w:rsidR="0045624B" w:rsidRDefault="003C454D" w:rsidP="00642D6E">
                <w:pPr>
                  <w:rPr>
                    <w:szCs w:val="28"/>
                  </w:rPr>
                </w:pPr>
                <w:r>
                  <w:rPr>
                    <w:szCs w:val="28"/>
                  </w:rPr>
                  <w:t>Montebello, CA  90640-4187</w:t>
                </w:r>
              </w:p>
            </w:sdtContent>
          </w:sdt>
          <w:p w14:paraId="103D7D44" w14:textId="0A0F9F9A" w:rsidR="0045624B" w:rsidRDefault="0045624B" w:rsidP="00642D6E">
            <w:pPr>
              <w:rPr>
                <w:szCs w:val="28"/>
              </w:rPr>
            </w:pPr>
          </w:p>
        </w:tc>
      </w:tr>
    </w:tbl>
    <w:p w14:paraId="05853FC9" w14:textId="77777777" w:rsidR="0045624B" w:rsidRPr="00E26B8A" w:rsidRDefault="0045624B" w:rsidP="00DD438A">
      <w:pPr>
        <w:spacing w:after="120"/>
        <w:ind w:firstLine="720"/>
      </w:pPr>
    </w:p>
    <w:sectPr w:rsidR="0045624B" w:rsidRPr="00E26B8A" w:rsidSect="005E3775">
      <w:footerReference w:type="default" r:id="rId10"/>
      <w:footerReference w:type="first" r:id="rId11"/>
      <w:type w:val="continuous"/>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FEA3F" w14:textId="77777777" w:rsidR="00D53915" w:rsidRDefault="00D53915" w:rsidP="00055C8A">
      <w:r>
        <w:separator/>
      </w:r>
    </w:p>
  </w:endnote>
  <w:endnote w:type="continuationSeparator" w:id="0">
    <w:p w14:paraId="4C0A749D" w14:textId="77777777" w:rsidR="00D53915" w:rsidRDefault="00D53915"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8990"/>
      <w:docPartObj>
        <w:docPartGallery w:val="Page Numbers (Bottom of Page)"/>
        <w:docPartUnique/>
      </w:docPartObj>
    </w:sdtPr>
    <w:sdtEndPr/>
    <w:sdtContent>
      <w:p w14:paraId="6D37439A" w14:textId="77777777" w:rsidR="00DD68AA" w:rsidRDefault="00DD68AA" w:rsidP="0099101B">
        <w:pPr>
          <w:pStyle w:val="Footer"/>
          <w:spacing w:before="120"/>
          <w:jc w:val="center"/>
        </w:pPr>
        <w:r>
          <w:t>-</w:t>
        </w:r>
        <w:r>
          <w:fldChar w:fldCharType="begin"/>
        </w:r>
        <w:r>
          <w:instrText xml:space="preserve"> PAGE   \* MERGEFORMAT </w:instrText>
        </w:r>
        <w:r>
          <w:fldChar w:fldCharType="separate"/>
        </w:r>
        <w:r w:rsidR="000E0A7C">
          <w:rPr>
            <w:noProof/>
          </w:rPr>
          <w:t>2</w:t>
        </w:r>
        <w:r>
          <w:rPr>
            <w:noProof/>
          </w:rP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F39F" w14:textId="08A353F0" w:rsidR="00784251" w:rsidRDefault="00784251">
    <w:pPr>
      <w:pStyle w:val="Footer"/>
      <w:jc w:val="center"/>
    </w:pPr>
  </w:p>
  <w:p w14:paraId="39830217" w14:textId="77777777" w:rsidR="00DD68AA" w:rsidRPr="007A46B7" w:rsidRDefault="00DD68AA" w:rsidP="001A6CD9">
    <w:pPr>
      <w:pStyle w:val="Footer"/>
      <w:rPr>
        <w:rFonts w:ascii="Arial" w:hAnsi="Arial"/>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4E619" w14:textId="77777777" w:rsidR="00D53915" w:rsidRDefault="00D53915" w:rsidP="00055C8A">
      <w:r>
        <w:separator/>
      </w:r>
    </w:p>
  </w:footnote>
  <w:footnote w:type="continuationSeparator" w:id="0">
    <w:p w14:paraId="6D14DD29" w14:textId="77777777" w:rsidR="00D53915" w:rsidRDefault="00D53915" w:rsidP="00055C8A">
      <w:r>
        <w:continuationSeparator/>
      </w:r>
    </w:p>
  </w:footnote>
  <w:footnote w:id="1">
    <w:p w14:paraId="4E50FA1F" w14:textId="1987D408" w:rsidR="003A7ABD" w:rsidRDefault="00454525" w:rsidP="003E4C04">
      <w:pPr>
        <w:pStyle w:val="FootnoteText"/>
        <w:spacing w:after="120"/>
      </w:pPr>
      <w:r>
        <w:rPr>
          <w:rStyle w:val="FootnoteReference"/>
        </w:rPr>
        <w:footnoteRef/>
      </w:r>
      <w:r>
        <w:t xml:space="preserve"> South Carolina and California each provide that, when appearing in </w:t>
      </w:r>
      <w:r w:rsidR="00635F18">
        <w:t>c</w:t>
      </w:r>
      <w:r>
        <w:t xml:space="preserve">ourts of the state </w:t>
      </w:r>
      <w:r w:rsidRPr="005D2D71">
        <w:rPr>
          <w:i/>
          <w:iCs/>
        </w:rPr>
        <w:t>pro hac vice</w:t>
      </w:r>
      <w:r>
        <w:t xml:space="preserve">, attorneys are subject to the regulation of the </w:t>
      </w:r>
      <w:r w:rsidR="00635F18">
        <w:t>c</w:t>
      </w:r>
      <w:r>
        <w:t>ourts of the state and the jurisdiction of the state’s attorney disciplinary body.  (</w:t>
      </w:r>
      <w:r w:rsidR="00005F69">
        <w:t>Rule</w:t>
      </w:r>
      <w:r w:rsidR="00EA5DFA">
        <w:t xml:space="preserve"> </w:t>
      </w:r>
      <w:r>
        <w:t>404(d)(9)</w:t>
      </w:r>
      <w:r w:rsidR="00F72CDD">
        <w:t xml:space="preserve"> and (g</w:t>
      </w:r>
      <w:r>
        <w:t>)</w:t>
      </w:r>
      <w:r w:rsidR="00005F69">
        <w:t>, SCACR;</w:t>
      </w:r>
      <w:r w:rsidR="00694763">
        <w:t xml:space="preserve"> Cal. Rules of C</w:t>
      </w:r>
      <w:r w:rsidR="009D32D5">
        <w:t>our</w:t>
      </w:r>
      <w:r w:rsidR="00694763">
        <w:t>t, rule 9.40(f).</w:t>
      </w:r>
      <w:r w:rsidR="007433C0">
        <w:t>)</w:t>
      </w:r>
    </w:p>
  </w:footnote>
  <w:footnote w:id="2">
    <w:p w14:paraId="55244759" w14:textId="6183BCE2" w:rsidR="003A7ABD" w:rsidRDefault="000E7F8A" w:rsidP="003E4C04">
      <w:pPr>
        <w:pStyle w:val="FootnoteText"/>
        <w:spacing w:after="120"/>
      </w:pPr>
      <w:r>
        <w:rPr>
          <w:rStyle w:val="FootnoteReference"/>
        </w:rPr>
        <w:footnoteRef/>
      </w:r>
      <w:r>
        <w:t xml:space="preserve"> </w:t>
      </w:r>
      <w:r w:rsidR="003E4C04">
        <w:t>A</w:t>
      </w:r>
      <w:r>
        <w:t xml:space="preserve">ll </w:t>
      </w:r>
      <w:r w:rsidR="003E4C04">
        <w:t>further</w:t>
      </w:r>
      <w:r>
        <w:t xml:space="preserve"> references to section</w:t>
      </w:r>
      <w:r w:rsidR="003E4C04">
        <w:t>s</w:t>
      </w:r>
      <w:r>
        <w:t xml:space="preserve"> are to </w:t>
      </w:r>
      <w:r w:rsidR="003E4C04">
        <w:t>the Business and Professions Code.</w:t>
      </w:r>
    </w:p>
  </w:footnote>
  <w:footnote w:id="3">
    <w:p w14:paraId="5E0374FA" w14:textId="284A6289" w:rsidR="007F57FD" w:rsidRDefault="007F57FD" w:rsidP="00612693">
      <w:pPr>
        <w:pStyle w:val="FootnoteText"/>
      </w:pPr>
      <w:r>
        <w:rPr>
          <w:rStyle w:val="FootnoteReference"/>
        </w:rPr>
        <w:footnoteRef/>
      </w:r>
      <w:r>
        <w:t xml:space="preserve"> Rule </w:t>
      </w:r>
      <w:r w:rsidR="0057476E">
        <w:t>3.1</w:t>
      </w:r>
      <w:r w:rsidR="00DD438A">
        <w:t xml:space="preserve"> bars an attorney from bringing, defending, asserting, or controverting an action or matter without a basis in law or fact for doing so which is not frivolous.</w:t>
      </w:r>
      <w:r w:rsidR="005D2D71">
        <w:t xml:space="preserve">  </w:t>
      </w:r>
      <w:r w:rsidR="00DD438A">
        <w:t>Rule 8.4(a) makes it an act of professional misconduct</w:t>
      </w:r>
      <w:r w:rsidR="00E27BC5">
        <w:t>,</w:t>
      </w:r>
      <w:r w:rsidR="00DD438A">
        <w:t xml:space="preserve"> </w:t>
      </w:r>
      <w:r w:rsidR="00483B1A">
        <w:t xml:space="preserve">inter alia, </w:t>
      </w:r>
      <w:r w:rsidR="00DD438A">
        <w:t xml:space="preserve">to violate or attempt to violate, the </w:t>
      </w:r>
      <w:r w:rsidR="00E27BC5">
        <w:t xml:space="preserve">South Carolina </w:t>
      </w:r>
      <w:r w:rsidR="00865A82">
        <w:t xml:space="preserve">Rules of Professional Conduct, or violate those </w:t>
      </w:r>
      <w:r w:rsidR="00E27BC5">
        <w:t>r</w:t>
      </w:r>
      <w:r w:rsidR="00865A82">
        <w:t>ules through the acts of another.</w:t>
      </w:r>
    </w:p>
  </w:footnote>
  <w:footnote w:id="4">
    <w:p w14:paraId="47659006" w14:textId="6BFD0A8D" w:rsidR="005E2A4F" w:rsidRDefault="00F710AB" w:rsidP="00D301AF">
      <w:pPr>
        <w:pStyle w:val="FootnoteText"/>
        <w:spacing w:after="120"/>
      </w:pPr>
      <w:r>
        <w:rPr>
          <w:rStyle w:val="FootnoteReference"/>
        </w:rPr>
        <w:footnoteRef/>
      </w:r>
      <w:r>
        <w:t xml:space="preserve"> Section 6068</w:t>
      </w:r>
      <w:r w:rsidR="00D301AF">
        <w:t xml:space="preserve">, subdivision </w:t>
      </w:r>
      <w:r>
        <w:t>(c) provides</w:t>
      </w:r>
      <w:r w:rsidR="00D035ED">
        <w:t>, “It is the duty of an attorney</w:t>
      </w:r>
      <w:r w:rsidR="00D301AF">
        <w:t xml:space="preserve"> . . . </w:t>
      </w:r>
      <w:r w:rsidR="00003E39">
        <w:t>[</w:t>
      </w:r>
      <w:r w:rsidR="00D035ED">
        <w:t>t</w:t>
      </w:r>
      <w:r w:rsidR="00003E39">
        <w:t>]</w:t>
      </w:r>
      <w:r w:rsidR="00D035ED">
        <w:t>o counsel or maintain those actions, proceedings, or defenses only as appear to him or her legal or just, except the defense of a person charged with a public offense.”</w:t>
      </w:r>
    </w:p>
  </w:footnote>
  <w:footnote w:id="5">
    <w:p w14:paraId="3B86132F" w14:textId="79CEC46B" w:rsidR="00222FD6" w:rsidRDefault="00222FD6">
      <w:pPr>
        <w:pStyle w:val="FootnoteText"/>
      </w:pPr>
      <w:r>
        <w:rPr>
          <w:rStyle w:val="FootnoteReference"/>
        </w:rPr>
        <w:footnoteRef/>
      </w:r>
      <w:r>
        <w:t xml:space="preserve"> Former rule 3-200</w:t>
      </w:r>
      <w:r w:rsidR="00003E39">
        <w:t>(B)</w:t>
      </w:r>
      <w:r>
        <w:t xml:space="preserve"> provides </w:t>
      </w:r>
      <w:r w:rsidR="00003E39" w:rsidRPr="00983C70">
        <w:t xml:space="preserve">that an attorney must not seek, accept, or continue employment if the attorney knows or should know that the objective of that employment is “[t]o </w:t>
      </w:r>
      <w:r w:rsidR="00D4612E">
        <w:t>p</w:t>
      </w:r>
      <w:r w:rsidR="00003E39" w:rsidRPr="00983C70">
        <w:t>resent a claim or defense in litigation that is not warranted under existing law, unless it can be supported by a good faith argument for an extension, modification, or reversal of such existing law.”</w:t>
      </w:r>
      <w:r w:rsidR="00D431EE">
        <w:t xml:space="preserve">  All further references to rules are to the former California Rules of Professional Conduct that were in effect until November 1, 2018, unless otherwise </w:t>
      </w:r>
      <w:r w:rsidR="00D301AF">
        <w:t>noted</w:t>
      </w:r>
      <w:r w:rsidR="00D431EE">
        <w:t xml:space="preserve">. </w:t>
      </w:r>
    </w:p>
  </w:footnote>
  <w:footnote w:id="6">
    <w:p w14:paraId="734989CA" w14:textId="4D122515" w:rsidR="00680AC3" w:rsidRDefault="00680AC3">
      <w:pPr>
        <w:pStyle w:val="FootnoteText"/>
      </w:pPr>
      <w:r>
        <w:rPr>
          <w:rStyle w:val="FootnoteReference"/>
        </w:rPr>
        <w:footnoteRef/>
      </w:r>
      <w:r>
        <w:t xml:space="preserve"> </w:t>
      </w:r>
      <w:r w:rsidRPr="009E6FCA">
        <w:t>All further references to standards are to the Rules of Procedure of the State Bar, title</w:t>
      </w:r>
      <w:r>
        <w:t> </w:t>
      </w:r>
      <w:r w:rsidRPr="009E6FCA">
        <w:t>IV, Standards for Attorney Sanctio</w:t>
      </w:r>
      <w:r>
        <w:t>ns for Professional Misconduct.</w:t>
      </w:r>
    </w:p>
  </w:footnote>
  <w:footnote w:id="7">
    <w:p w14:paraId="1A64E6CC" w14:textId="718D9B9C" w:rsidR="008F277C" w:rsidRPr="0040164D" w:rsidRDefault="008F277C" w:rsidP="00015406">
      <w:pPr>
        <w:pStyle w:val="FootnoteText"/>
        <w:spacing w:after="120"/>
      </w:pPr>
      <w:r>
        <w:rPr>
          <w:rStyle w:val="FootnoteReference"/>
        </w:rPr>
        <w:footnoteRef/>
      </w:r>
      <w:r>
        <w:t xml:space="preserve"> Although, as we noted </w:t>
      </w:r>
      <w:r w:rsidRPr="008F277C">
        <w:rPr>
          <w:i/>
          <w:iCs/>
        </w:rPr>
        <w:t>ante</w:t>
      </w:r>
      <w:r>
        <w:t>, the hearing judge also found that Fisher’s South Carolina misconduct would warrant finding a violation of former rule 3-200(</w:t>
      </w:r>
      <w:r w:rsidR="0040164D">
        <w:t>B), the judge found it redundant of Fisher’s violation of section 6068</w:t>
      </w:r>
      <w:r w:rsidR="00BE0B97">
        <w:t xml:space="preserve">, subdivision </w:t>
      </w:r>
      <w:r w:rsidR="0040164D">
        <w:t>(c)</w:t>
      </w:r>
      <w:r w:rsidR="00BE0B97">
        <w:t>,</w:t>
      </w:r>
      <w:r w:rsidR="0040164D">
        <w:t xml:space="preserve"> and did not weigh the </w:t>
      </w:r>
      <w:r w:rsidR="00F91183">
        <w:t xml:space="preserve">former </w:t>
      </w:r>
      <w:r w:rsidR="0040164D">
        <w:t xml:space="preserve">rule 3-200(B) violation as warranting additional discipline, citing </w:t>
      </w:r>
      <w:r w:rsidR="0040164D">
        <w:rPr>
          <w:i/>
        </w:rPr>
        <w:t>In the Matter of Kinney</w:t>
      </w:r>
      <w:r w:rsidR="0040164D">
        <w:t xml:space="preserve"> (Review Dept. 2014) 5 Cal. State Bar Ct. Rptr. 360, 365, fn. 5. </w:t>
      </w:r>
      <w:r w:rsidR="006F031B">
        <w:t xml:space="preserve"> </w:t>
      </w:r>
      <w:r w:rsidR="0040164D">
        <w:t>We agree with the judge’s decision on this point.</w:t>
      </w:r>
    </w:p>
  </w:footnote>
  <w:footnote w:id="8">
    <w:p w14:paraId="3C43C1CA" w14:textId="26345FE7" w:rsidR="006F031B" w:rsidRDefault="006F031B">
      <w:pPr>
        <w:pStyle w:val="FootnoteText"/>
      </w:pPr>
      <w:r>
        <w:rPr>
          <w:rStyle w:val="FootnoteReference"/>
        </w:rPr>
        <w:footnoteRef/>
      </w:r>
      <w:r>
        <w:t xml:space="preserve"> In </w:t>
      </w:r>
      <w:r w:rsidR="00DE6AE9">
        <w:t>OCTC’s</w:t>
      </w:r>
      <w:r>
        <w:t xml:space="preserve"> closing brief </w:t>
      </w:r>
      <w:r w:rsidR="00DE6AE9">
        <w:t>after the disciplinary trial</w:t>
      </w:r>
      <w:r>
        <w:t>,</w:t>
      </w:r>
      <w:r w:rsidR="00DE6AE9">
        <w:t xml:space="preserve"> it </w:t>
      </w:r>
      <w:r>
        <w:t>cited the following cases</w:t>
      </w:r>
      <w:r w:rsidR="00DE6AE9">
        <w:t xml:space="preserve">, which the hearing judge </w:t>
      </w:r>
      <w:r w:rsidR="0045624B">
        <w:t xml:space="preserve">correctly </w:t>
      </w:r>
      <w:r w:rsidR="00DE6AE9">
        <w:t xml:space="preserve">rejected as involving more serious misconduct: </w:t>
      </w:r>
      <w:r w:rsidR="00DE6AE9" w:rsidRPr="005D2D71">
        <w:rPr>
          <w:i/>
          <w:iCs/>
        </w:rPr>
        <w:t>In the Matter of Varakin</w:t>
      </w:r>
      <w:r w:rsidR="00DE6AE9">
        <w:t xml:space="preserve"> (Review Dept. 1994) 3 Cal. State Bar Ct. Rptr. 179 [disbarment]</w:t>
      </w:r>
      <w:r w:rsidR="00DE6AE9" w:rsidRPr="00C80FA7">
        <w:t>;</w:t>
      </w:r>
      <w:r w:rsidRPr="005D2D71">
        <w:rPr>
          <w:i/>
          <w:iCs/>
        </w:rPr>
        <w:t xml:space="preserve"> </w:t>
      </w:r>
      <w:r w:rsidR="00DE6AE9" w:rsidRPr="005D2D71">
        <w:rPr>
          <w:i/>
          <w:iCs/>
        </w:rPr>
        <w:t>In the Matter of Kinney</w:t>
      </w:r>
      <w:r w:rsidR="007C5CB7">
        <w:t xml:space="preserve">, </w:t>
      </w:r>
      <w:r w:rsidR="007C5CB7">
        <w:rPr>
          <w:i/>
          <w:iCs/>
        </w:rPr>
        <w:t>s</w:t>
      </w:r>
      <w:r w:rsidR="007C5CB7" w:rsidRPr="00E16A0D">
        <w:rPr>
          <w:i/>
          <w:iCs/>
        </w:rPr>
        <w:t>upra</w:t>
      </w:r>
      <w:r w:rsidR="007C5CB7">
        <w:t>, 5</w:t>
      </w:r>
      <w:r w:rsidR="00DE6AE9">
        <w:t xml:space="preserve"> Cal. State Bar Ct. Rptr. 360 [disbarment]; and </w:t>
      </w:r>
      <w:r w:rsidR="00DE6AE9" w:rsidRPr="005D2D71">
        <w:rPr>
          <w:i/>
          <w:iCs/>
        </w:rPr>
        <w:t>In the Matter of Scott</w:t>
      </w:r>
      <w:r w:rsidR="00DE6AE9">
        <w:t xml:space="preserve"> (Review Dept. 2002) 4 Cal. State Bar Ct. Rptr. 446 [60-day actual suspension].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A62F9"/>
    <w:multiLevelType w:val="hybridMultilevel"/>
    <w:tmpl w:val="37447B9E"/>
    <w:lvl w:ilvl="0" w:tplc="B182589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13984"/>
    <w:multiLevelType w:val="hybridMultilevel"/>
    <w:tmpl w:val="034CE14A"/>
    <w:lvl w:ilvl="0" w:tplc="3CB66BE4">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6" w15:restartNumberingAfterBreak="0">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A75D6"/>
    <w:multiLevelType w:val="hybridMultilevel"/>
    <w:tmpl w:val="F5488AB2"/>
    <w:lvl w:ilvl="0" w:tplc="1BFE64FC">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0" w15:restartNumberingAfterBreak="0">
    <w:nsid w:val="2FFE5D63"/>
    <w:multiLevelType w:val="hybridMultilevel"/>
    <w:tmpl w:val="27F08DC2"/>
    <w:lvl w:ilvl="0" w:tplc="EE689760">
      <w:start w:val="1"/>
      <w:numFmt w:val="upperRoman"/>
      <w:lvlText w:val="%1."/>
      <w:lvlJc w:val="left"/>
      <w:pPr>
        <w:ind w:left="2160" w:hanging="72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09F756C"/>
    <w:multiLevelType w:val="hybridMultilevel"/>
    <w:tmpl w:val="27F08DC2"/>
    <w:lvl w:ilvl="0" w:tplc="FFFFFFFF">
      <w:start w:val="1"/>
      <w:numFmt w:val="upperRoman"/>
      <w:lvlText w:val="%1."/>
      <w:lvlJc w:val="left"/>
      <w:pPr>
        <w:ind w:left="2160" w:hanging="720"/>
      </w:pPr>
      <w:rPr>
        <w:rFonts w:hint="default"/>
        <w:b/>
        <w:bCs/>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5" w15:restartNumberingAfterBreak="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6" w15:restartNumberingAfterBreak="0">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D13233"/>
    <w:multiLevelType w:val="hybridMultilevel"/>
    <w:tmpl w:val="C3423BCE"/>
    <w:lvl w:ilvl="0" w:tplc="1BFE64FC">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1" w15:restartNumberingAfterBreak="0">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5077F0"/>
    <w:multiLevelType w:val="hybridMultilevel"/>
    <w:tmpl w:val="AC7A3D34"/>
    <w:lvl w:ilvl="0" w:tplc="472A89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A3C5325"/>
    <w:multiLevelType w:val="hybridMultilevel"/>
    <w:tmpl w:val="3BB87E7C"/>
    <w:lvl w:ilvl="0" w:tplc="354024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8046DD"/>
    <w:multiLevelType w:val="hybridMultilevel"/>
    <w:tmpl w:val="AA7869E0"/>
    <w:lvl w:ilvl="0" w:tplc="1BFE64FC">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D87B93"/>
    <w:multiLevelType w:val="hybridMultilevel"/>
    <w:tmpl w:val="B6546A52"/>
    <w:lvl w:ilvl="0" w:tplc="3CB66BE4">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79904FB"/>
    <w:multiLevelType w:val="hybridMultilevel"/>
    <w:tmpl w:val="4CE0C176"/>
    <w:lvl w:ilvl="0" w:tplc="45869E7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17"/>
  </w:num>
  <w:num w:numId="2">
    <w:abstractNumId w:val="16"/>
  </w:num>
  <w:num w:numId="3">
    <w:abstractNumId w:val="7"/>
  </w:num>
  <w:num w:numId="4">
    <w:abstractNumId w:val="23"/>
  </w:num>
  <w:num w:numId="5">
    <w:abstractNumId w:val="6"/>
  </w:num>
  <w:num w:numId="6">
    <w:abstractNumId w:val="18"/>
  </w:num>
  <w:num w:numId="7">
    <w:abstractNumId w:val="13"/>
  </w:num>
  <w:num w:numId="8">
    <w:abstractNumId w:val="12"/>
  </w:num>
  <w:num w:numId="9">
    <w:abstractNumId w:val="21"/>
  </w:num>
  <w:num w:numId="10">
    <w:abstractNumId w:val="20"/>
  </w:num>
  <w:num w:numId="11">
    <w:abstractNumId w:val="15"/>
  </w:num>
  <w:num w:numId="12">
    <w:abstractNumId w:val="9"/>
  </w:num>
  <w:num w:numId="13">
    <w:abstractNumId w:val="31"/>
  </w:num>
  <w:num w:numId="14">
    <w:abstractNumId w:val="22"/>
  </w:num>
  <w:num w:numId="15">
    <w:abstractNumId w:val="14"/>
  </w:num>
  <w:num w:numId="16">
    <w:abstractNumId w:val="5"/>
  </w:num>
  <w:num w:numId="17">
    <w:abstractNumId w:val="0"/>
  </w:num>
  <w:num w:numId="18">
    <w:abstractNumId w:val="30"/>
  </w:num>
  <w:num w:numId="19">
    <w:abstractNumId w:val="1"/>
  </w:num>
  <w:num w:numId="20">
    <w:abstractNumId w:val="3"/>
  </w:num>
  <w:num w:numId="21">
    <w:abstractNumId w:val="24"/>
  </w:num>
  <w:num w:numId="22">
    <w:abstractNumId w:val="10"/>
  </w:num>
  <w:num w:numId="23">
    <w:abstractNumId w:val="29"/>
  </w:num>
  <w:num w:numId="24">
    <w:abstractNumId w:val="2"/>
  </w:num>
  <w:num w:numId="25">
    <w:abstractNumId w:val="26"/>
  </w:num>
  <w:num w:numId="26">
    <w:abstractNumId w:val="8"/>
  </w:num>
  <w:num w:numId="27">
    <w:abstractNumId w:val="27"/>
  </w:num>
  <w:num w:numId="28">
    <w:abstractNumId w:val="19"/>
  </w:num>
  <w:num w:numId="29">
    <w:abstractNumId w:val="4"/>
  </w:num>
  <w:num w:numId="30">
    <w:abstractNumId w:val="28"/>
  </w:num>
  <w:num w:numId="31">
    <w:abstractNumId w:val="11"/>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04"/>
    <w:rsid w:val="00001323"/>
    <w:rsid w:val="00001B02"/>
    <w:rsid w:val="00003E39"/>
    <w:rsid w:val="00004C8A"/>
    <w:rsid w:val="00005F69"/>
    <w:rsid w:val="000069B9"/>
    <w:rsid w:val="0001110E"/>
    <w:rsid w:val="00013611"/>
    <w:rsid w:val="00014A6D"/>
    <w:rsid w:val="00014D31"/>
    <w:rsid w:val="00015406"/>
    <w:rsid w:val="000161FD"/>
    <w:rsid w:val="000204A3"/>
    <w:rsid w:val="00021448"/>
    <w:rsid w:val="00021B64"/>
    <w:rsid w:val="0002334D"/>
    <w:rsid w:val="00026E30"/>
    <w:rsid w:val="00027125"/>
    <w:rsid w:val="0003339E"/>
    <w:rsid w:val="000432A2"/>
    <w:rsid w:val="00044130"/>
    <w:rsid w:val="000469FB"/>
    <w:rsid w:val="00046AFB"/>
    <w:rsid w:val="00055C8A"/>
    <w:rsid w:val="000603E5"/>
    <w:rsid w:val="00064719"/>
    <w:rsid w:val="00065A44"/>
    <w:rsid w:val="00067ED6"/>
    <w:rsid w:val="00073E72"/>
    <w:rsid w:val="00076FB9"/>
    <w:rsid w:val="00082A8A"/>
    <w:rsid w:val="00085E4E"/>
    <w:rsid w:val="000910D3"/>
    <w:rsid w:val="00092189"/>
    <w:rsid w:val="000A5822"/>
    <w:rsid w:val="000B1B2B"/>
    <w:rsid w:val="000B3BA7"/>
    <w:rsid w:val="000B5068"/>
    <w:rsid w:val="000B50E3"/>
    <w:rsid w:val="000B5E6A"/>
    <w:rsid w:val="000C4D16"/>
    <w:rsid w:val="000C6A77"/>
    <w:rsid w:val="000D038F"/>
    <w:rsid w:val="000E0A7C"/>
    <w:rsid w:val="000E2379"/>
    <w:rsid w:val="000E23F8"/>
    <w:rsid w:val="000E39F5"/>
    <w:rsid w:val="000E7F8A"/>
    <w:rsid w:val="000F0A77"/>
    <w:rsid w:val="00105D01"/>
    <w:rsid w:val="00107936"/>
    <w:rsid w:val="001102AB"/>
    <w:rsid w:val="00117C9B"/>
    <w:rsid w:val="00117F66"/>
    <w:rsid w:val="00121479"/>
    <w:rsid w:val="00123BF0"/>
    <w:rsid w:val="00127848"/>
    <w:rsid w:val="0014018A"/>
    <w:rsid w:val="001406C8"/>
    <w:rsid w:val="0014344D"/>
    <w:rsid w:val="001528DA"/>
    <w:rsid w:val="0015497C"/>
    <w:rsid w:val="00157835"/>
    <w:rsid w:val="00160894"/>
    <w:rsid w:val="00161F94"/>
    <w:rsid w:val="001633B2"/>
    <w:rsid w:val="00175C1C"/>
    <w:rsid w:val="00181FD5"/>
    <w:rsid w:val="00186866"/>
    <w:rsid w:val="00195E24"/>
    <w:rsid w:val="001A3082"/>
    <w:rsid w:val="001A3F76"/>
    <w:rsid w:val="001A6CD9"/>
    <w:rsid w:val="001B0733"/>
    <w:rsid w:val="001B12A4"/>
    <w:rsid w:val="001B208B"/>
    <w:rsid w:val="001B21E7"/>
    <w:rsid w:val="001B2F99"/>
    <w:rsid w:val="001B3B9E"/>
    <w:rsid w:val="001B59BF"/>
    <w:rsid w:val="001B7CF0"/>
    <w:rsid w:val="001C0964"/>
    <w:rsid w:val="001C13DB"/>
    <w:rsid w:val="001D3A28"/>
    <w:rsid w:val="001D69C0"/>
    <w:rsid w:val="001D7AF8"/>
    <w:rsid w:val="001E33D5"/>
    <w:rsid w:val="001E4A07"/>
    <w:rsid w:val="001E595A"/>
    <w:rsid w:val="001E5A9B"/>
    <w:rsid w:val="001E623F"/>
    <w:rsid w:val="001E64A0"/>
    <w:rsid w:val="001F6C51"/>
    <w:rsid w:val="00203644"/>
    <w:rsid w:val="0020766A"/>
    <w:rsid w:val="00207832"/>
    <w:rsid w:val="00210E28"/>
    <w:rsid w:val="00217058"/>
    <w:rsid w:val="00220EF5"/>
    <w:rsid w:val="00222FD6"/>
    <w:rsid w:val="00223504"/>
    <w:rsid w:val="00223855"/>
    <w:rsid w:val="00223BF0"/>
    <w:rsid w:val="00224D6E"/>
    <w:rsid w:val="002267EF"/>
    <w:rsid w:val="002269EF"/>
    <w:rsid w:val="00234D03"/>
    <w:rsid w:val="0023766E"/>
    <w:rsid w:val="0024299E"/>
    <w:rsid w:val="00242E13"/>
    <w:rsid w:val="00243A9D"/>
    <w:rsid w:val="00244A80"/>
    <w:rsid w:val="002464C0"/>
    <w:rsid w:val="00250278"/>
    <w:rsid w:val="002508B4"/>
    <w:rsid w:val="002518C1"/>
    <w:rsid w:val="00251BEF"/>
    <w:rsid w:val="00252C67"/>
    <w:rsid w:val="0025636B"/>
    <w:rsid w:val="002603F6"/>
    <w:rsid w:val="0027163C"/>
    <w:rsid w:val="002742EF"/>
    <w:rsid w:val="0028625D"/>
    <w:rsid w:val="002862EE"/>
    <w:rsid w:val="00293579"/>
    <w:rsid w:val="002A010C"/>
    <w:rsid w:val="002A1693"/>
    <w:rsid w:val="002A38AC"/>
    <w:rsid w:val="002A535A"/>
    <w:rsid w:val="002A6D79"/>
    <w:rsid w:val="002B005C"/>
    <w:rsid w:val="002B3502"/>
    <w:rsid w:val="002C0A81"/>
    <w:rsid w:val="002C1DF8"/>
    <w:rsid w:val="002C24D5"/>
    <w:rsid w:val="002C30EA"/>
    <w:rsid w:val="002C534A"/>
    <w:rsid w:val="002F242F"/>
    <w:rsid w:val="002F3BFA"/>
    <w:rsid w:val="002F45AA"/>
    <w:rsid w:val="003002C3"/>
    <w:rsid w:val="003074E0"/>
    <w:rsid w:val="003109B6"/>
    <w:rsid w:val="00311270"/>
    <w:rsid w:val="003209BE"/>
    <w:rsid w:val="003209EC"/>
    <w:rsid w:val="00321F0A"/>
    <w:rsid w:val="003235C2"/>
    <w:rsid w:val="003238FD"/>
    <w:rsid w:val="0032422B"/>
    <w:rsid w:val="00330872"/>
    <w:rsid w:val="003313E4"/>
    <w:rsid w:val="00333A65"/>
    <w:rsid w:val="00333C19"/>
    <w:rsid w:val="00335755"/>
    <w:rsid w:val="00335759"/>
    <w:rsid w:val="003427DA"/>
    <w:rsid w:val="00343595"/>
    <w:rsid w:val="00345541"/>
    <w:rsid w:val="003510E2"/>
    <w:rsid w:val="0035432F"/>
    <w:rsid w:val="0035481A"/>
    <w:rsid w:val="00357051"/>
    <w:rsid w:val="00357C70"/>
    <w:rsid w:val="00363D6D"/>
    <w:rsid w:val="00367080"/>
    <w:rsid w:val="003670DE"/>
    <w:rsid w:val="00367461"/>
    <w:rsid w:val="00374340"/>
    <w:rsid w:val="00375A44"/>
    <w:rsid w:val="00376A30"/>
    <w:rsid w:val="00382790"/>
    <w:rsid w:val="003960E7"/>
    <w:rsid w:val="003A023F"/>
    <w:rsid w:val="003A210E"/>
    <w:rsid w:val="003A573B"/>
    <w:rsid w:val="003A5F40"/>
    <w:rsid w:val="003A7ABD"/>
    <w:rsid w:val="003B6B41"/>
    <w:rsid w:val="003C454D"/>
    <w:rsid w:val="003C4C37"/>
    <w:rsid w:val="003D09FD"/>
    <w:rsid w:val="003D1DFF"/>
    <w:rsid w:val="003D41D0"/>
    <w:rsid w:val="003D7D88"/>
    <w:rsid w:val="003E2BE1"/>
    <w:rsid w:val="003E4C04"/>
    <w:rsid w:val="003E7E96"/>
    <w:rsid w:val="003F06DF"/>
    <w:rsid w:val="003F078B"/>
    <w:rsid w:val="003F5A0E"/>
    <w:rsid w:val="003F76A5"/>
    <w:rsid w:val="0040164D"/>
    <w:rsid w:val="00410E57"/>
    <w:rsid w:val="00412542"/>
    <w:rsid w:val="00415A9C"/>
    <w:rsid w:val="00426015"/>
    <w:rsid w:val="00430506"/>
    <w:rsid w:val="004330DE"/>
    <w:rsid w:val="00434FA7"/>
    <w:rsid w:val="00436249"/>
    <w:rsid w:val="0043675E"/>
    <w:rsid w:val="004412E5"/>
    <w:rsid w:val="004445AA"/>
    <w:rsid w:val="00445028"/>
    <w:rsid w:val="00447A34"/>
    <w:rsid w:val="0045042A"/>
    <w:rsid w:val="00453603"/>
    <w:rsid w:val="00454525"/>
    <w:rsid w:val="004546CE"/>
    <w:rsid w:val="0045624B"/>
    <w:rsid w:val="004565B8"/>
    <w:rsid w:val="0047300D"/>
    <w:rsid w:val="004738F0"/>
    <w:rsid w:val="00474987"/>
    <w:rsid w:val="00480517"/>
    <w:rsid w:val="0048099A"/>
    <w:rsid w:val="00483B1A"/>
    <w:rsid w:val="00486056"/>
    <w:rsid w:val="00493A5C"/>
    <w:rsid w:val="004979C7"/>
    <w:rsid w:val="004C25D8"/>
    <w:rsid w:val="004C6A45"/>
    <w:rsid w:val="004C772B"/>
    <w:rsid w:val="004D31B0"/>
    <w:rsid w:val="004D32E9"/>
    <w:rsid w:val="004D7F90"/>
    <w:rsid w:val="004E0D84"/>
    <w:rsid w:val="004E1751"/>
    <w:rsid w:val="004F1F6A"/>
    <w:rsid w:val="004F4322"/>
    <w:rsid w:val="004F622B"/>
    <w:rsid w:val="00510257"/>
    <w:rsid w:val="0051048B"/>
    <w:rsid w:val="00512B99"/>
    <w:rsid w:val="00514D79"/>
    <w:rsid w:val="0051534E"/>
    <w:rsid w:val="00516506"/>
    <w:rsid w:val="00516E89"/>
    <w:rsid w:val="005319D1"/>
    <w:rsid w:val="0053626B"/>
    <w:rsid w:val="00546CD9"/>
    <w:rsid w:val="005539CE"/>
    <w:rsid w:val="005570A4"/>
    <w:rsid w:val="00560ED4"/>
    <w:rsid w:val="005654FE"/>
    <w:rsid w:val="00567D95"/>
    <w:rsid w:val="00570C3E"/>
    <w:rsid w:val="00570EC9"/>
    <w:rsid w:val="005722F8"/>
    <w:rsid w:val="005725C7"/>
    <w:rsid w:val="0057476E"/>
    <w:rsid w:val="005751A4"/>
    <w:rsid w:val="0057706F"/>
    <w:rsid w:val="00581B64"/>
    <w:rsid w:val="00584075"/>
    <w:rsid w:val="00586607"/>
    <w:rsid w:val="00595FE9"/>
    <w:rsid w:val="0059625C"/>
    <w:rsid w:val="00596DCE"/>
    <w:rsid w:val="00597382"/>
    <w:rsid w:val="005A1991"/>
    <w:rsid w:val="005A2696"/>
    <w:rsid w:val="005B15B1"/>
    <w:rsid w:val="005C17BF"/>
    <w:rsid w:val="005C18CA"/>
    <w:rsid w:val="005C3101"/>
    <w:rsid w:val="005C6B82"/>
    <w:rsid w:val="005C7E0D"/>
    <w:rsid w:val="005D2A85"/>
    <w:rsid w:val="005D2D71"/>
    <w:rsid w:val="005E0349"/>
    <w:rsid w:val="005E2A4F"/>
    <w:rsid w:val="005E3775"/>
    <w:rsid w:val="005E5BB8"/>
    <w:rsid w:val="005E5ECD"/>
    <w:rsid w:val="005F15A9"/>
    <w:rsid w:val="005F17DC"/>
    <w:rsid w:val="005F2372"/>
    <w:rsid w:val="005F2FEA"/>
    <w:rsid w:val="005F762B"/>
    <w:rsid w:val="00600463"/>
    <w:rsid w:val="00605473"/>
    <w:rsid w:val="0060687F"/>
    <w:rsid w:val="006078CC"/>
    <w:rsid w:val="006102C0"/>
    <w:rsid w:val="006115E1"/>
    <w:rsid w:val="00612693"/>
    <w:rsid w:val="0061274E"/>
    <w:rsid w:val="006129B1"/>
    <w:rsid w:val="006134F1"/>
    <w:rsid w:val="006138F4"/>
    <w:rsid w:val="00624BC6"/>
    <w:rsid w:val="00625853"/>
    <w:rsid w:val="00625BF1"/>
    <w:rsid w:val="006358EB"/>
    <w:rsid w:val="00635E67"/>
    <w:rsid w:val="00635F18"/>
    <w:rsid w:val="00642191"/>
    <w:rsid w:val="00643332"/>
    <w:rsid w:val="006476AD"/>
    <w:rsid w:val="0065009F"/>
    <w:rsid w:val="00650E13"/>
    <w:rsid w:val="00651EB4"/>
    <w:rsid w:val="00661C97"/>
    <w:rsid w:val="00665926"/>
    <w:rsid w:val="00671432"/>
    <w:rsid w:val="00672C77"/>
    <w:rsid w:val="00673A78"/>
    <w:rsid w:val="00673F29"/>
    <w:rsid w:val="00674101"/>
    <w:rsid w:val="00675177"/>
    <w:rsid w:val="00677E08"/>
    <w:rsid w:val="00680AC3"/>
    <w:rsid w:val="00680B23"/>
    <w:rsid w:val="00682DED"/>
    <w:rsid w:val="00684AD4"/>
    <w:rsid w:val="00687443"/>
    <w:rsid w:val="00694763"/>
    <w:rsid w:val="00697FCB"/>
    <w:rsid w:val="006A2A7A"/>
    <w:rsid w:val="006B05C6"/>
    <w:rsid w:val="006B0A93"/>
    <w:rsid w:val="006B1E21"/>
    <w:rsid w:val="006B3460"/>
    <w:rsid w:val="006B7D04"/>
    <w:rsid w:val="006D4824"/>
    <w:rsid w:val="006E0A41"/>
    <w:rsid w:val="006E49CE"/>
    <w:rsid w:val="006E63F0"/>
    <w:rsid w:val="006F031B"/>
    <w:rsid w:val="006F4667"/>
    <w:rsid w:val="00700D21"/>
    <w:rsid w:val="00702FE3"/>
    <w:rsid w:val="0070494E"/>
    <w:rsid w:val="00706D55"/>
    <w:rsid w:val="00710E58"/>
    <w:rsid w:val="007152B1"/>
    <w:rsid w:val="00717F75"/>
    <w:rsid w:val="00723C14"/>
    <w:rsid w:val="00723FAA"/>
    <w:rsid w:val="00725877"/>
    <w:rsid w:val="00730B4C"/>
    <w:rsid w:val="007314DC"/>
    <w:rsid w:val="00733B72"/>
    <w:rsid w:val="00735FF8"/>
    <w:rsid w:val="00741B93"/>
    <w:rsid w:val="007432D0"/>
    <w:rsid w:val="007433C0"/>
    <w:rsid w:val="0074426B"/>
    <w:rsid w:val="0074687E"/>
    <w:rsid w:val="00755315"/>
    <w:rsid w:val="00760C0D"/>
    <w:rsid w:val="00760EE2"/>
    <w:rsid w:val="00762092"/>
    <w:rsid w:val="00763312"/>
    <w:rsid w:val="00767C07"/>
    <w:rsid w:val="00776B44"/>
    <w:rsid w:val="0077743B"/>
    <w:rsid w:val="0078319E"/>
    <w:rsid w:val="00784251"/>
    <w:rsid w:val="0079450C"/>
    <w:rsid w:val="00794D8A"/>
    <w:rsid w:val="00795963"/>
    <w:rsid w:val="007A0B28"/>
    <w:rsid w:val="007A3526"/>
    <w:rsid w:val="007A46B7"/>
    <w:rsid w:val="007A6333"/>
    <w:rsid w:val="007A75C1"/>
    <w:rsid w:val="007B1D68"/>
    <w:rsid w:val="007B3BC3"/>
    <w:rsid w:val="007C21F8"/>
    <w:rsid w:val="007C26E8"/>
    <w:rsid w:val="007C5CB7"/>
    <w:rsid w:val="007D2C12"/>
    <w:rsid w:val="007E0F43"/>
    <w:rsid w:val="007E1C4E"/>
    <w:rsid w:val="007E5547"/>
    <w:rsid w:val="007E761D"/>
    <w:rsid w:val="007E7BE2"/>
    <w:rsid w:val="007F1C60"/>
    <w:rsid w:val="007F57FD"/>
    <w:rsid w:val="00800373"/>
    <w:rsid w:val="00812E41"/>
    <w:rsid w:val="00813125"/>
    <w:rsid w:val="00815347"/>
    <w:rsid w:val="00824E47"/>
    <w:rsid w:val="00827898"/>
    <w:rsid w:val="008310B0"/>
    <w:rsid w:val="00832223"/>
    <w:rsid w:val="0084324A"/>
    <w:rsid w:val="00846C54"/>
    <w:rsid w:val="00853CF6"/>
    <w:rsid w:val="00856F6E"/>
    <w:rsid w:val="0086318A"/>
    <w:rsid w:val="0086553B"/>
    <w:rsid w:val="00865A82"/>
    <w:rsid w:val="00871111"/>
    <w:rsid w:val="008726CB"/>
    <w:rsid w:val="00874E9E"/>
    <w:rsid w:val="00876CFD"/>
    <w:rsid w:val="008771EC"/>
    <w:rsid w:val="00880856"/>
    <w:rsid w:val="00882366"/>
    <w:rsid w:val="00882A78"/>
    <w:rsid w:val="00884361"/>
    <w:rsid w:val="00885EA7"/>
    <w:rsid w:val="00891EB4"/>
    <w:rsid w:val="00894780"/>
    <w:rsid w:val="0089592C"/>
    <w:rsid w:val="008962E0"/>
    <w:rsid w:val="008A1689"/>
    <w:rsid w:val="008B02F1"/>
    <w:rsid w:val="008B18B4"/>
    <w:rsid w:val="008B522C"/>
    <w:rsid w:val="008B6309"/>
    <w:rsid w:val="008B7538"/>
    <w:rsid w:val="008C2C2D"/>
    <w:rsid w:val="008C3777"/>
    <w:rsid w:val="008C573B"/>
    <w:rsid w:val="008D0CEF"/>
    <w:rsid w:val="008D4BA2"/>
    <w:rsid w:val="008D6952"/>
    <w:rsid w:val="008D6E05"/>
    <w:rsid w:val="008E0360"/>
    <w:rsid w:val="008E3B81"/>
    <w:rsid w:val="008F277C"/>
    <w:rsid w:val="008F534E"/>
    <w:rsid w:val="009026C1"/>
    <w:rsid w:val="00902A8B"/>
    <w:rsid w:val="00902B1D"/>
    <w:rsid w:val="009033E7"/>
    <w:rsid w:val="00910128"/>
    <w:rsid w:val="00913027"/>
    <w:rsid w:val="009168C6"/>
    <w:rsid w:val="00921837"/>
    <w:rsid w:val="009234B2"/>
    <w:rsid w:val="009239DF"/>
    <w:rsid w:val="0093113E"/>
    <w:rsid w:val="0094087A"/>
    <w:rsid w:val="00941413"/>
    <w:rsid w:val="009422FE"/>
    <w:rsid w:val="0094519A"/>
    <w:rsid w:val="009472D6"/>
    <w:rsid w:val="00950889"/>
    <w:rsid w:val="009522CF"/>
    <w:rsid w:val="00954892"/>
    <w:rsid w:val="0096328D"/>
    <w:rsid w:val="00966302"/>
    <w:rsid w:val="00967942"/>
    <w:rsid w:val="009742D2"/>
    <w:rsid w:val="00983BEA"/>
    <w:rsid w:val="00983F73"/>
    <w:rsid w:val="00984C7A"/>
    <w:rsid w:val="00986C2C"/>
    <w:rsid w:val="0099101B"/>
    <w:rsid w:val="00991182"/>
    <w:rsid w:val="00997EF3"/>
    <w:rsid w:val="009A291F"/>
    <w:rsid w:val="009A41A9"/>
    <w:rsid w:val="009A530A"/>
    <w:rsid w:val="009A5CB7"/>
    <w:rsid w:val="009B4736"/>
    <w:rsid w:val="009C3229"/>
    <w:rsid w:val="009C626E"/>
    <w:rsid w:val="009C6992"/>
    <w:rsid w:val="009D1BB3"/>
    <w:rsid w:val="009D32D5"/>
    <w:rsid w:val="009D44A6"/>
    <w:rsid w:val="009D6962"/>
    <w:rsid w:val="009D6FD8"/>
    <w:rsid w:val="009E7736"/>
    <w:rsid w:val="009F2E36"/>
    <w:rsid w:val="009F5E08"/>
    <w:rsid w:val="00A00401"/>
    <w:rsid w:val="00A0192A"/>
    <w:rsid w:val="00A100DF"/>
    <w:rsid w:val="00A11DE0"/>
    <w:rsid w:val="00A137C1"/>
    <w:rsid w:val="00A13C3D"/>
    <w:rsid w:val="00A15EFA"/>
    <w:rsid w:val="00A2249A"/>
    <w:rsid w:val="00A2567E"/>
    <w:rsid w:val="00A2573A"/>
    <w:rsid w:val="00A33C58"/>
    <w:rsid w:val="00A432BB"/>
    <w:rsid w:val="00A46F61"/>
    <w:rsid w:val="00A5557A"/>
    <w:rsid w:val="00A649AA"/>
    <w:rsid w:val="00A67ADB"/>
    <w:rsid w:val="00A71CEA"/>
    <w:rsid w:val="00A71E93"/>
    <w:rsid w:val="00A724CB"/>
    <w:rsid w:val="00A81D07"/>
    <w:rsid w:val="00A905BB"/>
    <w:rsid w:val="00A94B9A"/>
    <w:rsid w:val="00A9679C"/>
    <w:rsid w:val="00AA1F47"/>
    <w:rsid w:val="00AA68E9"/>
    <w:rsid w:val="00AB5E07"/>
    <w:rsid w:val="00AC0166"/>
    <w:rsid w:val="00AC1A41"/>
    <w:rsid w:val="00AD02FD"/>
    <w:rsid w:val="00AD735E"/>
    <w:rsid w:val="00AD7DD9"/>
    <w:rsid w:val="00AE7C3C"/>
    <w:rsid w:val="00AF0D46"/>
    <w:rsid w:val="00AF7121"/>
    <w:rsid w:val="00B007DD"/>
    <w:rsid w:val="00B013BD"/>
    <w:rsid w:val="00B05826"/>
    <w:rsid w:val="00B13A45"/>
    <w:rsid w:val="00B22671"/>
    <w:rsid w:val="00B22A00"/>
    <w:rsid w:val="00B231E1"/>
    <w:rsid w:val="00B2507A"/>
    <w:rsid w:val="00B2775A"/>
    <w:rsid w:val="00B3392F"/>
    <w:rsid w:val="00B504E6"/>
    <w:rsid w:val="00B5196F"/>
    <w:rsid w:val="00B616EE"/>
    <w:rsid w:val="00B623EF"/>
    <w:rsid w:val="00B6480E"/>
    <w:rsid w:val="00B705D6"/>
    <w:rsid w:val="00B76F6A"/>
    <w:rsid w:val="00B774A7"/>
    <w:rsid w:val="00B87B3C"/>
    <w:rsid w:val="00B93D1D"/>
    <w:rsid w:val="00BA7C50"/>
    <w:rsid w:val="00BB2C28"/>
    <w:rsid w:val="00BB44F0"/>
    <w:rsid w:val="00BB62C6"/>
    <w:rsid w:val="00BB7B04"/>
    <w:rsid w:val="00BC1B41"/>
    <w:rsid w:val="00BC1BAF"/>
    <w:rsid w:val="00BC50AD"/>
    <w:rsid w:val="00BC53C2"/>
    <w:rsid w:val="00BC7784"/>
    <w:rsid w:val="00BD0653"/>
    <w:rsid w:val="00BD19DB"/>
    <w:rsid w:val="00BD430D"/>
    <w:rsid w:val="00BE09CE"/>
    <w:rsid w:val="00BE0B97"/>
    <w:rsid w:val="00BE2DE4"/>
    <w:rsid w:val="00BE354D"/>
    <w:rsid w:val="00BE4B3F"/>
    <w:rsid w:val="00BF098A"/>
    <w:rsid w:val="00BF0E5F"/>
    <w:rsid w:val="00BF2BDD"/>
    <w:rsid w:val="00BF3217"/>
    <w:rsid w:val="00BF38AA"/>
    <w:rsid w:val="00BF4F02"/>
    <w:rsid w:val="00BF562D"/>
    <w:rsid w:val="00C016BB"/>
    <w:rsid w:val="00C04C95"/>
    <w:rsid w:val="00C11834"/>
    <w:rsid w:val="00C13F27"/>
    <w:rsid w:val="00C15107"/>
    <w:rsid w:val="00C169B9"/>
    <w:rsid w:val="00C16F63"/>
    <w:rsid w:val="00C22CBD"/>
    <w:rsid w:val="00C23E33"/>
    <w:rsid w:val="00C2496B"/>
    <w:rsid w:val="00C24D10"/>
    <w:rsid w:val="00C271DA"/>
    <w:rsid w:val="00C275DA"/>
    <w:rsid w:val="00C362EF"/>
    <w:rsid w:val="00C3755E"/>
    <w:rsid w:val="00C415C0"/>
    <w:rsid w:val="00C41D88"/>
    <w:rsid w:val="00C44D74"/>
    <w:rsid w:val="00C456C3"/>
    <w:rsid w:val="00C51318"/>
    <w:rsid w:val="00C51348"/>
    <w:rsid w:val="00C60093"/>
    <w:rsid w:val="00C740F9"/>
    <w:rsid w:val="00C77164"/>
    <w:rsid w:val="00C80FA7"/>
    <w:rsid w:val="00C817EC"/>
    <w:rsid w:val="00C84B44"/>
    <w:rsid w:val="00C85F80"/>
    <w:rsid w:val="00C90128"/>
    <w:rsid w:val="00C90D51"/>
    <w:rsid w:val="00C952FE"/>
    <w:rsid w:val="00C9774C"/>
    <w:rsid w:val="00CA0073"/>
    <w:rsid w:val="00CA1595"/>
    <w:rsid w:val="00CA32D8"/>
    <w:rsid w:val="00CB160E"/>
    <w:rsid w:val="00CB4820"/>
    <w:rsid w:val="00CB7057"/>
    <w:rsid w:val="00CB7D2E"/>
    <w:rsid w:val="00CD13D8"/>
    <w:rsid w:val="00CD1E2A"/>
    <w:rsid w:val="00CE0675"/>
    <w:rsid w:val="00CE0A25"/>
    <w:rsid w:val="00CE44B8"/>
    <w:rsid w:val="00CE4699"/>
    <w:rsid w:val="00CE5CA0"/>
    <w:rsid w:val="00CE6D65"/>
    <w:rsid w:val="00CE74B4"/>
    <w:rsid w:val="00CF3379"/>
    <w:rsid w:val="00CF3461"/>
    <w:rsid w:val="00CF3CFA"/>
    <w:rsid w:val="00CF67B4"/>
    <w:rsid w:val="00CF7C4A"/>
    <w:rsid w:val="00D0015E"/>
    <w:rsid w:val="00D024DE"/>
    <w:rsid w:val="00D025CB"/>
    <w:rsid w:val="00D035ED"/>
    <w:rsid w:val="00D044D2"/>
    <w:rsid w:val="00D048B7"/>
    <w:rsid w:val="00D13A94"/>
    <w:rsid w:val="00D13FF1"/>
    <w:rsid w:val="00D15AA7"/>
    <w:rsid w:val="00D15B3C"/>
    <w:rsid w:val="00D16FAE"/>
    <w:rsid w:val="00D207FC"/>
    <w:rsid w:val="00D27D0C"/>
    <w:rsid w:val="00D301AF"/>
    <w:rsid w:val="00D319FF"/>
    <w:rsid w:val="00D31C2B"/>
    <w:rsid w:val="00D32C8E"/>
    <w:rsid w:val="00D3348C"/>
    <w:rsid w:val="00D349C6"/>
    <w:rsid w:val="00D376C3"/>
    <w:rsid w:val="00D424A5"/>
    <w:rsid w:val="00D42F17"/>
    <w:rsid w:val="00D431EE"/>
    <w:rsid w:val="00D4612E"/>
    <w:rsid w:val="00D47B64"/>
    <w:rsid w:val="00D51788"/>
    <w:rsid w:val="00D53915"/>
    <w:rsid w:val="00D5407D"/>
    <w:rsid w:val="00D54FE6"/>
    <w:rsid w:val="00D57C53"/>
    <w:rsid w:val="00D61062"/>
    <w:rsid w:val="00D6363C"/>
    <w:rsid w:val="00D66666"/>
    <w:rsid w:val="00D66AED"/>
    <w:rsid w:val="00D71892"/>
    <w:rsid w:val="00D73681"/>
    <w:rsid w:val="00D73D8B"/>
    <w:rsid w:val="00D759E7"/>
    <w:rsid w:val="00D77DEB"/>
    <w:rsid w:val="00D81782"/>
    <w:rsid w:val="00D8287E"/>
    <w:rsid w:val="00D91868"/>
    <w:rsid w:val="00D976CE"/>
    <w:rsid w:val="00DA3709"/>
    <w:rsid w:val="00DB3E5B"/>
    <w:rsid w:val="00DB61FF"/>
    <w:rsid w:val="00DC51E3"/>
    <w:rsid w:val="00DC5622"/>
    <w:rsid w:val="00DD0657"/>
    <w:rsid w:val="00DD438A"/>
    <w:rsid w:val="00DD68AA"/>
    <w:rsid w:val="00DE4848"/>
    <w:rsid w:val="00DE4E38"/>
    <w:rsid w:val="00DE6A03"/>
    <w:rsid w:val="00DE6AE9"/>
    <w:rsid w:val="00DF59BF"/>
    <w:rsid w:val="00E0643A"/>
    <w:rsid w:val="00E07295"/>
    <w:rsid w:val="00E1280C"/>
    <w:rsid w:val="00E144BA"/>
    <w:rsid w:val="00E1619A"/>
    <w:rsid w:val="00E161B9"/>
    <w:rsid w:val="00E16A0D"/>
    <w:rsid w:val="00E17F68"/>
    <w:rsid w:val="00E232C0"/>
    <w:rsid w:val="00E2516F"/>
    <w:rsid w:val="00E26B8A"/>
    <w:rsid w:val="00E27BC5"/>
    <w:rsid w:val="00E31635"/>
    <w:rsid w:val="00E45DCE"/>
    <w:rsid w:val="00E47ECB"/>
    <w:rsid w:val="00E545F1"/>
    <w:rsid w:val="00E67A3C"/>
    <w:rsid w:val="00E74003"/>
    <w:rsid w:val="00E763E2"/>
    <w:rsid w:val="00E7748F"/>
    <w:rsid w:val="00E77DDF"/>
    <w:rsid w:val="00E82230"/>
    <w:rsid w:val="00E844CA"/>
    <w:rsid w:val="00E85572"/>
    <w:rsid w:val="00E9386A"/>
    <w:rsid w:val="00E93A51"/>
    <w:rsid w:val="00E949D6"/>
    <w:rsid w:val="00E976C4"/>
    <w:rsid w:val="00EA5DFA"/>
    <w:rsid w:val="00EA5EE1"/>
    <w:rsid w:val="00EA74EC"/>
    <w:rsid w:val="00EB5153"/>
    <w:rsid w:val="00EB6776"/>
    <w:rsid w:val="00EC0D66"/>
    <w:rsid w:val="00EC4607"/>
    <w:rsid w:val="00EC5045"/>
    <w:rsid w:val="00ED1F9A"/>
    <w:rsid w:val="00ED4E96"/>
    <w:rsid w:val="00EE68BA"/>
    <w:rsid w:val="00F009D7"/>
    <w:rsid w:val="00F06C04"/>
    <w:rsid w:val="00F07B3D"/>
    <w:rsid w:val="00F11FBF"/>
    <w:rsid w:val="00F12271"/>
    <w:rsid w:val="00F130F1"/>
    <w:rsid w:val="00F22592"/>
    <w:rsid w:val="00F23A30"/>
    <w:rsid w:val="00F34442"/>
    <w:rsid w:val="00F41703"/>
    <w:rsid w:val="00F41860"/>
    <w:rsid w:val="00F418A9"/>
    <w:rsid w:val="00F427B6"/>
    <w:rsid w:val="00F42B5E"/>
    <w:rsid w:val="00F45C39"/>
    <w:rsid w:val="00F47A26"/>
    <w:rsid w:val="00F53059"/>
    <w:rsid w:val="00F53554"/>
    <w:rsid w:val="00F62FE3"/>
    <w:rsid w:val="00F706CE"/>
    <w:rsid w:val="00F70E4A"/>
    <w:rsid w:val="00F710AB"/>
    <w:rsid w:val="00F72122"/>
    <w:rsid w:val="00F72CDD"/>
    <w:rsid w:val="00F73206"/>
    <w:rsid w:val="00F76F63"/>
    <w:rsid w:val="00F844BE"/>
    <w:rsid w:val="00F863DC"/>
    <w:rsid w:val="00F91183"/>
    <w:rsid w:val="00F91750"/>
    <w:rsid w:val="00F92841"/>
    <w:rsid w:val="00F93E07"/>
    <w:rsid w:val="00F96987"/>
    <w:rsid w:val="00F96E92"/>
    <w:rsid w:val="00F97ED8"/>
    <w:rsid w:val="00FA3405"/>
    <w:rsid w:val="00FA5354"/>
    <w:rsid w:val="00FA699B"/>
    <w:rsid w:val="00FA6B9B"/>
    <w:rsid w:val="00FA7889"/>
    <w:rsid w:val="00FA7C0F"/>
    <w:rsid w:val="00FB0EDD"/>
    <w:rsid w:val="00FB12DA"/>
    <w:rsid w:val="00FB3A50"/>
    <w:rsid w:val="00FB4DE8"/>
    <w:rsid w:val="00FB7F10"/>
    <w:rsid w:val="00FC030E"/>
    <w:rsid w:val="00FC4A79"/>
    <w:rsid w:val="00FC7186"/>
    <w:rsid w:val="00FC778F"/>
    <w:rsid w:val="00FD2E2F"/>
    <w:rsid w:val="00FD435B"/>
    <w:rsid w:val="00FD545B"/>
    <w:rsid w:val="00FE38D0"/>
    <w:rsid w:val="00FE7DBC"/>
    <w:rsid w:val="00FF0FCD"/>
    <w:rsid w:val="00FF1910"/>
    <w:rsid w:val="00FF1EF3"/>
    <w:rsid w:val="00FF2081"/>
    <w:rsid w:val="00FF2177"/>
    <w:rsid w:val="00FF25D0"/>
    <w:rsid w:val="00FF2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244B7"/>
  <w15:docId w15:val="{B237664B-5DDE-44A9-9C2F-1CD920E2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iPriority w:val="99"/>
    <w:unhideWhenUsed/>
    <w:rsid w:val="00055C8A"/>
    <w:pPr>
      <w:tabs>
        <w:tab w:val="center" w:pos="4680"/>
        <w:tab w:val="right" w:pos="9360"/>
      </w:tabs>
    </w:pPr>
  </w:style>
  <w:style w:type="character" w:customStyle="1" w:styleId="FooterChar">
    <w:name w:val="Footer Char"/>
    <w:basedOn w:val="DefaultParagraphFont"/>
    <w:link w:val="Footer"/>
    <w:uiPriority w:val="99"/>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 w:type="character" w:styleId="PlaceholderText">
    <w:name w:val="Placeholder Text"/>
    <w:basedOn w:val="DefaultParagraphFont"/>
    <w:uiPriority w:val="99"/>
    <w:semiHidden/>
    <w:rsid w:val="00175C1C"/>
    <w:rPr>
      <w:color w:val="808080"/>
    </w:rPr>
  </w:style>
  <w:style w:type="paragraph" w:styleId="EndnoteText">
    <w:name w:val="endnote text"/>
    <w:basedOn w:val="Normal"/>
    <w:link w:val="EndnoteTextChar"/>
    <w:uiPriority w:val="99"/>
    <w:semiHidden/>
    <w:unhideWhenUsed/>
    <w:rsid w:val="00A00401"/>
    <w:rPr>
      <w:sz w:val="20"/>
      <w:szCs w:val="20"/>
    </w:rPr>
  </w:style>
  <w:style w:type="character" w:customStyle="1" w:styleId="EndnoteTextChar">
    <w:name w:val="Endnote Text Char"/>
    <w:basedOn w:val="DefaultParagraphFont"/>
    <w:link w:val="EndnoteText"/>
    <w:uiPriority w:val="99"/>
    <w:semiHidden/>
    <w:rsid w:val="00A00401"/>
    <w:rPr>
      <w:rFonts w:ascii="Times New Roman" w:hAnsi="Times New Roman"/>
    </w:rPr>
  </w:style>
  <w:style w:type="character" w:styleId="EndnoteReference">
    <w:name w:val="endnote reference"/>
    <w:basedOn w:val="DefaultParagraphFont"/>
    <w:uiPriority w:val="99"/>
    <w:semiHidden/>
    <w:unhideWhenUsed/>
    <w:rsid w:val="00A00401"/>
    <w:rPr>
      <w:vertAlign w:val="superscript"/>
    </w:rPr>
  </w:style>
  <w:style w:type="paragraph" w:customStyle="1" w:styleId="paragraph">
    <w:name w:val="paragraph"/>
    <w:basedOn w:val="Normal"/>
    <w:rsid w:val="00E47ECB"/>
    <w:pPr>
      <w:spacing w:before="100" w:beforeAutospacing="1" w:after="100" w:afterAutospacing="1"/>
    </w:pPr>
    <w:rPr>
      <w:rFonts w:eastAsia="Times New Roman"/>
      <w:szCs w:val="24"/>
    </w:rPr>
  </w:style>
  <w:style w:type="character" w:customStyle="1" w:styleId="normaltextrun">
    <w:name w:val="normaltextrun"/>
    <w:basedOn w:val="DefaultParagraphFont"/>
    <w:rsid w:val="00E47ECB"/>
  </w:style>
  <w:style w:type="character" w:customStyle="1" w:styleId="tabchar">
    <w:name w:val="tabchar"/>
    <w:basedOn w:val="DefaultParagraphFont"/>
    <w:rsid w:val="00E47ECB"/>
  </w:style>
  <w:style w:type="character" w:customStyle="1" w:styleId="eop">
    <w:name w:val="eop"/>
    <w:basedOn w:val="DefaultParagraphFont"/>
    <w:rsid w:val="00E47ECB"/>
  </w:style>
  <w:style w:type="character" w:styleId="CommentReference">
    <w:name w:val="annotation reference"/>
    <w:basedOn w:val="DefaultParagraphFont"/>
    <w:uiPriority w:val="99"/>
    <w:semiHidden/>
    <w:unhideWhenUsed/>
    <w:rsid w:val="00064719"/>
    <w:rPr>
      <w:sz w:val="16"/>
      <w:szCs w:val="16"/>
    </w:rPr>
  </w:style>
  <w:style w:type="paragraph" w:styleId="CommentText">
    <w:name w:val="annotation text"/>
    <w:basedOn w:val="Normal"/>
    <w:link w:val="CommentTextChar"/>
    <w:uiPriority w:val="99"/>
    <w:unhideWhenUsed/>
    <w:rsid w:val="00064719"/>
    <w:rPr>
      <w:sz w:val="20"/>
      <w:szCs w:val="20"/>
    </w:rPr>
  </w:style>
  <w:style w:type="character" w:customStyle="1" w:styleId="CommentTextChar">
    <w:name w:val="Comment Text Char"/>
    <w:basedOn w:val="DefaultParagraphFont"/>
    <w:link w:val="CommentText"/>
    <w:uiPriority w:val="99"/>
    <w:rsid w:val="0006471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64719"/>
    <w:rPr>
      <w:b/>
      <w:bCs/>
    </w:rPr>
  </w:style>
  <w:style w:type="character" w:customStyle="1" w:styleId="CommentSubjectChar">
    <w:name w:val="Comment Subject Char"/>
    <w:basedOn w:val="CommentTextChar"/>
    <w:link w:val="CommentSubject"/>
    <w:uiPriority w:val="99"/>
    <w:semiHidden/>
    <w:rsid w:val="00064719"/>
    <w:rPr>
      <w:rFonts w:ascii="Times New Roman" w:hAnsi="Times New Roman"/>
      <w:b/>
      <w:bCs/>
    </w:rPr>
  </w:style>
  <w:style w:type="paragraph" w:styleId="Revision">
    <w:name w:val="Revision"/>
    <w:hidden/>
    <w:uiPriority w:val="99"/>
    <w:semiHidden/>
    <w:rsid w:val="00E27BC5"/>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108892">
      <w:bodyDiv w:val="1"/>
      <w:marLeft w:val="0"/>
      <w:marRight w:val="0"/>
      <w:marTop w:val="0"/>
      <w:marBottom w:val="0"/>
      <w:divBdr>
        <w:top w:val="none" w:sz="0" w:space="0" w:color="auto"/>
        <w:left w:val="none" w:sz="0" w:space="0" w:color="auto"/>
        <w:bottom w:val="none" w:sz="0" w:space="0" w:color="auto"/>
        <w:right w:val="none" w:sz="0" w:space="0" w:color="auto"/>
      </w:divBdr>
    </w:div>
    <w:div w:id="1961062305">
      <w:bodyDiv w:val="1"/>
      <w:marLeft w:val="0"/>
      <w:marRight w:val="0"/>
      <w:marTop w:val="0"/>
      <w:marBottom w:val="0"/>
      <w:divBdr>
        <w:top w:val="none" w:sz="0" w:space="0" w:color="auto"/>
        <w:left w:val="none" w:sz="0" w:space="0" w:color="auto"/>
        <w:bottom w:val="none" w:sz="0" w:space="0" w:color="auto"/>
        <w:right w:val="none" w:sz="0" w:space="0" w:color="auto"/>
      </w:divBdr>
      <w:divsChild>
        <w:div w:id="1330060396">
          <w:marLeft w:val="0"/>
          <w:marRight w:val="0"/>
          <w:marTop w:val="0"/>
          <w:marBottom w:val="0"/>
          <w:divBdr>
            <w:top w:val="none" w:sz="0" w:space="0" w:color="auto"/>
            <w:left w:val="none" w:sz="0" w:space="0" w:color="auto"/>
            <w:bottom w:val="none" w:sz="0" w:space="0" w:color="auto"/>
            <w:right w:val="none" w:sz="0" w:space="0" w:color="auto"/>
          </w:divBdr>
        </w:div>
        <w:div w:id="1951815203">
          <w:marLeft w:val="0"/>
          <w:marRight w:val="0"/>
          <w:marTop w:val="0"/>
          <w:marBottom w:val="0"/>
          <w:divBdr>
            <w:top w:val="none" w:sz="0" w:space="0" w:color="auto"/>
            <w:left w:val="none" w:sz="0" w:space="0" w:color="auto"/>
            <w:bottom w:val="none" w:sz="0" w:space="0" w:color="auto"/>
            <w:right w:val="none" w:sz="0" w:space="0" w:color="auto"/>
          </w:divBdr>
        </w:div>
        <w:div w:id="512647549">
          <w:marLeft w:val="0"/>
          <w:marRight w:val="0"/>
          <w:marTop w:val="0"/>
          <w:marBottom w:val="0"/>
          <w:divBdr>
            <w:top w:val="none" w:sz="0" w:space="0" w:color="auto"/>
            <w:left w:val="none" w:sz="0" w:space="0" w:color="auto"/>
            <w:bottom w:val="none" w:sz="0" w:space="0" w:color="auto"/>
            <w:right w:val="none" w:sz="0" w:space="0" w:color="auto"/>
          </w:divBdr>
        </w:div>
        <w:div w:id="303897339">
          <w:marLeft w:val="0"/>
          <w:marRight w:val="0"/>
          <w:marTop w:val="0"/>
          <w:marBottom w:val="0"/>
          <w:divBdr>
            <w:top w:val="none" w:sz="0" w:space="0" w:color="auto"/>
            <w:left w:val="none" w:sz="0" w:space="0" w:color="auto"/>
            <w:bottom w:val="none" w:sz="0" w:space="0" w:color="auto"/>
            <w:right w:val="none" w:sz="0" w:space="0" w:color="auto"/>
          </w:divBdr>
        </w:div>
        <w:div w:id="553348333">
          <w:marLeft w:val="0"/>
          <w:marRight w:val="0"/>
          <w:marTop w:val="0"/>
          <w:marBottom w:val="0"/>
          <w:divBdr>
            <w:top w:val="none" w:sz="0" w:space="0" w:color="auto"/>
            <w:left w:val="none" w:sz="0" w:space="0" w:color="auto"/>
            <w:bottom w:val="none" w:sz="0" w:space="0" w:color="auto"/>
            <w:right w:val="none" w:sz="0" w:space="0" w:color="auto"/>
          </w:divBdr>
        </w:div>
        <w:div w:id="1731801412">
          <w:marLeft w:val="0"/>
          <w:marRight w:val="0"/>
          <w:marTop w:val="0"/>
          <w:marBottom w:val="0"/>
          <w:divBdr>
            <w:top w:val="none" w:sz="0" w:space="0" w:color="auto"/>
            <w:left w:val="none" w:sz="0" w:space="0" w:color="auto"/>
            <w:bottom w:val="none" w:sz="0" w:space="0" w:color="auto"/>
            <w:right w:val="none" w:sz="0" w:space="0" w:color="auto"/>
          </w:divBdr>
        </w:div>
        <w:div w:id="157309147">
          <w:marLeft w:val="0"/>
          <w:marRight w:val="0"/>
          <w:marTop w:val="0"/>
          <w:marBottom w:val="0"/>
          <w:divBdr>
            <w:top w:val="none" w:sz="0" w:space="0" w:color="auto"/>
            <w:left w:val="none" w:sz="0" w:space="0" w:color="auto"/>
            <w:bottom w:val="none" w:sz="0" w:space="0" w:color="auto"/>
            <w:right w:val="none" w:sz="0" w:space="0" w:color="auto"/>
          </w:divBdr>
        </w:div>
        <w:div w:id="2006281761">
          <w:marLeft w:val="0"/>
          <w:marRight w:val="0"/>
          <w:marTop w:val="0"/>
          <w:marBottom w:val="0"/>
          <w:divBdr>
            <w:top w:val="none" w:sz="0" w:space="0" w:color="auto"/>
            <w:left w:val="none" w:sz="0" w:space="0" w:color="auto"/>
            <w:bottom w:val="none" w:sz="0" w:space="0" w:color="auto"/>
            <w:right w:val="none" w:sz="0" w:space="0" w:color="auto"/>
          </w:divBdr>
        </w:div>
        <w:div w:id="547423611">
          <w:marLeft w:val="0"/>
          <w:marRight w:val="0"/>
          <w:marTop w:val="0"/>
          <w:marBottom w:val="0"/>
          <w:divBdr>
            <w:top w:val="none" w:sz="0" w:space="0" w:color="auto"/>
            <w:left w:val="none" w:sz="0" w:space="0" w:color="auto"/>
            <w:bottom w:val="none" w:sz="0" w:space="0" w:color="auto"/>
            <w:right w:val="none" w:sz="0" w:space="0" w:color="auto"/>
          </w:divBdr>
        </w:div>
        <w:div w:id="1079255812">
          <w:marLeft w:val="0"/>
          <w:marRight w:val="0"/>
          <w:marTop w:val="0"/>
          <w:marBottom w:val="0"/>
          <w:divBdr>
            <w:top w:val="none" w:sz="0" w:space="0" w:color="auto"/>
            <w:left w:val="none" w:sz="0" w:space="0" w:color="auto"/>
            <w:bottom w:val="none" w:sz="0" w:space="0" w:color="auto"/>
            <w:right w:val="none" w:sz="0" w:space="0" w:color="auto"/>
          </w:divBdr>
        </w:div>
        <w:div w:id="1958945023">
          <w:marLeft w:val="0"/>
          <w:marRight w:val="0"/>
          <w:marTop w:val="0"/>
          <w:marBottom w:val="0"/>
          <w:divBdr>
            <w:top w:val="none" w:sz="0" w:space="0" w:color="auto"/>
            <w:left w:val="none" w:sz="0" w:space="0" w:color="auto"/>
            <w:bottom w:val="none" w:sz="0" w:space="0" w:color="auto"/>
            <w:right w:val="none" w:sz="0" w:space="0" w:color="auto"/>
          </w:divBdr>
        </w:div>
        <w:div w:id="1926373473">
          <w:marLeft w:val="0"/>
          <w:marRight w:val="0"/>
          <w:marTop w:val="0"/>
          <w:marBottom w:val="0"/>
          <w:divBdr>
            <w:top w:val="none" w:sz="0" w:space="0" w:color="auto"/>
            <w:left w:val="none" w:sz="0" w:space="0" w:color="auto"/>
            <w:bottom w:val="none" w:sz="0" w:space="0" w:color="auto"/>
            <w:right w:val="none" w:sz="0" w:space="0" w:color="auto"/>
          </w:divBdr>
        </w:div>
        <w:div w:id="1144270743">
          <w:marLeft w:val="0"/>
          <w:marRight w:val="0"/>
          <w:marTop w:val="0"/>
          <w:marBottom w:val="0"/>
          <w:divBdr>
            <w:top w:val="none" w:sz="0" w:space="0" w:color="auto"/>
            <w:left w:val="none" w:sz="0" w:space="0" w:color="auto"/>
            <w:bottom w:val="none" w:sz="0" w:space="0" w:color="auto"/>
            <w:right w:val="none" w:sz="0" w:space="0" w:color="auto"/>
          </w:divBdr>
        </w:div>
        <w:div w:id="1073284579">
          <w:marLeft w:val="0"/>
          <w:marRight w:val="0"/>
          <w:marTop w:val="0"/>
          <w:marBottom w:val="0"/>
          <w:divBdr>
            <w:top w:val="none" w:sz="0" w:space="0" w:color="auto"/>
            <w:left w:val="none" w:sz="0" w:space="0" w:color="auto"/>
            <w:bottom w:val="none" w:sz="0" w:space="0" w:color="auto"/>
            <w:right w:val="none" w:sz="0" w:space="0" w:color="auto"/>
          </w:divBdr>
        </w:div>
        <w:div w:id="1470250247">
          <w:marLeft w:val="0"/>
          <w:marRight w:val="0"/>
          <w:marTop w:val="0"/>
          <w:marBottom w:val="0"/>
          <w:divBdr>
            <w:top w:val="none" w:sz="0" w:space="0" w:color="auto"/>
            <w:left w:val="none" w:sz="0" w:space="0" w:color="auto"/>
            <w:bottom w:val="none" w:sz="0" w:space="0" w:color="auto"/>
            <w:right w:val="none" w:sz="0" w:space="0" w:color="auto"/>
          </w:divBdr>
        </w:div>
        <w:div w:id="1234971498">
          <w:marLeft w:val="0"/>
          <w:marRight w:val="0"/>
          <w:marTop w:val="0"/>
          <w:marBottom w:val="0"/>
          <w:divBdr>
            <w:top w:val="none" w:sz="0" w:space="0" w:color="auto"/>
            <w:left w:val="none" w:sz="0" w:space="0" w:color="auto"/>
            <w:bottom w:val="none" w:sz="0" w:space="0" w:color="auto"/>
            <w:right w:val="none" w:sz="0" w:space="0" w:color="auto"/>
          </w:divBdr>
        </w:div>
        <w:div w:id="493111440">
          <w:marLeft w:val="0"/>
          <w:marRight w:val="0"/>
          <w:marTop w:val="0"/>
          <w:marBottom w:val="0"/>
          <w:divBdr>
            <w:top w:val="none" w:sz="0" w:space="0" w:color="auto"/>
            <w:left w:val="none" w:sz="0" w:space="0" w:color="auto"/>
            <w:bottom w:val="none" w:sz="0" w:space="0" w:color="auto"/>
            <w:right w:val="none" w:sz="0" w:space="0" w:color="auto"/>
          </w:divBdr>
        </w:div>
        <w:div w:id="1573739319">
          <w:marLeft w:val="0"/>
          <w:marRight w:val="0"/>
          <w:marTop w:val="0"/>
          <w:marBottom w:val="0"/>
          <w:divBdr>
            <w:top w:val="none" w:sz="0" w:space="0" w:color="auto"/>
            <w:left w:val="none" w:sz="0" w:space="0" w:color="auto"/>
            <w:bottom w:val="none" w:sz="0" w:space="0" w:color="auto"/>
            <w:right w:val="none" w:sz="0" w:space="0" w:color="auto"/>
          </w:divBdr>
        </w:div>
        <w:div w:id="1810975224">
          <w:marLeft w:val="0"/>
          <w:marRight w:val="0"/>
          <w:marTop w:val="0"/>
          <w:marBottom w:val="0"/>
          <w:divBdr>
            <w:top w:val="none" w:sz="0" w:space="0" w:color="auto"/>
            <w:left w:val="none" w:sz="0" w:space="0" w:color="auto"/>
            <w:bottom w:val="none" w:sz="0" w:space="0" w:color="auto"/>
            <w:right w:val="none" w:sz="0" w:space="0" w:color="auto"/>
          </w:divBdr>
        </w:div>
        <w:div w:id="1324629172">
          <w:marLeft w:val="0"/>
          <w:marRight w:val="0"/>
          <w:marTop w:val="0"/>
          <w:marBottom w:val="0"/>
          <w:divBdr>
            <w:top w:val="none" w:sz="0" w:space="0" w:color="auto"/>
            <w:left w:val="none" w:sz="0" w:space="0" w:color="auto"/>
            <w:bottom w:val="none" w:sz="0" w:space="0" w:color="auto"/>
            <w:right w:val="none" w:sz="0" w:space="0" w:color="auto"/>
          </w:divBdr>
        </w:div>
        <w:div w:id="1783764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8C90045DFC489DA412FC699AD51FAF"/>
        <w:category>
          <w:name w:val="General"/>
          <w:gallery w:val="placeholder"/>
        </w:category>
        <w:types>
          <w:type w:val="bbPlcHdr"/>
        </w:types>
        <w:behaviors>
          <w:behavior w:val="content"/>
        </w:behaviors>
        <w:guid w:val="{7314F644-4D3C-48D6-A06F-A7EBBE6FCE6D}"/>
      </w:docPartPr>
      <w:docPartBody>
        <w:p w:rsidR="00D935C5" w:rsidRDefault="00774EB0">
          <w:pPr>
            <w:pStyle w:val="B48C90045DFC489DA412FC699AD51FAF"/>
          </w:pPr>
          <w:r w:rsidRPr="00A46F61">
            <w:rPr>
              <w:rStyle w:val="PlaceholderText"/>
              <w:color w:val="FF0000"/>
            </w:rPr>
            <w:t>Choose an item.</w:t>
          </w:r>
        </w:p>
      </w:docPartBody>
    </w:docPart>
    <w:docPart>
      <w:docPartPr>
        <w:name w:val="0D1692EC03EC4C3DBAF850399175180F"/>
        <w:category>
          <w:name w:val="General"/>
          <w:gallery w:val="placeholder"/>
        </w:category>
        <w:types>
          <w:type w:val="bbPlcHdr"/>
        </w:types>
        <w:behaviors>
          <w:behavior w:val="content"/>
        </w:behaviors>
        <w:guid w:val="{10AB0CCC-4D8F-43EA-830E-72B3CA3B9164}"/>
      </w:docPartPr>
      <w:docPartBody>
        <w:p w:rsidR="00D935C5" w:rsidRDefault="00774EB0">
          <w:pPr>
            <w:pStyle w:val="0D1692EC03EC4C3DBAF850399175180F"/>
          </w:pPr>
          <w:r w:rsidRPr="000469FB">
            <w:rPr>
              <w:rStyle w:val="PlaceholderText"/>
              <w:caps/>
              <w:color w:val="FF0000"/>
            </w:rPr>
            <w:t>Click or tap here to enter text.</w:t>
          </w:r>
        </w:p>
      </w:docPartBody>
    </w:docPart>
    <w:docPart>
      <w:docPartPr>
        <w:name w:val="30FD283179A541CA97772D1015943C02"/>
        <w:category>
          <w:name w:val="General"/>
          <w:gallery w:val="placeholder"/>
        </w:category>
        <w:types>
          <w:type w:val="bbPlcHdr"/>
        </w:types>
        <w:behaviors>
          <w:behavior w:val="content"/>
        </w:behaviors>
        <w:guid w:val="{7A1C1ABE-F6F2-4B64-99C0-03E8B0F6EB61}"/>
      </w:docPartPr>
      <w:docPartBody>
        <w:p w:rsidR="00D935C5" w:rsidRDefault="00774EB0">
          <w:pPr>
            <w:pStyle w:val="30FD283179A541CA97772D1015943C02"/>
          </w:pPr>
          <w:r w:rsidRPr="000469FB">
            <w:rPr>
              <w:rStyle w:val="PlaceholderText"/>
              <w:color w:val="FF0000"/>
            </w:rPr>
            <w:t>Click or tap here to enter text.</w:t>
          </w:r>
        </w:p>
      </w:docPartBody>
    </w:docPart>
    <w:docPart>
      <w:docPartPr>
        <w:name w:val="D4047F4B9B1B40F28087BDD5EC8C4861"/>
        <w:category>
          <w:name w:val="General"/>
          <w:gallery w:val="placeholder"/>
        </w:category>
        <w:types>
          <w:type w:val="bbPlcHdr"/>
        </w:types>
        <w:behaviors>
          <w:behavior w:val="content"/>
        </w:behaviors>
        <w:guid w:val="{1693A37E-E87C-4953-869D-D00EED90881E}"/>
      </w:docPartPr>
      <w:docPartBody>
        <w:p w:rsidR="00D935C5" w:rsidRDefault="00774EB0">
          <w:pPr>
            <w:pStyle w:val="D4047F4B9B1B40F28087BDD5EC8C4861"/>
          </w:pPr>
          <w:r w:rsidRPr="000469FB">
            <w:rPr>
              <w:rStyle w:val="PlaceholderText"/>
              <w:color w:val="FF0000"/>
            </w:rPr>
            <w:t>Click or tap here to enter text.</w:t>
          </w:r>
        </w:p>
      </w:docPartBody>
    </w:docPart>
    <w:docPart>
      <w:docPartPr>
        <w:name w:val="BC08339517D2448DA3D56A21C9DDB069"/>
        <w:category>
          <w:name w:val="General"/>
          <w:gallery w:val="placeholder"/>
        </w:category>
        <w:types>
          <w:type w:val="bbPlcHdr"/>
        </w:types>
        <w:behaviors>
          <w:behavior w:val="content"/>
        </w:behaviors>
        <w:guid w:val="{F90A2523-8B60-4B55-B9C6-0BEB56915444}"/>
      </w:docPartPr>
      <w:docPartBody>
        <w:p w:rsidR="00D935C5" w:rsidRDefault="00774EB0">
          <w:pPr>
            <w:pStyle w:val="BC08339517D2448DA3D56A21C9DDB069"/>
          </w:pPr>
          <w:r w:rsidRPr="000469FB">
            <w:rPr>
              <w:rStyle w:val="PlaceholderText"/>
              <w:color w:val="FF0000"/>
            </w:rPr>
            <w:t>Choose an item.</w:t>
          </w:r>
        </w:p>
      </w:docPartBody>
    </w:docPart>
    <w:docPart>
      <w:docPartPr>
        <w:name w:val="F3164E4B1D9341FDAC259FB546352B67"/>
        <w:category>
          <w:name w:val="General"/>
          <w:gallery w:val="placeholder"/>
        </w:category>
        <w:types>
          <w:type w:val="bbPlcHdr"/>
        </w:types>
        <w:behaviors>
          <w:behavior w:val="content"/>
        </w:behaviors>
        <w:guid w:val="{E4585872-4BF2-4DF2-AC28-04FEAFE1FCE9}"/>
      </w:docPartPr>
      <w:docPartBody>
        <w:p w:rsidR="00020085" w:rsidRDefault="00637456" w:rsidP="00637456">
          <w:pPr>
            <w:pStyle w:val="F3164E4B1D9341FDAC259FB546352B67"/>
          </w:pPr>
          <w:r w:rsidRPr="00450326">
            <w:rPr>
              <w:rStyle w:val="PlaceholderText"/>
            </w:rPr>
            <w:t>Click here to enter text.</w:t>
          </w:r>
        </w:p>
      </w:docPartBody>
    </w:docPart>
    <w:docPart>
      <w:docPartPr>
        <w:name w:val="FFCA07FA7CCA4ED3A6131C3224877D3A"/>
        <w:category>
          <w:name w:val="General"/>
          <w:gallery w:val="placeholder"/>
        </w:category>
        <w:types>
          <w:type w:val="bbPlcHdr"/>
        </w:types>
        <w:behaviors>
          <w:behavior w:val="content"/>
        </w:behaviors>
        <w:guid w:val="{C01F92D5-1607-44D8-BAF1-01735C92DA9A}"/>
      </w:docPartPr>
      <w:docPartBody>
        <w:p w:rsidR="00020085" w:rsidRDefault="00637456" w:rsidP="00637456">
          <w:pPr>
            <w:pStyle w:val="FFCA07FA7CCA4ED3A6131C3224877D3A"/>
          </w:pPr>
          <w:r w:rsidRPr="00450326">
            <w:rPr>
              <w:rStyle w:val="PlaceholderText"/>
            </w:rPr>
            <w:t>Choose an item.</w:t>
          </w:r>
        </w:p>
      </w:docPartBody>
    </w:docPart>
    <w:docPart>
      <w:docPartPr>
        <w:name w:val="B5936AD466D644B783A4343684F1F5CC"/>
        <w:category>
          <w:name w:val="General"/>
          <w:gallery w:val="placeholder"/>
        </w:category>
        <w:types>
          <w:type w:val="bbPlcHdr"/>
        </w:types>
        <w:behaviors>
          <w:behavior w:val="content"/>
        </w:behaviors>
        <w:guid w:val="{25201F56-7285-4080-9405-358BA669E7CE}"/>
      </w:docPartPr>
      <w:docPartBody>
        <w:p w:rsidR="00C05559" w:rsidRDefault="00263F46" w:rsidP="00263F46">
          <w:pPr>
            <w:pStyle w:val="B5936AD466D644B783A4343684F1F5CC"/>
          </w:pPr>
          <w:r w:rsidRPr="005C7E0D">
            <w:rPr>
              <w:color w:val="FF0000"/>
            </w:rPr>
            <w:t>Enter Date</w:t>
          </w:r>
          <w:r>
            <w:rPr>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B0"/>
    <w:rsid w:val="000110D1"/>
    <w:rsid w:val="00020085"/>
    <w:rsid w:val="00263F46"/>
    <w:rsid w:val="00267D26"/>
    <w:rsid w:val="002713B9"/>
    <w:rsid w:val="00415EFF"/>
    <w:rsid w:val="00473D90"/>
    <w:rsid w:val="004C0918"/>
    <w:rsid w:val="004F4D49"/>
    <w:rsid w:val="00637456"/>
    <w:rsid w:val="006D3B4B"/>
    <w:rsid w:val="00727FF3"/>
    <w:rsid w:val="00774EB0"/>
    <w:rsid w:val="00846F1F"/>
    <w:rsid w:val="008A2764"/>
    <w:rsid w:val="00C05559"/>
    <w:rsid w:val="00D9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456"/>
    <w:rPr>
      <w:color w:val="808080"/>
    </w:rPr>
  </w:style>
  <w:style w:type="paragraph" w:customStyle="1" w:styleId="B48C90045DFC489DA412FC699AD51FAF">
    <w:name w:val="B48C90045DFC489DA412FC699AD51FAF"/>
  </w:style>
  <w:style w:type="paragraph" w:customStyle="1" w:styleId="0D1692EC03EC4C3DBAF850399175180F">
    <w:name w:val="0D1692EC03EC4C3DBAF850399175180F"/>
  </w:style>
  <w:style w:type="paragraph" w:customStyle="1" w:styleId="30FD283179A541CA97772D1015943C02">
    <w:name w:val="30FD283179A541CA97772D1015943C02"/>
  </w:style>
  <w:style w:type="paragraph" w:customStyle="1" w:styleId="D4047F4B9B1B40F28087BDD5EC8C4861">
    <w:name w:val="D4047F4B9B1B40F28087BDD5EC8C4861"/>
  </w:style>
  <w:style w:type="paragraph" w:customStyle="1" w:styleId="BC08339517D2448DA3D56A21C9DDB069">
    <w:name w:val="BC08339517D2448DA3D56A21C9DDB069"/>
  </w:style>
  <w:style w:type="paragraph" w:customStyle="1" w:styleId="F3164E4B1D9341FDAC259FB546352B67">
    <w:name w:val="F3164E4B1D9341FDAC259FB546352B67"/>
    <w:rsid w:val="00637456"/>
  </w:style>
  <w:style w:type="paragraph" w:customStyle="1" w:styleId="FFCA07FA7CCA4ED3A6131C3224877D3A">
    <w:name w:val="FFCA07FA7CCA4ED3A6131C3224877D3A"/>
    <w:rsid w:val="00637456"/>
  </w:style>
  <w:style w:type="paragraph" w:customStyle="1" w:styleId="B5936AD466D644B783A4343684F1F5CC">
    <w:name w:val="B5936AD466D644B783A4343684F1F5CC"/>
    <w:rsid w:val="00263F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E84EA822292E45BCBD295DBC62DA95" ma:contentTypeVersion="13" ma:contentTypeDescription="Create a new document." ma:contentTypeScope="" ma:versionID="f35e99523ec11b30f0618a95551c3272">
  <xsd:schema xmlns:xsd="http://www.w3.org/2001/XMLSchema" xmlns:xs="http://www.w3.org/2001/XMLSchema" xmlns:p="http://schemas.microsoft.com/office/2006/metadata/properties" xmlns:ns2="108d26e9-7de2-4ff0-bbaf-4287b2020141" xmlns:ns3="60eabb53-171c-4bae-a79a-62b581464b1e" targetNamespace="http://schemas.microsoft.com/office/2006/metadata/properties" ma:root="true" ma:fieldsID="addf32139a142ae0c0324cd0691c5454" ns2:_="" ns3:_="">
    <xsd:import namespace="108d26e9-7de2-4ff0-bbaf-4287b2020141"/>
    <xsd:import namespace="60eabb53-171c-4bae-a79a-62b581464b1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d26e9-7de2-4ff0-bbaf-4287b202014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f1c2db8-735d-461c-ad04-24e85f60a21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Status" ma:index="20" nillable="true" ma:displayName="Status" ma:format="Dropdown" ma:internalName="Status">
      <xsd:simpleType>
        <xsd:restriction base="dms:Choice">
          <xsd:enumeration value="Draft"/>
          <xsd:enumeration value="WIP"/>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60eabb53-171c-4bae-a79a-62b581464b1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08dcc15-151c-44fa-84c7-98d1fad0ea2b}" ma:internalName="TaxCatchAll" ma:showField="CatchAllData" ma:web="60eabb53-171c-4bae-a79a-62b581464b1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5E7C1-7AE1-4CC7-B5DA-3A6E7DA080F8}">
  <ds:schemaRefs>
    <ds:schemaRef ds:uri="http://schemas.openxmlformats.org/officeDocument/2006/bibliography"/>
  </ds:schemaRefs>
</ds:datastoreItem>
</file>

<file path=customXml/itemProps2.xml><?xml version="1.0" encoding="utf-8"?>
<ds:datastoreItem xmlns:ds="http://schemas.openxmlformats.org/officeDocument/2006/customXml" ds:itemID="{FE928FB2-48D7-4E10-923C-3E2422569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d26e9-7de2-4ff0-bbaf-4287b2020141"/>
    <ds:schemaRef ds:uri="60eabb53-171c-4bae-a79a-62b581464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F69ED-4EBA-43ED-B444-DC2626F23D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4966</Words>
  <Characters>28308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33208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Milojevich-Moore, Cherie</dc:creator>
  <cp:lastModifiedBy>Gonzales, Julie</cp:lastModifiedBy>
  <cp:revision>3</cp:revision>
  <cp:lastPrinted>2022-11-10T00:16:00Z</cp:lastPrinted>
  <dcterms:created xsi:type="dcterms:W3CDTF">2022-12-05T19:07:00Z</dcterms:created>
  <dcterms:modified xsi:type="dcterms:W3CDTF">2022-12-05T19:08:00Z</dcterms:modified>
</cp:coreProperties>
</file>