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223" w:rsidRPr="00E26B8A" w:rsidRDefault="00B70F35" w:rsidP="00183425">
      <w:pPr>
        <w:tabs>
          <w:tab w:val="left" w:pos="720"/>
        </w:tabs>
      </w:pPr>
      <w:bookmarkStart w:id="0" w:name="designation"/>
      <w:bookmarkEnd w:id="0"/>
      <w:r>
        <w:t xml:space="preserve">PUBLIC MATTER </w:t>
      </w:r>
      <w:r w:rsidR="00230622">
        <w:t>—</w:t>
      </w:r>
      <w:r>
        <w:t xml:space="preserve"> NOT DESIGNATED FOR PUBLICATION</w:t>
      </w:r>
    </w:p>
    <w:p w:rsidR="00474987" w:rsidRDefault="00474987" w:rsidP="00183425">
      <w:pPr>
        <w:tabs>
          <w:tab w:val="left" w:pos="720"/>
        </w:tabs>
        <w:contextualSpacing/>
      </w:pPr>
    </w:p>
    <w:p w:rsidR="006D3833" w:rsidRPr="00D50330" w:rsidRDefault="000206F7" w:rsidP="000206F7">
      <w:pPr>
        <w:tabs>
          <w:tab w:val="left" w:pos="720"/>
        </w:tabs>
        <w:contextualSpacing/>
        <w:jc w:val="right"/>
      </w:pPr>
      <w:r>
        <w:tab/>
      </w:r>
      <w:r>
        <w:tab/>
      </w:r>
      <w:r>
        <w:tab/>
      </w:r>
      <w:r>
        <w:tab/>
      </w:r>
      <w:r>
        <w:tab/>
      </w:r>
      <w:r>
        <w:tab/>
      </w:r>
      <w:r>
        <w:tab/>
      </w:r>
      <w:r>
        <w:tab/>
      </w:r>
      <w:r>
        <w:tab/>
      </w:r>
      <w:r>
        <w:tab/>
        <w:t>Filed April 24, 2017</w:t>
      </w:r>
    </w:p>
    <w:p w:rsidR="007C26E8" w:rsidRDefault="007C26E8" w:rsidP="00183425">
      <w:pPr>
        <w:tabs>
          <w:tab w:val="left" w:pos="720"/>
        </w:tabs>
        <w:contextualSpacing/>
      </w:pPr>
    </w:p>
    <w:p w:rsidR="00B231E1" w:rsidRDefault="00B231E1" w:rsidP="00183425">
      <w:pPr>
        <w:tabs>
          <w:tab w:val="left" w:pos="720"/>
        </w:tabs>
        <w:contextualSpacing/>
      </w:pPr>
    </w:p>
    <w:p w:rsidR="00832223" w:rsidRPr="00A54C67" w:rsidRDefault="00832223" w:rsidP="00A54C67">
      <w:pPr>
        <w:pStyle w:val="Heading1"/>
      </w:pPr>
      <w:r w:rsidRPr="00A54C67">
        <w:t>STATE BAR COURT OF CALIFORNIA</w:t>
      </w:r>
    </w:p>
    <w:p w:rsidR="00832223" w:rsidRPr="00A54C67" w:rsidRDefault="00832223" w:rsidP="00A54C67">
      <w:pPr>
        <w:pStyle w:val="Heading1"/>
      </w:pPr>
    </w:p>
    <w:p w:rsidR="00832223" w:rsidRDefault="00832223" w:rsidP="00A54C67">
      <w:pPr>
        <w:pStyle w:val="Heading1"/>
      </w:pPr>
      <w:r w:rsidRPr="00A54C67">
        <w:t>REVIEW DEPARTMENT</w:t>
      </w:r>
    </w:p>
    <w:p w:rsidR="00832223" w:rsidRPr="00C11CC8" w:rsidRDefault="00832223" w:rsidP="00183425">
      <w:pPr>
        <w:tabs>
          <w:tab w:val="left" w:pos="720"/>
        </w:tabs>
        <w:jc w:val="center"/>
        <w:rPr>
          <w:b/>
        </w:rPr>
      </w:pPr>
    </w:p>
    <w:p w:rsidR="00832223" w:rsidRPr="00C11CC8" w:rsidRDefault="00832223" w:rsidP="00183425">
      <w:pPr>
        <w:tabs>
          <w:tab w:val="left" w:pos="720"/>
        </w:tabs>
        <w:rPr>
          <w:b/>
        </w:rPr>
      </w:pPr>
    </w:p>
    <w:tbl>
      <w:tblPr>
        <w:tblStyle w:val="TableGrid"/>
        <w:tblW w:w="0" w:type="auto"/>
        <w:tblLook w:val="04A0" w:firstRow="1" w:lastRow="0" w:firstColumn="1" w:lastColumn="0" w:noHBand="0" w:noVBand="1"/>
      </w:tblPr>
      <w:tblGrid>
        <w:gridCol w:w="4770"/>
        <w:gridCol w:w="497"/>
        <w:gridCol w:w="4201"/>
      </w:tblGrid>
      <w:tr w:rsidR="00832223" w:rsidRPr="00C11CC8" w:rsidTr="00357051">
        <w:tc>
          <w:tcPr>
            <w:tcW w:w="4770" w:type="dxa"/>
            <w:tcBorders>
              <w:top w:val="nil"/>
              <w:left w:val="nil"/>
              <w:right w:val="nil"/>
            </w:tcBorders>
            <w:tcMar>
              <w:left w:w="0" w:type="dxa"/>
              <w:right w:w="0" w:type="dxa"/>
            </w:tcMar>
          </w:tcPr>
          <w:p w:rsidR="00832223" w:rsidRDefault="00832223" w:rsidP="00183425">
            <w:pPr>
              <w:tabs>
                <w:tab w:val="left" w:pos="720"/>
              </w:tabs>
            </w:pPr>
            <w:r>
              <w:t>In the Matter of</w:t>
            </w:r>
          </w:p>
          <w:p w:rsidR="00832223" w:rsidRDefault="00832223" w:rsidP="00183425">
            <w:pPr>
              <w:tabs>
                <w:tab w:val="left" w:pos="720"/>
              </w:tabs>
            </w:pPr>
          </w:p>
          <w:p w:rsidR="00832223" w:rsidRPr="008F3169" w:rsidRDefault="00B70F35" w:rsidP="00183425">
            <w:pPr>
              <w:tabs>
                <w:tab w:val="left" w:pos="720"/>
              </w:tabs>
            </w:pPr>
            <w:bookmarkStart w:id="1" w:name="Respondent"/>
            <w:bookmarkEnd w:id="1"/>
            <w:r>
              <w:t>ALBERT MIKLOS KUN</w:t>
            </w:r>
            <w:r w:rsidR="00832223" w:rsidRPr="008F3169">
              <w:t>,</w:t>
            </w:r>
          </w:p>
          <w:p w:rsidR="00832223" w:rsidRDefault="00832223" w:rsidP="00183425">
            <w:pPr>
              <w:tabs>
                <w:tab w:val="left" w:pos="720"/>
              </w:tabs>
            </w:pPr>
          </w:p>
          <w:p w:rsidR="00832223" w:rsidRPr="00C11CC8" w:rsidRDefault="00B70F35" w:rsidP="00183425">
            <w:pPr>
              <w:tabs>
                <w:tab w:val="left" w:pos="720"/>
              </w:tabs>
            </w:pPr>
            <w:bookmarkStart w:id="2" w:name="type"/>
            <w:bookmarkEnd w:id="2"/>
            <w:r>
              <w:t>A Member of the State Bar, No.</w:t>
            </w:r>
            <w:r w:rsidR="00832223">
              <w:t xml:space="preserve"> </w:t>
            </w:r>
            <w:bookmarkStart w:id="3" w:name="memno"/>
            <w:bookmarkStart w:id="4" w:name="MemberNo"/>
            <w:bookmarkEnd w:id="3"/>
            <w:bookmarkEnd w:id="4"/>
            <w:r>
              <w:t>55820.</w:t>
            </w:r>
          </w:p>
        </w:tc>
        <w:tc>
          <w:tcPr>
            <w:tcW w:w="497" w:type="dxa"/>
            <w:tcBorders>
              <w:top w:val="nil"/>
              <w:left w:val="nil"/>
              <w:bottom w:val="nil"/>
              <w:right w:val="nil"/>
            </w:tcBorders>
            <w:tcMar>
              <w:left w:w="0" w:type="dxa"/>
              <w:right w:w="0" w:type="dxa"/>
            </w:tcMar>
          </w:tcPr>
          <w:p w:rsidR="00832223" w:rsidRDefault="00832223" w:rsidP="00183425">
            <w:pPr>
              <w:tabs>
                <w:tab w:val="left" w:pos="720"/>
              </w:tabs>
              <w:rPr>
                <w:b/>
              </w:rPr>
            </w:pPr>
            <w:r>
              <w:rPr>
                <w:b/>
              </w:rPr>
              <w:t>)</w:t>
            </w:r>
          </w:p>
          <w:p w:rsidR="00832223" w:rsidRPr="00C11CC8" w:rsidRDefault="00832223" w:rsidP="00183425">
            <w:pPr>
              <w:tabs>
                <w:tab w:val="left" w:pos="720"/>
              </w:tabs>
              <w:rPr>
                <w:b/>
              </w:rPr>
            </w:pPr>
            <w:r>
              <w:rPr>
                <w:b/>
              </w:rPr>
              <w:t>)</w:t>
            </w:r>
            <w:r>
              <w:rPr>
                <w:b/>
              </w:rPr>
              <w:br/>
              <w:t>)</w:t>
            </w:r>
            <w:r>
              <w:rPr>
                <w:b/>
              </w:rPr>
              <w:br/>
              <w:t>)</w:t>
            </w:r>
            <w:r>
              <w:rPr>
                <w:b/>
              </w:rPr>
              <w:br/>
              <w:t>)</w:t>
            </w:r>
            <w:r>
              <w:rPr>
                <w:b/>
              </w:rPr>
              <w:br/>
              <w:t>)</w:t>
            </w:r>
          </w:p>
        </w:tc>
        <w:tc>
          <w:tcPr>
            <w:tcW w:w="4201" w:type="dxa"/>
            <w:tcBorders>
              <w:top w:val="nil"/>
              <w:left w:val="nil"/>
              <w:bottom w:val="nil"/>
              <w:right w:val="nil"/>
            </w:tcBorders>
          </w:tcPr>
          <w:p w:rsidR="00832223" w:rsidRPr="005E6703" w:rsidRDefault="00832223" w:rsidP="00183425">
            <w:pPr>
              <w:tabs>
                <w:tab w:val="left" w:pos="720"/>
              </w:tabs>
            </w:pPr>
            <w:r w:rsidRPr="005E6703">
              <w:t xml:space="preserve">Case No. </w:t>
            </w:r>
            <w:bookmarkStart w:id="5" w:name="caseno"/>
            <w:bookmarkEnd w:id="5"/>
            <w:r w:rsidR="00B70F35">
              <w:t>14-O-05418</w:t>
            </w:r>
          </w:p>
          <w:p w:rsidR="00832223" w:rsidRDefault="00832223" w:rsidP="00183425">
            <w:pPr>
              <w:tabs>
                <w:tab w:val="left" w:pos="720"/>
              </w:tabs>
            </w:pPr>
          </w:p>
          <w:p w:rsidR="00832223" w:rsidRPr="00A54C67" w:rsidRDefault="00B70F35" w:rsidP="00A54C67">
            <w:pPr>
              <w:pStyle w:val="Heading2"/>
            </w:pPr>
            <w:bookmarkStart w:id="6" w:name="title"/>
            <w:bookmarkEnd w:id="6"/>
            <w:r w:rsidRPr="00A54C67">
              <w:t>OPINION</w:t>
            </w:r>
          </w:p>
        </w:tc>
      </w:tr>
    </w:tbl>
    <w:p w:rsidR="00832223" w:rsidRDefault="00832223" w:rsidP="00183425">
      <w:pPr>
        <w:tabs>
          <w:tab w:val="left" w:pos="720"/>
        </w:tabs>
      </w:pPr>
    </w:p>
    <w:p w:rsidR="00832223" w:rsidRDefault="009307AA" w:rsidP="00183425">
      <w:pPr>
        <w:tabs>
          <w:tab w:val="left" w:pos="720"/>
        </w:tabs>
        <w:spacing w:line="480" w:lineRule="auto"/>
      </w:pPr>
      <w:r>
        <w:tab/>
      </w:r>
      <w:r w:rsidR="00E41E02">
        <w:t xml:space="preserve">A </w:t>
      </w:r>
      <w:r>
        <w:t xml:space="preserve">hearing judge found </w:t>
      </w:r>
      <w:r w:rsidR="00E41E02">
        <w:t xml:space="preserve">Albert Miklos </w:t>
      </w:r>
      <w:r>
        <w:t xml:space="preserve">Kun culpable of </w:t>
      </w:r>
      <w:r w:rsidR="00314DC1">
        <w:t>t</w:t>
      </w:r>
      <w:r w:rsidR="00345F69">
        <w:t>hree</w:t>
      </w:r>
      <w:r w:rsidR="00314DC1">
        <w:t xml:space="preserve"> counts of </w:t>
      </w:r>
      <w:r w:rsidR="001B5B7E">
        <w:t xml:space="preserve">misconduct: </w:t>
      </w:r>
      <w:r w:rsidR="00345F69">
        <w:t xml:space="preserve">failure to maintain client funds in his trust account, </w:t>
      </w:r>
      <w:r w:rsidR="001B5B7E">
        <w:t>misappropriation</w:t>
      </w:r>
      <w:r w:rsidR="006A1631">
        <w:t xml:space="preserve"> </w:t>
      </w:r>
      <w:r w:rsidR="001840FB">
        <w:t xml:space="preserve">by gross negligence </w:t>
      </w:r>
      <w:r w:rsidR="00E41E02">
        <w:t xml:space="preserve">of </w:t>
      </w:r>
      <w:r w:rsidR="00865A49">
        <w:t xml:space="preserve">a </w:t>
      </w:r>
      <w:r w:rsidR="00E41E02">
        <w:t xml:space="preserve">$460 </w:t>
      </w:r>
      <w:r w:rsidR="00865A49">
        <w:t>filing fee</w:t>
      </w:r>
      <w:r w:rsidR="00345F69">
        <w:t>,</w:t>
      </w:r>
      <w:r w:rsidR="00865A49">
        <w:t xml:space="preserve"> </w:t>
      </w:r>
      <w:r w:rsidR="00314DC1">
        <w:t xml:space="preserve">and commingling.  </w:t>
      </w:r>
      <w:r w:rsidR="00E41E02">
        <w:t>Kun has two prior discipline cases from 2002 (</w:t>
      </w:r>
      <w:r w:rsidR="00E41E02" w:rsidRPr="00644FC5">
        <w:rPr>
          <w:i/>
        </w:rPr>
        <w:t>Kun</w:t>
      </w:r>
      <w:r w:rsidR="00E41E02">
        <w:t xml:space="preserve"> </w:t>
      </w:r>
      <w:r w:rsidR="00E41E02" w:rsidRPr="001C0276">
        <w:rPr>
          <w:i/>
        </w:rPr>
        <w:t>I</w:t>
      </w:r>
      <w:r w:rsidR="00E41E02">
        <w:t>) and 2004 (</w:t>
      </w:r>
      <w:r w:rsidR="00E41E02" w:rsidRPr="00644FC5">
        <w:rPr>
          <w:i/>
        </w:rPr>
        <w:t>Kun</w:t>
      </w:r>
      <w:r w:rsidR="00E41E02">
        <w:t xml:space="preserve"> </w:t>
      </w:r>
      <w:r w:rsidR="00E41E02" w:rsidRPr="001C0276">
        <w:rPr>
          <w:i/>
        </w:rPr>
        <w:t>II</w:t>
      </w:r>
      <w:r w:rsidR="00E41E02">
        <w:t xml:space="preserve">).  </w:t>
      </w:r>
      <w:r w:rsidR="00314DC1">
        <w:t>After weighing factors in aggravation and mitigation, the judge considered standard</w:t>
      </w:r>
      <w:r w:rsidR="00126761">
        <w:t> </w:t>
      </w:r>
      <w:r w:rsidR="00314DC1">
        <w:t>1.8(b),</w:t>
      </w:r>
      <w:r w:rsidR="00314DC1">
        <w:rPr>
          <w:rStyle w:val="FootnoteReference"/>
        </w:rPr>
        <w:footnoteReference w:id="1"/>
      </w:r>
      <w:r w:rsidR="00314DC1">
        <w:t xml:space="preserve"> which provides for disbarment, under certain circumstances, when an attorney has two or more prior disciplines.  However, the </w:t>
      </w:r>
      <w:r w:rsidR="00126761">
        <w:t xml:space="preserve">hearing </w:t>
      </w:r>
      <w:r w:rsidR="00314DC1">
        <w:t xml:space="preserve">judge declined to </w:t>
      </w:r>
      <w:r w:rsidR="00CD2D5B">
        <w:t>recommend disbarment</w:t>
      </w:r>
      <w:r w:rsidR="00314DC1">
        <w:t>, deeming it excessive</w:t>
      </w:r>
      <w:r w:rsidR="00E41E02">
        <w:t xml:space="preserve"> because, among other things, more than 10</w:t>
      </w:r>
      <w:r w:rsidR="00BF63B0">
        <w:t xml:space="preserve"> years ha</w:t>
      </w:r>
      <w:r w:rsidR="00811C15">
        <w:t>d</w:t>
      </w:r>
      <w:r w:rsidR="00BF63B0">
        <w:t xml:space="preserve"> passed since Kun’s last discipline</w:t>
      </w:r>
      <w:r w:rsidR="00B26C95">
        <w:t xml:space="preserve"> case</w:t>
      </w:r>
      <w:r w:rsidR="00E41E02">
        <w:t xml:space="preserve">, his </w:t>
      </w:r>
      <w:r w:rsidR="00BF63B0">
        <w:t>misconduct</w:t>
      </w:r>
      <w:r w:rsidR="0074039C">
        <w:t xml:space="preserve"> </w:t>
      </w:r>
      <w:r w:rsidR="00BF63B0">
        <w:t xml:space="preserve">occurred during three distinct periods and </w:t>
      </w:r>
      <w:r w:rsidR="00921687">
        <w:t xml:space="preserve">each </w:t>
      </w:r>
      <w:r w:rsidR="00BF63B0">
        <w:t>was not prolonged</w:t>
      </w:r>
      <w:r w:rsidR="00E41E02">
        <w:t xml:space="preserve">, and he received only a public reproval </w:t>
      </w:r>
      <w:r w:rsidR="0074039C">
        <w:t xml:space="preserve">in </w:t>
      </w:r>
      <w:r w:rsidR="0074039C" w:rsidRPr="00644FC5">
        <w:rPr>
          <w:i/>
        </w:rPr>
        <w:t>Kun</w:t>
      </w:r>
      <w:r w:rsidR="0074039C">
        <w:t xml:space="preserve"> </w:t>
      </w:r>
      <w:r w:rsidR="0074039C" w:rsidRPr="001C0276">
        <w:rPr>
          <w:i/>
        </w:rPr>
        <w:t>I</w:t>
      </w:r>
      <w:r w:rsidR="0074039C">
        <w:t xml:space="preserve"> </w:t>
      </w:r>
      <w:r w:rsidR="00E41E02">
        <w:t>and a 30-day suspension</w:t>
      </w:r>
      <w:r w:rsidR="0074039C">
        <w:t xml:space="preserve"> in </w:t>
      </w:r>
      <w:r w:rsidR="0074039C" w:rsidRPr="00644FC5">
        <w:rPr>
          <w:i/>
        </w:rPr>
        <w:t>Kun</w:t>
      </w:r>
      <w:r w:rsidR="0074039C">
        <w:t xml:space="preserve"> </w:t>
      </w:r>
      <w:r w:rsidR="0074039C" w:rsidRPr="001C0276">
        <w:rPr>
          <w:i/>
        </w:rPr>
        <w:t>II</w:t>
      </w:r>
      <w:r w:rsidR="0074039C">
        <w:t>.</w:t>
      </w:r>
      <w:r w:rsidR="00BF63B0">
        <w:t xml:space="preserve">  </w:t>
      </w:r>
      <w:r w:rsidR="00320666">
        <w:t>Therefore</w:t>
      </w:r>
      <w:r w:rsidR="00BF63B0">
        <w:t>, the judge recommended discipline that included a one-year actual suspension</w:t>
      </w:r>
      <w:bookmarkStart w:id="7" w:name="start"/>
      <w:bookmarkEnd w:id="7"/>
      <w:r w:rsidR="00CD2D5B">
        <w:t xml:space="preserve"> </w:t>
      </w:r>
      <w:r w:rsidR="00BF63B0">
        <w:t xml:space="preserve">to continue until Kun pays restitution to his client.  </w:t>
      </w:r>
    </w:p>
    <w:p w:rsidR="00BF63B0" w:rsidRDefault="00BF63B0" w:rsidP="00183425">
      <w:pPr>
        <w:tabs>
          <w:tab w:val="left" w:pos="720"/>
        </w:tabs>
        <w:spacing w:line="480" w:lineRule="auto"/>
      </w:pPr>
      <w:r>
        <w:tab/>
      </w:r>
      <w:r w:rsidR="00CD2D5B">
        <w:t xml:space="preserve">Both </w:t>
      </w:r>
      <w:r>
        <w:t xml:space="preserve">Kun and </w:t>
      </w:r>
      <w:r w:rsidR="00A148CB">
        <w:t xml:space="preserve">the Office of Chief Trial Counsel of the State Bar (OCTC) appeal.  Kun </w:t>
      </w:r>
      <w:r w:rsidR="0074039C">
        <w:t>seeks a dismissal of all charges</w:t>
      </w:r>
      <w:r w:rsidR="00320666">
        <w:t>,</w:t>
      </w:r>
      <w:r w:rsidR="0074039C">
        <w:t xml:space="preserve"> contending </w:t>
      </w:r>
      <w:r w:rsidR="00A148CB">
        <w:t xml:space="preserve">that </w:t>
      </w:r>
      <w:r w:rsidR="00B50457">
        <w:t xml:space="preserve">OCTC did not prove his culpability and </w:t>
      </w:r>
      <w:r w:rsidR="005C4319">
        <w:t>the amount misappropriated was insignificantly</w:t>
      </w:r>
      <w:r w:rsidR="00B02AF0">
        <w:t xml:space="preserve"> small.  He</w:t>
      </w:r>
      <w:r w:rsidR="005C4319">
        <w:t xml:space="preserve"> also </w:t>
      </w:r>
      <w:r w:rsidR="00093262">
        <w:t xml:space="preserve">argues for </w:t>
      </w:r>
      <w:r w:rsidR="005C4319">
        <w:t xml:space="preserve">more mitigation.  OCTC </w:t>
      </w:r>
      <w:r w:rsidR="005C4319">
        <w:lastRenderedPageBreak/>
        <w:t xml:space="preserve">asks that we affirm the </w:t>
      </w:r>
      <w:r w:rsidR="00E07260">
        <w:t xml:space="preserve">hearing judge’s </w:t>
      </w:r>
      <w:r w:rsidR="005C4319">
        <w:t>culpability findings</w:t>
      </w:r>
      <w:r w:rsidR="00E07260">
        <w:t>,</w:t>
      </w:r>
      <w:r w:rsidR="005C4319">
        <w:t xml:space="preserve"> and seeks additional aggravation.  </w:t>
      </w:r>
      <w:r w:rsidR="008A3D27">
        <w:t>Alt</w:t>
      </w:r>
      <w:r w:rsidR="0074039C">
        <w:t xml:space="preserve">hough OCTC sought a </w:t>
      </w:r>
      <w:r w:rsidR="00F02247">
        <w:t xml:space="preserve">minimum of two </w:t>
      </w:r>
      <w:r w:rsidR="0074039C">
        <w:t>year</w:t>
      </w:r>
      <w:r w:rsidR="00F02247">
        <w:t>s’ actual</w:t>
      </w:r>
      <w:r w:rsidR="0074039C">
        <w:t xml:space="preserve"> suspension in both pretrial and posttrial briefs, it requests on review, as it did </w:t>
      </w:r>
      <w:r w:rsidR="00F02247">
        <w:t xml:space="preserve">in closing argument </w:t>
      </w:r>
      <w:r w:rsidR="0074039C">
        <w:t xml:space="preserve">at trial, </w:t>
      </w:r>
      <w:r w:rsidR="00160C30">
        <w:t xml:space="preserve">that Kun be disbarred pursuant </w:t>
      </w:r>
      <w:r w:rsidR="005C4319">
        <w:t>to standard</w:t>
      </w:r>
      <w:r w:rsidR="00E07260">
        <w:t> </w:t>
      </w:r>
      <w:r w:rsidR="005C4319">
        <w:t xml:space="preserve">1.8(b).  </w:t>
      </w:r>
    </w:p>
    <w:p w:rsidR="00175256" w:rsidRDefault="00175256" w:rsidP="00183425">
      <w:pPr>
        <w:tabs>
          <w:tab w:val="left" w:pos="720"/>
        </w:tabs>
        <w:spacing w:line="480" w:lineRule="auto"/>
      </w:pPr>
      <w:r>
        <w:tab/>
        <w:t>Upon our independent review of the record (Cal. Rules of Court, rule</w:t>
      </w:r>
      <w:r w:rsidR="00093262">
        <w:t> </w:t>
      </w:r>
      <w:r>
        <w:t>9.12), we affirm all but one of the hearing judge’s findings of fact and her culpability determinations.  We uphold the judge’s aggravation and mitigation findings, with some modifications</w:t>
      </w:r>
      <w:r w:rsidR="00E51189">
        <w:t>,</w:t>
      </w:r>
      <w:r>
        <w:t xml:space="preserve"> and </w:t>
      </w:r>
      <w:r w:rsidR="00E51189">
        <w:t>find</w:t>
      </w:r>
      <w:r w:rsidR="003B4AD9">
        <w:t xml:space="preserve"> </w:t>
      </w:r>
      <w:r>
        <w:t>additional aggravation.</w:t>
      </w:r>
      <w:r w:rsidR="008C1FF2">
        <w:rPr>
          <w:rStyle w:val="FootnoteReference"/>
        </w:rPr>
        <w:footnoteReference w:id="2"/>
      </w:r>
      <w:r>
        <w:t xml:space="preserve">  </w:t>
      </w:r>
      <w:r w:rsidR="00FA3277">
        <w:t xml:space="preserve">In determining the appropriate discipline, </w:t>
      </w:r>
      <w:r w:rsidR="00160C30">
        <w:t>we agree with the hearing judge that disbarment under standard</w:t>
      </w:r>
      <w:r w:rsidR="008A3D27">
        <w:t> </w:t>
      </w:r>
      <w:r w:rsidR="00160C30">
        <w:t xml:space="preserve">1.8(b) is not </w:t>
      </w:r>
      <w:r w:rsidR="00427506">
        <w:t>warranted</w:t>
      </w:r>
      <w:r w:rsidR="00160C30">
        <w:t xml:space="preserve"> or necessary in this case.  Instead, </w:t>
      </w:r>
      <w:r w:rsidR="00FA3277">
        <w:t xml:space="preserve">we </w:t>
      </w:r>
      <w:r w:rsidR="00427506">
        <w:t>look to</w:t>
      </w:r>
      <w:r w:rsidR="00FA3277">
        <w:t xml:space="preserve"> standard</w:t>
      </w:r>
      <w:r w:rsidR="00093262">
        <w:t> </w:t>
      </w:r>
      <w:r w:rsidR="00FA3277">
        <w:t>2.1(b)</w:t>
      </w:r>
      <w:r w:rsidR="008A3D27">
        <w:t>,</w:t>
      </w:r>
      <w:r w:rsidR="00FA3277">
        <w:t xml:space="preserve"> </w:t>
      </w:r>
      <w:r w:rsidR="008C7C71">
        <w:t xml:space="preserve">which applies directly </w:t>
      </w:r>
      <w:r w:rsidR="00FA3277">
        <w:t>to Kun’s grossly negligent misappropriation of his client’s</w:t>
      </w:r>
      <w:r w:rsidR="00865A49">
        <w:t xml:space="preserve"> </w:t>
      </w:r>
      <w:r w:rsidR="00FA3277">
        <w:t>filing fee</w:t>
      </w:r>
      <w:r w:rsidR="008C7C71">
        <w:t>.</w:t>
      </w:r>
      <w:r w:rsidR="00FA3277">
        <w:t xml:space="preserve">  </w:t>
      </w:r>
      <w:r w:rsidR="008C7C71">
        <w:rPr>
          <w:szCs w:val="24"/>
        </w:rPr>
        <w:t xml:space="preserve">Given the small </w:t>
      </w:r>
      <w:r w:rsidR="008A3D27">
        <w:rPr>
          <w:szCs w:val="24"/>
        </w:rPr>
        <w:t>sum</w:t>
      </w:r>
      <w:r w:rsidR="008C7C71">
        <w:rPr>
          <w:szCs w:val="24"/>
        </w:rPr>
        <w:t xml:space="preserve"> misappropriated, Kun’s prior misconduct, and the comparable case law, we </w:t>
      </w:r>
      <w:r w:rsidR="00E51189">
        <w:rPr>
          <w:szCs w:val="24"/>
        </w:rPr>
        <w:t>conclude</w:t>
      </w:r>
      <w:r w:rsidR="0079180C">
        <w:rPr>
          <w:szCs w:val="24"/>
        </w:rPr>
        <w:t xml:space="preserve"> that </w:t>
      </w:r>
      <w:r w:rsidR="00865A49">
        <w:rPr>
          <w:szCs w:val="24"/>
        </w:rPr>
        <w:t xml:space="preserve">the proper discipline is </w:t>
      </w:r>
      <w:r w:rsidR="0079180C">
        <w:rPr>
          <w:szCs w:val="24"/>
        </w:rPr>
        <w:t>a two</w:t>
      </w:r>
      <w:r w:rsidR="000A2FD6">
        <w:rPr>
          <w:szCs w:val="24"/>
        </w:rPr>
        <w:t>-</w:t>
      </w:r>
      <w:r w:rsidR="00CE50E8">
        <w:rPr>
          <w:szCs w:val="24"/>
        </w:rPr>
        <w:t>year actual suspension</w:t>
      </w:r>
      <w:r w:rsidR="005B412B">
        <w:rPr>
          <w:szCs w:val="24"/>
        </w:rPr>
        <w:t>,</w:t>
      </w:r>
      <w:r w:rsidR="00160C30">
        <w:rPr>
          <w:szCs w:val="24"/>
        </w:rPr>
        <w:t xml:space="preserve"> continuing until Kun pays restitution </w:t>
      </w:r>
      <w:r w:rsidR="008C29D4">
        <w:rPr>
          <w:szCs w:val="24"/>
        </w:rPr>
        <w:t>and proves his rehabilitation and fitness to practice law</w:t>
      </w:r>
      <w:r w:rsidR="00D92F24">
        <w:rPr>
          <w:szCs w:val="24"/>
        </w:rPr>
        <w:t>, along with his successful</w:t>
      </w:r>
      <w:r w:rsidR="00160C30">
        <w:rPr>
          <w:szCs w:val="24"/>
        </w:rPr>
        <w:t xml:space="preserve"> complet</w:t>
      </w:r>
      <w:r w:rsidR="00D92F24">
        <w:rPr>
          <w:szCs w:val="24"/>
        </w:rPr>
        <w:t>ion</w:t>
      </w:r>
      <w:r w:rsidR="00160C30">
        <w:rPr>
          <w:szCs w:val="24"/>
        </w:rPr>
        <w:t xml:space="preserve"> </w:t>
      </w:r>
      <w:r w:rsidR="00D92F24">
        <w:rPr>
          <w:szCs w:val="24"/>
        </w:rPr>
        <w:t xml:space="preserve">of </w:t>
      </w:r>
      <w:r w:rsidR="00E82F5D">
        <w:rPr>
          <w:szCs w:val="24"/>
        </w:rPr>
        <w:t xml:space="preserve">Ethics School and </w:t>
      </w:r>
      <w:r w:rsidR="00160C30">
        <w:rPr>
          <w:szCs w:val="24"/>
        </w:rPr>
        <w:t>Client Trust Accounting School</w:t>
      </w:r>
      <w:r w:rsidR="008C29D4">
        <w:rPr>
          <w:szCs w:val="24"/>
        </w:rPr>
        <w:t xml:space="preserve"> within his first year of probation</w:t>
      </w:r>
      <w:r w:rsidR="005D12C3">
        <w:rPr>
          <w:szCs w:val="24"/>
        </w:rPr>
        <w:t>, and other conditions</w:t>
      </w:r>
      <w:r w:rsidR="00D92F24">
        <w:rPr>
          <w:szCs w:val="24"/>
        </w:rPr>
        <w:t>.</w:t>
      </w:r>
    </w:p>
    <w:p w:rsidR="004B2267" w:rsidRPr="00A54C67" w:rsidRDefault="00995BA2" w:rsidP="00A54C67">
      <w:pPr>
        <w:pStyle w:val="Heading3"/>
      </w:pPr>
      <w:r w:rsidRPr="00A54C67">
        <w:t xml:space="preserve">I.  </w:t>
      </w:r>
      <w:r w:rsidR="004B2267" w:rsidRPr="00A54C67">
        <w:t>PROCEDURAL BACKGROUND</w:t>
      </w:r>
    </w:p>
    <w:p w:rsidR="004B2267" w:rsidRDefault="005F5005" w:rsidP="007B3082">
      <w:pPr>
        <w:tabs>
          <w:tab w:val="left" w:pos="720"/>
        </w:tabs>
        <w:spacing w:line="480" w:lineRule="auto"/>
        <w:ind w:firstLine="720"/>
        <w:rPr>
          <w:szCs w:val="24"/>
        </w:rPr>
      </w:pPr>
      <w:r>
        <w:rPr>
          <w:rFonts w:eastAsia="Times New Roman"/>
          <w:szCs w:val="24"/>
        </w:rPr>
        <w:t>On October</w:t>
      </w:r>
      <w:r w:rsidR="00FE425B">
        <w:rPr>
          <w:rFonts w:eastAsia="Times New Roman"/>
          <w:szCs w:val="24"/>
        </w:rPr>
        <w:t> </w:t>
      </w:r>
      <w:r>
        <w:rPr>
          <w:rFonts w:eastAsia="Times New Roman"/>
          <w:szCs w:val="24"/>
        </w:rPr>
        <w:t>2, 2015, OCTC filed a four</w:t>
      </w:r>
      <w:r w:rsidR="00FE425B">
        <w:rPr>
          <w:rFonts w:eastAsia="Times New Roman"/>
          <w:szCs w:val="24"/>
        </w:rPr>
        <w:t>-</w:t>
      </w:r>
      <w:r>
        <w:rPr>
          <w:rFonts w:eastAsia="Times New Roman"/>
          <w:szCs w:val="24"/>
        </w:rPr>
        <w:t xml:space="preserve">count </w:t>
      </w:r>
      <w:r w:rsidR="00015966">
        <w:rPr>
          <w:rFonts w:eastAsia="Times New Roman"/>
          <w:szCs w:val="24"/>
        </w:rPr>
        <w:t>N</w:t>
      </w:r>
      <w:r w:rsidR="004E2A52">
        <w:rPr>
          <w:rFonts w:eastAsia="Times New Roman"/>
          <w:szCs w:val="24"/>
        </w:rPr>
        <w:t>otice of Disciplinary Charges (N</w:t>
      </w:r>
      <w:r w:rsidR="00015966">
        <w:rPr>
          <w:rFonts w:eastAsia="Times New Roman"/>
          <w:szCs w:val="24"/>
        </w:rPr>
        <w:t>DC</w:t>
      </w:r>
      <w:r w:rsidR="004E2A52">
        <w:rPr>
          <w:rFonts w:eastAsia="Times New Roman"/>
          <w:szCs w:val="24"/>
        </w:rPr>
        <w:t xml:space="preserve">) </w:t>
      </w:r>
      <w:r w:rsidR="003A34E1">
        <w:rPr>
          <w:rFonts w:eastAsia="Times New Roman"/>
          <w:szCs w:val="24"/>
        </w:rPr>
        <w:t>against</w:t>
      </w:r>
      <w:r>
        <w:rPr>
          <w:rFonts w:eastAsia="Times New Roman"/>
          <w:szCs w:val="24"/>
        </w:rPr>
        <w:t xml:space="preserve"> Kun</w:t>
      </w:r>
      <w:r w:rsidR="003A34E1">
        <w:rPr>
          <w:rFonts w:eastAsia="Times New Roman"/>
          <w:szCs w:val="24"/>
        </w:rPr>
        <w:t>.  Specifically, OCTC alleged that Kun</w:t>
      </w:r>
      <w:r>
        <w:rPr>
          <w:rFonts w:eastAsia="Times New Roman"/>
          <w:szCs w:val="24"/>
        </w:rPr>
        <w:t xml:space="preserve"> (1)</w:t>
      </w:r>
      <w:r w:rsidR="006848D5">
        <w:rPr>
          <w:rFonts w:eastAsia="Times New Roman"/>
          <w:szCs w:val="24"/>
        </w:rPr>
        <w:t> </w:t>
      </w:r>
      <w:r w:rsidR="00E37A44">
        <w:rPr>
          <w:rFonts w:eastAsia="Times New Roman"/>
          <w:szCs w:val="24"/>
        </w:rPr>
        <w:t xml:space="preserve">failed to maintain </w:t>
      </w:r>
      <w:r w:rsidR="009F3AB2">
        <w:rPr>
          <w:rFonts w:eastAsia="Times New Roman"/>
          <w:szCs w:val="24"/>
        </w:rPr>
        <w:t xml:space="preserve">$460 on behalf of his </w:t>
      </w:r>
      <w:r w:rsidR="00E37A44">
        <w:rPr>
          <w:rFonts w:eastAsia="Times New Roman"/>
          <w:szCs w:val="24"/>
        </w:rPr>
        <w:t>client in his trust account</w:t>
      </w:r>
      <w:r w:rsidR="006848D5">
        <w:rPr>
          <w:rFonts w:eastAsia="Times New Roman"/>
          <w:szCs w:val="24"/>
        </w:rPr>
        <w:t>,</w:t>
      </w:r>
      <w:r w:rsidR="00E37A44">
        <w:rPr>
          <w:rFonts w:eastAsia="Times New Roman"/>
          <w:szCs w:val="24"/>
        </w:rPr>
        <w:t xml:space="preserve"> in violation of rule</w:t>
      </w:r>
      <w:r w:rsidR="006848D5">
        <w:rPr>
          <w:rFonts w:eastAsia="Times New Roman"/>
          <w:szCs w:val="24"/>
        </w:rPr>
        <w:t> </w:t>
      </w:r>
      <w:r w:rsidR="00E37A44">
        <w:rPr>
          <w:rFonts w:eastAsia="Times New Roman"/>
          <w:szCs w:val="24"/>
        </w:rPr>
        <w:t>4-100(A) of the Rules of Professional Conduct;</w:t>
      </w:r>
      <w:r w:rsidR="00E37A44" w:rsidRPr="00E37A44">
        <w:rPr>
          <w:rFonts w:eastAsia="Times New Roman"/>
          <w:szCs w:val="24"/>
          <w:vertAlign w:val="superscript"/>
        </w:rPr>
        <w:footnoteReference w:id="3"/>
      </w:r>
      <w:r w:rsidR="00E37A44">
        <w:rPr>
          <w:rFonts w:eastAsia="Times New Roman"/>
          <w:szCs w:val="24"/>
        </w:rPr>
        <w:t xml:space="preserve"> </w:t>
      </w:r>
      <w:r w:rsidR="00684319">
        <w:rPr>
          <w:rFonts w:eastAsia="Times New Roman"/>
          <w:szCs w:val="24"/>
        </w:rPr>
        <w:t>(2)</w:t>
      </w:r>
      <w:r w:rsidR="006848D5">
        <w:rPr>
          <w:rFonts w:eastAsia="Times New Roman"/>
          <w:szCs w:val="24"/>
        </w:rPr>
        <w:t> </w:t>
      </w:r>
      <w:r w:rsidR="00684319">
        <w:rPr>
          <w:rFonts w:eastAsia="Times New Roman"/>
          <w:szCs w:val="24"/>
        </w:rPr>
        <w:t>misappropriated client funds of $450.99</w:t>
      </w:r>
      <w:r w:rsidR="00684319">
        <w:t xml:space="preserve">, an </w:t>
      </w:r>
      <w:r w:rsidR="00684319" w:rsidRPr="00944839">
        <w:t>act involving moral turp</w:t>
      </w:r>
      <w:r w:rsidR="00684319">
        <w:t xml:space="preserve">itude, dishonesty, or </w:t>
      </w:r>
      <w:r w:rsidR="00684319">
        <w:lastRenderedPageBreak/>
        <w:t xml:space="preserve">corruption, in violation of section 6106 of the </w:t>
      </w:r>
      <w:r w:rsidR="00684319">
        <w:rPr>
          <w:szCs w:val="24"/>
        </w:rPr>
        <w:t>Business and Professions Code;</w:t>
      </w:r>
      <w:r w:rsidR="00684319">
        <w:rPr>
          <w:rStyle w:val="FootnoteReference"/>
        </w:rPr>
        <w:footnoteReference w:id="4"/>
      </w:r>
      <w:r w:rsidR="00C661B0">
        <w:rPr>
          <w:szCs w:val="24"/>
        </w:rPr>
        <w:t xml:space="preserve"> (3)</w:t>
      </w:r>
      <w:r w:rsidR="006848D5">
        <w:rPr>
          <w:szCs w:val="24"/>
        </w:rPr>
        <w:t> </w:t>
      </w:r>
      <w:r w:rsidR="00C661B0">
        <w:rPr>
          <w:szCs w:val="24"/>
        </w:rPr>
        <w:t>deposited or commingled</w:t>
      </w:r>
      <w:r w:rsidR="00684319">
        <w:rPr>
          <w:szCs w:val="24"/>
        </w:rPr>
        <w:t xml:space="preserve"> personal funds in his client trust account </w:t>
      </w:r>
      <w:r w:rsidR="006848D5">
        <w:rPr>
          <w:szCs w:val="24"/>
        </w:rPr>
        <w:t>(CTA)</w:t>
      </w:r>
      <w:r w:rsidR="00794485">
        <w:rPr>
          <w:szCs w:val="24"/>
        </w:rPr>
        <w:t>,</w:t>
      </w:r>
      <w:r w:rsidR="006848D5">
        <w:rPr>
          <w:szCs w:val="24"/>
        </w:rPr>
        <w:t xml:space="preserve"> </w:t>
      </w:r>
      <w:r w:rsidR="00684319">
        <w:rPr>
          <w:szCs w:val="24"/>
        </w:rPr>
        <w:t xml:space="preserve">in violation of </w:t>
      </w:r>
      <w:r w:rsidR="00394C0C">
        <w:rPr>
          <w:szCs w:val="24"/>
        </w:rPr>
        <w:t>rule</w:t>
      </w:r>
      <w:r w:rsidR="006848D5">
        <w:rPr>
          <w:szCs w:val="24"/>
        </w:rPr>
        <w:t> </w:t>
      </w:r>
      <w:r w:rsidR="00394C0C">
        <w:rPr>
          <w:szCs w:val="24"/>
        </w:rPr>
        <w:t>4-100(A);</w:t>
      </w:r>
      <w:r w:rsidR="00394C0C">
        <w:rPr>
          <w:rStyle w:val="FootnoteReference"/>
          <w:szCs w:val="24"/>
        </w:rPr>
        <w:footnoteReference w:id="5"/>
      </w:r>
      <w:r w:rsidR="00C661B0">
        <w:rPr>
          <w:szCs w:val="24"/>
        </w:rPr>
        <w:t xml:space="preserve"> and (4)</w:t>
      </w:r>
      <w:r w:rsidR="006848D5">
        <w:rPr>
          <w:szCs w:val="24"/>
        </w:rPr>
        <w:t> </w:t>
      </w:r>
      <w:r w:rsidR="00C661B0">
        <w:rPr>
          <w:szCs w:val="24"/>
        </w:rPr>
        <w:t>paid</w:t>
      </w:r>
      <w:r w:rsidR="00F85B14">
        <w:rPr>
          <w:szCs w:val="24"/>
        </w:rPr>
        <w:t xml:space="preserve"> personal expenses with funds from his </w:t>
      </w:r>
      <w:r w:rsidR="006848D5">
        <w:rPr>
          <w:szCs w:val="24"/>
        </w:rPr>
        <w:t>CTA,</w:t>
      </w:r>
      <w:r w:rsidR="00F85B14">
        <w:rPr>
          <w:szCs w:val="24"/>
        </w:rPr>
        <w:t xml:space="preserve"> in violation of rule</w:t>
      </w:r>
      <w:r w:rsidR="009C5015">
        <w:rPr>
          <w:szCs w:val="24"/>
        </w:rPr>
        <w:t> </w:t>
      </w:r>
      <w:r w:rsidR="00F85B14">
        <w:rPr>
          <w:szCs w:val="24"/>
        </w:rPr>
        <w:t xml:space="preserve">4-100(A).  </w:t>
      </w:r>
    </w:p>
    <w:p w:rsidR="007D0795" w:rsidRDefault="007D0795" w:rsidP="00183425">
      <w:pPr>
        <w:tabs>
          <w:tab w:val="left" w:pos="720"/>
        </w:tabs>
        <w:spacing w:line="480" w:lineRule="auto"/>
        <w:ind w:firstLine="720"/>
      </w:pPr>
      <w:r>
        <w:rPr>
          <w:szCs w:val="24"/>
        </w:rPr>
        <w:t>On January</w:t>
      </w:r>
      <w:r w:rsidR="009C5015">
        <w:rPr>
          <w:szCs w:val="24"/>
        </w:rPr>
        <w:t> </w:t>
      </w:r>
      <w:r>
        <w:rPr>
          <w:szCs w:val="24"/>
        </w:rPr>
        <w:t xml:space="preserve">22, 2016, </w:t>
      </w:r>
      <w:r w:rsidR="00C3352C">
        <w:rPr>
          <w:szCs w:val="24"/>
        </w:rPr>
        <w:t xml:space="preserve">the first day of trial, </w:t>
      </w:r>
      <w:r>
        <w:rPr>
          <w:szCs w:val="24"/>
        </w:rPr>
        <w:t xml:space="preserve">the parties filed a </w:t>
      </w:r>
      <w:r>
        <w:t>Stipulation as to F</w:t>
      </w:r>
      <w:r w:rsidR="008F158F">
        <w:t xml:space="preserve">acts and Admission of Documents.  </w:t>
      </w:r>
      <w:r>
        <w:t xml:space="preserve">On </w:t>
      </w:r>
      <w:r w:rsidR="00C661B0">
        <w:t>February</w:t>
      </w:r>
      <w:r w:rsidR="009C5015">
        <w:t> </w:t>
      </w:r>
      <w:r>
        <w:t>16, 2016, the parties filed a Suppl</w:t>
      </w:r>
      <w:r w:rsidR="008F158F">
        <w:t xml:space="preserve">emental Stipulation as to Facts.  </w:t>
      </w:r>
      <w:r w:rsidR="003F4F0F">
        <w:t>Trial was held on J</w:t>
      </w:r>
      <w:r w:rsidR="00586EED">
        <w:t>anuary</w:t>
      </w:r>
      <w:r w:rsidR="009C5015">
        <w:t> </w:t>
      </w:r>
      <w:r w:rsidR="00586EED">
        <w:t>22, 2016</w:t>
      </w:r>
      <w:r w:rsidR="004B6BBA">
        <w:t>,</w:t>
      </w:r>
      <w:r w:rsidR="003F4F0F">
        <w:t xml:space="preserve"> and February</w:t>
      </w:r>
      <w:r w:rsidR="009C5015">
        <w:t> </w:t>
      </w:r>
      <w:r w:rsidR="003F4F0F">
        <w:t>16, 2016.  The hearing judge issued her decision on June</w:t>
      </w:r>
      <w:r w:rsidR="009C5015">
        <w:t> </w:t>
      </w:r>
      <w:r w:rsidR="003F4F0F">
        <w:t xml:space="preserve">2, 2016.  </w:t>
      </w:r>
    </w:p>
    <w:p w:rsidR="00E125C0" w:rsidRPr="00A54C67" w:rsidRDefault="00995BA2" w:rsidP="00A54C67">
      <w:pPr>
        <w:pStyle w:val="Heading3"/>
      </w:pPr>
      <w:r>
        <w:t xml:space="preserve">II.  </w:t>
      </w:r>
      <w:r w:rsidR="00B31553">
        <w:t>CHALLENGE TO</w:t>
      </w:r>
      <w:r w:rsidR="006974E5">
        <w:t xml:space="preserve"> DENIAL OF MOTION TO </w:t>
      </w:r>
      <w:r w:rsidR="00586EED">
        <w:t>SU</w:t>
      </w:r>
      <w:r w:rsidR="009C5015">
        <w:t>P</w:t>
      </w:r>
      <w:r w:rsidR="00586EED">
        <w:t>PRESS EVIDENCE</w:t>
      </w:r>
    </w:p>
    <w:p w:rsidR="00995BA2" w:rsidRDefault="00E125C0" w:rsidP="00183425">
      <w:pPr>
        <w:tabs>
          <w:tab w:val="left" w:pos="720"/>
        </w:tabs>
        <w:spacing w:line="480" w:lineRule="auto"/>
        <w:ind w:firstLine="720"/>
        <w:rPr>
          <w:rFonts w:eastAsia="Times New Roman"/>
          <w:szCs w:val="24"/>
        </w:rPr>
      </w:pPr>
      <w:r>
        <w:rPr>
          <w:rFonts w:eastAsia="Times New Roman"/>
          <w:szCs w:val="24"/>
        </w:rPr>
        <w:t xml:space="preserve">Prior to his disciplinary trial, Kun filed a </w:t>
      </w:r>
      <w:r w:rsidR="009C5015">
        <w:rPr>
          <w:rFonts w:eastAsia="Times New Roman"/>
          <w:szCs w:val="24"/>
        </w:rPr>
        <w:t>m</w:t>
      </w:r>
      <w:r>
        <w:rPr>
          <w:rFonts w:eastAsia="Times New Roman"/>
          <w:szCs w:val="24"/>
        </w:rPr>
        <w:t xml:space="preserve">otion to </w:t>
      </w:r>
      <w:r w:rsidR="009C5015">
        <w:rPr>
          <w:rFonts w:eastAsia="Times New Roman"/>
          <w:szCs w:val="24"/>
        </w:rPr>
        <w:t>s</w:t>
      </w:r>
      <w:r>
        <w:rPr>
          <w:rFonts w:eastAsia="Times New Roman"/>
          <w:szCs w:val="24"/>
        </w:rPr>
        <w:t xml:space="preserve">uppress </w:t>
      </w:r>
      <w:r w:rsidR="009C5015">
        <w:rPr>
          <w:rFonts w:eastAsia="Times New Roman"/>
          <w:szCs w:val="24"/>
        </w:rPr>
        <w:t>e</w:t>
      </w:r>
      <w:r>
        <w:rPr>
          <w:rFonts w:eastAsia="Times New Roman"/>
          <w:szCs w:val="24"/>
        </w:rPr>
        <w:t>vidence, which sought to quash OCTC’s su</w:t>
      </w:r>
      <w:r w:rsidR="00DB7B0C">
        <w:rPr>
          <w:rFonts w:eastAsia="Times New Roman"/>
          <w:szCs w:val="24"/>
        </w:rPr>
        <w:t xml:space="preserve">bpoena to Bank of the West for </w:t>
      </w:r>
      <w:r>
        <w:rPr>
          <w:rFonts w:eastAsia="Times New Roman"/>
          <w:szCs w:val="24"/>
        </w:rPr>
        <w:t xml:space="preserve">production of </w:t>
      </w:r>
      <w:r w:rsidR="00794485">
        <w:rPr>
          <w:rFonts w:eastAsia="Times New Roman"/>
          <w:szCs w:val="24"/>
        </w:rPr>
        <w:t>Kun’s</w:t>
      </w:r>
      <w:r w:rsidR="003B4AD9">
        <w:rPr>
          <w:rFonts w:eastAsia="Times New Roman"/>
          <w:szCs w:val="24"/>
        </w:rPr>
        <w:t xml:space="preserve"> CTA </w:t>
      </w:r>
      <w:r>
        <w:rPr>
          <w:rFonts w:eastAsia="Times New Roman"/>
          <w:szCs w:val="24"/>
        </w:rPr>
        <w:t>records.</w:t>
      </w:r>
      <w:r w:rsidR="003B4AD9">
        <w:rPr>
          <w:rStyle w:val="FootnoteReference"/>
          <w:rFonts w:eastAsia="Times New Roman"/>
          <w:szCs w:val="24"/>
        </w:rPr>
        <w:footnoteReference w:id="6"/>
      </w:r>
      <w:r>
        <w:rPr>
          <w:rFonts w:eastAsia="Times New Roman"/>
          <w:szCs w:val="24"/>
        </w:rPr>
        <w:t xml:space="preserve">  </w:t>
      </w:r>
      <w:r w:rsidR="00215D33">
        <w:rPr>
          <w:rFonts w:eastAsia="Times New Roman"/>
          <w:szCs w:val="24"/>
        </w:rPr>
        <w:t>Kun claimed that the subpoena lacked probable cause</w:t>
      </w:r>
      <w:r w:rsidR="00697BB5">
        <w:rPr>
          <w:rFonts w:eastAsia="Times New Roman"/>
          <w:szCs w:val="24"/>
        </w:rPr>
        <w:t xml:space="preserve"> and was facially defective</w:t>
      </w:r>
      <w:r w:rsidR="00215D33">
        <w:rPr>
          <w:rFonts w:eastAsia="Times New Roman"/>
          <w:szCs w:val="24"/>
        </w:rPr>
        <w:t xml:space="preserve">.  </w:t>
      </w:r>
      <w:r>
        <w:rPr>
          <w:rFonts w:eastAsia="Times New Roman"/>
          <w:szCs w:val="24"/>
        </w:rPr>
        <w:t>The hearing judge denied th</w:t>
      </w:r>
      <w:r w:rsidR="00706366">
        <w:rPr>
          <w:rFonts w:eastAsia="Times New Roman"/>
          <w:szCs w:val="24"/>
        </w:rPr>
        <w:t>at</w:t>
      </w:r>
      <w:r>
        <w:rPr>
          <w:rFonts w:eastAsia="Times New Roman"/>
          <w:szCs w:val="24"/>
        </w:rPr>
        <w:t xml:space="preserve"> motion on November</w:t>
      </w:r>
      <w:r w:rsidR="009C5015">
        <w:rPr>
          <w:rFonts w:eastAsia="Times New Roman"/>
          <w:szCs w:val="24"/>
        </w:rPr>
        <w:t> </w:t>
      </w:r>
      <w:r w:rsidR="00706366">
        <w:rPr>
          <w:rFonts w:eastAsia="Times New Roman"/>
          <w:szCs w:val="24"/>
        </w:rPr>
        <w:t>23, 2015</w:t>
      </w:r>
      <w:r w:rsidR="004B6BBA">
        <w:rPr>
          <w:rFonts w:eastAsia="Times New Roman"/>
          <w:szCs w:val="24"/>
        </w:rPr>
        <w:t>,</w:t>
      </w:r>
      <w:r>
        <w:rPr>
          <w:rFonts w:eastAsia="Times New Roman"/>
          <w:szCs w:val="24"/>
        </w:rPr>
        <w:t xml:space="preserve"> and a subsequent motion for reconsideration on January</w:t>
      </w:r>
      <w:r w:rsidR="009C5015">
        <w:rPr>
          <w:rFonts w:eastAsia="Times New Roman"/>
          <w:szCs w:val="24"/>
        </w:rPr>
        <w:t> </w:t>
      </w:r>
      <w:r>
        <w:rPr>
          <w:rFonts w:eastAsia="Times New Roman"/>
          <w:szCs w:val="24"/>
        </w:rPr>
        <w:t xml:space="preserve">8, 2016.  </w:t>
      </w:r>
      <w:r w:rsidR="00AA18B6">
        <w:rPr>
          <w:rFonts w:eastAsia="Times New Roman"/>
          <w:szCs w:val="24"/>
        </w:rPr>
        <w:t>Now,</w:t>
      </w:r>
      <w:r>
        <w:rPr>
          <w:rFonts w:eastAsia="Times New Roman"/>
          <w:szCs w:val="24"/>
        </w:rPr>
        <w:t xml:space="preserve"> on review, Kun asks tha</w:t>
      </w:r>
      <w:r w:rsidR="00995BA2">
        <w:rPr>
          <w:rFonts w:eastAsia="Times New Roman"/>
          <w:szCs w:val="24"/>
        </w:rPr>
        <w:t xml:space="preserve">t we review the </w:t>
      </w:r>
      <w:r w:rsidR="00794485">
        <w:rPr>
          <w:rFonts w:eastAsia="Times New Roman"/>
          <w:szCs w:val="24"/>
        </w:rPr>
        <w:t xml:space="preserve">hearing </w:t>
      </w:r>
      <w:r w:rsidR="00995BA2">
        <w:rPr>
          <w:rFonts w:eastAsia="Times New Roman"/>
          <w:szCs w:val="24"/>
        </w:rPr>
        <w:t>judge’s orders.</w:t>
      </w:r>
      <w:r w:rsidR="00865A49">
        <w:rPr>
          <w:rFonts w:eastAsia="Times New Roman"/>
          <w:szCs w:val="24"/>
        </w:rPr>
        <w:t xml:space="preserve">  </w:t>
      </w:r>
      <w:r w:rsidR="008C7C71">
        <w:rPr>
          <w:rFonts w:eastAsia="Times New Roman"/>
          <w:szCs w:val="24"/>
        </w:rPr>
        <w:t>As analyzed below, we</w:t>
      </w:r>
      <w:r w:rsidR="00865A49">
        <w:rPr>
          <w:rFonts w:eastAsia="Times New Roman"/>
          <w:szCs w:val="24"/>
        </w:rPr>
        <w:t xml:space="preserve"> find that Kun’s challenge to the judge’s order</w:t>
      </w:r>
      <w:r w:rsidR="00F02247">
        <w:rPr>
          <w:rFonts w:eastAsia="Times New Roman"/>
          <w:szCs w:val="24"/>
        </w:rPr>
        <w:t>s</w:t>
      </w:r>
      <w:r w:rsidR="00865A49">
        <w:rPr>
          <w:rFonts w:eastAsia="Times New Roman"/>
          <w:szCs w:val="24"/>
        </w:rPr>
        <w:t xml:space="preserve"> </w:t>
      </w:r>
      <w:r w:rsidR="00F02247">
        <w:rPr>
          <w:rFonts w:eastAsia="Times New Roman"/>
          <w:szCs w:val="24"/>
        </w:rPr>
        <w:t>is</w:t>
      </w:r>
      <w:r w:rsidR="00865A49">
        <w:rPr>
          <w:rFonts w:eastAsia="Times New Roman"/>
          <w:szCs w:val="24"/>
        </w:rPr>
        <w:t xml:space="preserve"> untimely</w:t>
      </w:r>
      <w:r w:rsidR="005D67CA">
        <w:rPr>
          <w:rFonts w:eastAsia="Times New Roman"/>
          <w:szCs w:val="24"/>
        </w:rPr>
        <w:t xml:space="preserve">, </w:t>
      </w:r>
      <w:r w:rsidR="00865A49">
        <w:rPr>
          <w:rFonts w:eastAsia="Times New Roman"/>
          <w:szCs w:val="24"/>
        </w:rPr>
        <w:t>procedurally improper</w:t>
      </w:r>
      <w:r w:rsidR="005D67CA">
        <w:rPr>
          <w:rFonts w:eastAsia="Times New Roman"/>
          <w:szCs w:val="24"/>
        </w:rPr>
        <w:t xml:space="preserve">, and </w:t>
      </w:r>
      <w:r w:rsidR="00697BB5">
        <w:rPr>
          <w:rFonts w:eastAsia="Times New Roman"/>
          <w:szCs w:val="24"/>
        </w:rPr>
        <w:t xml:space="preserve">otherwise </w:t>
      </w:r>
      <w:r w:rsidR="005D67CA">
        <w:rPr>
          <w:rFonts w:eastAsia="Times New Roman"/>
          <w:szCs w:val="24"/>
        </w:rPr>
        <w:t>unmeritorious.</w:t>
      </w:r>
    </w:p>
    <w:p w:rsidR="000F5E35" w:rsidRDefault="00E125C0" w:rsidP="00183425">
      <w:pPr>
        <w:tabs>
          <w:tab w:val="left" w:pos="720"/>
        </w:tabs>
        <w:spacing w:line="480" w:lineRule="auto"/>
        <w:ind w:firstLine="720"/>
        <w:rPr>
          <w:rFonts w:eastAsia="Times New Roman"/>
          <w:szCs w:val="24"/>
        </w:rPr>
      </w:pPr>
      <w:r>
        <w:rPr>
          <w:rFonts w:eastAsia="Times New Roman"/>
          <w:szCs w:val="24"/>
        </w:rPr>
        <w:t>Grants or denials of pretrial motions may be reviewed by the Review Department pursuant to the procedures for interlocutory review if the aggrieved party seeks review within 15 days of the judge’s order(s).  (</w:t>
      </w:r>
      <w:r>
        <w:rPr>
          <w:szCs w:val="24"/>
        </w:rPr>
        <w:t>Rules Proc. of State Bar, r</w:t>
      </w:r>
      <w:r>
        <w:rPr>
          <w:rFonts w:eastAsia="Times New Roman"/>
          <w:szCs w:val="24"/>
        </w:rPr>
        <w:t>ule</w:t>
      </w:r>
      <w:r w:rsidR="009C5015">
        <w:rPr>
          <w:rFonts w:eastAsia="Times New Roman"/>
          <w:szCs w:val="24"/>
        </w:rPr>
        <w:t> </w:t>
      </w:r>
      <w:r>
        <w:rPr>
          <w:rFonts w:eastAsia="Times New Roman"/>
          <w:szCs w:val="24"/>
        </w:rPr>
        <w:t xml:space="preserve">5.150.)  Kun, however, did not file a </w:t>
      </w:r>
    </w:p>
    <w:p w:rsidR="000F5E35" w:rsidRDefault="000F5E35">
      <w:pPr>
        <w:rPr>
          <w:rFonts w:eastAsia="Times New Roman"/>
          <w:szCs w:val="24"/>
        </w:rPr>
      </w:pPr>
      <w:r>
        <w:rPr>
          <w:rFonts w:eastAsia="Times New Roman"/>
          <w:szCs w:val="24"/>
        </w:rPr>
        <w:br w:type="page"/>
      </w:r>
    </w:p>
    <w:p w:rsidR="00E125C0" w:rsidRDefault="00E125C0" w:rsidP="000F5E35">
      <w:pPr>
        <w:tabs>
          <w:tab w:val="left" w:pos="720"/>
        </w:tabs>
        <w:spacing w:line="480" w:lineRule="auto"/>
        <w:rPr>
          <w:rFonts w:eastAsia="Times New Roman"/>
          <w:szCs w:val="24"/>
        </w:rPr>
      </w:pPr>
      <w:r>
        <w:rPr>
          <w:rFonts w:eastAsia="Times New Roman"/>
          <w:szCs w:val="24"/>
        </w:rPr>
        <w:lastRenderedPageBreak/>
        <w:t xml:space="preserve">request for interlocutory review.  Instead, </w:t>
      </w:r>
      <w:r w:rsidR="003A34E1">
        <w:rPr>
          <w:rFonts w:eastAsia="Times New Roman"/>
          <w:szCs w:val="24"/>
        </w:rPr>
        <w:t>after</w:t>
      </w:r>
      <w:r>
        <w:rPr>
          <w:rFonts w:eastAsia="Times New Roman"/>
          <w:szCs w:val="24"/>
        </w:rPr>
        <w:t xml:space="preserve"> trial, </w:t>
      </w:r>
      <w:r w:rsidR="00133621">
        <w:rPr>
          <w:rFonts w:eastAsia="Times New Roman"/>
          <w:szCs w:val="24"/>
        </w:rPr>
        <w:t>he</w:t>
      </w:r>
      <w:r w:rsidR="00EE2DF9">
        <w:rPr>
          <w:rFonts w:eastAsia="Times New Roman"/>
          <w:szCs w:val="24"/>
        </w:rPr>
        <w:t xml:space="preserve"> </w:t>
      </w:r>
      <w:r>
        <w:rPr>
          <w:rFonts w:eastAsia="Times New Roman"/>
          <w:szCs w:val="24"/>
        </w:rPr>
        <w:t xml:space="preserve">now seeks review of the </w:t>
      </w:r>
      <w:r w:rsidR="00794485">
        <w:rPr>
          <w:rFonts w:eastAsia="Times New Roman"/>
          <w:szCs w:val="24"/>
        </w:rPr>
        <w:t xml:space="preserve">hearing </w:t>
      </w:r>
      <w:r>
        <w:rPr>
          <w:rFonts w:eastAsia="Times New Roman"/>
          <w:szCs w:val="24"/>
        </w:rPr>
        <w:t xml:space="preserve">judge’s orders pursuant to rule 5.151, which provides </w:t>
      </w:r>
      <w:r w:rsidR="000F5E35">
        <w:rPr>
          <w:rFonts w:eastAsia="Times New Roman"/>
          <w:szCs w:val="24"/>
        </w:rPr>
        <w:t xml:space="preserve">for </w:t>
      </w:r>
      <w:r>
        <w:rPr>
          <w:rFonts w:eastAsia="Times New Roman"/>
          <w:szCs w:val="24"/>
        </w:rPr>
        <w:t>review of Hearing Department decisions and orders “that fully dispose of an entire proceeding.”  (</w:t>
      </w:r>
      <w:r>
        <w:rPr>
          <w:szCs w:val="24"/>
        </w:rPr>
        <w:t>Rules Proc. of State Bar, r</w:t>
      </w:r>
      <w:r>
        <w:rPr>
          <w:rFonts w:eastAsia="Times New Roman"/>
          <w:szCs w:val="24"/>
        </w:rPr>
        <w:t>ule</w:t>
      </w:r>
      <w:r w:rsidR="00EE2DF9">
        <w:rPr>
          <w:rFonts w:eastAsia="Times New Roman"/>
          <w:szCs w:val="24"/>
        </w:rPr>
        <w:t> </w:t>
      </w:r>
      <w:r>
        <w:rPr>
          <w:rFonts w:eastAsia="Times New Roman"/>
          <w:szCs w:val="24"/>
        </w:rPr>
        <w:t xml:space="preserve">5.151(A).)  Further, Kun did not </w:t>
      </w:r>
      <w:r w:rsidR="00DB1218">
        <w:rPr>
          <w:rFonts w:eastAsia="Times New Roman"/>
          <w:szCs w:val="24"/>
        </w:rPr>
        <w:t>supplement</w:t>
      </w:r>
      <w:r>
        <w:rPr>
          <w:rFonts w:eastAsia="Times New Roman"/>
          <w:szCs w:val="24"/>
        </w:rPr>
        <w:t xml:space="preserve"> his briefs with the materials required for review</w:t>
      </w:r>
      <w:r w:rsidR="005D12C3">
        <w:rPr>
          <w:rFonts w:eastAsia="Times New Roman"/>
          <w:szCs w:val="24"/>
        </w:rPr>
        <w:t xml:space="preserve"> of his motion to suppress</w:t>
      </w:r>
      <w:r>
        <w:rPr>
          <w:rFonts w:eastAsia="Times New Roman"/>
          <w:szCs w:val="24"/>
        </w:rPr>
        <w:t>.  (</w:t>
      </w:r>
      <w:r>
        <w:rPr>
          <w:szCs w:val="24"/>
        </w:rPr>
        <w:t>Rules Proc. of State Bar, r</w:t>
      </w:r>
      <w:r>
        <w:rPr>
          <w:rFonts w:eastAsia="Times New Roman"/>
          <w:szCs w:val="24"/>
        </w:rPr>
        <w:t>ule</w:t>
      </w:r>
      <w:r w:rsidR="00DB1218">
        <w:rPr>
          <w:rFonts w:eastAsia="Times New Roman"/>
          <w:szCs w:val="24"/>
        </w:rPr>
        <w:t> </w:t>
      </w:r>
      <w:r>
        <w:rPr>
          <w:rFonts w:eastAsia="Times New Roman"/>
          <w:szCs w:val="24"/>
        </w:rPr>
        <w:t xml:space="preserve">5.150(C) [interlocutory petition must be supported by appendix containing copy of written order or audiotape of hearing and copies of all related pleadings].)  </w:t>
      </w:r>
      <w:r w:rsidR="00477F98">
        <w:rPr>
          <w:rFonts w:eastAsia="Times New Roman"/>
          <w:szCs w:val="24"/>
        </w:rPr>
        <w:t>Thus, we are unable to evaluate his claim on review</w:t>
      </w:r>
      <w:r w:rsidR="00B85509">
        <w:rPr>
          <w:rFonts w:eastAsia="Times New Roman"/>
          <w:szCs w:val="24"/>
        </w:rPr>
        <w:t xml:space="preserve"> in a meaningful manner</w:t>
      </w:r>
      <w:r w:rsidR="00477F98">
        <w:rPr>
          <w:rFonts w:eastAsia="Times New Roman"/>
          <w:szCs w:val="24"/>
        </w:rPr>
        <w:t>.</w:t>
      </w:r>
    </w:p>
    <w:p w:rsidR="000F5E35" w:rsidRDefault="00E125C0" w:rsidP="00D24488">
      <w:pPr>
        <w:tabs>
          <w:tab w:val="left" w:pos="720"/>
        </w:tabs>
        <w:spacing w:line="480" w:lineRule="auto"/>
        <w:ind w:firstLine="360"/>
        <w:rPr>
          <w:rFonts w:eastAsia="Times New Roman"/>
          <w:szCs w:val="24"/>
        </w:rPr>
      </w:pPr>
      <w:r>
        <w:rPr>
          <w:rFonts w:eastAsia="Times New Roman"/>
          <w:szCs w:val="24"/>
        </w:rPr>
        <w:tab/>
        <w:t xml:space="preserve">Even if we were to consider </w:t>
      </w:r>
      <w:r w:rsidR="003B4AD9">
        <w:rPr>
          <w:rFonts w:eastAsia="Times New Roman"/>
          <w:szCs w:val="24"/>
        </w:rPr>
        <w:t>Kun’s challenge on the merits, his argument</w:t>
      </w:r>
      <w:r w:rsidR="00C3352C">
        <w:rPr>
          <w:rFonts w:eastAsia="Times New Roman"/>
          <w:szCs w:val="24"/>
        </w:rPr>
        <w:t>s</w:t>
      </w:r>
      <w:r>
        <w:rPr>
          <w:rFonts w:eastAsia="Times New Roman"/>
          <w:szCs w:val="24"/>
        </w:rPr>
        <w:t xml:space="preserve"> </w:t>
      </w:r>
      <w:r w:rsidR="00215D33">
        <w:rPr>
          <w:rFonts w:eastAsia="Times New Roman"/>
          <w:szCs w:val="24"/>
        </w:rPr>
        <w:t>that the subpoena lacked probable cause and is faci</w:t>
      </w:r>
      <w:r w:rsidR="00BB7EEC">
        <w:rPr>
          <w:rFonts w:eastAsia="Times New Roman"/>
          <w:szCs w:val="24"/>
        </w:rPr>
        <w:t xml:space="preserve">ally defective </w:t>
      </w:r>
      <w:r>
        <w:rPr>
          <w:rFonts w:eastAsia="Times New Roman"/>
          <w:szCs w:val="24"/>
        </w:rPr>
        <w:t>would fail.  As noted on the face of the subpoena, Kun has irrevocably authorized disclosure of his trust fund records to the State Bar by operation of law.  “Every member of the State Bar shall be deemed by operation of . . . law to have irrevocably authorized the disclosure to the State Bar and the Supreme Court . . . of any and all financial records held by financial institutions . . . .”  (</w:t>
      </w:r>
      <w:r w:rsidR="000F5E35">
        <w:rPr>
          <w:rFonts w:eastAsia="Times New Roman"/>
          <w:szCs w:val="24"/>
        </w:rPr>
        <w:t>§</w:t>
      </w:r>
      <w:r w:rsidR="0043780F">
        <w:rPr>
          <w:rFonts w:eastAsia="Times New Roman"/>
          <w:szCs w:val="24"/>
        </w:rPr>
        <w:t> </w:t>
      </w:r>
      <w:r>
        <w:rPr>
          <w:rFonts w:eastAsia="Times New Roman"/>
          <w:szCs w:val="24"/>
        </w:rPr>
        <w:t>6069</w:t>
      </w:r>
      <w:r w:rsidR="0043780F">
        <w:rPr>
          <w:rFonts w:eastAsia="Times New Roman"/>
          <w:szCs w:val="24"/>
        </w:rPr>
        <w:t>, subd</w:t>
      </w:r>
      <w:r w:rsidR="000F5E35">
        <w:rPr>
          <w:rFonts w:eastAsia="Times New Roman"/>
          <w:szCs w:val="24"/>
        </w:rPr>
        <w:t>.</w:t>
      </w:r>
      <w:r w:rsidR="0043780F">
        <w:rPr>
          <w:rFonts w:eastAsia="Times New Roman"/>
          <w:szCs w:val="24"/>
        </w:rPr>
        <w:t> </w:t>
      </w:r>
      <w:r>
        <w:rPr>
          <w:rFonts w:eastAsia="Times New Roman"/>
          <w:szCs w:val="24"/>
        </w:rPr>
        <w:t xml:space="preserve">(a).)  </w:t>
      </w:r>
      <w:r w:rsidR="006043B2">
        <w:rPr>
          <w:rFonts w:eastAsia="Times New Roman"/>
          <w:szCs w:val="24"/>
        </w:rPr>
        <w:t>Further, t</w:t>
      </w:r>
      <w:r w:rsidR="002630D6">
        <w:rPr>
          <w:rFonts w:eastAsia="Times New Roman"/>
          <w:szCs w:val="24"/>
        </w:rPr>
        <w:t>he Supreme Court has held</w:t>
      </w:r>
      <w:r w:rsidR="006043B2">
        <w:rPr>
          <w:rFonts w:eastAsia="Times New Roman"/>
          <w:szCs w:val="24"/>
        </w:rPr>
        <w:t xml:space="preserve"> that </w:t>
      </w:r>
      <w:r w:rsidR="002630D6">
        <w:rPr>
          <w:rFonts w:eastAsia="Times New Roman"/>
          <w:szCs w:val="24"/>
        </w:rPr>
        <w:t>section</w:t>
      </w:r>
      <w:r w:rsidR="0043780F">
        <w:rPr>
          <w:rFonts w:eastAsia="Times New Roman"/>
          <w:szCs w:val="24"/>
        </w:rPr>
        <w:t> </w:t>
      </w:r>
      <w:r w:rsidR="002630D6">
        <w:rPr>
          <w:rFonts w:eastAsia="Times New Roman"/>
          <w:szCs w:val="24"/>
        </w:rPr>
        <w:t>6069</w:t>
      </w:r>
      <w:r w:rsidR="0043780F">
        <w:rPr>
          <w:rFonts w:eastAsia="Times New Roman"/>
          <w:szCs w:val="24"/>
        </w:rPr>
        <w:t>, subdivision </w:t>
      </w:r>
      <w:r w:rsidR="002630D6">
        <w:rPr>
          <w:rFonts w:eastAsia="Times New Roman"/>
          <w:szCs w:val="24"/>
        </w:rPr>
        <w:t>(a)</w:t>
      </w:r>
      <w:r w:rsidR="004E2A52">
        <w:rPr>
          <w:rFonts w:eastAsia="Times New Roman"/>
          <w:szCs w:val="24"/>
        </w:rPr>
        <w:t>,</w:t>
      </w:r>
      <w:r w:rsidR="002630D6">
        <w:rPr>
          <w:rFonts w:eastAsia="Times New Roman"/>
          <w:szCs w:val="24"/>
        </w:rPr>
        <w:t xml:space="preserve"> complies with </w:t>
      </w:r>
      <w:r w:rsidR="006043B2">
        <w:rPr>
          <w:rFonts w:eastAsia="Times New Roman"/>
          <w:szCs w:val="24"/>
        </w:rPr>
        <w:t xml:space="preserve">constitutional </w:t>
      </w:r>
      <w:r w:rsidR="00BB7EEC">
        <w:rPr>
          <w:rFonts w:eastAsia="Times New Roman"/>
          <w:szCs w:val="24"/>
        </w:rPr>
        <w:t>requirements</w:t>
      </w:r>
      <w:r w:rsidR="006043B2">
        <w:rPr>
          <w:rFonts w:eastAsia="Times New Roman"/>
          <w:szCs w:val="24"/>
        </w:rPr>
        <w:t xml:space="preserve"> and that </w:t>
      </w:r>
      <w:r w:rsidR="00445795">
        <w:rPr>
          <w:rFonts w:eastAsia="Times New Roman"/>
          <w:szCs w:val="24"/>
        </w:rPr>
        <w:t>State Bar proceedings are not criminal in nature</w:t>
      </w:r>
      <w:r w:rsidR="00133621">
        <w:rPr>
          <w:rFonts w:eastAsia="Times New Roman"/>
          <w:szCs w:val="24"/>
        </w:rPr>
        <w:t>.  Therefore,</w:t>
      </w:r>
      <w:r w:rsidR="00797D22">
        <w:rPr>
          <w:rFonts w:eastAsia="Times New Roman"/>
          <w:szCs w:val="24"/>
        </w:rPr>
        <w:t xml:space="preserve"> while Kun is entitled to a fair hearing </w:t>
      </w:r>
      <w:r w:rsidR="00964FF2">
        <w:rPr>
          <w:rFonts w:eastAsia="Times New Roman"/>
          <w:szCs w:val="24"/>
        </w:rPr>
        <w:t>(</w:t>
      </w:r>
      <w:r w:rsidR="00964FF2" w:rsidRPr="00B13AD3">
        <w:rPr>
          <w:rFonts w:eastAsia="Times New Roman"/>
          <w:i/>
          <w:szCs w:val="24"/>
        </w:rPr>
        <w:t>Dahlman v. State Bar</w:t>
      </w:r>
      <w:r w:rsidR="00964FF2" w:rsidRPr="00964FF2">
        <w:rPr>
          <w:rFonts w:eastAsia="Times New Roman"/>
          <w:szCs w:val="24"/>
        </w:rPr>
        <w:t xml:space="preserve"> (</w:t>
      </w:r>
      <w:r w:rsidR="00964FF2">
        <w:rPr>
          <w:rFonts w:eastAsia="Times New Roman"/>
          <w:szCs w:val="24"/>
        </w:rPr>
        <w:t>1990) 50</w:t>
      </w:r>
      <w:r w:rsidR="00B85509">
        <w:rPr>
          <w:rFonts w:eastAsia="Times New Roman"/>
          <w:szCs w:val="24"/>
        </w:rPr>
        <w:t> </w:t>
      </w:r>
      <w:r w:rsidR="00964FF2">
        <w:rPr>
          <w:rFonts w:eastAsia="Times New Roman"/>
          <w:szCs w:val="24"/>
        </w:rPr>
        <w:t>Cal.3d 1088, 1094-1095</w:t>
      </w:r>
      <w:r w:rsidR="00964FF2" w:rsidRPr="00964FF2">
        <w:rPr>
          <w:rFonts w:eastAsia="Times New Roman"/>
          <w:szCs w:val="24"/>
        </w:rPr>
        <w:t>)</w:t>
      </w:r>
      <w:r w:rsidR="00964FF2">
        <w:rPr>
          <w:rFonts w:eastAsia="Times New Roman"/>
          <w:szCs w:val="24"/>
        </w:rPr>
        <w:t>,</w:t>
      </w:r>
      <w:r w:rsidR="00445795">
        <w:rPr>
          <w:rFonts w:eastAsia="Times New Roman"/>
          <w:szCs w:val="24"/>
        </w:rPr>
        <w:t xml:space="preserve"> “</w:t>
      </w:r>
      <w:r w:rsidR="00445795" w:rsidRPr="00445795">
        <w:rPr>
          <w:rFonts w:eastAsia="Times New Roman"/>
          <w:szCs w:val="24"/>
        </w:rPr>
        <w:t>particular procedural safeguards applicable in criminal and civil litigation are not required in disciplinary proceedings to insure a right to due process</w:t>
      </w:r>
      <w:r w:rsidR="00445795">
        <w:rPr>
          <w:rFonts w:eastAsia="Times New Roman"/>
          <w:szCs w:val="24"/>
        </w:rPr>
        <w:t>.”  (</w:t>
      </w:r>
      <w:r w:rsidR="00445795">
        <w:rPr>
          <w:rFonts w:eastAsia="Times New Roman"/>
          <w:i/>
          <w:szCs w:val="24"/>
        </w:rPr>
        <w:t>Giovanazzi v. State Bar</w:t>
      </w:r>
      <w:r w:rsidR="00445795">
        <w:rPr>
          <w:rFonts w:eastAsia="Times New Roman"/>
          <w:szCs w:val="24"/>
        </w:rPr>
        <w:t xml:space="preserve"> (1980) 28</w:t>
      </w:r>
      <w:r w:rsidR="0043780F">
        <w:rPr>
          <w:rFonts w:eastAsia="Times New Roman"/>
          <w:szCs w:val="24"/>
        </w:rPr>
        <w:t> </w:t>
      </w:r>
      <w:r w:rsidR="00445795">
        <w:rPr>
          <w:rFonts w:eastAsia="Times New Roman"/>
          <w:szCs w:val="24"/>
        </w:rPr>
        <w:t>Cal.3d 465</w:t>
      </w:r>
      <w:r w:rsidR="000F5E35">
        <w:rPr>
          <w:rFonts w:eastAsia="Times New Roman"/>
          <w:szCs w:val="24"/>
        </w:rPr>
        <w:t>, 472</w:t>
      </w:r>
      <w:r w:rsidR="00445795">
        <w:rPr>
          <w:rFonts w:eastAsia="Times New Roman"/>
          <w:szCs w:val="24"/>
        </w:rPr>
        <w:t xml:space="preserve">; </w:t>
      </w:r>
      <w:r w:rsidR="000F5E35">
        <w:rPr>
          <w:rFonts w:eastAsia="Times New Roman"/>
          <w:szCs w:val="24"/>
        </w:rPr>
        <w:t xml:space="preserve">see also </w:t>
      </w:r>
      <w:r w:rsidR="00445795">
        <w:rPr>
          <w:rFonts w:eastAsia="Times New Roman"/>
          <w:i/>
          <w:szCs w:val="24"/>
        </w:rPr>
        <w:t>Doyle v. State Bar</w:t>
      </w:r>
      <w:r w:rsidR="00445795">
        <w:rPr>
          <w:rFonts w:eastAsia="Times New Roman"/>
          <w:szCs w:val="24"/>
        </w:rPr>
        <w:t xml:space="preserve"> (1982) 32</w:t>
      </w:r>
      <w:r w:rsidR="0043780F">
        <w:rPr>
          <w:rFonts w:eastAsia="Times New Roman"/>
          <w:szCs w:val="24"/>
        </w:rPr>
        <w:t> </w:t>
      </w:r>
      <w:r w:rsidR="00445795">
        <w:rPr>
          <w:rFonts w:eastAsia="Times New Roman"/>
          <w:szCs w:val="24"/>
        </w:rPr>
        <w:t>Cal.3d 12.)</w:t>
      </w:r>
    </w:p>
    <w:p w:rsidR="000F5E35" w:rsidRDefault="000F5E35">
      <w:pPr>
        <w:rPr>
          <w:rFonts w:eastAsia="Times New Roman"/>
          <w:szCs w:val="24"/>
        </w:rPr>
      </w:pPr>
      <w:r>
        <w:rPr>
          <w:rFonts w:eastAsia="Times New Roman"/>
          <w:szCs w:val="24"/>
        </w:rPr>
        <w:br w:type="page"/>
      </w:r>
    </w:p>
    <w:p w:rsidR="004B2267" w:rsidRDefault="00995BA2" w:rsidP="00A54C67">
      <w:pPr>
        <w:pStyle w:val="Heading3"/>
      </w:pPr>
      <w:r>
        <w:lastRenderedPageBreak/>
        <w:t xml:space="preserve">III.  </w:t>
      </w:r>
      <w:r w:rsidR="004B2267" w:rsidRPr="00C154D0">
        <w:t>FACTUAL BACKGROUND</w:t>
      </w:r>
      <w:r w:rsidR="004B2267" w:rsidRPr="00773696">
        <w:rPr>
          <w:vertAlign w:val="superscript"/>
        </w:rPr>
        <w:footnoteReference w:id="7"/>
      </w:r>
    </w:p>
    <w:p w:rsidR="000500F2" w:rsidRPr="006974E5" w:rsidRDefault="006A39E0" w:rsidP="006A39E0">
      <w:pPr>
        <w:pStyle w:val="ListParagraph"/>
        <w:tabs>
          <w:tab w:val="left" w:pos="720"/>
        </w:tabs>
        <w:spacing w:line="480" w:lineRule="auto"/>
        <w:ind w:left="0"/>
        <w:rPr>
          <w:b/>
        </w:rPr>
      </w:pPr>
      <w:r>
        <w:rPr>
          <w:b/>
        </w:rPr>
        <w:t>A.</w:t>
      </w:r>
      <w:r>
        <w:rPr>
          <w:b/>
        </w:rPr>
        <w:tab/>
      </w:r>
      <w:proofErr w:type="spellStart"/>
      <w:r w:rsidR="000500F2" w:rsidRPr="00A54C67">
        <w:rPr>
          <w:rStyle w:val="Heading4Char"/>
        </w:rPr>
        <w:t>Kun’s</w:t>
      </w:r>
      <w:proofErr w:type="spellEnd"/>
      <w:r w:rsidR="000500F2" w:rsidRPr="00A54C67">
        <w:rPr>
          <w:rStyle w:val="Heading4Char"/>
        </w:rPr>
        <w:t xml:space="preserve"> Work for </w:t>
      </w:r>
      <w:r w:rsidR="00D82013" w:rsidRPr="00A54C67">
        <w:rPr>
          <w:rStyle w:val="Heading4Char"/>
        </w:rPr>
        <w:t xml:space="preserve">Dana </w:t>
      </w:r>
      <w:proofErr w:type="spellStart"/>
      <w:r w:rsidR="00D82013" w:rsidRPr="00A54C67">
        <w:rPr>
          <w:rStyle w:val="Heading4Char"/>
        </w:rPr>
        <w:t>LeGrande</w:t>
      </w:r>
      <w:proofErr w:type="spellEnd"/>
    </w:p>
    <w:p w:rsidR="003F4F0F" w:rsidRDefault="006659F9" w:rsidP="00183425">
      <w:pPr>
        <w:tabs>
          <w:tab w:val="left" w:pos="720"/>
        </w:tabs>
        <w:spacing w:line="480" w:lineRule="auto"/>
      </w:pPr>
      <w:r>
        <w:tab/>
      </w:r>
      <w:r w:rsidR="00E94036">
        <w:t>After initially consulting with Kun d</w:t>
      </w:r>
      <w:r w:rsidR="000E14EA">
        <w:t xml:space="preserve">uring April of 2014 regarding </w:t>
      </w:r>
      <w:r w:rsidR="0033146A">
        <w:t>a separate legal matter</w:t>
      </w:r>
      <w:r w:rsidR="00B918EB">
        <w:t xml:space="preserve">, </w:t>
      </w:r>
      <w:r w:rsidR="0033146A">
        <w:t xml:space="preserve">Dana LeGrande </w:t>
      </w:r>
      <w:r w:rsidR="00B918EB">
        <w:t xml:space="preserve">subsequently hired </w:t>
      </w:r>
      <w:r w:rsidR="006A39E0">
        <w:t>him</w:t>
      </w:r>
      <w:r w:rsidR="00291BD4">
        <w:t xml:space="preserve"> </w:t>
      </w:r>
      <w:r w:rsidR="001F4D04">
        <w:t>on June</w:t>
      </w:r>
      <w:r w:rsidR="006A39E0">
        <w:t> </w:t>
      </w:r>
      <w:r w:rsidR="001F4D04">
        <w:t xml:space="preserve">9, 2014, </w:t>
      </w:r>
      <w:r w:rsidR="00B918EB">
        <w:t xml:space="preserve">to </w:t>
      </w:r>
      <w:r w:rsidR="00736534">
        <w:t xml:space="preserve">represent her </w:t>
      </w:r>
      <w:r w:rsidR="00B918EB">
        <w:t>in obtaining a restraining order against her brother</w:t>
      </w:r>
      <w:r w:rsidR="00736534">
        <w:t xml:space="preserve"> </w:t>
      </w:r>
      <w:r w:rsidR="006A39E0">
        <w:t>to stop him</w:t>
      </w:r>
      <w:r w:rsidR="003116C7">
        <w:t xml:space="preserve"> from</w:t>
      </w:r>
      <w:r w:rsidR="00C161F6">
        <w:t xml:space="preserve"> making false allegations against her and </w:t>
      </w:r>
      <w:r w:rsidR="003116C7">
        <w:t xml:space="preserve">otherwise </w:t>
      </w:r>
      <w:r w:rsidR="00C161F6">
        <w:t>harassing her</w:t>
      </w:r>
      <w:r w:rsidR="00B918EB">
        <w:t xml:space="preserve">.  Kun </w:t>
      </w:r>
      <w:r w:rsidR="00077ED2">
        <w:t>agreed to represent her</w:t>
      </w:r>
      <w:r w:rsidR="003116C7">
        <w:t xml:space="preserve"> for</w:t>
      </w:r>
      <w:r w:rsidR="00DB7B0C">
        <w:t xml:space="preserve"> </w:t>
      </w:r>
      <w:r w:rsidR="00077ED2">
        <w:t xml:space="preserve">$2,000 in attorney fees and $460 for </w:t>
      </w:r>
      <w:r w:rsidR="003116C7">
        <w:t>the</w:t>
      </w:r>
      <w:r w:rsidR="00077ED2">
        <w:t xml:space="preserve"> filing fee.  </w:t>
      </w:r>
      <w:r w:rsidR="003B3699">
        <w:t xml:space="preserve">LeGrande sent Kun a check for $2,460.  The memo line of the check contained the notation “retainer and filing fee.”  </w:t>
      </w:r>
      <w:r w:rsidR="006A39E0">
        <w:t>Kun</w:t>
      </w:r>
      <w:r w:rsidR="00077ED2">
        <w:t xml:space="preserve"> did not </w:t>
      </w:r>
      <w:r w:rsidR="000D16D9">
        <w:t xml:space="preserve">discuss with </w:t>
      </w:r>
      <w:r w:rsidR="00C71D0A">
        <w:t>her</w:t>
      </w:r>
      <w:r w:rsidR="000D16D9">
        <w:t xml:space="preserve"> whether he w</w:t>
      </w:r>
      <w:r w:rsidR="00C71D0A">
        <w:t>as</w:t>
      </w:r>
      <w:r w:rsidR="000D16D9">
        <w:t xml:space="preserve"> charg</w:t>
      </w:r>
      <w:r w:rsidR="00C71D0A">
        <w:t>ing</w:t>
      </w:r>
      <w:r w:rsidR="000D16D9">
        <w:t xml:space="preserve"> her </w:t>
      </w:r>
      <w:r w:rsidR="004730CE">
        <w:t xml:space="preserve">a flat fee or an hourly fee.  He also did not enter into a </w:t>
      </w:r>
      <w:r w:rsidR="0063371F">
        <w:t xml:space="preserve">written </w:t>
      </w:r>
      <w:r w:rsidR="004730CE">
        <w:t>fee agreement</w:t>
      </w:r>
      <w:r w:rsidR="00C71D0A">
        <w:t>,</w:t>
      </w:r>
      <w:r w:rsidR="0063371F">
        <w:t xml:space="preserve"> as required under section</w:t>
      </w:r>
      <w:r w:rsidR="00C71D0A">
        <w:t> </w:t>
      </w:r>
      <w:r w:rsidR="0063371F">
        <w:t>6148,</w:t>
      </w:r>
      <w:r w:rsidR="00492467">
        <w:rPr>
          <w:rStyle w:val="FootnoteReference"/>
        </w:rPr>
        <w:footnoteReference w:id="8"/>
      </w:r>
      <w:r w:rsidR="0063371F">
        <w:t xml:space="preserve"> telling </w:t>
      </w:r>
      <w:r w:rsidR="00737417">
        <w:t>LeGrande</w:t>
      </w:r>
      <w:r w:rsidR="00C161F6">
        <w:t xml:space="preserve"> </w:t>
      </w:r>
      <w:r w:rsidR="0063371F">
        <w:t xml:space="preserve">it was not necessary when she </w:t>
      </w:r>
      <w:r w:rsidR="00C161F6">
        <w:t xml:space="preserve">asked him </w:t>
      </w:r>
      <w:r w:rsidR="0063371F">
        <w:t xml:space="preserve">if </w:t>
      </w:r>
      <w:r w:rsidR="00C71D0A">
        <w:t>one</w:t>
      </w:r>
      <w:r w:rsidR="00737417">
        <w:t xml:space="preserve"> was required</w:t>
      </w:r>
      <w:r w:rsidR="00C161F6">
        <w:t xml:space="preserve">.  </w:t>
      </w:r>
    </w:p>
    <w:p w:rsidR="00CE7B0F" w:rsidRDefault="008409BC" w:rsidP="00183425">
      <w:pPr>
        <w:tabs>
          <w:tab w:val="left" w:pos="720"/>
        </w:tabs>
        <w:spacing w:line="480" w:lineRule="auto"/>
      </w:pPr>
      <w:r>
        <w:tab/>
      </w:r>
      <w:r w:rsidR="00FF70F5">
        <w:t xml:space="preserve">Kun failed to communicate with LeGrande for a month after she retained him.  </w:t>
      </w:r>
      <w:r w:rsidR="00952CE5">
        <w:t>In late June, s</w:t>
      </w:r>
      <w:r w:rsidR="00FF70F5">
        <w:t xml:space="preserve">he called and left </w:t>
      </w:r>
      <w:r w:rsidR="00AC4A5D">
        <w:t xml:space="preserve">him </w:t>
      </w:r>
      <w:r w:rsidR="00FF70F5">
        <w:t xml:space="preserve">a message </w:t>
      </w:r>
      <w:r w:rsidR="004D618A">
        <w:t xml:space="preserve">that she no longer wanted him to </w:t>
      </w:r>
      <w:r w:rsidR="002C50B6">
        <w:t>represent</w:t>
      </w:r>
      <w:r w:rsidR="004D618A">
        <w:t xml:space="preserve"> her</w:t>
      </w:r>
      <w:r w:rsidR="00FF70F5">
        <w:t xml:space="preserve"> since she</w:t>
      </w:r>
      <w:r w:rsidR="00282CBB">
        <w:t xml:space="preserve"> had</w:t>
      </w:r>
      <w:r w:rsidR="0063371F">
        <w:t xml:space="preserve"> not heard from him, </w:t>
      </w:r>
      <w:r w:rsidR="00282CBB">
        <w:t xml:space="preserve">and asked </w:t>
      </w:r>
      <w:r w:rsidR="00A1065D">
        <w:t>him to refund her money</w:t>
      </w:r>
      <w:r w:rsidR="00FF70F5">
        <w:t xml:space="preserve">.  </w:t>
      </w:r>
      <w:r w:rsidR="002C50B6">
        <w:t xml:space="preserve">During a call </w:t>
      </w:r>
      <w:r w:rsidR="00F22B7B">
        <w:t xml:space="preserve">with </w:t>
      </w:r>
      <w:r w:rsidR="005D3FBD">
        <w:t>LeGrande on July</w:t>
      </w:r>
      <w:r w:rsidR="004D618A">
        <w:t> </w:t>
      </w:r>
      <w:r w:rsidR="005D3FBD">
        <w:t>7, 2014</w:t>
      </w:r>
      <w:r w:rsidR="00F22B7B">
        <w:t>, Kun</w:t>
      </w:r>
      <w:r w:rsidR="006F59F8">
        <w:t xml:space="preserve"> persuaded </w:t>
      </w:r>
      <w:r w:rsidR="004D618A">
        <w:t>her</w:t>
      </w:r>
      <w:r w:rsidR="00133621">
        <w:t xml:space="preserve"> </w:t>
      </w:r>
      <w:r w:rsidR="006F59F8">
        <w:t xml:space="preserve">not to terminate </w:t>
      </w:r>
      <w:r w:rsidR="00133621">
        <w:t>him</w:t>
      </w:r>
      <w:r w:rsidR="005D3FBD">
        <w:t xml:space="preserve"> </w:t>
      </w:r>
      <w:r w:rsidR="006F59F8">
        <w:t xml:space="preserve">because </w:t>
      </w:r>
      <w:r w:rsidR="005D3FBD">
        <w:t xml:space="preserve">he had already prepared </w:t>
      </w:r>
      <w:r w:rsidR="00715C73">
        <w:t xml:space="preserve">a </w:t>
      </w:r>
      <w:r w:rsidR="006F59F8">
        <w:t>document</w:t>
      </w:r>
      <w:r w:rsidR="00715C73">
        <w:t xml:space="preserve"> for her review</w:t>
      </w:r>
      <w:r w:rsidR="005D3FBD">
        <w:t xml:space="preserve">.  </w:t>
      </w:r>
      <w:r w:rsidR="00F139DD">
        <w:t>LeGrande</w:t>
      </w:r>
      <w:r w:rsidR="005D3FBD">
        <w:t xml:space="preserve"> </w:t>
      </w:r>
      <w:r w:rsidR="00F768AA">
        <w:t xml:space="preserve">received the </w:t>
      </w:r>
      <w:r w:rsidR="00FA49A6">
        <w:t xml:space="preserve">draft </w:t>
      </w:r>
      <w:r w:rsidR="005D3FBD">
        <w:t>with a letter from Kun dated July</w:t>
      </w:r>
      <w:r w:rsidR="0059364F">
        <w:t> </w:t>
      </w:r>
      <w:r w:rsidR="005D3FBD">
        <w:t xml:space="preserve">10, 2014.  </w:t>
      </w:r>
      <w:r w:rsidR="004120CC">
        <w:t>She</w:t>
      </w:r>
      <w:r w:rsidR="008507D6">
        <w:t xml:space="preserve"> was not satisfied with the </w:t>
      </w:r>
      <w:r w:rsidR="006F59F8">
        <w:t>d</w:t>
      </w:r>
      <w:r w:rsidR="004F7727">
        <w:t>ocument</w:t>
      </w:r>
      <w:r w:rsidR="006F59F8">
        <w:t xml:space="preserve"> </w:t>
      </w:r>
      <w:r w:rsidR="004F7727">
        <w:t>he sent, which was</w:t>
      </w:r>
      <w:r w:rsidR="006F59F8">
        <w:t xml:space="preserve"> </w:t>
      </w:r>
      <w:r w:rsidR="00546B54">
        <w:t xml:space="preserve">a petition regarding her </w:t>
      </w:r>
      <w:r w:rsidR="00546B54">
        <w:lastRenderedPageBreak/>
        <w:t xml:space="preserve">mother’s </w:t>
      </w:r>
      <w:r w:rsidR="003F28AB">
        <w:t xml:space="preserve">trust, not the </w:t>
      </w:r>
      <w:r w:rsidR="006F59F8">
        <w:t xml:space="preserve">restraining order </w:t>
      </w:r>
      <w:r w:rsidR="00546B54">
        <w:t>against her brother that</w:t>
      </w:r>
      <w:r w:rsidR="006F59F8">
        <w:t xml:space="preserve"> she expected</w:t>
      </w:r>
      <w:r w:rsidR="004F7727">
        <w:t>.</w:t>
      </w:r>
      <w:r w:rsidR="003F28AB">
        <w:t xml:space="preserve"> </w:t>
      </w:r>
      <w:r w:rsidR="008507D6">
        <w:t xml:space="preserve"> </w:t>
      </w:r>
      <w:r w:rsidR="004120CC">
        <w:t>LeGrande</w:t>
      </w:r>
      <w:r w:rsidR="004F7727">
        <w:t xml:space="preserve"> </w:t>
      </w:r>
      <w:r w:rsidR="008507D6">
        <w:t>left Kun a voicemail terminating his services</w:t>
      </w:r>
      <w:r w:rsidR="00D7417C">
        <w:t xml:space="preserve"> the</w:t>
      </w:r>
      <w:r w:rsidR="0063371F">
        <w:t xml:space="preserve"> same day</w:t>
      </w:r>
      <w:r w:rsidR="00D7417C">
        <w:t xml:space="preserve"> she received his letter</w:t>
      </w:r>
      <w:r w:rsidR="008507D6">
        <w:t>.</w:t>
      </w:r>
      <w:r w:rsidR="00850F1B">
        <w:rPr>
          <w:rStyle w:val="FootnoteReference"/>
        </w:rPr>
        <w:footnoteReference w:id="9"/>
      </w:r>
      <w:r w:rsidR="008507D6">
        <w:t xml:space="preserve">  </w:t>
      </w:r>
    </w:p>
    <w:p w:rsidR="00FF70F5" w:rsidRDefault="00F70CF8" w:rsidP="00183425">
      <w:pPr>
        <w:tabs>
          <w:tab w:val="left" w:pos="720"/>
        </w:tabs>
        <w:spacing w:line="480" w:lineRule="auto"/>
      </w:pPr>
      <w:r>
        <w:tab/>
      </w:r>
      <w:r w:rsidR="002D3DE8">
        <w:t xml:space="preserve">Thereafter, </w:t>
      </w:r>
      <w:r w:rsidR="00F768AA">
        <w:t xml:space="preserve">LeGrande </w:t>
      </w:r>
      <w:r w:rsidR="00252683">
        <w:t>left multiple messages for Kun between July</w:t>
      </w:r>
      <w:r w:rsidR="004F7727">
        <w:t> </w:t>
      </w:r>
      <w:r w:rsidR="00252683">
        <w:t>10 and July</w:t>
      </w:r>
      <w:r w:rsidR="004F7727">
        <w:t> </w:t>
      </w:r>
      <w:r w:rsidR="00252683">
        <w:t>29</w:t>
      </w:r>
      <w:r w:rsidR="002D3DE8">
        <w:t>.</w:t>
      </w:r>
      <w:r w:rsidR="00252683">
        <w:t xml:space="preserve"> </w:t>
      </w:r>
      <w:r w:rsidR="002D3DE8">
        <w:t xml:space="preserve"> A</w:t>
      </w:r>
      <w:r w:rsidR="00252683">
        <w:t>fter receiving no reply, s</w:t>
      </w:r>
      <w:r w:rsidR="008507D6">
        <w:t xml:space="preserve">he confirmed </w:t>
      </w:r>
      <w:r w:rsidR="000155E6">
        <w:t xml:space="preserve">his </w:t>
      </w:r>
      <w:r w:rsidR="008507D6">
        <w:t>termination in a letter dated July</w:t>
      </w:r>
      <w:r w:rsidR="004F7727">
        <w:t> </w:t>
      </w:r>
      <w:r w:rsidR="008507D6">
        <w:t>29, 2014</w:t>
      </w:r>
      <w:r w:rsidR="002D3DE8">
        <w:t>, which stated</w:t>
      </w:r>
      <w:r w:rsidR="00D16C97">
        <w:t xml:space="preserve"> </w:t>
      </w:r>
      <w:r w:rsidR="00252683">
        <w:t xml:space="preserve">that </w:t>
      </w:r>
      <w:r w:rsidR="00D16C97">
        <w:t xml:space="preserve">she was unhappy with the quality </w:t>
      </w:r>
      <w:r w:rsidR="000155E6">
        <w:t xml:space="preserve">and content </w:t>
      </w:r>
      <w:r w:rsidR="00D16C97">
        <w:t xml:space="preserve">of the petition Kun prepared and </w:t>
      </w:r>
      <w:r w:rsidR="002D3DE8">
        <w:t>requested</w:t>
      </w:r>
      <w:r w:rsidR="00D16C97">
        <w:t xml:space="preserve"> a refund of any remaining attorney fees and the filing fee.  </w:t>
      </w:r>
      <w:r w:rsidR="002D4778">
        <w:t>In response</w:t>
      </w:r>
      <w:r w:rsidR="004F7727">
        <w:t>,</w:t>
      </w:r>
      <w:r w:rsidR="002D4778">
        <w:t xml:space="preserve"> Kun wrote to LeGrande on July</w:t>
      </w:r>
      <w:r w:rsidR="004F7727">
        <w:t> </w:t>
      </w:r>
      <w:r w:rsidR="002D4778">
        <w:t xml:space="preserve">31, 2014, apologizing for the delay in returning her calls and </w:t>
      </w:r>
      <w:r w:rsidR="002D3DE8">
        <w:t>informing her</w:t>
      </w:r>
      <w:r w:rsidR="002D4778">
        <w:t xml:space="preserve"> that he would “prepare a bill, and send the unused money back” the next week.  </w:t>
      </w:r>
    </w:p>
    <w:p w:rsidR="001210D4" w:rsidRDefault="0069454C" w:rsidP="00183425">
      <w:pPr>
        <w:tabs>
          <w:tab w:val="left" w:pos="720"/>
        </w:tabs>
        <w:spacing w:line="480" w:lineRule="auto"/>
      </w:pPr>
      <w:r>
        <w:tab/>
      </w:r>
      <w:r w:rsidR="002D4778">
        <w:t xml:space="preserve">Kun sent LeGrande an </w:t>
      </w:r>
      <w:r w:rsidR="00282CBB">
        <w:t xml:space="preserve">invoice </w:t>
      </w:r>
      <w:r w:rsidR="007F627F">
        <w:t>dated August</w:t>
      </w:r>
      <w:r w:rsidR="005C20F1">
        <w:t> </w:t>
      </w:r>
      <w:r w:rsidR="007F627F">
        <w:t>7, 2014</w:t>
      </w:r>
      <w:r w:rsidR="00850F1B">
        <w:t>,</w:t>
      </w:r>
      <w:r w:rsidR="007F627F">
        <w:t xml:space="preserve"> which</w:t>
      </w:r>
      <w:r w:rsidR="002D4778">
        <w:t xml:space="preserve"> </w:t>
      </w:r>
      <w:r w:rsidR="007D462D">
        <w:t>identified</w:t>
      </w:r>
      <w:r w:rsidR="002D4778">
        <w:t xml:space="preserve"> “total fees” billed as $2,475</w:t>
      </w:r>
      <w:r w:rsidR="003F28AB">
        <w:t xml:space="preserve"> </w:t>
      </w:r>
      <w:r w:rsidR="000500F2">
        <w:t xml:space="preserve">at $250 an hour </w:t>
      </w:r>
      <w:r w:rsidR="003F28AB">
        <w:t xml:space="preserve">for 9.9 hours of work.  Despite </w:t>
      </w:r>
      <w:r w:rsidR="005903CD">
        <w:t>his</w:t>
      </w:r>
      <w:r w:rsidR="003F28AB">
        <w:t xml:space="preserve"> representation to </w:t>
      </w:r>
      <w:r w:rsidR="005903CD">
        <w:t>her</w:t>
      </w:r>
      <w:r w:rsidR="003F28AB">
        <w:t xml:space="preserve"> during their July</w:t>
      </w:r>
      <w:r w:rsidR="005C20F1">
        <w:t> </w:t>
      </w:r>
      <w:r w:rsidR="003F28AB">
        <w:t>7 call that he had already prepared the petition, most of the work reflected on the invoice was done on July</w:t>
      </w:r>
      <w:r w:rsidR="005C20F1">
        <w:t> </w:t>
      </w:r>
      <w:r w:rsidR="003F28AB">
        <w:t>9 and 10</w:t>
      </w:r>
      <w:r w:rsidR="000500F2">
        <w:t xml:space="preserve"> (2.9 hours for research, 3.8 hours for drafting the petition, and </w:t>
      </w:r>
      <w:r w:rsidR="001210D4">
        <w:t>0</w:t>
      </w:r>
      <w:r w:rsidR="000500F2">
        <w:t xml:space="preserve">.4 </w:t>
      </w:r>
      <w:r w:rsidR="001210D4">
        <w:t xml:space="preserve">of an </w:t>
      </w:r>
      <w:r w:rsidR="000500F2">
        <w:t>hour for writing a letter)</w:t>
      </w:r>
      <w:r w:rsidR="003F28AB">
        <w:t xml:space="preserve">.  </w:t>
      </w:r>
      <w:r w:rsidR="00546B54">
        <w:t xml:space="preserve">The </w:t>
      </w:r>
      <w:r w:rsidR="00282CBB">
        <w:t xml:space="preserve">invoice </w:t>
      </w:r>
      <w:r w:rsidR="00546B54">
        <w:t xml:space="preserve">did not account for the $460 filing fee, and </w:t>
      </w:r>
      <w:r w:rsidR="000500F2">
        <w:t xml:space="preserve">Kun </w:t>
      </w:r>
      <w:r w:rsidR="00546B54">
        <w:t xml:space="preserve">did not return either the filing fee or any unexpended attorney fees to LeGrande.  </w:t>
      </w:r>
      <w:r w:rsidR="00896514">
        <w:t>He</w:t>
      </w:r>
      <w:r w:rsidR="00546B54">
        <w:t xml:space="preserve"> testified that the draft petition he </w:t>
      </w:r>
      <w:r w:rsidR="00282CBB">
        <w:t xml:space="preserve">provided to LeGrande </w:t>
      </w:r>
      <w:r w:rsidR="00546B54">
        <w:t xml:space="preserve">would have required a filing fee if he had filed it, but the </w:t>
      </w:r>
      <w:r w:rsidR="008D7038">
        <w:t xml:space="preserve">restraining order </w:t>
      </w:r>
      <w:r w:rsidR="00546B54">
        <w:t xml:space="preserve">he discussed with </w:t>
      </w:r>
      <w:r w:rsidR="00C52F7C">
        <w:t>her</w:t>
      </w:r>
      <w:r w:rsidR="00546B54">
        <w:t xml:space="preserve"> would not require a filing fee.  </w:t>
      </w:r>
      <w:r w:rsidR="00473FE7">
        <w:t>Since</w:t>
      </w:r>
      <w:r w:rsidR="00AC4A5D">
        <w:t xml:space="preserve"> </w:t>
      </w:r>
      <w:r w:rsidR="00896514">
        <w:t>Kun</w:t>
      </w:r>
      <w:r w:rsidR="003E7EDE">
        <w:t xml:space="preserve"> </w:t>
      </w:r>
      <w:r w:rsidR="00C52F7C">
        <w:t>determined</w:t>
      </w:r>
      <w:r w:rsidR="003E7EDE">
        <w:t xml:space="preserve"> that </w:t>
      </w:r>
      <w:r w:rsidR="00AC4A5D">
        <w:t>the filing fee was no</w:t>
      </w:r>
      <w:r w:rsidR="00473FE7">
        <w:t>t</w:t>
      </w:r>
      <w:r w:rsidR="00AC4A5D">
        <w:t xml:space="preserve"> needed, h</w:t>
      </w:r>
      <w:r w:rsidR="00546B54">
        <w:t xml:space="preserve">e </w:t>
      </w:r>
      <w:r w:rsidR="007256EF">
        <w:t xml:space="preserve">testified that he </w:t>
      </w:r>
      <w:r w:rsidR="00C52F7C">
        <w:t>used</w:t>
      </w:r>
      <w:r w:rsidR="00546B54">
        <w:t xml:space="preserve"> </w:t>
      </w:r>
      <w:r w:rsidR="00473FE7">
        <w:t>it</w:t>
      </w:r>
      <w:r w:rsidR="00546B54">
        <w:t xml:space="preserve"> to </w:t>
      </w:r>
      <w:r w:rsidR="00C52F7C">
        <w:t>pay</w:t>
      </w:r>
      <w:r w:rsidR="00546B54">
        <w:t xml:space="preserve"> </w:t>
      </w:r>
      <w:r w:rsidR="00C52F7C">
        <w:t xml:space="preserve">his </w:t>
      </w:r>
      <w:r w:rsidR="00546B54">
        <w:t xml:space="preserve">attorney fees over the $2,000 he initially quoted LeGrande.  </w:t>
      </w:r>
      <w:r w:rsidR="00896514">
        <w:t>He</w:t>
      </w:r>
      <w:r w:rsidR="00546B54">
        <w:t xml:space="preserve"> did not explain to </w:t>
      </w:r>
      <w:r w:rsidR="00C52F7C">
        <w:t>her</w:t>
      </w:r>
      <w:r w:rsidR="007256EF">
        <w:t xml:space="preserve"> that he had </w:t>
      </w:r>
      <w:r w:rsidR="00C52F7C">
        <w:t>converted</w:t>
      </w:r>
      <w:r w:rsidR="007256EF">
        <w:t xml:space="preserve"> the filing fee to attorney fees</w:t>
      </w:r>
      <w:r w:rsidR="00C52F7C">
        <w:t>.</w:t>
      </w:r>
      <w:r w:rsidR="00393210">
        <w:t xml:space="preserve"> </w:t>
      </w:r>
    </w:p>
    <w:p w:rsidR="001210D4" w:rsidRDefault="001210D4">
      <w:r>
        <w:br w:type="page"/>
      </w:r>
    </w:p>
    <w:p w:rsidR="00D82013" w:rsidRPr="00D82013" w:rsidRDefault="00B225D6" w:rsidP="00B225D6">
      <w:pPr>
        <w:pStyle w:val="ListParagraph"/>
        <w:tabs>
          <w:tab w:val="left" w:pos="720"/>
        </w:tabs>
        <w:spacing w:line="480" w:lineRule="auto"/>
        <w:ind w:left="0"/>
        <w:rPr>
          <w:b/>
        </w:rPr>
      </w:pPr>
      <w:r>
        <w:rPr>
          <w:b/>
        </w:rPr>
        <w:lastRenderedPageBreak/>
        <w:t>B.</w:t>
      </w:r>
      <w:r>
        <w:rPr>
          <w:b/>
        </w:rPr>
        <w:tab/>
      </w:r>
      <w:proofErr w:type="spellStart"/>
      <w:r w:rsidR="00D82013" w:rsidRPr="00A54C67">
        <w:rPr>
          <w:rStyle w:val="Heading4Char"/>
        </w:rPr>
        <w:t>Kun’s</w:t>
      </w:r>
      <w:proofErr w:type="spellEnd"/>
      <w:r w:rsidR="00D82013" w:rsidRPr="00A54C67">
        <w:rPr>
          <w:rStyle w:val="Heading4Char"/>
        </w:rPr>
        <w:t xml:space="preserve"> C</w:t>
      </w:r>
      <w:r w:rsidR="001210D4" w:rsidRPr="00A54C67">
        <w:rPr>
          <w:rStyle w:val="Heading4Char"/>
        </w:rPr>
        <w:t>TA</w:t>
      </w:r>
      <w:r w:rsidR="00E81F0F" w:rsidRPr="00A54C67">
        <w:rPr>
          <w:rStyle w:val="Heading4Char"/>
        </w:rPr>
        <w:t xml:space="preserve"> Activity</w:t>
      </w:r>
    </w:p>
    <w:p w:rsidR="00D523ED" w:rsidRDefault="00D82013" w:rsidP="00183425">
      <w:pPr>
        <w:tabs>
          <w:tab w:val="left" w:pos="720"/>
        </w:tabs>
        <w:spacing w:line="480" w:lineRule="auto"/>
      </w:pPr>
      <w:r>
        <w:rPr>
          <w:b/>
        </w:rPr>
        <w:tab/>
      </w:r>
      <w:r w:rsidR="00F64CB6">
        <w:t>Between June</w:t>
      </w:r>
      <w:r w:rsidR="006025E4">
        <w:t> </w:t>
      </w:r>
      <w:r w:rsidR="00F64CB6">
        <w:t>16</w:t>
      </w:r>
      <w:r w:rsidR="00D523ED">
        <w:t>, 2014 and April</w:t>
      </w:r>
      <w:r w:rsidR="006025E4">
        <w:t> </w:t>
      </w:r>
      <w:r w:rsidR="00D523ED">
        <w:t xml:space="preserve">30, 2015, Kun </w:t>
      </w:r>
      <w:r w:rsidR="00BE16C7">
        <w:t>wrote at least 34 checks from his Bank of the West CTA to pay</w:t>
      </w:r>
      <w:r w:rsidR="00950D31">
        <w:t xml:space="preserve"> </w:t>
      </w:r>
      <w:r w:rsidR="00BE16C7">
        <w:t>personal and business expenses.</w:t>
      </w:r>
      <w:r w:rsidR="00921766">
        <w:rPr>
          <w:rStyle w:val="FootnoteReference"/>
        </w:rPr>
        <w:footnoteReference w:id="10"/>
      </w:r>
      <w:r w:rsidR="00BE16C7">
        <w:t xml:space="preserve">  During the same period, he deposited fees he</w:t>
      </w:r>
      <w:r w:rsidR="00921766">
        <w:t xml:space="preserve"> had earned</w:t>
      </w:r>
      <w:r w:rsidR="006025E4">
        <w:t xml:space="preserve"> from</w:t>
      </w:r>
      <w:r w:rsidR="00BE16C7">
        <w:t xml:space="preserve"> other clients</w:t>
      </w:r>
      <w:r w:rsidR="00F64CB6">
        <w:t>, and made 78 cash withdrawals</w:t>
      </w:r>
      <w:r w:rsidR="00BE16C7">
        <w:t xml:space="preserve">.  </w:t>
      </w:r>
    </w:p>
    <w:p w:rsidR="00B225D6" w:rsidRDefault="007F54DA" w:rsidP="004B6BBA">
      <w:pPr>
        <w:tabs>
          <w:tab w:val="left" w:pos="720"/>
        </w:tabs>
        <w:spacing w:line="480" w:lineRule="auto"/>
      </w:pPr>
      <w:r>
        <w:tab/>
        <w:t>On June</w:t>
      </w:r>
      <w:r w:rsidR="006025E4">
        <w:t> </w:t>
      </w:r>
      <w:r>
        <w:t>12, 2014, Kun deposited LeGrande’s $2</w:t>
      </w:r>
      <w:r w:rsidR="0038125B">
        <w:t>,</w:t>
      </w:r>
      <w:r>
        <w:t>460 check into his Bank of the West CTA.  By June</w:t>
      </w:r>
      <w:r w:rsidR="006025E4">
        <w:t> </w:t>
      </w:r>
      <w:r>
        <w:t xml:space="preserve">30, 2014, the balance in </w:t>
      </w:r>
      <w:r w:rsidR="006025E4">
        <w:t>that</w:t>
      </w:r>
      <w:r>
        <w:t xml:space="preserve"> CTA had dipped below the $460 he was required to maintain for the filing fee for LeGrande’s matter.  By the end of the day on July</w:t>
      </w:r>
      <w:r w:rsidR="006025E4">
        <w:t> </w:t>
      </w:r>
      <w:r>
        <w:t xml:space="preserve">7, 2014, </w:t>
      </w:r>
      <w:r w:rsidR="006025E4">
        <w:t>the</w:t>
      </w:r>
      <w:r>
        <w:t xml:space="preserve"> Bank of the West </w:t>
      </w:r>
      <w:r w:rsidR="00AC4A5D">
        <w:t xml:space="preserve">CTA </w:t>
      </w:r>
      <w:r>
        <w:t>balance had dropped to $9.01</w:t>
      </w:r>
      <w:r w:rsidR="00921766">
        <w:t xml:space="preserve">.  </w:t>
      </w:r>
      <w:r w:rsidR="00BB251F">
        <w:t>According to his own invoice, a</w:t>
      </w:r>
      <w:r w:rsidR="00D1596E">
        <w:t>t this point</w:t>
      </w:r>
      <w:r w:rsidR="006025E4">
        <w:t>,</w:t>
      </w:r>
      <w:r w:rsidR="00D1596E">
        <w:t xml:space="preserve"> Kun</w:t>
      </w:r>
      <w:r w:rsidR="00921766">
        <w:t xml:space="preserve"> </w:t>
      </w:r>
      <w:r w:rsidR="00D1596E">
        <w:t>had not earned more than $700 in attorney fees</w:t>
      </w:r>
      <w:r w:rsidR="00921766">
        <w:t xml:space="preserve"> </w:t>
      </w:r>
      <w:r w:rsidR="006025E4">
        <w:t>in</w:t>
      </w:r>
      <w:r w:rsidR="00921766">
        <w:t xml:space="preserve"> LeGrande’s matter. </w:t>
      </w:r>
    </w:p>
    <w:p w:rsidR="004B2267" w:rsidRPr="00183425" w:rsidRDefault="00183425" w:rsidP="00A54C67">
      <w:pPr>
        <w:pStyle w:val="Heading3"/>
      </w:pPr>
      <w:r>
        <w:t xml:space="preserve">IV.  </w:t>
      </w:r>
      <w:r w:rsidR="00901763" w:rsidRPr="00183425">
        <w:t>CULPABILITY</w:t>
      </w:r>
    </w:p>
    <w:p w:rsidR="00901763" w:rsidRDefault="00183425" w:rsidP="00183425">
      <w:pPr>
        <w:pStyle w:val="ListParagraph"/>
        <w:numPr>
          <w:ilvl w:val="0"/>
          <w:numId w:val="23"/>
        </w:numPr>
        <w:tabs>
          <w:tab w:val="left" w:pos="720"/>
        </w:tabs>
        <w:rPr>
          <w:rFonts w:eastAsia="Times New Roman"/>
          <w:b/>
          <w:szCs w:val="24"/>
        </w:rPr>
      </w:pPr>
      <w:r>
        <w:rPr>
          <w:rFonts w:eastAsia="Times New Roman"/>
          <w:b/>
          <w:szCs w:val="24"/>
        </w:rPr>
        <w:tab/>
      </w:r>
      <w:r w:rsidR="00CA1B5E">
        <w:rPr>
          <w:rFonts w:eastAsia="Times New Roman"/>
          <w:b/>
          <w:szCs w:val="24"/>
        </w:rPr>
        <w:t xml:space="preserve">Count One - </w:t>
      </w:r>
      <w:r w:rsidR="00E11E9D">
        <w:rPr>
          <w:rFonts w:eastAsia="Times New Roman"/>
          <w:b/>
          <w:szCs w:val="24"/>
        </w:rPr>
        <w:t>Failure to Maintain Client Funds</w:t>
      </w:r>
      <w:r w:rsidR="00427506">
        <w:rPr>
          <w:rFonts w:eastAsia="Times New Roman"/>
          <w:b/>
          <w:szCs w:val="24"/>
        </w:rPr>
        <w:t xml:space="preserve"> (</w:t>
      </w:r>
      <w:r w:rsidR="00B50457">
        <w:rPr>
          <w:rFonts w:eastAsia="Times New Roman"/>
          <w:b/>
          <w:szCs w:val="24"/>
        </w:rPr>
        <w:t>Rule</w:t>
      </w:r>
      <w:r w:rsidR="00CA1B5E">
        <w:rPr>
          <w:rFonts w:eastAsia="Times New Roman"/>
          <w:b/>
          <w:szCs w:val="24"/>
        </w:rPr>
        <w:t> 4</w:t>
      </w:r>
      <w:r w:rsidR="00B50457">
        <w:rPr>
          <w:rFonts w:eastAsia="Times New Roman"/>
          <w:b/>
          <w:szCs w:val="24"/>
        </w:rPr>
        <w:t>-100(A)</w:t>
      </w:r>
      <w:r w:rsidR="00427506">
        <w:rPr>
          <w:rFonts w:eastAsia="Times New Roman"/>
          <w:b/>
          <w:szCs w:val="24"/>
        </w:rPr>
        <w:t>)</w:t>
      </w:r>
    </w:p>
    <w:p w:rsidR="00E11E9D" w:rsidRPr="00FC593C" w:rsidRDefault="00183425" w:rsidP="00183425">
      <w:pPr>
        <w:tabs>
          <w:tab w:val="left" w:pos="720"/>
        </w:tabs>
        <w:rPr>
          <w:rFonts w:eastAsia="Times New Roman"/>
          <w:b/>
          <w:szCs w:val="24"/>
        </w:rPr>
      </w:pPr>
      <w:r>
        <w:rPr>
          <w:rFonts w:eastAsia="Times New Roman"/>
          <w:b/>
          <w:szCs w:val="24"/>
        </w:rPr>
        <w:tab/>
      </w:r>
      <w:r w:rsidR="00CA1B5E">
        <w:rPr>
          <w:rFonts w:eastAsia="Times New Roman"/>
          <w:b/>
          <w:szCs w:val="24"/>
        </w:rPr>
        <w:t xml:space="preserve">Count Two - </w:t>
      </w:r>
      <w:r w:rsidR="00E11E9D" w:rsidRPr="00FC593C">
        <w:rPr>
          <w:rFonts w:eastAsia="Times New Roman"/>
          <w:b/>
          <w:szCs w:val="24"/>
        </w:rPr>
        <w:t>Misappropriation/Moral Turpitude</w:t>
      </w:r>
      <w:r w:rsidR="00427506">
        <w:rPr>
          <w:rFonts w:eastAsia="Times New Roman"/>
          <w:b/>
          <w:szCs w:val="24"/>
        </w:rPr>
        <w:t xml:space="preserve"> (§</w:t>
      </w:r>
      <w:r w:rsidR="00CA1B5E">
        <w:rPr>
          <w:rFonts w:eastAsia="Times New Roman"/>
          <w:b/>
          <w:szCs w:val="24"/>
        </w:rPr>
        <w:t> </w:t>
      </w:r>
      <w:r w:rsidR="00B50457">
        <w:rPr>
          <w:rFonts w:eastAsia="Times New Roman"/>
          <w:b/>
          <w:szCs w:val="24"/>
        </w:rPr>
        <w:t>6106</w:t>
      </w:r>
      <w:r w:rsidR="00427506">
        <w:rPr>
          <w:rFonts w:eastAsia="Times New Roman"/>
          <w:b/>
          <w:szCs w:val="24"/>
        </w:rPr>
        <w:t>)</w:t>
      </w:r>
    </w:p>
    <w:p w:rsidR="00F64CB6" w:rsidRDefault="00F64CB6" w:rsidP="00183425">
      <w:pPr>
        <w:pStyle w:val="ListParagraph"/>
        <w:tabs>
          <w:tab w:val="left" w:pos="720"/>
        </w:tabs>
        <w:ind w:left="1440"/>
        <w:rPr>
          <w:rFonts w:eastAsia="Times New Roman"/>
          <w:b/>
          <w:szCs w:val="24"/>
        </w:rPr>
      </w:pPr>
    </w:p>
    <w:p w:rsidR="000B784F" w:rsidRPr="000B784F" w:rsidRDefault="00D01957" w:rsidP="000B784F">
      <w:pPr>
        <w:tabs>
          <w:tab w:val="left" w:pos="720"/>
        </w:tabs>
        <w:spacing w:line="480" w:lineRule="auto"/>
        <w:rPr>
          <w:rFonts w:eastAsia="Times New Roman"/>
          <w:szCs w:val="24"/>
        </w:rPr>
      </w:pPr>
      <w:r>
        <w:rPr>
          <w:rFonts w:eastAsia="Times New Roman"/>
          <w:szCs w:val="24"/>
        </w:rPr>
        <w:tab/>
      </w:r>
      <w:r w:rsidR="00A95CDB">
        <w:rPr>
          <w:rFonts w:eastAsia="Times New Roman"/>
          <w:szCs w:val="24"/>
        </w:rPr>
        <w:t>In Count One, Kun was</w:t>
      </w:r>
      <w:r w:rsidR="00177944">
        <w:rPr>
          <w:rFonts w:eastAsia="Times New Roman"/>
          <w:szCs w:val="24"/>
        </w:rPr>
        <w:t xml:space="preserve"> cha</w:t>
      </w:r>
      <w:r w:rsidR="000B784F">
        <w:rPr>
          <w:rFonts w:eastAsia="Times New Roman"/>
          <w:szCs w:val="24"/>
        </w:rPr>
        <w:t>rged with failing to maintain</w:t>
      </w:r>
      <w:r w:rsidR="00A95CDB">
        <w:rPr>
          <w:rFonts w:eastAsia="Times New Roman"/>
          <w:szCs w:val="24"/>
        </w:rPr>
        <w:t xml:space="preserve"> $460 on LeGrande’s behalf</w:t>
      </w:r>
      <w:r w:rsidR="008972C9">
        <w:rPr>
          <w:rFonts w:eastAsia="Times New Roman"/>
          <w:szCs w:val="24"/>
        </w:rPr>
        <w:t xml:space="preserve"> in his Bank of the West CTA</w:t>
      </w:r>
      <w:r w:rsidR="00A95CDB">
        <w:rPr>
          <w:rFonts w:eastAsia="Times New Roman"/>
          <w:szCs w:val="24"/>
        </w:rPr>
        <w:t>.</w:t>
      </w:r>
      <w:r w:rsidR="00177944">
        <w:rPr>
          <w:rFonts w:eastAsia="Times New Roman"/>
          <w:szCs w:val="24"/>
        </w:rPr>
        <w:t xml:space="preserve"> </w:t>
      </w:r>
      <w:r w:rsidR="00A95CDB">
        <w:rPr>
          <w:rFonts w:eastAsia="Times New Roman"/>
          <w:szCs w:val="24"/>
        </w:rPr>
        <w:t xml:space="preserve"> </w:t>
      </w:r>
      <w:r w:rsidR="006025E4">
        <w:rPr>
          <w:rFonts w:eastAsia="Times New Roman"/>
          <w:szCs w:val="24"/>
        </w:rPr>
        <w:t>However, t</w:t>
      </w:r>
      <w:r>
        <w:rPr>
          <w:rFonts w:eastAsia="Times New Roman"/>
          <w:szCs w:val="24"/>
        </w:rPr>
        <w:t xml:space="preserve">he hearing judge found Kun culpable of failing to maintain client funds because he </w:t>
      </w:r>
      <w:r w:rsidR="00D150B5">
        <w:rPr>
          <w:rFonts w:eastAsia="Times New Roman"/>
          <w:szCs w:val="24"/>
        </w:rPr>
        <w:t xml:space="preserve">did not </w:t>
      </w:r>
      <w:r w:rsidR="00497D09">
        <w:rPr>
          <w:rFonts w:eastAsia="Times New Roman"/>
          <w:szCs w:val="24"/>
        </w:rPr>
        <w:t>maintain at least $1</w:t>
      </w:r>
      <w:r w:rsidR="006025E4">
        <w:rPr>
          <w:rFonts w:eastAsia="Times New Roman"/>
          <w:szCs w:val="24"/>
        </w:rPr>
        <w:t>,</w:t>
      </w:r>
      <w:r w:rsidR="00497D09">
        <w:rPr>
          <w:rFonts w:eastAsia="Times New Roman"/>
          <w:szCs w:val="24"/>
        </w:rPr>
        <w:t xml:space="preserve">775 </w:t>
      </w:r>
      <w:r w:rsidR="00475A2F">
        <w:rPr>
          <w:rFonts w:eastAsia="Times New Roman"/>
          <w:szCs w:val="24"/>
        </w:rPr>
        <w:t xml:space="preserve">in the account </w:t>
      </w:r>
      <w:r w:rsidR="00060D20">
        <w:rPr>
          <w:rFonts w:eastAsia="Times New Roman"/>
          <w:szCs w:val="24"/>
        </w:rPr>
        <w:t>after July</w:t>
      </w:r>
      <w:r w:rsidR="006025E4">
        <w:rPr>
          <w:rFonts w:eastAsia="Times New Roman"/>
          <w:szCs w:val="24"/>
        </w:rPr>
        <w:t> </w:t>
      </w:r>
      <w:r w:rsidR="00060D20">
        <w:rPr>
          <w:rFonts w:eastAsia="Times New Roman"/>
          <w:szCs w:val="24"/>
        </w:rPr>
        <w:t>7</w:t>
      </w:r>
      <w:r w:rsidR="00497D09">
        <w:rPr>
          <w:rFonts w:eastAsia="Times New Roman"/>
          <w:szCs w:val="24"/>
        </w:rPr>
        <w:t xml:space="preserve">, 2014.  </w:t>
      </w:r>
      <w:r w:rsidR="00B574B6">
        <w:rPr>
          <w:rFonts w:eastAsia="Times New Roman"/>
          <w:szCs w:val="24"/>
        </w:rPr>
        <w:t xml:space="preserve">Kun and OCTC both argue that this finding is erroneous because it is based on the factual finding that LeGrande terminated Kun on July 7.  </w:t>
      </w:r>
      <w:r w:rsidR="00497D09">
        <w:rPr>
          <w:rFonts w:eastAsia="Times New Roman"/>
          <w:szCs w:val="24"/>
        </w:rPr>
        <w:t xml:space="preserve">We </w:t>
      </w:r>
      <w:r w:rsidR="00B574B6">
        <w:rPr>
          <w:rFonts w:eastAsia="Times New Roman"/>
          <w:szCs w:val="24"/>
        </w:rPr>
        <w:t xml:space="preserve">agree </w:t>
      </w:r>
      <w:r w:rsidR="004C2FED">
        <w:rPr>
          <w:rFonts w:eastAsia="Times New Roman"/>
          <w:szCs w:val="24"/>
        </w:rPr>
        <w:t xml:space="preserve">with both parties </w:t>
      </w:r>
      <w:r w:rsidR="00497D09">
        <w:rPr>
          <w:rFonts w:eastAsia="Times New Roman"/>
          <w:szCs w:val="24"/>
        </w:rPr>
        <w:t>that the $1</w:t>
      </w:r>
      <w:r w:rsidR="0060601A">
        <w:rPr>
          <w:rFonts w:eastAsia="Times New Roman"/>
          <w:szCs w:val="24"/>
        </w:rPr>
        <w:t>,</w:t>
      </w:r>
      <w:r w:rsidR="00497D09">
        <w:rPr>
          <w:rFonts w:eastAsia="Times New Roman"/>
          <w:szCs w:val="24"/>
        </w:rPr>
        <w:t>775 amount is incorrect</w:t>
      </w:r>
      <w:r w:rsidR="00616CA2">
        <w:rPr>
          <w:rFonts w:eastAsia="Times New Roman"/>
          <w:szCs w:val="24"/>
        </w:rPr>
        <w:t xml:space="preserve"> </w:t>
      </w:r>
      <w:r w:rsidR="009F2927">
        <w:rPr>
          <w:rFonts w:eastAsia="Times New Roman"/>
          <w:szCs w:val="24"/>
        </w:rPr>
        <w:t xml:space="preserve">because LeGrande did not terminate </w:t>
      </w:r>
      <w:r w:rsidR="00CA7138">
        <w:rPr>
          <w:rFonts w:eastAsia="Times New Roman"/>
          <w:szCs w:val="24"/>
        </w:rPr>
        <w:t>Kun</w:t>
      </w:r>
      <w:r w:rsidR="009F2927">
        <w:rPr>
          <w:rFonts w:eastAsia="Times New Roman"/>
          <w:szCs w:val="24"/>
        </w:rPr>
        <w:t xml:space="preserve"> on that date</w:t>
      </w:r>
      <w:r w:rsidR="00497D09">
        <w:rPr>
          <w:rFonts w:eastAsia="Times New Roman"/>
          <w:szCs w:val="24"/>
        </w:rPr>
        <w:t xml:space="preserve">.  </w:t>
      </w:r>
    </w:p>
    <w:p w:rsidR="00F64CB6" w:rsidRPr="006A032F" w:rsidRDefault="00177944" w:rsidP="00183425">
      <w:pPr>
        <w:tabs>
          <w:tab w:val="left" w:pos="720"/>
        </w:tabs>
        <w:spacing w:line="480" w:lineRule="auto"/>
        <w:ind w:firstLine="720"/>
        <w:rPr>
          <w:rFonts w:eastAsia="Times New Roman"/>
          <w:szCs w:val="24"/>
        </w:rPr>
      </w:pPr>
      <w:r>
        <w:rPr>
          <w:rFonts w:eastAsia="Times New Roman"/>
          <w:szCs w:val="24"/>
        </w:rPr>
        <w:t>Nevertheless</w:t>
      </w:r>
      <w:r w:rsidR="00D73BC8">
        <w:rPr>
          <w:rFonts w:eastAsia="Times New Roman"/>
          <w:szCs w:val="24"/>
        </w:rPr>
        <w:t xml:space="preserve">, we find </w:t>
      </w:r>
      <w:r w:rsidR="00497D09">
        <w:rPr>
          <w:rFonts w:eastAsia="Times New Roman"/>
          <w:szCs w:val="24"/>
        </w:rPr>
        <w:t>that Kun violated rule</w:t>
      </w:r>
      <w:r w:rsidR="0060601A">
        <w:rPr>
          <w:rFonts w:eastAsia="Times New Roman"/>
          <w:szCs w:val="24"/>
        </w:rPr>
        <w:t> </w:t>
      </w:r>
      <w:r w:rsidR="00497D09">
        <w:rPr>
          <w:rFonts w:eastAsia="Times New Roman"/>
          <w:szCs w:val="24"/>
        </w:rPr>
        <w:t>4-100(A)</w:t>
      </w:r>
      <w:r>
        <w:rPr>
          <w:rFonts w:eastAsia="Times New Roman"/>
          <w:szCs w:val="24"/>
        </w:rPr>
        <w:t>, as charged, because he</w:t>
      </w:r>
      <w:r w:rsidR="00497D09">
        <w:rPr>
          <w:rFonts w:eastAsia="Times New Roman"/>
          <w:szCs w:val="24"/>
        </w:rPr>
        <w:t xml:space="preserve"> fail</w:t>
      </w:r>
      <w:r>
        <w:rPr>
          <w:rFonts w:eastAsia="Times New Roman"/>
          <w:szCs w:val="24"/>
        </w:rPr>
        <w:t>ed</w:t>
      </w:r>
      <w:r w:rsidR="00497D09">
        <w:rPr>
          <w:rFonts w:eastAsia="Times New Roman"/>
          <w:szCs w:val="24"/>
        </w:rPr>
        <w:t xml:space="preserve"> to maintain </w:t>
      </w:r>
      <w:r w:rsidR="007F627F">
        <w:rPr>
          <w:rFonts w:eastAsia="Times New Roman"/>
          <w:szCs w:val="24"/>
        </w:rPr>
        <w:t xml:space="preserve">the </w:t>
      </w:r>
      <w:r w:rsidR="00497D09">
        <w:rPr>
          <w:rFonts w:eastAsia="Times New Roman"/>
          <w:szCs w:val="24"/>
        </w:rPr>
        <w:t>$460 filing fee</w:t>
      </w:r>
      <w:r w:rsidR="007F627F">
        <w:rPr>
          <w:rFonts w:eastAsia="Times New Roman"/>
          <w:szCs w:val="24"/>
        </w:rPr>
        <w:t xml:space="preserve"> in the Bank of the West CTA</w:t>
      </w:r>
      <w:r w:rsidR="00463107">
        <w:rPr>
          <w:rFonts w:eastAsia="Times New Roman"/>
          <w:szCs w:val="24"/>
        </w:rPr>
        <w:t xml:space="preserve">.  </w:t>
      </w:r>
      <w:r>
        <w:rPr>
          <w:rFonts w:eastAsia="Times New Roman"/>
          <w:szCs w:val="24"/>
        </w:rPr>
        <w:t xml:space="preserve">Specifically, </w:t>
      </w:r>
      <w:r w:rsidR="000B58E6">
        <w:rPr>
          <w:rFonts w:eastAsia="Times New Roman"/>
          <w:szCs w:val="24"/>
        </w:rPr>
        <w:t>on July</w:t>
      </w:r>
      <w:r w:rsidR="0060601A">
        <w:rPr>
          <w:rFonts w:eastAsia="Times New Roman"/>
          <w:szCs w:val="24"/>
        </w:rPr>
        <w:t> </w:t>
      </w:r>
      <w:r w:rsidR="000B58E6">
        <w:rPr>
          <w:rFonts w:eastAsia="Times New Roman"/>
          <w:szCs w:val="24"/>
        </w:rPr>
        <w:t xml:space="preserve">7, 2014, </w:t>
      </w:r>
      <w:r w:rsidR="00463107">
        <w:rPr>
          <w:rFonts w:eastAsia="Times New Roman"/>
          <w:szCs w:val="24"/>
        </w:rPr>
        <w:t xml:space="preserve">Kun’s account balance </w:t>
      </w:r>
      <w:r w:rsidR="005B65A4">
        <w:rPr>
          <w:rFonts w:eastAsia="Times New Roman"/>
          <w:szCs w:val="24"/>
        </w:rPr>
        <w:t xml:space="preserve">fell to </w:t>
      </w:r>
      <w:r w:rsidR="00463107">
        <w:rPr>
          <w:rFonts w:eastAsia="Times New Roman"/>
          <w:szCs w:val="24"/>
        </w:rPr>
        <w:t>$9.01</w:t>
      </w:r>
      <w:r w:rsidR="00106AE5">
        <w:rPr>
          <w:rFonts w:eastAsia="Times New Roman"/>
          <w:szCs w:val="24"/>
        </w:rPr>
        <w:t>, which was</w:t>
      </w:r>
      <w:r w:rsidR="003E6F4B">
        <w:rPr>
          <w:rFonts w:eastAsia="Times New Roman"/>
          <w:szCs w:val="24"/>
        </w:rPr>
        <w:t xml:space="preserve"> $450.99 </w:t>
      </w:r>
      <w:r w:rsidR="00106AE5">
        <w:rPr>
          <w:rFonts w:eastAsia="Times New Roman"/>
          <w:szCs w:val="24"/>
        </w:rPr>
        <w:t xml:space="preserve">less than </w:t>
      </w:r>
      <w:r w:rsidR="003E6F4B">
        <w:rPr>
          <w:rFonts w:eastAsia="Times New Roman"/>
          <w:szCs w:val="24"/>
        </w:rPr>
        <w:t xml:space="preserve">the </w:t>
      </w:r>
      <w:r w:rsidR="00B574B6">
        <w:rPr>
          <w:rFonts w:eastAsia="Times New Roman"/>
          <w:szCs w:val="24"/>
        </w:rPr>
        <w:t xml:space="preserve">required </w:t>
      </w:r>
      <w:r w:rsidR="006D696E">
        <w:rPr>
          <w:rFonts w:eastAsia="Times New Roman"/>
          <w:szCs w:val="24"/>
        </w:rPr>
        <w:t xml:space="preserve">$460 in </w:t>
      </w:r>
      <w:r w:rsidR="00D73BC8">
        <w:rPr>
          <w:rFonts w:eastAsia="Times New Roman"/>
          <w:szCs w:val="24"/>
        </w:rPr>
        <w:t xml:space="preserve">unexpended </w:t>
      </w:r>
      <w:r w:rsidR="006D696E">
        <w:rPr>
          <w:rFonts w:eastAsia="Times New Roman"/>
          <w:szCs w:val="24"/>
        </w:rPr>
        <w:t xml:space="preserve">advance costs.  </w:t>
      </w:r>
      <w:r w:rsidR="001D1ED7">
        <w:rPr>
          <w:rFonts w:eastAsia="Times New Roman"/>
          <w:szCs w:val="24"/>
        </w:rPr>
        <w:t>Like the hearing judge, w</w:t>
      </w:r>
      <w:r w:rsidR="003A34D4">
        <w:rPr>
          <w:rFonts w:eastAsia="Times New Roman"/>
          <w:szCs w:val="24"/>
        </w:rPr>
        <w:t>e assign</w:t>
      </w:r>
      <w:r w:rsidR="0013602B">
        <w:rPr>
          <w:rFonts w:eastAsia="Times New Roman"/>
          <w:szCs w:val="24"/>
        </w:rPr>
        <w:t xml:space="preserve"> </w:t>
      </w:r>
      <w:r w:rsidR="006A032F">
        <w:rPr>
          <w:rFonts w:eastAsia="Times New Roman"/>
          <w:szCs w:val="24"/>
        </w:rPr>
        <w:t xml:space="preserve">no additional weight to the charge in Count </w:t>
      </w:r>
      <w:r w:rsidR="006A032F">
        <w:rPr>
          <w:rFonts w:eastAsia="Times New Roman"/>
          <w:szCs w:val="24"/>
        </w:rPr>
        <w:lastRenderedPageBreak/>
        <w:t>One because the same facts support the section</w:t>
      </w:r>
      <w:r w:rsidR="0060601A">
        <w:rPr>
          <w:rFonts w:eastAsia="Times New Roman"/>
          <w:szCs w:val="24"/>
        </w:rPr>
        <w:t> </w:t>
      </w:r>
      <w:r w:rsidR="006A032F">
        <w:rPr>
          <w:rFonts w:eastAsia="Times New Roman"/>
          <w:szCs w:val="24"/>
        </w:rPr>
        <w:t>6106 violation</w:t>
      </w:r>
      <w:r w:rsidR="005B65A4">
        <w:rPr>
          <w:rFonts w:eastAsia="Times New Roman"/>
          <w:szCs w:val="24"/>
        </w:rPr>
        <w:t xml:space="preserve"> discussed below</w:t>
      </w:r>
      <w:r w:rsidR="006A032F">
        <w:rPr>
          <w:rFonts w:eastAsia="Times New Roman"/>
          <w:szCs w:val="24"/>
        </w:rPr>
        <w:t>.  (</w:t>
      </w:r>
      <w:r w:rsidR="006A032F">
        <w:rPr>
          <w:rFonts w:eastAsia="Times New Roman"/>
          <w:i/>
          <w:szCs w:val="24"/>
        </w:rPr>
        <w:t>In the Matter of Sampson</w:t>
      </w:r>
      <w:r w:rsidR="006A032F">
        <w:rPr>
          <w:rFonts w:eastAsia="Times New Roman"/>
          <w:szCs w:val="24"/>
        </w:rPr>
        <w:t xml:space="preserve"> (Review Dept. 1994) 3</w:t>
      </w:r>
      <w:r w:rsidR="0060601A">
        <w:rPr>
          <w:rFonts w:eastAsia="Times New Roman"/>
          <w:szCs w:val="24"/>
        </w:rPr>
        <w:t> </w:t>
      </w:r>
      <w:r w:rsidR="006A032F">
        <w:rPr>
          <w:rFonts w:eastAsia="Times New Roman"/>
          <w:szCs w:val="24"/>
        </w:rPr>
        <w:t xml:space="preserve">Cal. State Bar Ct. Rptr. 119, 127.)  </w:t>
      </w:r>
    </w:p>
    <w:p w:rsidR="00E1061F" w:rsidRDefault="006A032F" w:rsidP="00183425">
      <w:pPr>
        <w:tabs>
          <w:tab w:val="left" w:pos="720"/>
        </w:tabs>
        <w:spacing w:line="480" w:lineRule="auto"/>
        <w:rPr>
          <w:szCs w:val="24"/>
        </w:rPr>
      </w:pPr>
      <w:r>
        <w:rPr>
          <w:rFonts w:eastAsia="Times New Roman"/>
          <w:b/>
          <w:szCs w:val="24"/>
        </w:rPr>
        <w:tab/>
      </w:r>
      <w:r w:rsidR="005B65A4">
        <w:rPr>
          <w:rFonts w:eastAsia="Times New Roman"/>
          <w:szCs w:val="24"/>
        </w:rPr>
        <w:t>As for Count Two, w</w:t>
      </w:r>
      <w:r w:rsidR="003A34D4">
        <w:rPr>
          <w:rFonts w:eastAsia="Times New Roman"/>
          <w:szCs w:val="24"/>
        </w:rPr>
        <w:t>e affirm t</w:t>
      </w:r>
      <w:r w:rsidR="0013602B">
        <w:rPr>
          <w:rFonts w:eastAsia="Times New Roman"/>
          <w:szCs w:val="24"/>
        </w:rPr>
        <w:t>he hearing judge</w:t>
      </w:r>
      <w:r w:rsidR="003A34D4">
        <w:rPr>
          <w:rFonts w:eastAsia="Times New Roman"/>
          <w:szCs w:val="24"/>
        </w:rPr>
        <w:t>’s finding</w:t>
      </w:r>
      <w:r w:rsidR="0013602B">
        <w:rPr>
          <w:rFonts w:eastAsia="Times New Roman"/>
          <w:szCs w:val="24"/>
        </w:rPr>
        <w:t xml:space="preserve"> </w:t>
      </w:r>
      <w:r w:rsidR="003A34D4">
        <w:rPr>
          <w:rFonts w:eastAsia="Times New Roman"/>
          <w:szCs w:val="24"/>
        </w:rPr>
        <w:t>that</w:t>
      </w:r>
      <w:r w:rsidR="0013602B">
        <w:rPr>
          <w:rFonts w:eastAsia="Times New Roman"/>
          <w:szCs w:val="24"/>
        </w:rPr>
        <w:t xml:space="preserve"> Kun misappropriat</w:t>
      </w:r>
      <w:r w:rsidR="003A34D4">
        <w:rPr>
          <w:rFonts w:eastAsia="Times New Roman"/>
          <w:szCs w:val="24"/>
        </w:rPr>
        <w:t>ed</w:t>
      </w:r>
      <w:r w:rsidR="00C65E6D">
        <w:rPr>
          <w:rFonts w:eastAsia="Times New Roman"/>
          <w:szCs w:val="24"/>
        </w:rPr>
        <w:t xml:space="preserve"> </w:t>
      </w:r>
      <w:r w:rsidR="005B2007">
        <w:rPr>
          <w:szCs w:val="24"/>
        </w:rPr>
        <w:t xml:space="preserve">$450.99 of </w:t>
      </w:r>
      <w:r w:rsidR="00C65E6D">
        <w:rPr>
          <w:rFonts w:eastAsia="Times New Roman"/>
          <w:szCs w:val="24"/>
        </w:rPr>
        <w:t xml:space="preserve">LeGrande’s funds </w:t>
      </w:r>
      <w:r w:rsidR="00B225D6">
        <w:rPr>
          <w:rFonts w:eastAsia="Times New Roman"/>
          <w:szCs w:val="24"/>
        </w:rPr>
        <w:t>by</w:t>
      </w:r>
      <w:r w:rsidR="00C65E6D">
        <w:rPr>
          <w:rFonts w:eastAsia="Times New Roman"/>
          <w:szCs w:val="24"/>
        </w:rPr>
        <w:t xml:space="preserve"> gross negligence</w:t>
      </w:r>
      <w:r w:rsidR="0060601A">
        <w:rPr>
          <w:rFonts w:eastAsia="Times New Roman"/>
          <w:szCs w:val="24"/>
        </w:rPr>
        <w:t>,</w:t>
      </w:r>
      <w:r w:rsidR="00C65E6D">
        <w:rPr>
          <w:rFonts w:eastAsia="Times New Roman"/>
          <w:szCs w:val="24"/>
        </w:rPr>
        <w:t xml:space="preserve"> in willful violation of section</w:t>
      </w:r>
      <w:r w:rsidR="0060601A">
        <w:rPr>
          <w:rFonts w:eastAsia="Times New Roman"/>
          <w:szCs w:val="24"/>
        </w:rPr>
        <w:t> </w:t>
      </w:r>
      <w:r w:rsidR="00C65E6D">
        <w:rPr>
          <w:rFonts w:eastAsia="Times New Roman"/>
          <w:szCs w:val="24"/>
        </w:rPr>
        <w:t>6106</w:t>
      </w:r>
      <w:r w:rsidR="0060601A">
        <w:rPr>
          <w:rFonts w:eastAsia="Times New Roman"/>
          <w:szCs w:val="24"/>
        </w:rPr>
        <w:t>,</w:t>
      </w:r>
      <w:r w:rsidR="00C65E6D">
        <w:rPr>
          <w:rFonts w:eastAsia="Times New Roman"/>
          <w:szCs w:val="24"/>
        </w:rPr>
        <w:t xml:space="preserve"> </w:t>
      </w:r>
      <w:r w:rsidR="003A34D4">
        <w:rPr>
          <w:szCs w:val="24"/>
        </w:rPr>
        <w:t>as supported by</w:t>
      </w:r>
      <w:r w:rsidR="00C65E6D">
        <w:rPr>
          <w:szCs w:val="24"/>
        </w:rPr>
        <w:t xml:space="preserve"> clear</w:t>
      </w:r>
      <w:r w:rsidR="003A34D4">
        <w:rPr>
          <w:szCs w:val="24"/>
        </w:rPr>
        <w:t xml:space="preserve"> </w:t>
      </w:r>
      <w:r w:rsidR="00C65E6D">
        <w:rPr>
          <w:szCs w:val="24"/>
        </w:rPr>
        <w:t>and convincing</w:t>
      </w:r>
      <w:r w:rsidR="001D1ED7">
        <w:rPr>
          <w:szCs w:val="24"/>
        </w:rPr>
        <w:t xml:space="preserve"> evidence</w:t>
      </w:r>
      <w:r w:rsidR="00C65E6D">
        <w:rPr>
          <w:szCs w:val="24"/>
        </w:rPr>
        <w:t>.</w:t>
      </w:r>
      <w:r w:rsidR="00C65E6D">
        <w:rPr>
          <w:rStyle w:val="FootnoteReference"/>
          <w:szCs w:val="24"/>
        </w:rPr>
        <w:footnoteReference w:id="11"/>
      </w:r>
      <w:r w:rsidR="00C65E6D">
        <w:rPr>
          <w:szCs w:val="24"/>
        </w:rPr>
        <w:t xml:space="preserve">  Kun </w:t>
      </w:r>
      <w:r w:rsidR="005B2007">
        <w:rPr>
          <w:szCs w:val="24"/>
        </w:rPr>
        <w:t>was required to maintain $460 on LeGrande’s behalf</w:t>
      </w:r>
      <w:r w:rsidR="00B1645E">
        <w:rPr>
          <w:szCs w:val="24"/>
        </w:rPr>
        <w:t>, but the CTA balance at one point dropped to $9.01</w:t>
      </w:r>
      <w:r w:rsidR="00DD65CC">
        <w:rPr>
          <w:szCs w:val="24"/>
        </w:rPr>
        <w:t>.</w:t>
      </w:r>
      <w:r w:rsidR="005B2007">
        <w:rPr>
          <w:szCs w:val="24"/>
        </w:rPr>
        <w:t xml:space="preserve"> </w:t>
      </w:r>
      <w:r w:rsidR="001D1ED7">
        <w:rPr>
          <w:szCs w:val="24"/>
        </w:rPr>
        <w:t xml:space="preserve"> </w:t>
      </w:r>
      <w:r w:rsidR="00E1061F">
        <w:rPr>
          <w:szCs w:val="24"/>
        </w:rPr>
        <w:t xml:space="preserve">The </w:t>
      </w:r>
      <w:r w:rsidR="00E1061F" w:rsidRPr="00E9377A">
        <w:rPr>
          <w:szCs w:val="24"/>
        </w:rPr>
        <w:t>mere fact that</w:t>
      </w:r>
      <w:r w:rsidR="00E1061F">
        <w:rPr>
          <w:szCs w:val="24"/>
        </w:rPr>
        <w:t xml:space="preserve"> </w:t>
      </w:r>
      <w:r w:rsidR="00CB5486">
        <w:rPr>
          <w:szCs w:val="24"/>
        </w:rPr>
        <w:t>his</w:t>
      </w:r>
      <w:r w:rsidR="00E1061F" w:rsidRPr="00E9377A">
        <w:rPr>
          <w:szCs w:val="24"/>
        </w:rPr>
        <w:t xml:space="preserve"> CTA balance fell below $</w:t>
      </w:r>
      <w:r w:rsidR="00E1061F">
        <w:rPr>
          <w:szCs w:val="24"/>
        </w:rPr>
        <w:t xml:space="preserve">460 </w:t>
      </w:r>
      <w:r w:rsidR="00E1061F" w:rsidRPr="00E9377A">
        <w:rPr>
          <w:szCs w:val="24"/>
        </w:rPr>
        <w:t>raises an inference of misappropriation.  (</w:t>
      </w:r>
      <w:r w:rsidR="000B784F">
        <w:rPr>
          <w:i/>
          <w:szCs w:val="24"/>
        </w:rPr>
        <w:t>Giovanazzi v. State Bar</w:t>
      </w:r>
      <w:r w:rsidR="001210D4">
        <w:rPr>
          <w:szCs w:val="24"/>
        </w:rPr>
        <w:t xml:space="preserve">, </w:t>
      </w:r>
      <w:r w:rsidR="001210D4">
        <w:rPr>
          <w:i/>
          <w:szCs w:val="24"/>
        </w:rPr>
        <w:t>supra</w:t>
      </w:r>
      <w:r w:rsidR="001210D4">
        <w:rPr>
          <w:szCs w:val="24"/>
        </w:rPr>
        <w:t>,</w:t>
      </w:r>
      <w:r w:rsidR="000B784F">
        <w:rPr>
          <w:szCs w:val="24"/>
        </w:rPr>
        <w:t xml:space="preserve"> 28</w:t>
      </w:r>
      <w:r w:rsidR="00CB5486">
        <w:rPr>
          <w:szCs w:val="24"/>
        </w:rPr>
        <w:t> </w:t>
      </w:r>
      <w:r w:rsidR="000B784F">
        <w:rPr>
          <w:szCs w:val="24"/>
        </w:rPr>
        <w:t xml:space="preserve">Cal.3d </w:t>
      </w:r>
      <w:r w:rsidR="001210D4">
        <w:rPr>
          <w:szCs w:val="24"/>
        </w:rPr>
        <w:t>at p. </w:t>
      </w:r>
      <w:r w:rsidR="00245788">
        <w:rPr>
          <w:szCs w:val="24"/>
        </w:rPr>
        <w:t>474</w:t>
      </w:r>
      <w:r w:rsidR="00E1061F" w:rsidRPr="00E9377A">
        <w:rPr>
          <w:szCs w:val="24"/>
        </w:rPr>
        <w:t xml:space="preserve"> [inference of misappropriation if attorney’s </w:t>
      </w:r>
      <w:r w:rsidR="001210D4">
        <w:rPr>
          <w:szCs w:val="24"/>
        </w:rPr>
        <w:t>CTA</w:t>
      </w:r>
      <w:r w:rsidR="00E1061F" w:rsidRPr="00E9377A">
        <w:rPr>
          <w:szCs w:val="24"/>
        </w:rPr>
        <w:t xml:space="preserve"> balance drops below amount attorney should maintain for client].)  </w:t>
      </w:r>
      <w:r w:rsidR="007F627F">
        <w:rPr>
          <w:szCs w:val="24"/>
        </w:rPr>
        <w:t xml:space="preserve">Further, </w:t>
      </w:r>
      <w:r w:rsidR="00E1061F">
        <w:rPr>
          <w:szCs w:val="24"/>
        </w:rPr>
        <w:t xml:space="preserve">Kun </w:t>
      </w:r>
      <w:r w:rsidR="00DD65CC">
        <w:rPr>
          <w:szCs w:val="24"/>
        </w:rPr>
        <w:t xml:space="preserve">failed to rebut </w:t>
      </w:r>
      <w:r w:rsidR="00D13B68">
        <w:rPr>
          <w:szCs w:val="24"/>
        </w:rPr>
        <w:t xml:space="preserve">this </w:t>
      </w:r>
      <w:r w:rsidR="00DD65CC">
        <w:rPr>
          <w:szCs w:val="24"/>
        </w:rPr>
        <w:t>inference</w:t>
      </w:r>
      <w:r w:rsidR="00E1061F" w:rsidRPr="00E9377A">
        <w:rPr>
          <w:szCs w:val="24"/>
        </w:rPr>
        <w:t>.  (</w:t>
      </w:r>
      <w:r w:rsidR="00E1061F" w:rsidRPr="00E9377A">
        <w:rPr>
          <w:i/>
          <w:szCs w:val="24"/>
        </w:rPr>
        <w:t>In the Matter of Sklar</w:t>
      </w:r>
      <w:r w:rsidR="00E1061F" w:rsidRPr="00E9377A">
        <w:rPr>
          <w:szCs w:val="24"/>
        </w:rPr>
        <w:t xml:space="preserve"> (Review Dept. 1993) 2</w:t>
      </w:r>
      <w:r w:rsidR="00E1061F">
        <w:rPr>
          <w:szCs w:val="24"/>
        </w:rPr>
        <w:t> </w:t>
      </w:r>
      <w:r w:rsidR="00E1061F" w:rsidRPr="00E9377A">
        <w:rPr>
          <w:szCs w:val="24"/>
        </w:rPr>
        <w:t>Cal. State Bar Ct. Rptr. 602, 618 [once inference of misappropriation arises, burden shifts to attorney to prove n</w:t>
      </w:r>
      <w:r w:rsidR="00E1061F">
        <w:rPr>
          <w:szCs w:val="24"/>
        </w:rPr>
        <w:t>o misappropriation occurred].)</w:t>
      </w:r>
    </w:p>
    <w:p w:rsidR="00E92EEA" w:rsidRDefault="005124B6" w:rsidP="00183425">
      <w:pPr>
        <w:tabs>
          <w:tab w:val="left" w:pos="720"/>
        </w:tabs>
        <w:spacing w:line="480" w:lineRule="auto"/>
        <w:ind w:firstLine="720"/>
        <w:rPr>
          <w:szCs w:val="24"/>
        </w:rPr>
      </w:pPr>
      <w:r>
        <w:rPr>
          <w:szCs w:val="24"/>
        </w:rPr>
        <w:t>Additionally</w:t>
      </w:r>
      <w:r w:rsidR="00E92EEA">
        <w:rPr>
          <w:szCs w:val="24"/>
        </w:rPr>
        <w:t>, Kun</w:t>
      </w:r>
      <w:r w:rsidR="009944C5">
        <w:rPr>
          <w:szCs w:val="24"/>
        </w:rPr>
        <w:t xml:space="preserve"> stipulated to all of the withdrawals from his Bank of the West CTA</w:t>
      </w:r>
      <w:r w:rsidR="00D13B68">
        <w:rPr>
          <w:szCs w:val="24"/>
        </w:rPr>
        <w:t xml:space="preserve"> that caused his account to </w:t>
      </w:r>
      <w:r w:rsidR="004C2FED">
        <w:rPr>
          <w:szCs w:val="24"/>
        </w:rPr>
        <w:t>fall</w:t>
      </w:r>
      <w:r w:rsidR="00D13B68">
        <w:rPr>
          <w:szCs w:val="24"/>
        </w:rPr>
        <w:t xml:space="preserve"> below the amount he was required to maintain on </w:t>
      </w:r>
      <w:r w:rsidR="00412160">
        <w:rPr>
          <w:szCs w:val="24"/>
        </w:rPr>
        <w:t xml:space="preserve">LeGrande’s </w:t>
      </w:r>
      <w:r w:rsidR="00D13B68">
        <w:rPr>
          <w:szCs w:val="24"/>
        </w:rPr>
        <w:t>behalf</w:t>
      </w:r>
      <w:r w:rsidR="009944C5">
        <w:rPr>
          <w:szCs w:val="24"/>
        </w:rPr>
        <w:t xml:space="preserve">.  </w:t>
      </w:r>
      <w:r w:rsidR="00DD65CC">
        <w:rPr>
          <w:szCs w:val="24"/>
        </w:rPr>
        <w:t>H</w:t>
      </w:r>
      <w:r w:rsidR="00DD576A">
        <w:rPr>
          <w:szCs w:val="24"/>
        </w:rPr>
        <w:t>e</w:t>
      </w:r>
      <w:r w:rsidR="00DD65CC">
        <w:rPr>
          <w:szCs w:val="24"/>
        </w:rPr>
        <w:t xml:space="preserve"> </w:t>
      </w:r>
      <w:r w:rsidR="009944C5">
        <w:rPr>
          <w:szCs w:val="24"/>
        </w:rPr>
        <w:t>argu</w:t>
      </w:r>
      <w:r w:rsidR="00DD576A">
        <w:rPr>
          <w:szCs w:val="24"/>
        </w:rPr>
        <w:t>es</w:t>
      </w:r>
      <w:r w:rsidR="00661F20">
        <w:rPr>
          <w:szCs w:val="24"/>
        </w:rPr>
        <w:t xml:space="preserve"> </w:t>
      </w:r>
      <w:r w:rsidR="009944C5">
        <w:rPr>
          <w:szCs w:val="24"/>
        </w:rPr>
        <w:t xml:space="preserve">that it was improper for the </w:t>
      </w:r>
      <w:r w:rsidR="00245788">
        <w:rPr>
          <w:szCs w:val="24"/>
        </w:rPr>
        <w:t xml:space="preserve">hearing judge </w:t>
      </w:r>
      <w:r w:rsidR="009944C5">
        <w:rPr>
          <w:szCs w:val="24"/>
        </w:rPr>
        <w:t>to find culpability f</w:t>
      </w:r>
      <w:r w:rsidR="00CB5486">
        <w:rPr>
          <w:szCs w:val="24"/>
        </w:rPr>
        <w:t>o</w:t>
      </w:r>
      <w:r w:rsidR="009944C5">
        <w:rPr>
          <w:szCs w:val="24"/>
        </w:rPr>
        <w:t>r a series of $40 cash withdrawals</w:t>
      </w:r>
      <w:r w:rsidR="001C6D4B">
        <w:rPr>
          <w:szCs w:val="24"/>
        </w:rPr>
        <w:t xml:space="preserve"> </w:t>
      </w:r>
      <w:r w:rsidR="00245788">
        <w:rPr>
          <w:szCs w:val="24"/>
        </w:rPr>
        <w:t xml:space="preserve">because </w:t>
      </w:r>
      <w:r w:rsidR="00DD33AB">
        <w:rPr>
          <w:szCs w:val="24"/>
        </w:rPr>
        <w:t>Kun</w:t>
      </w:r>
      <w:r w:rsidR="00245788">
        <w:rPr>
          <w:szCs w:val="24"/>
        </w:rPr>
        <w:t xml:space="preserve"> was never told that such withdrawals were improper</w:t>
      </w:r>
      <w:r w:rsidR="00DD576A">
        <w:rPr>
          <w:szCs w:val="24"/>
        </w:rPr>
        <w:t>.  That argument</w:t>
      </w:r>
      <w:r w:rsidR="00245788">
        <w:rPr>
          <w:szCs w:val="24"/>
        </w:rPr>
        <w:t xml:space="preserve"> </w:t>
      </w:r>
      <w:r w:rsidR="001C6D4B">
        <w:rPr>
          <w:szCs w:val="24"/>
        </w:rPr>
        <w:t>fails</w:t>
      </w:r>
      <w:r w:rsidR="00287021">
        <w:rPr>
          <w:szCs w:val="24"/>
        </w:rPr>
        <w:t xml:space="preserve">.  </w:t>
      </w:r>
      <w:r w:rsidR="00E7323F">
        <w:t>The State Bar’s Handbook on Client Trust Accounting for California Attorneys (Handbook) makes clear that Kun may not take unauthorized money from his CTA to spend on personal expenses.</w:t>
      </w:r>
      <w:r w:rsidR="00E7323F">
        <w:rPr>
          <w:rStyle w:val="FootnoteReference"/>
        </w:rPr>
        <w:footnoteReference w:id="12"/>
      </w:r>
      <w:r w:rsidR="00E7323F">
        <w:t xml:space="preserve">  Further, </w:t>
      </w:r>
      <w:r w:rsidR="001C6D4B">
        <w:rPr>
          <w:szCs w:val="24"/>
        </w:rPr>
        <w:t>Kun presents no authority, and we can find none, to distinguish</w:t>
      </w:r>
      <w:r w:rsidR="00291BD4">
        <w:rPr>
          <w:szCs w:val="24"/>
        </w:rPr>
        <w:t xml:space="preserve"> between a cash withdrawal and a check withdrawal for purposes of determining whether a </w:t>
      </w:r>
      <w:r w:rsidR="00291BD4">
        <w:rPr>
          <w:szCs w:val="24"/>
        </w:rPr>
        <w:lastRenderedPageBreak/>
        <w:t xml:space="preserve">misappropriation occurred.  </w:t>
      </w:r>
      <w:r w:rsidR="00E92EEA">
        <w:rPr>
          <w:szCs w:val="24"/>
        </w:rPr>
        <w:t>Regardless of the means, t</w:t>
      </w:r>
      <w:r w:rsidR="00291BD4">
        <w:rPr>
          <w:szCs w:val="24"/>
        </w:rPr>
        <w:t xml:space="preserve">he </w:t>
      </w:r>
      <w:r w:rsidR="00E92EEA">
        <w:rPr>
          <w:szCs w:val="24"/>
        </w:rPr>
        <w:t xml:space="preserve">relevant </w:t>
      </w:r>
      <w:r w:rsidR="00291BD4">
        <w:rPr>
          <w:szCs w:val="24"/>
        </w:rPr>
        <w:t xml:space="preserve">issue is whether money that was required to be maintained in the trust account was </w:t>
      </w:r>
      <w:r w:rsidR="00E7323F">
        <w:rPr>
          <w:szCs w:val="24"/>
        </w:rPr>
        <w:t xml:space="preserve">improperly </w:t>
      </w:r>
      <w:r w:rsidR="00291BD4">
        <w:rPr>
          <w:szCs w:val="24"/>
        </w:rPr>
        <w:t xml:space="preserve">withdrawn.  </w:t>
      </w:r>
    </w:p>
    <w:p w:rsidR="009944C5" w:rsidRPr="001B61A2" w:rsidRDefault="00412160" w:rsidP="007075ED">
      <w:pPr>
        <w:tabs>
          <w:tab w:val="left" w:pos="720"/>
        </w:tabs>
        <w:spacing w:line="480" w:lineRule="auto"/>
        <w:ind w:firstLine="720"/>
        <w:rPr>
          <w:szCs w:val="24"/>
        </w:rPr>
      </w:pPr>
      <w:r>
        <w:rPr>
          <w:szCs w:val="24"/>
        </w:rPr>
        <w:t>Kun f</w:t>
      </w:r>
      <w:r w:rsidR="008F0B0D">
        <w:rPr>
          <w:szCs w:val="24"/>
        </w:rPr>
        <w:t>urther</w:t>
      </w:r>
      <w:r w:rsidR="000C144C" w:rsidRPr="000C144C">
        <w:rPr>
          <w:szCs w:val="24"/>
        </w:rPr>
        <w:t xml:space="preserve"> argu</w:t>
      </w:r>
      <w:r w:rsidR="005124B6">
        <w:rPr>
          <w:szCs w:val="24"/>
        </w:rPr>
        <w:t>es</w:t>
      </w:r>
      <w:r w:rsidR="000C144C" w:rsidRPr="000C144C">
        <w:rPr>
          <w:szCs w:val="24"/>
        </w:rPr>
        <w:t xml:space="preserve"> that </w:t>
      </w:r>
      <w:r w:rsidR="005124B6">
        <w:rPr>
          <w:szCs w:val="24"/>
        </w:rPr>
        <w:t>$460 is an insignificantly small amount of misappropriation, as referenced in standard 2.1(a)</w:t>
      </w:r>
      <w:r w:rsidR="00F82851">
        <w:rPr>
          <w:szCs w:val="24"/>
        </w:rPr>
        <w:t>,</w:t>
      </w:r>
      <w:r w:rsidR="005124B6">
        <w:rPr>
          <w:rStyle w:val="FootnoteReference"/>
          <w:szCs w:val="24"/>
        </w:rPr>
        <w:footnoteReference w:id="13"/>
      </w:r>
      <w:r w:rsidR="005124B6" w:rsidRPr="000C144C">
        <w:rPr>
          <w:szCs w:val="24"/>
        </w:rPr>
        <w:t xml:space="preserve"> </w:t>
      </w:r>
      <w:r w:rsidR="008F0B0D">
        <w:rPr>
          <w:szCs w:val="24"/>
        </w:rPr>
        <w:t xml:space="preserve">and that </w:t>
      </w:r>
      <w:r w:rsidR="000C144C" w:rsidRPr="000C144C">
        <w:rPr>
          <w:szCs w:val="24"/>
        </w:rPr>
        <w:t>Civil Code section 2319 gave him authority to convert advance costs into fees</w:t>
      </w:r>
      <w:r w:rsidR="008F0B0D">
        <w:rPr>
          <w:szCs w:val="24"/>
        </w:rPr>
        <w:t>.  Both arguments</w:t>
      </w:r>
      <w:r w:rsidR="000C144C" w:rsidRPr="000C144C">
        <w:rPr>
          <w:szCs w:val="24"/>
        </w:rPr>
        <w:t xml:space="preserve"> </w:t>
      </w:r>
      <w:r w:rsidR="005124B6">
        <w:rPr>
          <w:szCs w:val="24"/>
        </w:rPr>
        <w:t>a</w:t>
      </w:r>
      <w:r w:rsidR="009308C8">
        <w:rPr>
          <w:szCs w:val="24"/>
        </w:rPr>
        <w:t xml:space="preserve">re </w:t>
      </w:r>
      <w:r w:rsidR="000C144C" w:rsidRPr="000C144C">
        <w:rPr>
          <w:szCs w:val="24"/>
        </w:rPr>
        <w:t xml:space="preserve">unpersuasive.  </w:t>
      </w:r>
      <w:r w:rsidR="009308C8">
        <w:rPr>
          <w:szCs w:val="24"/>
        </w:rPr>
        <w:t xml:space="preserve">First, </w:t>
      </w:r>
      <w:r w:rsidR="009216F6">
        <w:rPr>
          <w:szCs w:val="24"/>
        </w:rPr>
        <w:t>s</w:t>
      </w:r>
      <w:r w:rsidR="009308C8">
        <w:rPr>
          <w:szCs w:val="24"/>
        </w:rPr>
        <w:t>tandard</w:t>
      </w:r>
      <w:r w:rsidR="009216F6">
        <w:rPr>
          <w:szCs w:val="24"/>
        </w:rPr>
        <w:t> </w:t>
      </w:r>
      <w:r w:rsidR="009308C8">
        <w:rPr>
          <w:szCs w:val="24"/>
        </w:rPr>
        <w:t xml:space="preserve">2.1(a) </w:t>
      </w:r>
      <w:r w:rsidR="001269E6">
        <w:rPr>
          <w:szCs w:val="24"/>
        </w:rPr>
        <w:t xml:space="preserve">is inapplicable here as it recommends </w:t>
      </w:r>
      <w:r w:rsidR="00797D22">
        <w:rPr>
          <w:szCs w:val="24"/>
        </w:rPr>
        <w:t xml:space="preserve">a </w:t>
      </w:r>
      <w:r w:rsidR="001269E6">
        <w:rPr>
          <w:szCs w:val="24"/>
        </w:rPr>
        <w:t xml:space="preserve">sanction for </w:t>
      </w:r>
      <w:r w:rsidR="009308C8" w:rsidRPr="00E57500">
        <w:rPr>
          <w:i/>
          <w:szCs w:val="24"/>
        </w:rPr>
        <w:t>intentional</w:t>
      </w:r>
      <w:r w:rsidR="009308C8">
        <w:rPr>
          <w:szCs w:val="24"/>
        </w:rPr>
        <w:t xml:space="preserve"> misappropriation; Kun committed a </w:t>
      </w:r>
      <w:r w:rsidR="009308C8" w:rsidRPr="00E57500">
        <w:rPr>
          <w:i/>
          <w:szCs w:val="24"/>
        </w:rPr>
        <w:t>grossly negligent</w:t>
      </w:r>
      <w:r w:rsidR="009308C8">
        <w:rPr>
          <w:szCs w:val="24"/>
        </w:rPr>
        <w:t xml:space="preserve"> misappropriation</w:t>
      </w:r>
      <w:r w:rsidR="001269E6">
        <w:rPr>
          <w:szCs w:val="24"/>
        </w:rPr>
        <w:t xml:space="preserve"> </w:t>
      </w:r>
      <w:r w:rsidR="002F0B2D">
        <w:rPr>
          <w:szCs w:val="24"/>
        </w:rPr>
        <w:t>to</w:t>
      </w:r>
      <w:r w:rsidR="00797D22">
        <w:rPr>
          <w:szCs w:val="24"/>
        </w:rPr>
        <w:t xml:space="preserve"> which </w:t>
      </w:r>
      <w:r w:rsidR="00CC5591">
        <w:rPr>
          <w:szCs w:val="24"/>
        </w:rPr>
        <w:t>s</w:t>
      </w:r>
      <w:r w:rsidR="001269E6">
        <w:rPr>
          <w:szCs w:val="24"/>
        </w:rPr>
        <w:t>tandard</w:t>
      </w:r>
      <w:r w:rsidR="00CC5591">
        <w:rPr>
          <w:szCs w:val="24"/>
        </w:rPr>
        <w:t> </w:t>
      </w:r>
      <w:r w:rsidR="001269E6">
        <w:rPr>
          <w:szCs w:val="24"/>
        </w:rPr>
        <w:t xml:space="preserve">2.1(b) applies </w:t>
      </w:r>
      <w:r w:rsidR="00797D22">
        <w:rPr>
          <w:szCs w:val="24"/>
        </w:rPr>
        <w:t xml:space="preserve">and </w:t>
      </w:r>
      <w:r w:rsidR="001269E6">
        <w:rPr>
          <w:szCs w:val="24"/>
        </w:rPr>
        <w:t xml:space="preserve">directs </w:t>
      </w:r>
      <w:r w:rsidR="00797D22">
        <w:rPr>
          <w:szCs w:val="24"/>
        </w:rPr>
        <w:t xml:space="preserve">that </w:t>
      </w:r>
      <w:r w:rsidR="001269E6">
        <w:rPr>
          <w:szCs w:val="24"/>
        </w:rPr>
        <w:t xml:space="preserve">an actual suspension </w:t>
      </w:r>
      <w:r w:rsidR="00797D22">
        <w:rPr>
          <w:szCs w:val="24"/>
        </w:rPr>
        <w:t xml:space="preserve">is the </w:t>
      </w:r>
      <w:r w:rsidR="001269E6">
        <w:rPr>
          <w:szCs w:val="24"/>
        </w:rPr>
        <w:t>presumed sanction</w:t>
      </w:r>
      <w:r w:rsidR="009308C8">
        <w:rPr>
          <w:szCs w:val="24"/>
        </w:rPr>
        <w:t>.  Second, Civil Code section</w:t>
      </w:r>
      <w:r w:rsidR="00CC5591">
        <w:rPr>
          <w:szCs w:val="24"/>
        </w:rPr>
        <w:t> </w:t>
      </w:r>
      <w:r w:rsidR="009308C8">
        <w:rPr>
          <w:szCs w:val="24"/>
        </w:rPr>
        <w:t>2319</w:t>
      </w:r>
      <w:r w:rsidR="000C144C" w:rsidRPr="000C144C">
        <w:rPr>
          <w:szCs w:val="24"/>
        </w:rPr>
        <w:t xml:space="preserve"> generally provides that an agent has authority to do everything necessary or proper to effectuate the purpose of his or her agency.  This general authority </w:t>
      </w:r>
      <w:r w:rsidR="00B6324F">
        <w:rPr>
          <w:szCs w:val="24"/>
        </w:rPr>
        <w:t>does</w:t>
      </w:r>
      <w:r w:rsidR="000C144C" w:rsidRPr="000C144C">
        <w:rPr>
          <w:szCs w:val="24"/>
        </w:rPr>
        <w:t xml:space="preserve"> not authorize Kun to convert advance costs into attorney fees without his client’s agreement.  (</w:t>
      </w:r>
      <w:r w:rsidR="000C144C" w:rsidRPr="000C144C">
        <w:rPr>
          <w:i/>
          <w:szCs w:val="24"/>
        </w:rPr>
        <w:t>Schwarting v. Artel</w:t>
      </w:r>
      <w:r w:rsidR="000C144C" w:rsidRPr="000C144C">
        <w:rPr>
          <w:szCs w:val="24"/>
        </w:rPr>
        <w:t xml:space="preserve"> (1940) 40 Cal.App.2d 433, 436, 441 [agent is bound to exercise utmost good faith and honesty in any transaction</w:t>
      </w:r>
      <w:r w:rsidR="0009560B">
        <w:rPr>
          <w:szCs w:val="24"/>
        </w:rPr>
        <w:t>;</w:t>
      </w:r>
      <w:r w:rsidR="000C144C" w:rsidRPr="000C144C">
        <w:rPr>
          <w:szCs w:val="24"/>
        </w:rPr>
        <w:t xml:space="preserve"> when acts are questioned, agent has burden to demonstrate that he acted with utmost good faith and fully disclosed all details to principal].)</w:t>
      </w:r>
    </w:p>
    <w:p w:rsidR="00FC593C" w:rsidRPr="0043566C" w:rsidRDefault="00183425" w:rsidP="00183425">
      <w:pPr>
        <w:pStyle w:val="ListParagraph"/>
        <w:numPr>
          <w:ilvl w:val="0"/>
          <w:numId w:val="23"/>
        </w:numPr>
        <w:tabs>
          <w:tab w:val="left" w:pos="720"/>
        </w:tabs>
        <w:rPr>
          <w:rFonts w:eastAsia="Times New Roman"/>
          <w:b/>
          <w:szCs w:val="24"/>
        </w:rPr>
      </w:pPr>
      <w:r w:rsidRPr="0043566C">
        <w:rPr>
          <w:rFonts w:eastAsia="Times New Roman"/>
          <w:b/>
          <w:szCs w:val="24"/>
        </w:rPr>
        <w:tab/>
      </w:r>
      <w:r w:rsidR="00CC5591">
        <w:rPr>
          <w:rFonts w:eastAsia="Times New Roman"/>
          <w:b/>
          <w:szCs w:val="24"/>
        </w:rPr>
        <w:t xml:space="preserve">Count Three – </w:t>
      </w:r>
      <w:r w:rsidR="007C1C6A" w:rsidRPr="0043566C">
        <w:rPr>
          <w:rFonts w:eastAsia="Times New Roman"/>
          <w:b/>
          <w:szCs w:val="24"/>
        </w:rPr>
        <w:t>Commingling</w:t>
      </w:r>
      <w:r w:rsidR="00E92EEA" w:rsidRPr="0043566C">
        <w:rPr>
          <w:rFonts w:eastAsia="Times New Roman"/>
          <w:b/>
          <w:szCs w:val="24"/>
        </w:rPr>
        <w:t>:</w:t>
      </w:r>
      <w:r w:rsidR="0043566C" w:rsidRPr="0043566C">
        <w:rPr>
          <w:rFonts w:eastAsia="Times New Roman"/>
          <w:b/>
          <w:szCs w:val="24"/>
        </w:rPr>
        <w:t xml:space="preserve"> </w:t>
      </w:r>
      <w:r w:rsidR="00EF7F11">
        <w:rPr>
          <w:rFonts w:eastAsia="Times New Roman"/>
          <w:b/>
          <w:szCs w:val="24"/>
        </w:rPr>
        <w:t xml:space="preserve">Deposit of </w:t>
      </w:r>
      <w:r w:rsidR="007C1C6A" w:rsidRPr="0043566C">
        <w:rPr>
          <w:rFonts w:eastAsia="Times New Roman"/>
          <w:b/>
          <w:szCs w:val="24"/>
        </w:rPr>
        <w:t>Personal Funds in C</w:t>
      </w:r>
      <w:r w:rsidR="00932010" w:rsidRPr="0043566C">
        <w:rPr>
          <w:rFonts w:eastAsia="Times New Roman"/>
          <w:b/>
          <w:szCs w:val="24"/>
        </w:rPr>
        <w:t>TA</w:t>
      </w:r>
      <w:r w:rsidR="00427506">
        <w:rPr>
          <w:rFonts w:eastAsia="Times New Roman"/>
          <w:b/>
          <w:szCs w:val="24"/>
        </w:rPr>
        <w:t xml:space="preserve"> (</w:t>
      </w:r>
      <w:r w:rsidR="00796343">
        <w:rPr>
          <w:rFonts w:eastAsia="Times New Roman"/>
          <w:b/>
          <w:szCs w:val="24"/>
        </w:rPr>
        <w:t>Rule</w:t>
      </w:r>
      <w:r w:rsidR="00CC5591">
        <w:rPr>
          <w:rFonts w:eastAsia="Times New Roman"/>
          <w:b/>
          <w:szCs w:val="24"/>
        </w:rPr>
        <w:t> </w:t>
      </w:r>
      <w:r w:rsidR="00796343">
        <w:rPr>
          <w:rFonts w:eastAsia="Times New Roman"/>
          <w:b/>
          <w:szCs w:val="24"/>
        </w:rPr>
        <w:t>4-100(A)</w:t>
      </w:r>
      <w:r w:rsidR="00427506">
        <w:rPr>
          <w:rFonts w:eastAsia="Times New Roman"/>
          <w:b/>
          <w:szCs w:val="24"/>
        </w:rPr>
        <w:t>)</w:t>
      </w:r>
    </w:p>
    <w:p w:rsidR="00F82851" w:rsidRDefault="00183425" w:rsidP="00183425">
      <w:pPr>
        <w:tabs>
          <w:tab w:val="left" w:pos="720"/>
        </w:tabs>
        <w:rPr>
          <w:rFonts w:eastAsia="Times New Roman"/>
          <w:b/>
          <w:szCs w:val="24"/>
        </w:rPr>
      </w:pPr>
      <w:r>
        <w:rPr>
          <w:rFonts w:eastAsia="Times New Roman"/>
          <w:b/>
          <w:szCs w:val="24"/>
        </w:rPr>
        <w:tab/>
      </w:r>
      <w:r w:rsidR="00CC5591">
        <w:rPr>
          <w:rFonts w:eastAsia="Times New Roman"/>
          <w:b/>
          <w:szCs w:val="24"/>
        </w:rPr>
        <w:t xml:space="preserve">Count Four – </w:t>
      </w:r>
      <w:r w:rsidR="0043566C">
        <w:rPr>
          <w:rFonts w:eastAsia="Times New Roman"/>
          <w:b/>
          <w:szCs w:val="24"/>
        </w:rPr>
        <w:t xml:space="preserve">Commingling: </w:t>
      </w:r>
      <w:r w:rsidR="007C1C6A" w:rsidRPr="00FC593C">
        <w:rPr>
          <w:rFonts w:eastAsia="Times New Roman"/>
          <w:b/>
          <w:szCs w:val="24"/>
        </w:rPr>
        <w:t xml:space="preserve">Payment of Personal Expenses </w:t>
      </w:r>
      <w:r w:rsidR="00932010">
        <w:rPr>
          <w:rFonts w:eastAsia="Times New Roman"/>
          <w:b/>
          <w:szCs w:val="24"/>
        </w:rPr>
        <w:t>f</w:t>
      </w:r>
      <w:r w:rsidR="00FC593C">
        <w:rPr>
          <w:rFonts w:eastAsia="Times New Roman"/>
          <w:b/>
          <w:szCs w:val="24"/>
        </w:rPr>
        <w:t>rom C</w:t>
      </w:r>
      <w:r w:rsidR="00932010">
        <w:rPr>
          <w:rFonts w:eastAsia="Times New Roman"/>
          <w:b/>
          <w:szCs w:val="24"/>
        </w:rPr>
        <w:t>TA</w:t>
      </w:r>
      <w:r w:rsidR="00CC5591">
        <w:rPr>
          <w:rFonts w:eastAsia="Times New Roman"/>
          <w:b/>
          <w:szCs w:val="24"/>
        </w:rPr>
        <w:t xml:space="preserve"> </w:t>
      </w:r>
    </w:p>
    <w:p w:rsidR="00472511" w:rsidRPr="00FC593C" w:rsidRDefault="00F82851" w:rsidP="00183425">
      <w:pPr>
        <w:tabs>
          <w:tab w:val="left" w:pos="720"/>
        </w:tabs>
        <w:rPr>
          <w:rFonts w:eastAsia="Times New Roman"/>
          <w:b/>
          <w:szCs w:val="24"/>
        </w:rPr>
      </w:pPr>
      <w:r>
        <w:rPr>
          <w:rFonts w:eastAsia="Times New Roman"/>
          <w:b/>
          <w:szCs w:val="24"/>
        </w:rPr>
        <w:tab/>
      </w:r>
      <w:r>
        <w:rPr>
          <w:rFonts w:eastAsia="Times New Roman"/>
          <w:b/>
          <w:szCs w:val="24"/>
        </w:rPr>
        <w:tab/>
      </w:r>
      <w:r>
        <w:rPr>
          <w:rFonts w:eastAsia="Times New Roman"/>
          <w:b/>
          <w:szCs w:val="24"/>
        </w:rPr>
        <w:tab/>
      </w:r>
      <w:r w:rsidR="00427506">
        <w:rPr>
          <w:rFonts w:eastAsia="Times New Roman"/>
          <w:b/>
          <w:szCs w:val="24"/>
        </w:rPr>
        <w:t>(</w:t>
      </w:r>
      <w:r w:rsidR="00796343">
        <w:rPr>
          <w:rFonts w:eastAsia="Times New Roman"/>
          <w:b/>
          <w:szCs w:val="24"/>
        </w:rPr>
        <w:t>Rule</w:t>
      </w:r>
      <w:r w:rsidR="00CC5591">
        <w:rPr>
          <w:rFonts w:eastAsia="Times New Roman"/>
          <w:b/>
          <w:szCs w:val="24"/>
        </w:rPr>
        <w:t> </w:t>
      </w:r>
      <w:r w:rsidR="00796343">
        <w:rPr>
          <w:rFonts w:eastAsia="Times New Roman"/>
          <w:b/>
          <w:szCs w:val="24"/>
        </w:rPr>
        <w:t>4-100(A)</w:t>
      </w:r>
      <w:r w:rsidR="00427506">
        <w:rPr>
          <w:rFonts w:eastAsia="Times New Roman"/>
          <w:b/>
          <w:szCs w:val="24"/>
        </w:rPr>
        <w:t>)</w:t>
      </w:r>
    </w:p>
    <w:p w:rsidR="00472511" w:rsidRDefault="00472511" w:rsidP="00183425">
      <w:pPr>
        <w:pStyle w:val="ListParagraph"/>
        <w:tabs>
          <w:tab w:val="left" w:pos="720"/>
        </w:tabs>
        <w:ind w:left="1440"/>
        <w:rPr>
          <w:rFonts w:eastAsia="Times New Roman"/>
          <w:b/>
          <w:szCs w:val="24"/>
        </w:rPr>
      </w:pPr>
    </w:p>
    <w:p w:rsidR="00780AC2" w:rsidRDefault="006764EE" w:rsidP="00183425">
      <w:pPr>
        <w:tabs>
          <w:tab w:val="left" w:pos="720"/>
        </w:tabs>
        <w:spacing w:line="480" w:lineRule="auto"/>
        <w:ind w:firstLine="720"/>
        <w:rPr>
          <w:rFonts w:eastAsia="Times New Roman"/>
          <w:szCs w:val="24"/>
        </w:rPr>
      </w:pPr>
      <w:r>
        <w:rPr>
          <w:rFonts w:eastAsia="Times New Roman"/>
          <w:szCs w:val="24"/>
        </w:rPr>
        <w:t>On Count Three, t</w:t>
      </w:r>
      <w:r w:rsidR="004C5BDE">
        <w:rPr>
          <w:rFonts w:eastAsia="Times New Roman"/>
          <w:szCs w:val="24"/>
        </w:rPr>
        <w:t>he hearing judge found that Kun violated rule</w:t>
      </w:r>
      <w:r w:rsidR="00932010">
        <w:rPr>
          <w:rFonts w:eastAsia="Times New Roman"/>
          <w:szCs w:val="24"/>
        </w:rPr>
        <w:t> </w:t>
      </w:r>
      <w:r w:rsidR="004C5BDE">
        <w:rPr>
          <w:rFonts w:eastAsia="Times New Roman"/>
          <w:szCs w:val="24"/>
        </w:rPr>
        <w:t>4-100(A) by depositing personal funds into his Bank of the West CTA</w:t>
      </w:r>
      <w:r w:rsidR="0009560B">
        <w:rPr>
          <w:rFonts w:eastAsia="Times New Roman"/>
          <w:szCs w:val="24"/>
        </w:rPr>
        <w:t>.</w:t>
      </w:r>
      <w:r w:rsidR="004C5BDE">
        <w:rPr>
          <w:rFonts w:eastAsia="Times New Roman"/>
          <w:szCs w:val="24"/>
        </w:rPr>
        <w:t xml:space="preserve">  </w:t>
      </w:r>
      <w:r w:rsidR="00DF0E86">
        <w:rPr>
          <w:rFonts w:eastAsia="Times New Roman"/>
          <w:szCs w:val="24"/>
        </w:rPr>
        <w:t>We affirm</w:t>
      </w:r>
      <w:r w:rsidR="00EF3842">
        <w:rPr>
          <w:rFonts w:eastAsia="Times New Roman"/>
          <w:szCs w:val="24"/>
        </w:rPr>
        <w:t xml:space="preserve"> </w:t>
      </w:r>
      <w:r w:rsidR="00CC5591">
        <w:rPr>
          <w:rFonts w:eastAsia="Times New Roman"/>
          <w:szCs w:val="24"/>
        </w:rPr>
        <w:t xml:space="preserve">the judge’s finding </w:t>
      </w:r>
      <w:r w:rsidR="00EF3842">
        <w:rPr>
          <w:rFonts w:eastAsia="Times New Roman"/>
          <w:szCs w:val="24"/>
        </w:rPr>
        <w:t>because t</w:t>
      </w:r>
      <w:r w:rsidR="002053A3">
        <w:rPr>
          <w:rFonts w:eastAsia="Times New Roman"/>
          <w:szCs w:val="24"/>
        </w:rPr>
        <w:t>he record</w:t>
      </w:r>
      <w:r w:rsidR="00780AC2">
        <w:rPr>
          <w:rFonts w:eastAsia="Times New Roman"/>
          <w:szCs w:val="24"/>
        </w:rPr>
        <w:t xml:space="preserve"> is undisputed that Kun deposited personal funds into</w:t>
      </w:r>
      <w:r w:rsidR="00F65584">
        <w:rPr>
          <w:rFonts w:eastAsia="Times New Roman"/>
          <w:szCs w:val="24"/>
        </w:rPr>
        <w:t xml:space="preserve"> </w:t>
      </w:r>
      <w:r w:rsidR="00780AC2">
        <w:rPr>
          <w:rFonts w:eastAsia="Times New Roman"/>
          <w:szCs w:val="24"/>
        </w:rPr>
        <w:t xml:space="preserve">the </w:t>
      </w:r>
      <w:r w:rsidR="00722EEF">
        <w:rPr>
          <w:rFonts w:eastAsia="Times New Roman"/>
          <w:szCs w:val="24"/>
        </w:rPr>
        <w:t>CTA</w:t>
      </w:r>
      <w:r w:rsidR="00780AC2">
        <w:rPr>
          <w:rFonts w:eastAsia="Times New Roman"/>
          <w:szCs w:val="24"/>
        </w:rPr>
        <w:t xml:space="preserve">.  </w:t>
      </w:r>
    </w:p>
    <w:p w:rsidR="00472511" w:rsidRPr="004C5BDE" w:rsidRDefault="00F52439" w:rsidP="00183425">
      <w:pPr>
        <w:tabs>
          <w:tab w:val="left" w:pos="720"/>
        </w:tabs>
        <w:spacing w:line="480" w:lineRule="auto"/>
        <w:ind w:firstLine="720"/>
        <w:rPr>
          <w:rFonts w:eastAsia="Times New Roman"/>
          <w:szCs w:val="24"/>
        </w:rPr>
      </w:pPr>
      <w:r>
        <w:rPr>
          <w:rFonts w:eastAsia="Times New Roman"/>
          <w:szCs w:val="24"/>
        </w:rPr>
        <w:t>The hearing judge dismissed Count Four with prejudic</w:t>
      </w:r>
      <w:r w:rsidR="003A5AAA">
        <w:rPr>
          <w:rFonts w:eastAsia="Times New Roman"/>
          <w:szCs w:val="24"/>
        </w:rPr>
        <w:t xml:space="preserve">e as duplicative of Count Three.  </w:t>
      </w:r>
      <w:r w:rsidR="00E82D33">
        <w:rPr>
          <w:rFonts w:eastAsia="Times New Roman"/>
          <w:szCs w:val="24"/>
        </w:rPr>
        <w:t xml:space="preserve">We disagree.  </w:t>
      </w:r>
      <w:r w:rsidR="005D784A">
        <w:rPr>
          <w:rFonts w:eastAsia="Times New Roman"/>
          <w:szCs w:val="24"/>
        </w:rPr>
        <w:t>Both</w:t>
      </w:r>
      <w:r>
        <w:rPr>
          <w:rFonts w:eastAsia="Times New Roman"/>
          <w:szCs w:val="24"/>
        </w:rPr>
        <w:t xml:space="preserve"> </w:t>
      </w:r>
      <w:r w:rsidR="0009560B">
        <w:rPr>
          <w:rFonts w:eastAsia="Times New Roman"/>
          <w:szCs w:val="24"/>
        </w:rPr>
        <w:t xml:space="preserve">counts </w:t>
      </w:r>
      <w:r w:rsidR="00427506">
        <w:rPr>
          <w:rFonts w:eastAsia="Times New Roman"/>
          <w:szCs w:val="24"/>
        </w:rPr>
        <w:t>alleged</w:t>
      </w:r>
      <w:r w:rsidR="0009560B">
        <w:rPr>
          <w:rFonts w:eastAsia="Times New Roman"/>
          <w:szCs w:val="24"/>
        </w:rPr>
        <w:t xml:space="preserve"> different </w:t>
      </w:r>
      <w:r w:rsidR="003A5AAA">
        <w:rPr>
          <w:rFonts w:eastAsia="Times New Roman"/>
          <w:szCs w:val="24"/>
        </w:rPr>
        <w:t>violations of rule</w:t>
      </w:r>
      <w:r w:rsidR="00D31639">
        <w:rPr>
          <w:rFonts w:eastAsia="Times New Roman"/>
          <w:szCs w:val="24"/>
        </w:rPr>
        <w:t> </w:t>
      </w:r>
      <w:r w:rsidR="003A5AAA">
        <w:rPr>
          <w:rFonts w:eastAsia="Times New Roman"/>
          <w:szCs w:val="24"/>
        </w:rPr>
        <w:t>4-100(A)</w:t>
      </w:r>
      <w:r w:rsidR="003B7D83">
        <w:rPr>
          <w:rFonts w:eastAsia="Times New Roman"/>
          <w:szCs w:val="24"/>
        </w:rPr>
        <w:t>,</w:t>
      </w:r>
      <w:r w:rsidR="005D784A">
        <w:rPr>
          <w:rFonts w:eastAsia="Times New Roman"/>
          <w:szCs w:val="24"/>
        </w:rPr>
        <w:t xml:space="preserve"> with</w:t>
      </w:r>
      <w:r w:rsidR="003A5AAA">
        <w:rPr>
          <w:rFonts w:eastAsia="Times New Roman"/>
          <w:szCs w:val="24"/>
        </w:rPr>
        <w:t xml:space="preserve"> Count</w:t>
      </w:r>
      <w:r w:rsidR="001B6200">
        <w:rPr>
          <w:rFonts w:eastAsia="Times New Roman"/>
          <w:szCs w:val="24"/>
        </w:rPr>
        <w:t> </w:t>
      </w:r>
      <w:r w:rsidR="003A5AAA">
        <w:rPr>
          <w:rFonts w:eastAsia="Times New Roman"/>
          <w:szCs w:val="24"/>
        </w:rPr>
        <w:t>T</w:t>
      </w:r>
      <w:r>
        <w:rPr>
          <w:rFonts w:eastAsia="Times New Roman"/>
          <w:szCs w:val="24"/>
        </w:rPr>
        <w:t>hree charg</w:t>
      </w:r>
      <w:r w:rsidR="005D784A">
        <w:rPr>
          <w:rFonts w:eastAsia="Times New Roman"/>
          <w:szCs w:val="24"/>
        </w:rPr>
        <w:t>ing</w:t>
      </w:r>
      <w:r>
        <w:rPr>
          <w:rFonts w:eastAsia="Times New Roman"/>
          <w:szCs w:val="24"/>
        </w:rPr>
        <w:t xml:space="preserve"> </w:t>
      </w:r>
      <w:r w:rsidR="00EF3842">
        <w:rPr>
          <w:rFonts w:eastAsia="Times New Roman"/>
          <w:szCs w:val="24"/>
        </w:rPr>
        <w:t>the deposit of</w:t>
      </w:r>
      <w:r w:rsidR="003A5AAA">
        <w:rPr>
          <w:rFonts w:eastAsia="Times New Roman"/>
          <w:szCs w:val="24"/>
        </w:rPr>
        <w:t xml:space="preserve"> personal funds </w:t>
      </w:r>
      <w:r w:rsidR="00A85682">
        <w:rPr>
          <w:rFonts w:eastAsia="Times New Roman"/>
          <w:szCs w:val="24"/>
        </w:rPr>
        <w:t>in</w:t>
      </w:r>
      <w:r w:rsidR="00722EEF">
        <w:rPr>
          <w:rFonts w:eastAsia="Times New Roman"/>
          <w:szCs w:val="24"/>
        </w:rPr>
        <w:t>to</w:t>
      </w:r>
      <w:r w:rsidR="00A85682">
        <w:rPr>
          <w:rFonts w:eastAsia="Times New Roman"/>
          <w:szCs w:val="24"/>
        </w:rPr>
        <w:t xml:space="preserve"> Kun’s </w:t>
      </w:r>
      <w:r w:rsidR="00385A28">
        <w:rPr>
          <w:rFonts w:eastAsia="Times New Roman"/>
          <w:szCs w:val="24"/>
        </w:rPr>
        <w:t>CTA</w:t>
      </w:r>
      <w:r w:rsidR="00A85682">
        <w:rPr>
          <w:rFonts w:eastAsia="Times New Roman"/>
          <w:szCs w:val="24"/>
        </w:rPr>
        <w:t xml:space="preserve"> </w:t>
      </w:r>
      <w:r w:rsidR="003A5AAA">
        <w:rPr>
          <w:rFonts w:eastAsia="Times New Roman"/>
          <w:szCs w:val="24"/>
        </w:rPr>
        <w:t>and Count</w:t>
      </w:r>
      <w:r w:rsidR="001B6200">
        <w:rPr>
          <w:rFonts w:eastAsia="Times New Roman"/>
          <w:szCs w:val="24"/>
        </w:rPr>
        <w:t> </w:t>
      </w:r>
      <w:r w:rsidR="003A5AAA">
        <w:rPr>
          <w:rFonts w:eastAsia="Times New Roman"/>
          <w:szCs w:val="24"/>
        </w:rPr>
        <w:t>F</w:t>
      </w:r>
      <w:r>
        <w:rPr>
          <w:rFonts w:eastAsia="Times New Roman"/>
          <w:szCs w:val="24"/>
        </w:rPr>
        <w:t>our charg</w:t>
      </w:r>
      <w:r w:rsidR="005D784A">
        <w:rPr>
          <w:rFonts w:eastAsia="Times New Roman"/>
          <w:szCs w:val="24"/>
        </w:rPr>
        <w:t>ing</w:t>
      </w:r>
      <w:r>
        <w:rPr>
          <w:rFonts w:eastAsia="Times New Roman"/>
          <w:szCs w:val="24"/>
        </w:rPr>
        <w:t xml:space="preserve"> payment of </w:t>
      </w:r>
      <w:r>
        <w:rPr>
          <w:rFonts w:eastAsia="Times New Roman"/>
          <w:szCs w:val="24"/>
        </w:rPr>
        <w:lastRenderedPageBreak/>
        <w:t>personal expenses from th</w:t>
      </w:r>
      <w:r w:rsidR="00D31639">
        <w:rPr>
          <w:rFonts w:eastAsia="Times New Roman"/>
          <w:szCs w:val="24"/>
        </w:rPr>
        <w:t>at</w:t>
      </w:r>
      <w:r>
        <w:rPr>
          <w:rFonts w:eastAsia="Times New Roman"/>
          <w:szCs w:val="24"/>
        </w:rPr>
        <w:t xml:space="preserve"> </w:t>
      </w:r>
      <w:r w:rsidR="00EF3842">
        <w:rPr>
          <w:rFonts w:eastAsia="Times New Roman"/>
          <w:szCs w:val="24"/>
        </w:rPr>
        <w:t xml:space="preserve">same </w:t>
      </w:r>
      <w:r>
        <w:rPr>
          <w:rFonts w:eastAsia="Times New Roman"/>
          <w:szCs w:val="24"/>
        </w:rPr>
        <w:t xml:space="preserve">account.  </w:t>
      </w:r>
      <w:r w:rsidR="00DB1B4E">
        <w:rPr>
          <w:rFonts w:eastAsia="Times New Roman"/>
          <w:szCs w:val="24"/>
        </w:rPr>
        <w:t xml:space="preserve">As to the facts established </w:t>
      </w:r>
      <w:r w:rsidR="00E1199D">
        <w:rPr>
          <w:rFonts w:eastAsia="Times New Roman"/>
          <w:szCs w:val="24"/>
        </w:rPr>
        <w:t>re</w:t>
      </w:r>
      <w:r w:rsidR="002F0B2D">
        <w:rPr>
          <w:rFonts w:eastAsia="Times New Roman"/>
          <w:szCs w:val="24"/>
        </w:rPr>
        <w:t>garding</w:t>
      </w:r>
      <w:r w:rsidR="00E1199D">
        <w:rPr>
          <w:rFonts w:eastAsia="Times New Roman"/>
          <w:szCs w:val="24"/>
        </w:rPr>
        <w:t xml:space="preserve"> Cou</w:t>
      </w:r>
      <w:r w:rsidR="001B6200">
        <w:rPr>
          <w:rFonts w:eastAsia="Times New Roman"/>
          <w:szCs w:val="24"/>
        </w:rPr>
        <w:t>n</w:t>
      </w:r>
      <w:r w:rsidR="00E1199D">
        <w:rPr>
          <w:rFonts w:eastAsia="Times New Roman"/>
          <w:szCs w:val="24"/>
        </w:rPr>
        <w:t>t</w:t>
      </w:r>
      <w:r w:rsidR="001B6200">
        <w:rPr>
          <w:rFonts w:eastAsia="Times New Roman"/>
          <w:szCs w:val="24"/>
        </w:rPr>
        <w:t> </w:t>
      </w:r>
      <w:r w:rsidR="00E1199D">
        <w:rPr>
          <w:rFonts w:eastAsia="Times New Roman"/>
          <w:szCs w:val="24"/>
        </w:rPr>
        <w:t>Four, Kun</w:t>
      </w:r>
      <w:r w:rsidR="00DB1B4E">
        <w:rPr>
          <w:rFonts w:eastAsia="Times New Roman"/>
          <w:szCs w:val="24"/>
        </w:rPr>
        <w:t xml:space="preserve"> stipulated that he made multiple withdrawals from the CTA, and testified that many were for personal or business purposes, including medical bills, car insurance, and office expenses.  Case law is well settled that using a CTA for</w:t>
      </w:r>
      <w:r w:rsidR="00E1199D">
        <w:rPr>
          <w:rFonts w:eastAsia="Times New Roman"/>
          <w:szCs w:val="24"/>
        </w:rPr>
        <w:t xml:space="preserve"> payment of</w:t>
      </w:r>
      <w:r w:rsidR="00DB1B4E">
        <w:rPr>
          <w:rFonts w:eastAsia="Times New Roman"/>
          <w:szCs w:val="24"/>
        </w:rPr>
        <w:t xml:space="preserve"> personal expenses constitutes commingling, even whe</w:t>
      </w:r>
      <w:r w:rsidR="002F0B2D">
        <w:rPr>
          <w:rFonts w:eastAsia="Times New Roman"/>
          <w:szCs w:val="24"/>
        </w:rPr>
        <w:t xml:space="preserve">n </w:t>
      </w:r>
      <w:r w:rsidR="00DB1B4E">
        <w:rPr>
          <w:rFonts w:eastAsia="Times New Roman"/>
          <w:szCs w:val="24"/>
        </w:rPr>
        <w:t>client funds are not in the trust account.  (</w:t>
      </w:r>
      <w:r w:rsidR="00DB1B4E">
        <w:rPr>
          <w:rFonts w:eastAsia="Times New Roman"/>
          <w:i/>
          <w:szCs w:val="24"/>
        </w:rPr>
        <w:t xml:space="preserve">In the Matter of </w:t>
      </w:r>
      <w:r w:rsidR="00DB1B4E" w:rsidRPr="00804E7E">
        <w:rPr>
          <w:rFonts w:eastAsia="Times New Roman"/>
          <w:i/>
          <w:szCs w:val="24"/>
        </w:rPr>
        <w:t>Doran</w:t>
      </w:r>
      <w:r w:rsidR="00DB1B4E">
        <w:rPr>
          <w:rFonts w:eastAsia="Times New Roman"/>
          <w:szCs w:val="24"/>
        </w:rPr>
        <w:t xml:space="preserve"> (Review Dept. 1998) 3 Cal. State Bar Ct. Rptr. 871, 876.)  </w:t>
      </w:r>
      <w:r w:rsidR="00385A28">
        <w:rPr>
          <w:rFonts w:eastAsia="Times New Roman"/>
          <w:szCs w:val="24"/>
        </w:rPr>
        <w:t xml:space="preserve">Because the misconduct charged </w:t>
      </w:r>
      <w:r w:rsidR="00E1199D">
        <w:rPr>
          <w:rFonts w:eastAsia="Times New Roman"/>
          <w:szCs w:val="24"/>
        </w:rPr>
        <w:t>in Count</w:t>
      </w:r>
      <w:r w:rsidR="001B6200">
        <w:rPr>
          <w:rFonts w:eastAsia="Times New Roman"/>
          <w:szCs w:val="24"/>
        </w:rPr>
        <w:t> </w:t>
      </w:r>
      <w:r w:rsidR="00E1199D">
        <w:rPr>
          <w:rFonts w:eastAsia="Times New Roman"/>
          <w:szCs w:val="24"/>
        </w:rPr>
        <w:t xml:space="preserve">Four </w:t>
      </w:r>
      <w:r w:rsidR="00385A28">
        <w:rPr>
          <w:rFonts w:eastAsia="Times New Roman"/>
          <w:szCs w:val="24"/>
        </w:rPr>
        <w:t>is different</w:t>
      </w:r>
      <w:r w:rsidR="00E1199D">
        <w:rPr>
          <w:rFonts w:eastAsia="Times New Roman"/>
          <w:szCs w:val="24"/>
        </w:rPr>
        <w:t xml:space="preserve"> </w:t>
      </w:r>
      <w:r w:rsidR="001B6200">
        <w:rPr>
          <w:rFonts w:eastAsia="Times New Roman"/>
          <w:szCs w:val="24"/>
        </w:rPr>
        <w:t>from that</w:t>
      </w:r>
      <w:r w:rsidR="00E1199D">
        <w:rPr>
          <w:rFonts w:eastAsia="Times New Roman"/>
          <w:szCs w:val="24"/>
        </w:rPr>
        <w:t xml:space="preserve"> charged in Count Three</w:t>
      </w:r>
      <w:r w:rsidR="00385A28">
        <w:rPr>
          <w:rFonts w:eastAsia="Times New Roman"/>
          <w:szCs w:val="24"/>
        </w:rPr>
        <w:t>, and Kun committed both, we find him culpable of</w:t>
      </w:r>
      <w:r w:rsidR="00E1199D">
        <w:rPr>
          <w:rFonts w:eastAsia="Times New Roman"/>
          <w:szCs w:val="24"/>
        </w:rPr>
        <w:t xml:space="preserve"> both</w:t>
      </w:r>
      <w:r w:rsidR="00385A28">
        <w:rPr>
          <w:rFonts w:eastAsia="Times New Roman"/>
          <w:szCs w:val="24"/>
        </w:rPr>
        <w:t xml:space="preserve"> Counts Three and Four. </w:t>
      </w:r>
    </w:p>
    <w:p w:rsidR="007C1C6A" w:rsidRDefault="00183425" w:rsidP="00F157D5">
      <w:pPr>
        <w:pStyle w:val="Heading3"/>
      </w:pPr>
      <w:r>
        <w:t xml:space="preserve">V.  </w:t>
      </w:r>
      <w:r w:rsidR="007C1C6A" w:rsidRPr="00995783">
        <w:t xml:space="preserve">AGGRAVATION </w:t>
      </w:r>
      <w:r w:rsidR="000D6726">
        <w:t>OUTWEIGHS</w:t>
      </w:r>
      <w:r w:rsidR="007C1C6A" w:rsidRPr="00995783">
        <w:t xml:space="preserve"> MITIGATION</w:t>
      </w:r>
      <w:r w:rsidR="007C1C6A">
        <w:rPr>
          <w:rStyle w:val="FootnoteReference"/>
        </w:rPr>
        <w:footnoteReference w:id="14"/>
      </w:r>
    </w:p>
    <w:p w:rsidR="00DF4FBF" w:rsidRDefault="00DF4FBF" w:rsidP="00183425">
      <w:pPr>
        <w:tabs>
          <w:tab w:val="left" w:pos="720"/>
        </w:tabs>
        <w:spacing w:line="480" w:lineRule="auto"/>
      </w:pPr>
      <w:r>
        <w:rPr>
          <w:b/>
        </w:rPr>
        <w:tab/>
      </w:r>
      <w:r>
        <w:t>The hearing judge found s</w:t>
      </w:r>
      <w:r w:rsidR="00CA0D73">
        <w:t xml:space="preserve">ignificant aggravation for Kun’s </w:t>
      </w:r>
      <w:r>
        <w:t xml:space="preserve">two prior disciplines, his indifference towards rectification or atonement, and uncharged misconduct for failure to refund unearned fees.  </w:t>
      </w:r>
      <w:r w:rsidR="000C144C">
        <w:t xml:space="preserve">The judge </w:t>
      </w:r>
      <w:r>
        <w:t xml:space="preserve">also found minimal mitigation for candor and cooperation, emotional difficulties or physical disabilities, and good character.  OCTC </w:t>
      </w:r>
      <w:r w:rsidR="000C144C">
        <w:t xml:space="preserve">supports </w:t>
      </w:r>
      <w:r>
        <w:t xml:space="preserve">the findings in aggravation and seeks additional aggravation for multiple acts, </w:t>
      </w:r>
      <w:r w:rsidR="007B55DF">
        <w:t xml:space="preserve">dishonesty and bad faith, refusal or inability to account for entrusted funds, and failure to make restitution.  Kun does not address the judge’s findings in aggravation, but argues for additional mitigation </w:t>
      </w:r>
      <w:r w:rsidR="001B7F9B">
        <w:t xml:space="preserve">for good faith and lack of harm to </w:t>
      </w:r>
      <w:r w:rsidR="00230622">
        <w:t xml:space="preserve">his </w:t>
      </w:r>
      <w:r w:rsidR="001B7F9B">
        <w:t xml:space="preserve">client.  He also </w:t>
      </w:r>
      <w:r w:rsidR="002053A3">
        <w:t>argues</w:t>
      </w:r>
      <w:r w:rsidR="001B7F9B">
        <w:t xml:space="preserve"> that the hearing judge erred by not giving sufficient mitigation for his physical disabilities and good character testimony.    </w:t>
      </w:r>
    </w:p>
    <w:p w:rsidR="00692696" w:rsidRDefault="0043566C" w:rsidP="0043566C">
      <w:pPr>
        <w:tabs>
          <w:tab w:val="left" w:pos="720"/>
        </w:tabs>
        <w:spacing w:line="480" w:lineRule="auto"/>
        <w:rPr>
          <w:b/>
        </w:rPr>
      </w:pPr>
      <w:r>
        <w:rPr>
          <w:b/>
        </w:rPr>
        <w:t>A.</w:t>
      </w:r>
      <w:r>
        <w:rPr>
          <w:b/>
        </w:rPr>
        <w:tab/>
      </w:r>
      <w:r w:rsidR="00692696" w:rsidRPr="00F157D5">
        <w:rPr>
          <w:rStyle w:val="Heading4Char"/>
        </w:rPr>
        <w:t>Aggravation</w:t>
      </w:r>
    </w:p>
    <w:p w:rsidR="00E56BDA" w:rsidRPr="00F157D5" w:rsidRDefault="00692696" w:rsidP="00F157D5">
      <w:pPr>
        <w:pStyle w:val="Heading5"/>
      </w:pPr>
      <w:r>
        <w:tab/>
      </w:r>
      <w:r w:rsidRPr="00F157D5">
        <w:t xml:space="preserve">1.  </w:t>
      </w:r>
      <w:r w:rsidR="00E56BDA" w:rsidRPr="00F157D5">
        <w:t>Prior Discipline</w:t>
      </w:r>
      <w:r w:rsidR="000334C6" w:rsidRPr="00F157D5">
        <w:t xml:space="preserve"> (Std.</w:t>
      </w:r>
      <w:r w:rsidR="001B6200" w:rsidRPr="00F157D5">
        <w:t> </w:t>
      </w:r>
      <w:r w:rsidR="000334C6" w:rsidRPr="00F157D5">
        <w:t>1.5(a))</w:t>
      </w:r>
    </w:p>
    <w:p w:rsidR="00A20F5C" w:rsidRDefault="00A86167" w:rsidP="00183425">
      <w:pPr>
        <w:tabs>
          <w:tab w:val="left" w:pos="720"/>
        </w:tabs>
        <w:spacing w:line="480" w:lineRule="auto"/>
      </w:pPr>
      <w:r>
        <w:rPr>
          <w:b/>
        </w:rPr>
        <w:tab/>
      </w:r>
      <w:r>
        <w:t xml:space="preserve">We agree with the hearing judge that significant aggravating weight should be </w:t>
      </w:r>
      <w:r w:rsidR="00385A28">
        <w:t xml:space="preserve">assigned to </w:t>
      </w:r>
      <w:r w:rsidR="00FB40EC">
        <w:t>Kun’s prior discipline</w:t>
      </w:r>
      <w:r w:rsidR="00385A28">
        <w:t xml:space="preserve"> records</w:t>
      </w:r>
      <w:r w:rsidR="006B56C5">
        <w:t xml:space="preserve">.  Although </w:t>
      </w:r>
      <w:r w:rsidR="00C7744E">
        <w:t xml:space="preserve">much of the </w:t>
      </w:r>
      <w:r w:rsidR="006B56C5">
        <w:t xml:space="preserve">misconduct in </w:t>
      </w:r>
      <w:r w:rsidR="006B56C5" w:rsidRPr="001B6200">
        <w:rPr>
          <w:i/>
        </w:rPr>
        <w:t>Kun I</w:t>
      </w:r>
      <w:r w:rsidR="006B56C5">
        <w:t xml:space="preserve"> and </w:t>
      </w:r>
      <w:r w:rsidR="006B56C5" w:rsidRPr="00032797">
        <w:rPr>
          <w:i/>
        </w:rPr>
        <w:t>Kun</w:t>
      </w:r>
      <w:r w:rsidR="006B56C5">
        <w:t xml:space="preserve"> </w:t>
      </w:r>
      <w:r w:rsidR="006B56C5" w:rsidRPr="00665D4D">
        <w:rPr>
          <w:i/>
        </w:rPr>
        <w:t>II</w:t>
      </w:r>
      <w:r w:rsidR="006B56C5">
        <w:t xml:space="preserve"> </w:t>
      </w:r>
      <w:r w:rsidR="00A20F5C">
        <w:t>overlap</w:t>
      </w:r>
      <w:r w:rsidR="006B56C5">
        <w:t xml:space="preserve"> in time, </w:t>
      </w:r>
      <w:r w:rsidR="00F170CE">
        <w:t>he</w:t>
      </w:r>
      <w:r w:rsidR="004F7369">
        <w:t xml:space="preserve"> is</w:t>
      </w:r>
      <w:r w:rsidR="006B56C5">
        <w:t xml:space="preserve"> culpable </w:t>
      </w:r>
      <w:r w:rsidR="00F170CE">
        <w:t>of</w:t>
      </w:r>
      <w:r w:rsidR="006B56C5">
        <w:t xml:space="preserve"> failing </w:t>
      </w:r>
      <w:r w:rsidR="00FE7F67">
        <w:t>to refund fees</w:t>
      </w:r>
      <w:r w:rsidR="00C7744E">
        <w:t xml:space="preserve"> in th</w:t>
      </w:r>
      <w:r w:rsidR="00F170CE">
        <w:t>is</w:t>
      </w:r>
      <w:r w:rsidR="00C7744E">
        <w:t xml:space="preserve"> case, and </w:t>
      </w:r>
      <w:r w:rsidR="005B3B7B">
        <w:t xml:space="preserve">he </w:t>
      </w:r>
      <w:r w:rsidR="00C7744E">
        <w:t xml:space="preserve">stipulated to the same </w:t>
      </w:r>
      <w:r w:rsidR="00C7744E">
        <w:lastRenderedPageBreak/>
        <w:t xml:space="preserve">misconduct in </w:t>
      </w:r>
      <w:r w:rsidR="00FE7F67">
        <w:t xml:space="preserve">2004 in </w:t>
      </w:r>
      <w:r w:rsidR="00FE7F67" w:rsidRPr="00A20F5C">
        <w:rPr>
          <w:i/>
        </w:rPr>
        <w:t>Kun II</w:t>
      </w:r>
      <w:r w:rsidR="00FE7F67">
        <w:t>.</w:t>
      </w:r>
      <w:r w:rsidR="004F7369" w:rsidRPr="004F7369">
        <w:t xml:space="preserve"> </w:t>
      </w:r>
      <w:r w:rsidR="005B3B7B">
        <w:t xml:space="preserve"> </w:t>
      </w:r>
      <w:r w:rsidR="004F7369">
        <w:t>Such similarities between prior and current misconduct render previous discipline more serious as they indicate the prior discipline did not rehabilitate the attorney</w:t>
      </w:r>
      <w:r w:rsidR="0009560B">
        <w:t xml:space="preserve">. </w:t>
      </w:r>
      <w:r w:rsidR="005B3B7B">
        <w:t xml:space="preserve"> </w:t>
      </w:r>
      <w:r w:rsidR="005F1BAF">
        <w:t>(</w:t>
      </w:r>
      <w:r w:rsidR="005F1BAF">
        <w:rPr>
          <w:i/>
        </w:rPr>
        <w:t>In the Matter of Gadda</w:t>
      </w:r>
      <w:r w:rsidR="005F1BAF">
        <w:t xml:space="preserve"> (Review Dept. 2002) 4</w:t>
      </w:r>
      <w:r w:rsidR="00EF00C3">
        <w:t> </w:t>
      </w:r>
      <w:r w:rsidR="005F1BAF">
        <w:t>Cal. State Bar Ct. Rptr. 416, 443-444</w:t>
      </w:r>
      <w:r w:rsidR="0009560B">
        <w:t>.</w:t>
      </w:r>
      <w:r w:rsidR="004F7369">
        <w:t>)</w:t>
      </w:r>
      <w:r w:rsidR="005F1BAF">
        <w:t xml:space="preserve"> </w:t>
      </w:r>
    </w:p>
    <w:p w:rsidR="00392AEF" w:rsidRDefault="00392AEF" w:rsidP="00183425">
      <w:pPr>
        <w:tabs>
          <w:tab w:val="left" w:pos="720"/>
        </w:tabs>
        <w:spacing w:line="480" w:lineRule="auto"/>
        <w:rPr>
          <w:b/>
        </w:rPr>
      </w:pPr>
      <w:r>
        <w:rPr>
          <w:b/>
        </w:rPr>
        <w:tab/>
      </w:r>
      <w:r w:rsidRPr="007F0F8B">
        <w:rPr>
          <w:b/>
          <w:i/>
        </w:rPr>
        <w:t xml:space="preserve">Kun I </w:t>
      </w:r>
      <w:r w:rsidRPr="007F0F8B">
        <w:rPr>
          <w:b/>
        </w:rPr>
        <w:t>(Case Nos. 01-O-04505</w:t>
      </w:r>
      <w:r w:rsidRPr="007F0F8B">
        <w:rPr>
          <w:b/>
          <w:i/>
        </w:rPr>
        <w:t xml:space="preserve"> </w:t>
      </w:r>
      <w:r w:rsidR="00F91B50" w:rsidRPr="007F0F8B">
        <w:rPr>
          <w:b/>
        </w:rPr>
        <w:t>and 01-O-</w:t>
      </w:r>
      <w:r w:rsidR="007F0F8B">
        <w:rPr>
          <w:b/>
        </w:rPr>
        <w:t>0</w:t>
      </w:r>
      <w:r w:rsidRPr="007F0F8B">
        <w:rPr>
          <w:b/>
        </w:rPr>
        <w:t>46</w:t>
      </w:r>
      <w:r w:rsidR="0009560B" w:rsidRPr="007F0F8B">
        <w:rPr>
          <w:b/>
        </w:rPr>
        <w:t>2</w:t>
      </w:r>
      <w:r w:rsidRPr="007F0F8B">
        <w:rPr>
          <w:b/>
        </w:rPr>
        <w:t>6)</w:t>
      </w:r>
    </w:p>
    <w:p w:rsidR="005C5A1E" w:rsidRDefault="00392AEF" w:rsidP="00183425">
      <w:pPr>
        <w:tabs>
          <w:tab w:val="left" w:pos="720"/>
        </w:tabs>
        <w:spacing w:line="480" w:lineRule="auto"/>
      </w:pPr>
      <w:r>
        <w:rPr>
          <w:b/>
        </w:rPr>
        <w:tab/>
      </w:r>
      <w:r w:rsidR="00C679EC">
        <w:t>On September</w:t>
      </w:r>
      <w:r w:rsidR="00D81C16">
        <w:t> </w:t>
      </w:r>
      <w:r w:rsidR="00C679EC">
        <w:t xml:space="preserve">9, 2002, Kun stipulated to a public reproval in connection with </w:t>
      </w:r>
      <w:r w:rsidR="00500F84">
        <w:t>an N</w:t>
      </w:r>
      <w:r w:rsidR="00D81C16">
        <w:t>D</w:t>
      </w:r>
      <w:r w:rsidR="00500F84">
        <w:t>C filed August</w:t>
      </w:r>
      <w:r w:rsidR="00D81C16">
        <w:t> </w:t>
      </w:r>
      <w:r w:rsidR="00500F84">
        <w:t xml:space="preserve">29, 2002, charging </w:t>
      </w:r>
      <w:r w:rsidR="00F91B50">
        <w:t>10</w:t>
      </w:r>
      <w:r w:rsidR="00C679EC">
        <w:t xml:space="preserve"> counts of misconduct in two client matters.  In case number</w:t>
      </w:r>
      <w:r w:rsidR="00D81C16">
        <w:t> </w:t>
      </w:r>
      <w:r w:rsidR="00C679EC">
        <w:t>01-O-04505, Kun stipulated to culpability under section</w:t>
      </w:r>
      <w:r w:rsidR="00D81C16">
        <w:t> </w:t>
      </w:r>
      <w:r w:rsidR="00C679EC">
        <w:t>6068</w:t>
      </w:r>
      <w:r w:rsidR="00D81C16">
        <w:t>, subdivision </w:t>
      </w:r>
      <w:r w:rsidR="00C679EC">
        <w:t>(m)</w:t>
      </w:r>
      <w:r w:rsidR="005B3B7B">
        <w:t>,</w:t>
      </w:r>
      <w:r w:rsidR="00C679EC">
        <w:t xml:space="preserve"> for not responding to his client’s requests for information</w:t>
      </w:r>
      <w:r w:rsidR="00154135">
        <w:t>,</w:t>
      </w:r>
      <w:r w:rsidR="00383E98">
        <w:t xml:space="preserve"> and under rule</w:t>
      </w:r>
      <w:r w:rsidR="00D81C16">
        <w:t> </w:t>
      </w:r>
      <w:r w:rsidR="00383E98">
        <w:t xml:space="preserve">3-700(D)(1) for </w:t>
      </w:r>
      <w:r w:rsidR="00C679EC">
        <w:t xml:space="preserve">failing to return his client’s file and medical photographs after the client terminated his services.  </w:t>
      </w:r>
      <w:r w:rsidR="00737FD5">
        <w:t xml:space="preserve">The misconduct underlying this case occurred between July 1998 and October 2001.  </w:t>
      </w:r>
    </w:p>
    <w:p w:rsidR="00392AEF" w:rsidRDefault="005C5A1E" w:rsidP="00183425">
      <w:pPr>
        <w:tabs>
          <w:tab w:val="left" w:pos="720"/>
        </w:tabs>
        <w:spacing w:line="480" w:lineRule="auto"/>
      </w:pPr>
      <w:r>
        <w:tab/>
      </w:r>
      <w:r w:rsidR="00C679EC">
        <w:t xml:space="preserve">In case </w:t>
      </w:r>
      <w:r w:rsidR="00C679EC" w:rsidRPr="007F0F8B">
        <w:t>number</w:t>
      </w:r>
      <w:r w:rsidR="00F242EA" w:rsidRPr="007F0F8B">
        <w:t> </w:t>
      </w:r>
      <w:r w:rsidR="00F91B50" w:rsidRPr="007F0F8B">
        <w:t>01-O-</w:t>
      </w:r>
      <w:r w:rsidR="007F0F8B">
        <w:t>0</w:t>
      </w:r>
      <w:r w:rsidR="00F91B50" w:rsidRPr="007F0F8B">
        <w:t>462</w:t>
      </w:r>
      <w:r w:rsidR="00DA7A66" w:rsidRPr="007F0F8B">
        <w:t>6</w:t>
      </w:r>
      <w:r w:rsidR="00DA7A66">
        <w:t xml:space="preserve">, Kun stipulated to </w:t>
      </w:r>
      <w:r w:rsidR="00B52FB8">
        <w:t xml:space="preserve">culpability for </w:t>
      </w:r>
      <w:r w:rsidR="00402B1E">
        <w:t xml:space="preserve">three counts.  </w:t>
      </w:r>
      <w:r w:rsidR="00B52FB8">
        <w:t>The first was for</w:t>
      </w:r>
      <w:r w:rsidR="00402B1E">
        <w:t xml:space="preserve"> a violation of </w:t>
      </w:r>
      <w:r w:rsidR="00DA7A66">
        <w:t>section</w:t>
      </w:r>
      <w:r w:rsidR="00F242EA">
        <w:t> </w:t>
      </w:r>
      <w:r w:rsidR="00DA7A66">
        <w:t>6068</w:t>
      </w:r>
      <w:r w:rsidR="00F242EA">
        <w:t>, subdivision </w:t>
      </w:r>
      <w:r w:rsidR="00DA7A66">
        <w:t>(e)</w:t>
      </w:r>
      <w:r w:rsidR="005B3B7B">
        <w:t>,</w:t>
      </w:r>
      <w:r w:rsidR="00DA7A66">
        <w:t xml:space="preserve"> </w:t>
      </w:r>
      <w:r w:rsidR="00402B1E">
        <w:t>by</w:t>
      </w:r>
      <w:r w:rsidR="00DA7A66">
        <w:t xml:space="preserve"> wil</w:t>
      </w:r>
      <w:r w:rsidR="00154135">
        <w:t>l</w:t>
      </w:r>
      <w:r w:rsidR="00DA7A66">
        <w:t xml:space="preserve">fully failing to maintain </w:t>
      </w:r>
      <w:r w:rsidR="00F242EA">
        <w:t>his client’s</w:t>
      </w:r>
      <w:r w:rsidR="00DA7A66">
        <w:t xml:space="preserve"> secrets</w:t>
      </w:r>
      <w:r w:rsidR="00D44B89">
        <w:t xml:space="preserve"> </w:t>
      </w:r>
      <w:r w:rsidR="00402B1E">
        <w:t xml:space="preserve">when he </w:t>
      </w:r>
      <w:r w:rsidR="00D44B89">
        <w:t>disclos</w:t>
      </w:r>
      <w:r w:rsidR="00402B1E">
        <w:t>ed</w:t>
      </w:r>
      <w:r w:rsidR="00D44B89">
        <w:t xml:space="preserve"> personal information about his client to a member of the client’s family</w:t>
      </w:r>
      <w:r w:rsidR="00402B1E">
        <w:t xml:space="preserve">.  </w:t>
      </w:r>
      <w:r w:rsidR="00B52FB8">
        <w:t>The second was for a</w:t>
      </w:r>
      <w:r w:rsidR="00402B1E">
        <w:t xml:space="preserve"> violation of</w:t>
      </w:r>
      <w:r w:rsidR="00DA7A66">
        <w:t xml:space="preserve"> section</w:t>
      </w:r>
      <w:r w:rsidR="00F242EA">
        <w:t> </w:t>
      </w:r>
      <w:r w:rsidR="00DA7A66">
        <w:t>6090.5</w:t>
      </w:r>
      <w:r w:rsidR="00F242EA">
        <w:t>, subdivision </w:t>
      </w:r>
      <w:r w:rsidR="00DA7A66">
        <w:t>(a)</w:t>
      </w:r>
      <w:r w:rsidR="00F91B50">
        <w:t>(2)</w:t>
      </w:r>
      <w:r w:rsidR="005B3B7B">
        <w:t>,</w:t>
      </w:r>
      <w:r w:rsidR="00DA7A66">
        <w:t xml:space="preserve"> </w:t>
      </w:r>
      <w:r w:rsidR="00402B1E">
        <w:t>by</w:t>
      </w:r>
      <w:r w:rsidR="00DA7A66">
        <w:t xml:space="preserve"> conditioning settlement of a fee arbitration on the client’s dismissal of his State Bar complaint</w:t>
      </w:r>
      <w:r w:rsidR="00B51F2F">
        <w:t xml:space="preserve">.  </w:t>
      </w:r>
      <w:r w:rsidR="00B52FB8">
        <w:t xml:space="preserve">The third was for a </w:t>
      </w:r>
      <w:r w:rsidR="00B51F2F">
        <w:t xml:space="preserve">violation of </w:t>
      </w:r>
      <w:r w:rsidR="009A121C">
        <w:t>rule</w:t>
      </w:r>
      <w:r w:rsidR="00F242EA">
        <w:t> </w:t>
      </w:r>
      <w:r w:rsidR="009A121C">
        <w:t xml:space="preserve">3-700(A)(2) </w:t>
      </w:r>
      <w:r w:rsidR="00B51F2F">
        <w:t>by</w:t>
      </w:r>
      <w:r w:rsidR="009A121C">
        <w:t xml:space="preserve"> failing to avoid prejudice to his client </w:t>
      </w:r>
      <w:r w:rsidR="00B51F2F">
        <w:t xml:space="preserve">when he </w:t>
      </w:r>
      <w:r w:rsidR="009A121C">
        <w:t>promis</w:t>
      </w:r>
      <w:r w:rsidR="00B51F2F">
        <w:t>ed</w:t>
      </w:r>
      <w:r w:rsidR="009A121C">
        <w:t xml:space="preserve"> to file an appeal, </w:t>
      </w:r>
      <w:r w:rsidR="00B51F2F">
        <w:t xml:space="preserve">and </w:t>
      </w:r>
      <w:r w:rsidR="009A121C">
        <w:t>then abandon</w:t>
      </w:r>
      <w:r w:rsidR="007F0F8B">
        <w:t>ing</w:t>
      </w:r>
      <w:r w:rsidR="009A121C">
        <w:t xml:space="preserve"> his client and attempt</w:t>
      </w:r>
      <w:r w:rsidR="007F0F8B">
        <w:t>ing</w:t>
      </w:r>
      <w:r w:rsidR="009A121C">
        <w:t xml:space="preserve"> to mislead him.  </w:t>
      </w:r>
      <w:r w:rsidR="00737FD5">
        <w:t>The misconduct underlying this case occurred between April 1997 and February 2002.</w:t>
      </w:r>
    </w:p>
    <w:p w:rsidR="00D44B89" w:rsidRDefault="00D44B89" w:rsidP="00183425">
      <w:pPr>
        <w:tabs>
          <w:tab w:val="left" w:pos="720"/>
        </w:tabs>
        <w:spacing w:line="480" w:lineRule="auto"/>
        <w:rPr>
          <w:b/>
        </w:rPr>
      </w:pPr>
      <w:r>
        <w:tab/>
      </w:r>
      <w:r w:rsidR="00AF3829">
        <w:rPr>
          <w:b/>
          <w:i/>
        </w:rPr>
        <w:t xml:space="preserve">Kun II </w:t>
      </w:r>
      <w:r w:rsidR="00AF3829">
        <w:rPr>
          <w:b/>
        </w:rPr>
        <w:t>(Case No. 02-O-14481)</w:t>
      </w:r>
    </w:p>
    <w:p w:rsidR="00AF3829" w:rsidRDefault="00AF3829" w:rsidP="00183425">
      <w:pPr>
        <w:tabs>
          <w:tab w:val="left" w:pos="720"/>
        </w:tabs>
        <w:spacing w:line="480" w:lineRule="auto"/>
      </w:pPr>
      <w:r>
        <w:tab/>
        <w:t>On June</w:t>
      </w:r>
      <w:r w:rsidR="00F242EA">
        <w:t> </w:t>
      </w:r>
      <w:r>
        <w:t>10, 2004, the Supreme Court entered an order (S123</w:t>
      </w:r>
      <w:r w:rsidR="00DB0165">
        <w:t>2</w:t>
      </w:r>
      <w:r>
        <w:t xml:space="preserve">60) suspending Kun for one year, stayed, </w:t>
      </w:r>
      <w:r w:rsidR="006E1C33">
        <w:t xml:space="preserve">and </w:t>
      </w:r>
      <w:r>
        <w:t xml:space="preserve">placing him on probation for one year, subject to conditions, including a 30-day actual suspension.  This disciplinary matter was </w:t>
      </w:r>
      <w:r w:rsidR="005F2BB4">
        <w:t>based on</w:t>
      </w:r>
      <w:r w:rsidR="006F4F74">
        <w:t xml:space="preserve"> a</w:t>
      </w:r>
      <w:r w:rsidR="005F2BB4">
        <w:t>n</w:t>
      </w:r>
      <w:r w:rsidR="006F4F74">
        <w:t xml:space="preserve"> NDC </w:t>
      </w:r>
      <w:r w:rsidR="00500F84">
        <w:t>filed September</w:t>
      </w:r>
      <w:r w:rsidR="00F242EA">
        <w:t> </w:t>
      </w:r>
      <w:r w:rsidR="00F91B50">
        <w:t>5</w:t>
      </w:r>
      <w:r w:rsidR="00500F84">
        <w:t xml:space="preserve">, 2003, </w:t>
      </w:r>
      <w:r w:rsidR="006F4F74">
        <w:t xml:space="preserve">which alleged </w:t>
      </w:r>
      <w:r>
        <w:t>six counts of misconduct in a single client matter</w:t>
      </w:r>
      <w:r w:rsidR="000F3BB3">
        <w:t>;</w:t>
      </w:r>
      <w:r>
        <w:t xml:space="preserve"> Kun stipulated to </w:t>
      </w:r>
      <w:r w:rsidR="005C5A1E">
        <w:t xml:space="preserve">culpability on </w:t>
      </w:r>
      <w:r w:rsidR="000F3BB3">
        <w:t xml:space="preserve">four </w:t>
      </w:r>
      <w:r w:rsidR="005C5A1E">
        <w:t>counts</w:t>
      </w:r>
      <w:r w:rsidR="000F3BB3">
        <w:t>.</w:t>
      </w:r>
      <w:r w:rsidR="005C5A1E">
        <w:t xml:space="preserve"> </w:t>
      </w:r>
      <w:r>
        <w:t xml:space="preserve"> </w:t>
      </w:r>
      <w:r w:rsidR="000F3BB3">
        <w:t xml:space="preserve">First, </w:t>
      </w:r>
      <w:r w:rsidR="00B938D6">
        <w:t>Kun</w:t>
      </w:r>
      <w:r w:rsidR="000F3BB3">
        <w:t xml:space="preserve"> stipulated to a violation of </w:t>
      </w:r>
      <w:r w:rsidR="006F4F74">
        <w:t>rule</w:t>
      </w:r>
      <w:r w:rsidR="0056780A">
        <w:t> </w:t>
      </w:r>
      <w:r w:rsidR="006F4F74">
        <w:t xml:space="preserve">3-110(A) </w:t>
      </w:r>
      <w:r w:rsidR="005F2BB4">
        <w:t>for</w:t>
      </w:r>
      <w:r w:rsidR="006F4F74">
        <w:t xml:space="preserve"> failing to </w:t>
      </w:r>
      <w:r w:rsidR="006F4F74">
        <w:lastRenderedPageBreak/>
        <w:t xml:space="preserve">perform legal services with competence by </w:t>
      </w:r>
      <w:r w:rsidR="00190515">
        <w:t>not</w:t>
      </w:r>
      <w:r w:rsidR="006F4F74">
        <w:t xml:space="preserve"> fil</w:t>
      </w:r>
      <w:r w:rsidR="00190515">
        <w:t>ing</w:t>
      </w:r>
      <w:r w:rsidR="006F4F74">
        <w:t xml:space="preserve"> pleadings in his client’s case</w:t>
      </w:r>
      <w:r w:rsidR="000F3BB3">
        <w:t xml:space="preserve">.  Second, </w:t>
      </w:r>
      <w:r w:rsidR="00B938D6">
        <w:t>he</w:t>
      </w:r>
      <w:r w:rsidR="000F3BB3">
        <w:t xml:space="preserve"> stipulated to a violation of </w:t>
      </w:r>
      <w:r w:rsidR="006F4F74">
        <w:t>section</w:t>
      </w:r>
      <w:r w:rsidR="00190515">
        <w:t> </w:t>
      </w:r>
      <w:r w:rsidR="006F4F74">
        <w:t>6068</w:t>
      </w:r>
      <w:r w:rsidR="00190515">
        <w:t>, subdivision </w:t>
      </w:r>
      <w:r w:rsidR="006F4F74">
        <w:t>(m)</w:t>
      </w:r>
      <w:r w:rsidR="005B3B7B">
        <w:t>,</w:t>
      </w:r>
      <w:r w:rsidR="00CB2394">
        <w:t xml:space="preserve"> </w:t>
      </w:r>
      <w:r w:rsidR="005F2BB4">
        <w:t>for</w:t>
      </w:r>
      <w:r w:rsidR="006F4F74">
        <w:t xml:space="preserve"> failing to keep his client infor</w:t>
      </w:r>
      <w:r w:rsidR="0049638B">
        <w:t>med of significant developments</w:t>
      </w:r>
      <w:r w:rsidR="000F3BB3">
        <w:t xml:space="preserve">.  Third, </w:t>
      </w:r>
      <w:r w:rsidR="00B938D6">
        <w:t>he</w:t>
      </w:r>
      <w:r w:rsidR="000F3BB3">
        <w:t xml:space="preserve"> stipulated to a violation of</w:t>
      </w:r>
      <w:r w:rsidR="006F4F74">
        <w:t xml:space="preserve"> section</w:t>
      </w:r>
      <w:r w:rsidR="00190515">
        <w:t> </w:t>
      </w:r>
      <w:r w:rsidR="006F4F74">
        <w:t>6106 for acts involving moral turpitude, dishonesty</w:t>
      </w:r>
      <w:r w:rsidR="00190515">
        <w:t>,</w:t>
      </w:r>
      <w:r w:rsidR="006F4F74">
        <w:t xml:space="preserve"> or corruption</w:t>
      </w:r>
      <w:r w:rsidR="005F2BB4">
        <w:t xml:space="preserve"> for</w:t>
      </w:r>
      <w:r w:rsidR="006F4F74">
        <w:t xml:space="preserve"> misleading his client into believing that her appeal was pen</w:t>
      </w:r>
      <w:r w:rsidR="0049638B">
        <w:t>ding when it had been dismissed</w:t>
      </w:r>
      <w:r w:rsidR="000F3BB3">
        <w:t>.  Finally, Kun stipulated to a violation of</w:t>
      </w:r>
      <w:r w:rsidR="006F4F74">
        <w:t xml:space="preserve"> rule</w:t>
      </w:r>
      <w:r w:rsidR="00190515">
        <w:t> </w:t>
      </w:r>
      <w:r w:rsidR="006F4F74">
        <w:t>3-700</w:t>
      </w:r>
      <w:r w:rsidR="00A86167">
        <w:t xml:space="preserve">(D)(2) </w:t>
      </w:r>
      <w:r w:rsidR="00B938D6">
        <w:t>for</w:t>
      </w:r>
      <w:r w:rsidR="00A86167">
        <w:t xml:space="preserve"> failing to provide any services of value and failing to refund unearned fees after he was terminated by the client. </w:t>
      </w:r>
      <w:r w:rsidR="00190515">
        <w:t xml:space="preserve"> </w:t>
      </w:r>
      <w:r w:rsidR="005E2AC3">
        <w:t xml:space="preserve">Most of the misconduct underlying this case (failing to file pleadings and </w:t>
      </w:r>
      <w:r w:rsidR="009A2E7E">
        <w:t xml:space="preserve">to </w:t>
      </w:r>
      <w:r w:rsidR="005E2AC3">
        <w:t xml:space="preserve">keep his client informed and misleading his client </w:t>
      </w:r>
      <w:r w:rsidR="009A2E7E">
        <w:t>about</w:t>
      </w:r>
      <w:r w:rsidR="005E2AC3">
        <w:t xml:space="preserve"> the status of the case) occurred between April 2001 and July 2002.  Kun’</w:t>
      </w:r>
      <w:r w:rsidR="00462F93">
        <w:t>s client requested, and Kun paid</w:t>
      </w:r>
      <w:r w:rsidR="009A2E7E">
        <w:t>,</w:t>
      </w:r>
      <w:r w:rsidR="00462F93">
        <w:t xml:space="preserve"> </w:t>
      </w:r>
      <w:r w:rsidR="005E2AC3">
        <w:t xml:space="preserve">a refund of </w:t>
      </w:r>
      <w:r w:rsidR="00462F93">
        <w:t xml:space="preserve">unearned </w:t>
      </w:r>
      <w:r w:rsidR="005E2AC3">
        <w:t>fees</w:t>
      </w:r>
      <w:r w:rsidR="00462F93">
        <w:t xml:space="preserve"> in January 2003.</w:t>
      </w:r>
    </w:p>
    <w:p w:rsidR="00D51905" w:rsidRPr="0043566C" w:rsidRDefault="0011063F" w:rsidP="00F157D5">
      <w:pPr>
        <w:pStyle w:val="Heading5"/>
      </w:pPr>
      <w:r>
        <w:tab/>
        <w:t>2</w:t>
      </w:r>
      <w:r w:rsidR="0043566C">
        <w:t>.</w:t>
      </w:r>
      <w:r>
        <w:t xml:space="preserve">  </w:t>
      </w:r>
      <w:r w:rsidR="00D51905" w:rsidRPr="0043566C">
        <w:t>Indifference</w:t>
      </w:r>
      <w:r w:rsidR="00B4146C" w:rsidRPr="0043566C">
        <w:t xml:space="preserve"> (Std. 1.5(k</w:t>
      </w:r>
      <w:r w:rsidR="00D51905" w:rsidRPr="0043566C">
        <w:t>))</w:t>
      </w:r>
    </w:p>
    <w:p w:rsidR="00FC66F8" w:rsidRDefault="00D51905" w:rsidP="00183425">
      <w:pPr>
        <w:tabs>
          <w:tab w:val="left" w:pos="720"/>
        </w:tabs>
        <w:spacing w:line="480" w:lineRule="auto"/>
      </w:pPr>
      <w:r>
        <w:rPr>
          <w:b/>
        </w:rPr>
        <w:tab/>
      </w:r>
      <w:r w:rsidR="00B4146C">
        <w:t xml:space="preserve">The hearing judge found </w:t>
      </w:r>
      <w:r w:rsidR="00511767">
        <w:t xml:space="preserve">significant </w:t>
      </w:r>
      <w:r w:rsidR="00B4146C">
        <w:t>aggravation based on Kun’s indifference toward rectification or atonement for his misconduct</w:t>
      </w:r>
      <w:r w:rsidR="008467BC">
        <w:t xml:space="preserve">, as well as a lack of </w:t>
      </w:r>
      <w:r w:rsidR="007F0F8B">
        <w:t>insight</w:t>
      </w:r>
      <w:r w:rsidR="002F078B">
        <w:t xml:space="preserve">.  </w:t>
      </w:r>
      <w:r w:rsidR="004D553D">
        <w:t xml:space="preserve">However, </w:t>
      </w:r>
      <w:r w:rsidR="00D716AB">
        <w:t>we find that Kun’s indifference warrant</w:t>
      </w:r>
      <w:r w:rsidR="00812C0F">
        <w:t>s</w:t>
      </w:r>
      <w:r w:rsidR="00D716AB">
        <w:t xml:space="preserve"> </w:t>
      </w:r>
      <w:r w:rsidR="00B938D6">
        <w:t xml:space="preserve">only </w:t>
      </w:r>
      <w:r w:rsidR="00D716AB">
        <w:t xml:space="preserve">moderate aggravation, as analyzed below.  </w:t>
      </w:r>
    </w:p>
    <w:p w:rsidR="00986341" w:rsidRDefault="00FC66F8" w:rsidP="00183425">
      <w:pPr>
        <w:tabs>
          <w:tab w:val="left" w:pos="720"/>
        </w:tabs>
        <w:spacing w:line="480" w:lineRule="auto"/>
      </w:pPr>
      <w:r>
        <w:tab/>
      </w:r>
      <w:r w:rsidR="004F7369">
        <w:t>The</w:t>
      </w:r>
      <w:r>
        <w:t xml:space="preserve"> </w:t>
      </w:r>
      <w:r w:rsidR="0011063F">
        <w:t xml:space="preserve">hearing </w:t>
      </w:r>
      <w:r w:rsidR="002F078B">
        <w:t xml:space="preserve">judge found that Kun showed indifference because he argued that he provided services worth the full value of the amount paid by LeGrande and also that the amount of misappropriated funds was nominal.  </w:t>
      </w:r>
      <w:r>
        <w:t xml:space="preserve">On </w:t>
      </w:r>
      <w:r w:rsidR="002F078B">
        <w:t xml:space="preserve">review, </w:t>
      </w:r>
      <w:r w:rsidR="004F7369">
        <w:t xml:space="preserve">we </w:t>
      </w:r>
      <w:r w:rsidR="00133A76">
        <w:t>understand</w:t>
      </w:r>
      <w:r w:rsidR="004F7369">
        <w:t xml:space="preserve"> </w:t>
      </w:r>
      <w:r w:rsidR="002F078B">
        <w:t xml:space="preserve">Kun’s argument </w:t>
      </w:r>
      <w:r w:rsidR="00F174C8">
        <w:t>as</w:t>
      </w:r>
      <w:r w:rsidR="002F078B">
        <w:t xml:space="preserve"> his attempt </w:t>
      </w:r>
      <w:r w:rsidR="00D716AB">
        <w:t xml:space="preserve">to establish that </w:t>
      </w:r>
      <w:r w:rsidR="00986341">
        <w:t>the $460 he misappropriated was “insignificantly s</w:t>
      </w:r>
      <w:r w:rsidR="0049638B">
        <w:t>mall</w:t>
      </w:r>
      <w:r w:rsidR="00D716AB">
        <w:t>,</w:t>
      </w:r>
      <w:r w:rsidR="0049638B">
        <w:t xml:space="preserve">” </w:t>
      </w:r>
      <w:r w:rsidR="00D716AB">
        <w:t xml:space="preserve">according to the language from </w:t>
      </w:r>
      <w:r w:rsidR="0049638B">
        <w:t>standard</w:t>
      </w:r>
      <w:r w:rsidR="00F174C8">
        <w:t> </w:t>
      </w:r>
      <w:r w:rsidR="0049638B">
        <w:t>2.1(a)</w:t>
      </w:r>
      <w:r w:rsidR="00D716AB">
        <w:t>.  But</w:t>
      </w:r>
      <w:r>
        <w:t>,</w:t>
      </w:r>
      <w:r w:rsidR="00D716AB">
        <w:t xml:space="preserve"> as previously noted, this standard addresses </w:t>
      </w:r>
      <w:r w:rsidR="0049638B">
        <w:t>intentional misappropriation</w:t>
      </w:r>
      <w:r w:rsidR="00F174C8">
        <w:t>,</w:t>
      </w:r>
      <w:r w:rsidR="0049638B">
        <w:t xml:space="preserve"> </w:t>
      </w:r>
      <w:r w:rsidR="00D716AB">
        <w:t xml:space="preserve">which is not at issue here.  </w:t>
      </w:r>
      <w:r w:rsidR="00FA2F90">
        <w:t>S</w:t>
      </w:r>
      <w:r>
        <w:t>ince</w:t>
      </w:r>
      <w:r w:rsidR="00E6711E">
        <w:t xml:space="preserve"> </w:t>
      </w:r>
      <w:r>
        <w:t>Kun has the right to vigorously defend himself (</w:t>
      </w:r>
      <w:r>
        <w:rPr>
          <w:i/>
        </w:rPr>
        <w:t xml:space="preserve">In re </w:t>
      </w:r>
      <w:r w:rsidRPr="007514F8">
        <w:rPr>
          <w:i/>
        </w:rPr>
        <w:t>Morse</w:t>
      </w:r>
      <w:r>
        <w:t xml:space="preserve"> (1995) 11</w:t>
      </w:r>
      <w:r w:rsidR="00F174C8">
        <w:t> </w:t>
      </w:r>
      <w:r>
        <w:t xml:space="preserve">Cal.4th 184, 209), we do not consider </w:t>
      </w:r>
      <w:r w:rsidR="004F7369">
        <w:t>t</w:t>
      </w:r>
      <w:r>
        <w:t xml:space="preserve">his argument to demonstrate </w:t>
      </w:r>
      <w:r w:rsidR="004F7369">
        <w:t xml:space="preserve">his </w:t>
      </w:r>
      <w:r>
        <w:t>indifference</w:t>
      </w:r>
      <w:r w:rsidR="00133A76">
        <w:t xml:space="preserve"> or unwillingness to conform to his ethical responsibilities</w:t>
      </w:r>
      <w:r>
        <w:t xml:space="preserve">.  </w:t>
      </w:r>
    </w:p>
    <w:p w:rsidR="003119E2" w:rsidRDefault="00986341" w:rsidP="00183425">
      <w:pPr>
        <w:tabs>
          <w:tab w:val="left" w:pos="720"/>
        </w:tabs>
        <w:spacing w:line="480" w:lineRule="auto"/>
      </w:pPr>
      <w:r>
        <w:tab/>
      </w:r>
      <w:r w:rsidR="00FC66F8">
        <w:t>N</w:t>
      </w:r>
      <w:r>
        <w:t>onetheless</w:t>
      </w:r>
      <w:r w:rsidR="00FC66F8">
        <w:t xml:space="preserve">, the record reveals </w:t>
      </w:r>
      <w:r w:rsidR="00FA2F90">
        <w:t xml:space="preserve">other </w:t>
      </w:r>
      <w:r w:rsidR="00E621D5">
        <w:t>evidence that establishes</w:t>
      </w:r>
      <w:r w:rsidR="00FC66F8">
        <w:t xml:space="preserve"> moderate indifference by Kun.</w:t>
      </w:r>
      <w:r w:rsidR="00E6711E">
        <w:t xml:space="preserve">  </w:t>
      </w:r>
      <w:r w:rsidR="00FC66F8">
        <w:t xml:space="preserve">First, </w:t>
      </w:r>
      <w:r w:rsidR="007F25CB">
        <w:t>he</w:t>
      </w:r>
      <w:r w:rsidR="00FF0998">
        <w:t xml:space="preserve"> </w:t>
      </w:r>
      <w:r w:rsidR="00C15FC8">
        <w:t xml:space="preserve">attempted to </w:t>
      </w:r>
      <w:r w:rsidR="00FF0998">
        <w:t xml:space="preserve">shift blame to his client. </w:t>
      </w:r>
      <w:r w:rsidR="00F174C8">
        <w:t xml:space="preserve"> </w:t>
      </w:r>
      <w:r w:rsidR="00C15FC8">
        <w:t>(</w:t>
      </w:r>
      <w:r w:rsidR="00C15FC8">
        <w:rPr>
          <w:i/>
        </w:rPr>
        <w:t>In the Matter of Wolff</w:t>
      </w:r>
      <w:r w:rsidR="00C15FC8">
        <w:t xml:space="preserve"> (Review Dept. </w:t>
      </w:r>
      <w:r w:rsidR="00C15FC8">
        <w:lastRenderedPageBreak/>
        <w:t xml:space="preserve">2006) 5 Cal. State Bar Ct. Rptr. 1, 14 [attorney who fails to accept responsibility for actions and instead seeks to shift responsibility to others demonstrates indifference and lack of remorse].)  </w:t>
      </w:r>
      <w:r w:rsidR="00CB51D8">
        <w:t xml:space="preserve">He minimized his </w:t>
      </w:r>
      <w:r w:rsidR="009A2E7E">
        <w:t>wrongdoing</w:t>
      </w:r>
      <w:r w:rsidR="00CB51D8">
        <w:t xml:space="preserve"> and the resulting harm to LeGrande, testifying that she only filed a complaint with the State Bar because she </w:t>
      </w:r>
      <w:r w:rsidR="003119E2">
        <w:t>knew</w:t>
      </w:r>
      <w:r w:rsidR="00CB51D8">
        <w:t xml:space="preserve"> that he had previous</w:t>
      </w:r>
      <w:r w:rsidR="003119E2">
        <w:t>ly</w:t>
      </w:r>
      <w:r w:rsidR="00CB51D8">
        <w:t xml:space="preserve"> </w:t>
      </w:r>
      <w:r w:rsidR="003119E2">
        <w:t xml:space="preserve">been </w:t>
      </w:r>
      <w:r w:rsidR="00CB51D8">
        <w:t>discipline</w:t>
      </w:r>
      <w:r w:rsidR="003119E2">
        <w:t>d</w:t>
      </w:r>
      <w:r w:rsidR="00CB51D8">
        <w:t xml:space="preserve"> and </w:t>
      </w:r>
      <w:r w:rsidR="007F25CB">
        <w:t>she thought she could</w:t>
      </w:r>
      <w:r w:rsidR="00CB51D8">
        <w:t xml:space="preserve"> use the Bar “as a collection agency.”  </w:t>
      </w:r>
      <w:r w:rsidR="00C15FC8">
        <w:t xml:space="preserve">While the law does not require false penitence, it does </w:t>
      </w:r>
      <w:r w:rsidR="007000C7">
        <w:t>require</w:t>
      </w:r>
      <w:r w:rsidR="00C15FC8">
        <w:t xml:space="preserve"> that Kun accept </w:t>
      </w:r>
      <w:r w:rsidR="00E6711E">
        <w:t>responsibility</w:t>
      </w:r>
      <w:r w:rsidR="00C15FC8">
        <w:t xml:space="preserve"> for his misconduct and come to grips with his culpability.  </w:t>
      </w:r>
      <w:r w:rsidR="005A100D">
        <w:t>(</w:t>
      </w:r>
      <w:r w:rsidR="005A100D">
        <w:rPr>
          <w:i/>
        </w:rPr>
        <w:t>In the Matter of Katz</w:t>
      </w:r>
      <w:r w:rsidR="005A100D">
        <w:t xml:space="preserve"> (Review Dept. 1991) 1 Cal. State Bar Ct. Rptr. 502, 511</w:t>
      </w:r>
      <w:r w:rsidR="00C15FC8">
        <w:t>.)</w:t>
      </w:r>
      <w:r w:rsidR="00C15FC8" w:rsidDel="00C15FC8">
        <w:t xml:space="preserve"> </w:t>
      </w:r>
      <w:r w:rsidR="007F25CB">
        <w:t xml:space="preserve"> </w:t>
      </w:r>
      <w:r w:rsidR="004F7369">
        <w:t xml:space="preserve">He has not done this.  </w:t>
      </w:r>
    </w:p>
    <w:p w:rsidR="002D045D" w:rsidRPr="00D24488" w:rsidRDefault="00A93323" w:rsidP="00F157D5">
      <w:pPr>
        <w:pStyle w:val="Heading5"/>
      </w:pPr>
      <w:r>
        <w:tab/>
      </w:r>
      <w:r w:rsidR="00A27C7D" w:rsidRPr="00D24488">
        <w:t xml:space="preserve">3.  </w:t>
      </w:r>
      <w:r w:rsidR="002D045D" w:rsidRPr="00D24488">
        <w:t>No Aggravation for Uncharged Misconduct (Std. 1.5(h))</w:t>
      </w:r>
    </w:p>
    <w:p w:rsidR="00420D75" w:rsidRDefault="002D045D" w:rsidP="00420D75">
      <w:pPr>
        <w:tabs>
          <w:tab w:val="left" w:pos="720"/>
        </w:tabs>
        <w:spacing w:line="480" w:lineRule="auto"/>
      </w:pPr>
      <w:r>
        <w:tab/>
        <w:t>The hearing judge assigned aggravation for uncharged misconduct, finding that Kun failed to refund unearned fees of $1</w:t>
      </w:r>
      <w:r w:rsidR="00AC3D77">
        <w:t>,</w:t>
      </w:r>
      <w:r>
        <w:t xml:space="preserve">775.  </w:t>
      </w:r>
      <w:r w:rsidR="00154135">
        <w:t>However</w:t>
      </w:r>
      <w:r>
        <w:t xml:space="preserve">, </w:t>
      </w:r>
      <w:r w:rsidR="00394B64">
        <w:t xml:space="preserve">as previously stated, </w:t>
      </w:r>
      <w:r>
        <w:t xml:space="preserve">this finding is based on the </w:t>
      </w:r>
      <w:r w:rsidR="00394B64">
        <w:t xml:space="preserve">judge’s </w:t>
      </w:r>
      <w:r>
        <w:t>erroneous factual finding that LeGrande terminated Kun on July</w:t>
      </w:r>
      <w:r w:rsidR="00420D75">
        <w:t> </w:t>
      </w:r>
      <w:r>
        <w:t>7</w:t>
      </w:r>
      <w:r w:rsidR="00394B64">
        <w:t>, 2014</w:t>
      </w:r>
      <w:r>
        <w:t xml:space="preserve">.  Kun and OCTC </w:t>
      </w:r>
      <w:r w:rsidR="00154135">
        <w:t>both</w:t>
      </w:r>
      <w:r>
        <w:t xml:space="preserve"> argue that this aggravation should not be </w:t>
      </w:r>
      <w:r w:rsidR="00394B64">
        <w:t>considered</w:t>
      </w:r>
      <w:r>
        <w:t xml:space="preserve"> because Kun was actually term</w:t>
      </w:r>
      <w:r w:rsidR="00A225F7">
        <w:t xml:space="preserve">inated </w:t>
      </w:r>
      <w:r w:rsidR="00154135">
        <w:t>on</w:t>
      </w:r>
      <w:r w:rsidR="00A225F7">
        <w:t xml:space="preserve"> July 10.  We agree</w:t>
      </w:r>
      <w:r w:rsidR="00AC3D77">
        <w:t>,</w:t>
      </w:r>
      <w:r>
        <w:t xml:space="preserve"> and </w:t>
      </w:r>
      <w:r w:rsidR="00154135">
        <w:t xml:space="preserve">thus </w:t>
      </w:r>
      <w:r>
        <w:t>decline to assign aggravation</w:t>
      </w:r>
      <w:r w:rsidR="00394B64">
        <w:t xml:space="preserve"> for uncharged misconduct</w:t>
      </w:r>
      <w:r>
        <w:t>.</w:t>
      </w:r>
    </w:p>
    <w:p w:rsidR="00420D75" w:rsidRPr="00420D75" w:rsidRDefault="000B7D56" w:rsidP="00F157D5">
      <w:pPr>
        <w:pStyle w:val="Heading5"/>
      </w:pPr>
      <w:r>
        <w:tab/>
      </w:r>
      <w:r w:rsidR="00A27C7D">
        <w:t xml:space="preserve">4.  </w:t>
      </w:r>
      <w:r w:rsidR="002D045D">
        <w:t xml:space="preserve">OCTC’s Requests for </w:t>
      </w:r>
      <w:r w:rsidR="00420D75">
        <w:t>Additional Aggravation</w:t>
      </w:r>
    </w:p>
    <w:p w:rsidR="00420D75" w:rsidRPr="00420D75" w:rsidRDefault="004B5803" w:rsidP="00420D75">
      <w:pPr>
        <w:tabs>
          <w:tab w:val="left" w:pos="720"/>
        </w:tabs>
        <w:spacing w:line="480" w:lineRule="auto"/>
      </w:pPr>
      <w:r>
        <w:tab/>
      </w:r>
      <w:r w:rsidR="006B7539">
        <w:t xml:space="preserve">OCTC </w:t>
      </w:r>
      <w:r w:rsidR="00420D75">
        <w:t>asks us to</w:t>
      </w:r>
      <w:r w:rsidR="006B7539">
        <w:t xml:space="preserve"> </w:t>
      </w:r>
      <w:r w:rsidR="00154135">
        <w:t>assign</w:t>
      </w:r>
      <w:r w:rsidR="006B7539">
        <w:t xml:space="preserve"> additional aggravation for multiple acts</w:t>
      </w:r>
      <w:r w:rsidR="00FA69A1">
        <w:t>.  (S</w:t>
      </w:r>
      <w:r w:rsidR="002D045D">
        <w:t>td.</w:t>
      </w:r>
      <w:r w:rsidR="00AC3D77">
        <w:t> </w:t>
      </w:r>
      <w:r w:rsidR="002D045D">
        <w:t>1.5(b)</w:t>
      </w:r>
      <w:r w:rsidR="00FA69A1">
        <w:t>.</w:t>
      </w:r>
      <w:r w:rsidR="002D045D">
        <w:t>)</w:t>
      </w:r>
      <w:r w:rsidR="006B7539">
        <w:t xml:space="preserve">  </w:t>
      </w:r>
      <w:r w:rsidR="006B7539">
        <w:rPr>
          <w:szCs w:val="24"/>
        </w:rPr>
        <w:t>Kun misappr</w:t>
      </w:r>
      <w:r w:rsidR="00E92D0E">
        <w:rPr>
          <w:szCs w:val="24"/>
        </w:rPr>
        <w:t>opriated his client’s money in dozens of</w:t>
      </w:r>
      <w:r w:rsidR="006B7539">
        <w:rPr>
          <w:szCs w:val="24"/>
        </w:rPr>
        <w:t xml:space="preserve"> separate withdrawals in </w:t>
      </w:r>
      <w:r w:rsidR="00394B64">
        <w:rPr>
          <w:szCs w:val="24"/>
        </w:rPr>
        <w:t>less than</w:t>
      </w:r>
      <w:r w:rsidR="006B7539">
        <w:rPr>
          <w:szCs w:val="24"/>
        </w:rPr>
        <w:t xml:space="preserve"> a month.  We find this conduct constitutes multiple acts of wrongdoing, </w:t>
      </w:r>
      <w:r w:rsidR="00394B64">
        <w:rPr>
          <w:szCs w:val="24"/>
        </w:rPr>
        <w:t>warranting</w:t>
      </w:r>
      <w:r w:rsidR="006B7539">
        <w:rPr>
          <w:szCs w:val="24"/>
        </w:rPr>
        <w:t xml:space="preserve"> significant aggravation.  (</w:t>
      </w:r>
      <w:r w:rsidR="006B7539">
        <w:rPr>
          <w:i/>
          <w:szCs w:val="24"/>
        </w:rPr>
        <w:t>In the Matter of Song</w:t>
      </w:r>
      <w:r w:rsidR="006B7539">
        <w:rPr>
          <w:szCs w:val="24"/>
        </w:rPr>
        <w:t xml:space="preserve"> (Review Dept. 2013) 5 Cal. State Bar Ct. Rptr. 273, 279 [65 improper CTA withdrawals are multiple acts of misconduct constituting significant aggravation].)  </w:t>
      </w:r>
    </w:p>
    <w:p w:rsidR="000B7D56" w:rsidRDefault="00741010" w:rsidP="00420D75">
      <w:pPr>
        <w:tabs>
          <w:tab w:val="left" w:pos="720"/>
        </w:tabs>
        <w:spacing w:line="480" w:lineRule="auto"/>
        <w:rPr>
          <w:szCs w:val="24"/>
        </w:rPr>
      </w:pPr>
      <w:r>
        <w:rPr>
          <w:szCs w:val="24"/>
        </w:rPr>
        <w:tab/>
        <w:t>OCTC also requests that we assign</w:t>
      </w:r>
      <w:r w:rsidR="0049129F">
        <w:rPr>
          <w:szCs w:val="24"/>
        </w:rPr>
        <w:t xml:space="preserve"> </w:t>
      </w:r>
      <w:r w:rsidR="002D045D">
        <w:rPr>
          <w:szCs w:val="24"/>
        </w:rPr>
        <w:t xml:space="preserve">additional aggravation for </w:t>
      </w:r>
      <w:r w:rsidR="00B14544">
        <w:rPr>
          <w:szCs w:val="24"/>
        </w:rPr>
        <w:t>failure to make restitution</w:t>
      </w:r>
      <w:r w:rsidR="00FA69A1">
        <w:rPr>
          <w:szCs w:val="24"/>
        </w:rPr>
        <w:t xml:space="preserve">. </w:t>
      </w:r>
      <w:r w:rsidR="00B14544">
        <w:rPr>
          <w:szCs w:val="24"/>
        </w:rPr>
        <w:t xml:space="preserve"> (</w:t>
      </w:r>
      <w:r w:rsidR="00FA69A1">
        <w:rPr>
          <w:szCs w:val="24"/>
        </w:rPr>
        <w:t>S</w:t>
      </w:r>
      <w:r w:rsidR="00B14544">
        <w:rPr>
          <w:szCs w:val="24"/>
        </w:rPr>
        <w:t>td.</w:t>
      </w:r>
      <w:r w:rsidR="00AC3D77">
        <w:rPr>
          <w:szCs w:val="24"/>
        </w:rPr>
        <w:t> </w:t>
      </w:r>
      <w:r w:rsidR="00B14544">
        <w:rPr>
          <w:szCs w:val="24"/>
        </w:rPr>
        <w:t>1.5(m)</w:t>
      </w:r>
      <w:r w:rsidR="00FA69A1">
        <w:rPr>
          <w:szCs w:val="24"/>
        </w:rPr>
        <w:t>.</w:t>
      </w:r>
      <w:r w:rsidR="00B14544">
        <w:rPr>
          <w:szCs w:val="24"/>
        </w:rPr>
        <w:t xml:space="preserve">)  Kun has </w:t>
      </w:r>
      <w:r w:rsidR="00744ECF">
        <w:rPr>
          <w:szCs w:val="24"/>
        </w:rPr>
        <w:t xml:space="preserve">not </w:t>
      </w:r>
      <w:r w:rsidR="00B14544">
        <w:rPr>
          <w:szCs w:val="24"/>
        </w:rPr>
        <w:t>refund</w:t>
      </w:r>
      <w:r w:rsidR="00744ECF">
        <w:rPr>
          <w:szCs w:val="24"/>
        </w:rPr>
        <w:t>ed</w:t>
      </w:r>
      <w:r w:rsidR="00B14544">
        <w:rPr>
          <w:szCs w:val="24"/>
        </w:rPr>
        <w:t xml:space="preserve"> the $460 filing fee to LeGrande, despite </w:t>
      </w:r>
      <w:r w:rsidR="00501F1A">
        <w:rPr>
          <w:szCs w:val="24"/>
        </w:rPr>
        <w:t xml:space="preserve">her </w:t>
      </w:r>
      <w:r w:rsidR="00B14544">
        <w:rPr>
          <w:szCs w:val="24"/>
        </w:rPr>
        <w:t xml:space="preserve">multiple requests </w:t>
      </w:r>
      <w:r w:rsidR="002010F3">
        <w:rPr>
          <w:szCs w:val="24"/>
        </w:rPr>
        <w:t xml:space="preserve">and the clear understanding of the parties at the time he was retained that this amount </w:t>
      </w:r>
      <w:r w:rsidR="002010F3">
        <w:rPr>
          <w:szCs w:val="24"/>
        </w:rPr>
        <w:lastRenderedPageBreak/>
        <w:t>was given to Kun as advance costs</w:t>
      </w:r>
      <w:r w:rsidR="00B14544">
        <w:rPr>
          <w:szCs w:val="24"/>
        </w:rPr>
        <w:t xml:space="preserve">.  During the investigation, Kun told a State Bar investigator that the $460 </w:t>
      </w:r>
      <w:r w:rsidR="005C42A0">
        <w:rPr>
          <w:szCs w:val="24"/>
        </w:rPr>
        <w:t xml:space="preserve">remained in his trust account and he </w:t>
      </w:r>
      <w:r w:rsidR="00422DFE">
        <w:rPr>
          <w:szCs w:val="24"/>
        </w:rPr>
        <w:t>could send it the following day</w:t>
      </w:r>
      <w:r w:rsidR="0072436D">
        <w:rPr>
          <w:szCs w:val="24"/>
        </w:rPr>
        <w:t>,</w:t>
      </w:r>
      <w:r w:rsidR="00422DFE">
        <w:rPr>
          <w:szCs w:val="24"/>
        </w:rPr>
        <w:t xml:space="preserve"> </w:t>
      </w:r>
      <w:r w:rsidR="005462F9">
        <w:rPr>
          <w:szCs w:val="24"/>
        </w:rPr>
        <w:t xml:space="preserve">conditioned on having the “issue </w:t>
      </w:r>
      <w:r w:rsidR="00FA69A1">
        <w:rPr>
          <w:szCs w:val="24"/>
        </w:rPr>
        <w:t xml:space="preserve">. . . </w:t>
      </w:r>
      <w:r w:rsidR="005462F9">
        <w:rPr>
          <w:szCs w:val="24"/>
        </w:rPr>
        <w:t xml:space="preserve">cleared once and for all.”  </w:t>
      </w:r>
      <w:r w:rsidR="00422DFE">
        <w:rPr>
          <w:szCs w:val="24"/>
        </w:rPr>
        <w:t>He has not yet</w:t>
      </w:r>
      <w:r w:rsidR="00B40EC9">
        <w:rPr>
          <w:szCs w:val="24"/>
        </w:rPr>
        <w:t xml:space="preserve"> </w:t>
      </w:r>
      <w:r>
        <w:rPr>
          <w:szCs w:val="24"/>
        </w:rPr>
        <w:t xml:space="preserve">refunded </w:t>
      </w:r>
      <w:r w:rsidR="005462F9">
        <w:rPr>
          <w:szCs w:val="24"/>
        </w:rPr>
        <w:t xml:space="preserve">the $460.  By the time of trial, he testified that </w:t>
      </w:r>
      <w:r w:rsidR="005F3507">
        <w:rPr>
          <w:szCs w:val="24"/>
        </w:rPr>
        <w:t xml:space="preserve">he </w:t>
      </w:r>
      <w:r w:rsidR="00744ECF">
        <w:rPr>
          <w:szCs w:val="24"/>
        </w:rPr>
        <w:t xml:space="preserve">had </w:t>
      </w:r>
      <w:r w:rsidR="005462F9">
        <w:rPr>
          <w:szCs w:val="24"/>
        </w:rPr>
        <w:t>converted th</w:t>
      </w:r>
      <w:r w:rsidR="00D004CA">
        <w:rPr>
          <w:szCs w:val="24"/>
        </w:rPr>
        <w:t>e $460</w:t>
      </w:r>
      <w:r w:rsidR="00422DFE">
        <w:rPr>
          <w:szCs w:val="24"/>
        </w:rPr>
        <w:t xml:space="preserve"> </w:t>
      </w:r>
      <w:r w:rsidR="005462F9">
        <w:rPr>
          <w:szCs w:val="24"/>
        </w:rPr>
        <w:t>to attorney fees</w:t>
      </w:r>
      <w:r w:rsidR="005F3507">
        <w:rPr>
          <w:szCs w:val="24"/>
        </w:rPr>
        <w:t>,</w:t>
      </w:r>
      <w:r w:rsidR="005462F9">
        <w:rPr>
          <w:szCs w:val="24"/>
        </w:rPr>
        <w:t xml:space="preserve"> </w:t>
      </w:r>
      <w:r w:rsidR="00422DFE">
        <w:rPr>
          <w:szCs w:val="24"/>
        </w:rPr>
        <w:t xml:space="preserve">and </w:t>
      </w:r>
      <w:r>
        <w:rPr>
          <w:szCs w:val="24"/>
        </w:rPr>
        <w:t xml:space="preserve">he did not </w:t>
      </w:r>
      <w:r w:rsidR="00A60D56">
        <w:rPr>
          <w:szCs w:val="24"/>
        </w:rPr>
        <w:t xml:space="preserve">believe </w:t>
      </w:r>
      <w:r w:rsidR="005462F9">
        <w:rPr>
          <w:szCs w:val="24"/>
        </w:rPr>
        <w:t>LeGrande was entitled to a refund</w:t>
      </w:r>
      <w:r>
        <w:rPr>
          <w:szCs w:val="24"/>
        </w:rPr>
        <w:t xml:space="preserve">.  </w:t>
      </w:r>
      <w:r w:rsidR="00A27C7D">
        <w:rPr>
          <w:szCs w:val="24"/>
        </w:rPr>
        <w:t>Even so, h</w:t>
      </w:r>
      <w:r>
        <w:rPr>
          <w:szCs w:val="24"/>
        </w:rPr>
        <w:t xml:space="preserve">e </w:t>
      </w:r>
      <w:r w:rsidR="00A27C7D">
        <w:rPr>
          <w:szCs w:val="24"/>
        </w:rPr>
        <w:t xml:space="preserve">also </w:t>
      </w:r>
      <w:r>
        <w:rPr>
          <w:szCs w:val="24"/>
        </w:rPr>
        <w:t xml:space="preserve">testified that </w:t>
      </w:r>
      <w:r w:rsidR="00A60D56">
        <w:rPr>
          <w:szCs w:val="24"/>
        </w:rPr>
        <w:t>“if the Court tells me that I’m legally obligated, then I’ll pay it back.  Okay?”</w:t>
      </w:r>
      <w:r w:rsidR="005462F9">
        <w:rPr>
          <w:szCs w:val="24"/>
        </w:rPr>
        <w:t xml:space="preserve">  We</w:t>
      </w:r>
      <w:r w:rsidR="00A27C7D">
        <w:rPr>
          <w:szCs w:val="24"/>
        </w:rPr>
        <w:t xml:space="preserve"> therefore</w:t>
      </w:r>
      <w:r w:rsidR="005462F9">
        <w:rPr>
          <w:szCs w:val="24"/>
        </w:rPr>
        <w:t xml:space="preserve"> assign </w:t>
      </w:r>
      <w:r>
        <w:rPr>
          <w:szCs w:val="24"/>
        </w:rPr>
        <w:t xml:space="preserve">moderate </w:t>
      </w:r>
      <w:r w:rsidR="005462F9">
        <w:rPr>
          <w:szCs w:val="24"/>
        </w:rPr>
        <w:t>aggravati</w:t>
      </w:r>
      <w:r w:rsidR="001873F6">
        <w:rPr>
          <w:szCs w:val="24"/>
        </w:rPr>
        <w:t>ng weight</w:t>
      </w:r>
      <w:r w:rsidR="005462F9">
        <w:rPr>
          <w:szCs w:val="24"/>
        </w:rPr>
        <w:t xml:space="preserve"> for Kun’s </w:t>
      </w:r>
      <w:r w:rsidR="00744ECF">
        <w:rPr>
          <w:szCs w:val="24"/>
        </w:rPr>
        <w:t xml:space="preserve">failure to </w:t>
      </w:r>
      <w:r w:rsidR="005462F9">
        <w:rPr>
          <w:szCs w:val="24"/>
        </w:rPr>
        <w:t xml:space="preserve">refund the unspent filing fee.  </w:t>
      </w:r>
      <w:r w:rsidR="00C51421">
        <w:rPr>
          <w:szCs w:val="24"/>
        </w:rPr>
        <w:t xml:space="preserve">(See </w:t>
      </w:r>
      <w:r w:rsidR="00C51421">
        <w:rPr>
          <w:i/>
          <w:szCs w:val="24"/>
        </w:rPr>
        <w:t>Chang v. State Bar</w:t>
      </w:r>
      <w:r w:rsidR="00C51421">
        <w:rPr>
          <w:szCs w:val="24"/>
        </w:rPr>
        <w:t xml:space="preserve"> (1989) 49</w:t>
      </w:r>
      <w:r w:rsidR="00391899">
        <w:rPr>
          <w:szCs w:val="24"/>
        </w:rPr>
        <w:t> </w:t>
      </w:r>
      <w:r w:rsidR="00C51421">
        <w:rPr>
          <w:szCs w:val="24"/>
        </w:rPr>
        <w:t>Cal.3d 114, 124</w:t>
      </w:r>
      <w:r w:rsidR="00340898">
        <w:rPr>
          <w:szCs w:val="24"/>
        </w:rPr>
        <w:t xml:space="preserve"> [failure to reimburse client for misappropriated funds considered as aggravating factor]</w:t>
      </w:r>
      <w:r w:rsidR="00C51421">
        <w:rPr>
          <w:szCs w:val="24"/>
        </w:rPr>
        <w:t>.)</w:t>
      </w:r>
    </w:p>
    <w:p w:rsidR="000B7D56" w:rsidRDefault="000B7D56" w:rsidP="000B7D56">
      <w:pPr>
        <w:tabs>
          <w:tab w:val="left" w:pos="720"/>
        </w:tabs>
        <w:spacing w:line="480" w:lineRule="auto"/>
        <w:rPr>
          <w:szCs w:val="24"/>
        </w:rPr>
      </w:pPr>
      <w:r>
        <w:rPr>
          <w:szCs w:val="24"/>
        </w:rPr>
        <w:tab/>
      </w:r>
      <w:r w:rsidR="00741010">
        <w:rPr>
          <w:szCs w:val="24"/>
        </w:rPr>
        <w:t>We</w:t>
      </w:r>
      <w:r w:rsidR="005F3507">
        <w:rPr>
          <w:szCs w:val="24"/>
        </w:rPr>
        <w:t xml:space="preserve"> </w:t>
      </w:r>
      <w:r w:rsidR="00154135">
        <w:rPr>
          <w:szCs w:val="24"/>
        </w:rPr>
        <w:t>decline</w:t>
      </w:r>
      <w:r w:rsidR="000E4BA8">
        <w:rPr>
          <w:szCs w:val="24"/>
        </w:rPr>
        <w:t xml:space="preserve"> OCTC’s request for aggravation for intentional misconduct, dishonesty, and bad faith (</w:t>
      </w:r>
      <w:r w:rsidR="00391899">
        <w:rPr>
          <w:szCs w:val="24"/>
        </w:rPr>
        <w:t>s</w:t>
      </w:r>
      <w:r w:rsidR="000E4BA8">
        <w:rPr>
          <w:szCs w:val="24"/>
        </w:rPr>
        <w:t>td.</w:t>
      </w:r>
      <w:r w:rsidR="00391899">
        <w:rPr>
          <w:szCs w:val="24"/>
        </w:rPr>
        <w:t> </w:t>
      </w:r>
      <w:r w:rsidR="000E4BA8">
        <w:rPr>
          <w:szCs w:val="24"/>
        </w:rPr>
        <w:t>1.5(d)) and refusal or inability to account for entrusted funds</w:t>
      </w:r>
      <w:r w:rsidR="00FA69A1">
        <w:rPr>
          <w:szCs w:val="24"/>
        </w:rPr>
        <w:t xml:space="preserve">. </w:t>
      </w:r>
      <w:r w:rsidR="000E4BA8">
        <w:rPr>
          <w:szCs w:val="24"/>
        </w:rPr>
        <w:t xml:space="preserve"> (</w:t>
      </w:r>
      <w:r w:rsidR="00FA69A1">
        <w:rPr>
          <w:szCs w:val="24"/>
        </w:rPr>
        <w:t>S</w:t>
      </w:r>
      <w:r w:rsidR="000E4BA8">
        <w:rPr>
          <w:szCs w:val="24"/>
        </w:rPr>
        <w:t>td.</w:t>
      </w:r>
      <w:r w:rsidR="00391899">
        <w:rPr>
          <w:szCs w:val="24"/>
        </w:rPr>
        <w:t> </w:t>
      </w:r>
      <w:r w:rsidR="000E4BA8">
        <w:rPr>
          <w:szCs w:val="24"/>
        </w:rPr>
        <w:t>1.5(m)</w:t>
      </w:r>
      <w:r w:rsidR="00FA69A1">
        <w:rPr>
          <w:szCs w:val="24"/>
        </w:rPr>
        <w:t>.</w:t>
      </w:r>
      <w:r w:rsidR="000E4BA8">
        <w:rPr>
          <w:szCs w:val="24"/>
        </w:rPr>
        <w:t>)</w:t>
      </w:r>
      <w:r w:rsidR="00391899">
        <w:rPr>
          <w:szCs w:val="24"/>
        </w:rPr>
        <w:t xml:space="preserve"> </w:t>
      </w:r>
      <w:r w:rsidR="000E4BA8">
        <w:rPr>
          <w:szCs w:val="24"/>
        </w:rPr>
        <w:t xml:space="preserve"> </w:t>
      </w:r>
      <w:r w:rsidR="00391899">
        <w:rPr>
          <w:szCs w:val="24"/>
        </w:rPr>
        <w:t>O</w:t>
      </w:r>
      <w:r w:rsidR="000E4BA8" w:rsidRPr="000E4BA8">
        <w:rPr>
          <w:szCs w:val="24"/>
        </w:rPr>
        <w:t xml:space="preserve">ur culpability and other aggravation findings </w:t>
      </w:r>
      <w:r w:rsidR="00391899">
        <w:rPr>
          <w:szCs w:val="24"/>
        </w:rPr>
        <w:t>encompass</w:t>
      </w:r>
      <w:r w:rsidR="000E4BA8" w:rsidRPr="000E4BA8">
        <w:rPr>
          <w:szCs w:val="24"/>
        </w:rPr>
        <w:t xml:space="preserve"> the misconduct upon which OCTC bases its claim</w:t>
      </w:r>
      <w:r w:rsidR="00E3747C">
        <w:rPr>
          <w:szCs w:val="24"/>
        </w:rPr>
        <w:t>s</w:t>
      </w:r>
      <w:r w:rsidR="000E4BA8" w:rsidRPr="000E4BA8">
        <w:rPr>
          <w:szCs w:val="24"/>
        </w:rPr>
        <w:t xml:space="preserve"> for </w:t>
      </w:r>
      <w:r w:rsidR="00391899">
        <w:rPr>
          <w:szCs w:val="24"/>
        </w:rPr>
        <w:t xml:space="preserve">additional </w:t>
      </w:r>
      <w:r w:rsidR="000E4BA8" w:rsidRPr="000E4BA8">
        <w:rPr>
          <w:szCs w:val="24"/>
        </w:rPr>
        <w:t>aggravation.  (</w:t>
      </w:r>
      <w:r w:rsidR="000E4BA8" w:rsidRPr="00253E1F">
        <w:rPr>
          <w:i/>
          <w:szCs w:val="24"/>
        </w:rPr>
        <w:t>In the Matter of Duxbury</w:t>
      </w:r>
      <w:r w:rsidR="000E4BA8" w:rsidRPr="000E4BA8">
        <w:rPr>
          <w:szCs w:val="24"/>
        </w:rPr>
        <w:t xml:space="preserve"> (Review Dept. 1999) 4</w:t>
      </w:r>
      <w:r w:rsidR="00391899">
        <w:rPr>
          <w:szCs w:val="24"/>
        </w:rPr>
        <w:t> </w:t>
      </w:r>
      <w:r w:rsidR="000E4BA8" w:rsidRPr="000E4BA8">
        <w:rPr>
          <w:szCs w:val="24"/>
        </w:rPr>
        <w:t>Cal. State Bar Ct. Rptr. 61, 68 [where factual findings used to find culpability, it is improper to again consider in aggravation].)</w:t>
      </w:r>
    </w:p>
    <w:p w:rsidR="001873F6" w:rsidRPr="00501F1A" w:rsidRDefault="000B7D56" w:rsidP="000B7D56">
      <w:pPr>
        <w:tabs>
          <w:tab w:val="left" w:pos="720"/>
        </w:tabs>
        <w:spacing w:line="480" w:lineRule="auto"/>
        <w:rPr>
          <w:szCs w:val="24"/>
        </w:rPr>
      </w:pPr>
      <w:r w:rsidRPr="000B7D56">
        <w:rPr>
          <w:b/>
          <w:szCs w:val="24"/>
        </w:rPr>
        <w:t>B</w:t>
      </w:r>
      <w:r w:rsidR="001873F6" w:rsidRPr="000B7D56">
        <w:rPr>
          <w:b/>
        </w:rPr>
        <w:t>.</w:t>
      </w:r>
      <w:r w:rsidR="001873F6">
        <w:rPr>
          <w:b/>
        </w:rPr>
        <w:tab/>
      </w:r>
      <w:r w:rsidR="00DA3D26" w:rsidRPr="00F157D5">
        <w:rPr>
          <w:rStyle w:val="Heading4Char"/>
        </w:rPr>
        <w:t>Mitigation</w:t>
      </w:r>
      <w:r w:rsidR="00DA3D26" w:rsidRPr="00501F1A">
        <w:rPr>
          <w:b/>
        </w:rPr>
        <w:t xml:space="preserve"> </w:t>
      </w:r>
    </w:p>
    <w:p w:rsidR="000B7D56" w:rsidRDefault="001873F6" w:rsidP="00F157D5">
      <w:pPr>
        <w:pStyle w:val="Heading5"/>
      </w:pPr>
      <w:r>
        <w:tab/>
      </w:r>
      <w:r w:rsidRPr="000B7D56">
        <w:t xml:space="preserve">1.  </w:t>
      </w:r>
      <w:r w:rsidR="00FA69A1">
        <w:t xml:space="preserve">Spontaneous </w:t>
      </w:r>
      <w:r w:rsidRPr="000B7D56">
        <w:t>Candor and Cooperation (Std. 1.6(e))</w:t>
      </w:r>
      <w:r w:rsidR="00353B88" w:rsidRPr="000B7D56">
        <w:tab/>
      </w:r>
    </w:p>
    <w:p w:rsidR="00817C15" w:rsidRDefault="00817C15" w:rsidP="00183425">
      <w:pPr>
        <w:tabs>
          <w:tab w:val="left" w:pos="720"/>
        </w:tabs>
        <w:spacing w:line="480" w:lineRule="auto"/>
      </w:pPr>
      <w:r>
        <w:tab/>
      </w:r>
      <w:r w:rsidR="00DA3D26">
        <w:t>We affirm the hearing judge’s assignment of minimal mitigation for candor and cooperation</w:t>
      </w:r>
      <w:r w:rsidR="00F87F27">
        <w:t xml:space="preserve">.  </w:t>
      </w:r>
      <w:r w:rsidR="00BD3B02">
        <w:t xml:space="preserve">Kun </w:t>
      </w:r>
      <w:r w:rsidR="00727FFE">
        <w:t>cooperat</w:t>
      </w:r>
      <w:r w:rsidR="00F87F27">
        <w:t>ed</w:t>
      </w:r>
      <w:r w:rsidR="00BD3B02">
        <w:t xml:space="preserve"> </w:t>
      </w:r>
      <w:r w:rsidR="00F87F27">
        <w:t>by</w:t>
      </w:r>
      <w:r w:rsidR="00BD3B02">
        <w:t xml:space="preserve"> entering </w:t>
      </w:r>
      <w:r w:rsidR="00F601D4">
        <w:t xml:space="preserve">into two </w:t>
      </w:r>
      <w:r w:rsidR="001F703B">
        <w:t>pretrial</w:t>
      </w:r>
      <w:r w:rsidR="005B1C52">
        <w:t xml:space="preserve"> </w:t>
      </w:r>
      <w:r w:rsidR="00F601D4">
        <w:t>factual stipulations</w:t>
      </w:r>
      <w:r w:rsidR="005B1C52">
        <w:t xml:space="preserve">, one with </w:t>
      </w:r>
      <w:r w:rsidR="00BD3B02">
        <w:t xml:space="preserve">admission of exhibits.  However, the </w:t>
      </w:r>
      <w:r w:rsidR="00D004CA">
        <w:t xml:space="preserve">stipulated </w:t>
      </w:r>
      <w:r w:rsidR="00BD3B02">
        <w:t xml:space="preserve">facts related to </w:t>
      </w:r>
      <w:r w:rsidR="00F601D4">
        <w:t>matters easily proved, warranting less mitigation.  (</w:t>
      </w:r>
      <w:r w:rsidR="0002043F" w:rsidRPr="00ED3970">
        <w:rPr>
          <w:i/>
          <w:iCs/>
        </w:rPr>
        <w:t>In</w:t>
      </w:r>
      <w:r w:rsidR="0002043F" w:rsidRPr="00A84E36">
        <w:rPr>
          <w:i/>
          <w:iCs/>
        </w:rPr>
        <w:t xml:space="preserve"> the Matter of Kaplan </w:t>
      </w:r>
      <w:r w:rsidR="0002043F" w:rsidRPr="00A84E36">
        <w:t>(Review Dept. 1996) 3</w:t>
      </w:r>
      <w:r w:rsidR="0002043F">
        <w:t> </w:t>
      </w:r>
      <w:r w:rsidR="0002043F" w:rsidRPr="00A84E36">
        <w:t>Cal. State Bar Ct. Rptr. 547, 567 [limited mitigating weight for belated stipulation concerning easily provable facts</w:t>
      </w:r>
      <w:r w:rsidR="0002043F">
        <w:t xml:space="preserve"> where respondent failed to show significant shortening of trial time</w:t>
      </w:r>
      <w:r w:rsidR="0002043F" w:rsidRPr="00A84E36">
        <w:t>].)</w:t>
      </w:r>
    </w:p>
    <w:p w:rsidR="00E15B7A" w:rsidRDefault="00E15B7A" w:rsidP="00183425">
      <w:pPr>
        <w:tabs>
          <w:tab w:val="left" w:pos="720"/>
        </w:tabs>
        <w:spacing w:line="480" w:lineRule="auto"/>
      </w:pPr>
    </w:p>
    <w:p w:rsidR="00353B88" w:rsidRDefault="00817C15" w:rsidP="00F157D5">
      <w:pPr>
        <w:pStyle w:val="Heading5"/>
      </w:pPr>
      <w:r>
        <w:lastRenderedPageBreak/>
        <w:tab/>
        <w:t>2.  Extreme Physical/Mental Disabilities (Std. 1.6(d))</w:t>
      </w:r>
      <w:r w:rsidR="00716BCE">
        <w:t xml:space="preserve">  </w:t>
      </w:r>
    </w:p>
    <w:p w:rsidR="00555276" w:rsidRDefault="00353B88" w:rsidP="00183425">
      <w:pPr>
        <w:tabs>
          <w:tab w:val="left" w:pos="720"/>
        </w:tabs>
        <w:spacing w:line="480" w:lineRule="auto"/>
        <w:rPr>
          <w:bCs/>
          <w:szCs w:val="24"/>
        </w:rPr>
      </w:pPr>
      <w:r>
        <w:tab/>
      </w:r>
      <w:r w:rsidR="00D6424E">
        <w:t xml:space="preserve">We </w:t>
      </w:r>
      <w:r w:rsidR="000640BC">
        <w:t xml:space="preserve">also </w:t>
      </w:r>
      <w:r w:rsidR="00D6424E">
        <w:t>affirm t</w:t>
      </w:r>
      <w:r w:rsidR="00716BCE">
        <w:t>he hearing judge</w:t>
      </w:r>
      <w:r w:rsidR="00D6424E">
        <w:t xml:space="preserve">’s finding of </w:t>
      </w:r>
      <w:r w:rsidR="0002043F">
        <w:t xml:space="preserve">no </w:t>
      </w:r>
      <w:r w:rsidR="00716BCE">
        <w:t xml:space="preserve">mitigation for </w:t>
      </w:r>
      <w:r w:rsidR="00D004CA">
        <w:t>Kun’s</w:t>
      </w:r>
      <w:r w:rsidR="006F4F87">
        <w:t xml:space="preserve"> </w:t>
      </w:r>
      <w:r w:rsidR="00716BCE">
        <w:t>physical disabilit</w:t>
      </w:r>
      <w:r w:rsidR="004E26ED">
        <w:t>y</w:t>
      </w:r>
      <w:r w:rsidR="00716BCE">
        <w:t xml:space="preserve"> and his</w:t>
      </w:r>
      <w:r w:rsidR="00EB6790">
        <w:t xml:space="preserve"> </w:t>
      </w:r>
      <w:r w:rsidR="00D004CA">
        <w:t xml:space="preserve">wife’s </w:t>
      </w:r>
      <w:r w:rsidR="00EB6790">
        <w:t>mental disability</w:t>
      </w:r>
      <w:r w:rsidR="00716BCE">
        <w:t xml:space="preserve">.  </w:t>
      </w:r>
      <w:r w:rsidR="00716BCE">
        <w:rPr>
          <w:szCs w:val="24"/>
        </w:rPr>
        <w:t>Mi</w:t>
      </w:r>
      <w:r w:rsidR="00716BCE" w:rsidRPr="000374F6">
        <w:rPr>
          <w:szCs w:val="24"/>
        </w:rPr>
        <w:t>tigation</w:t>
      </w:r>
      <w:r w:rsidR="00716BCE">
        <w:rPr>
          <w:szCs w:val="24"/>
        </w:rPr>
        <w:t xml:space="preserve"> is available</w:t>
      </w:r>
      <w:r w:rsidR="00716BCE" w:rsidRPr="000374F6">
        <w:rPr>
          <w:szCs w:val="24"/>
        </w:rPr>
        <w:t xml:space="preserve"> for </w:t>
      </w:r>
      <w:r w:rsidR="00716BCE">
        <w:rPr>
          <w:szCs w:val="24"/>
        </w:rPr>
        <w:t>physical</w:t>
      </w:r>
      <w:r w:rsidR="00EB6790">
        <w:rPr>
          <w:szCs w:val="24"/>
        </w:rPr>
        <w:t xml:space="preserve"> or mental</w:t>
      </w:r>
      <w:r w:rsidR="00716BCE">
        <w:rPr>
          <w:szCs w:val="24"/>
        </w:rPr>
        <w:t xml:space="preserve"> disabilities </w:t>
      </w:r>
      <w:r w:rsidR="00716BCE" w:rsidRPr="000374F6">
        <w:rPr>
          <w:szCs w:val="24"/>
        </w:rPr>
        <w:t>if</w:t>
      </w:r>
      <w:r w:rsidR="00FA69A1">
        <w:rPr>
          <w:szCs w:val="24"/>
        </w:rPr>
        <w:t>:</w:t>
      </w:r>
      <w:r w:rsidR="00716BCE" w:rsidRPr="000374F6">
        <w:rPr>
          <w:szCs w:val="24"/>
        </w:rPr>
        <w:t xml:space="preserve"> (1)</w:t>
      </w:r>
      <w:r w:rsidR="00716BCE">
        <w:rPr>
          <w:szCs w:val="24"/>
        </w:rPr>
        <w:t> an attorney</w:t>
      </w:r>
      <w:r w:rsidR="00716BCE" w:rsidRPr="000374F6">
        <w:rPr>
          <w:szCs w:val="24"/>
        </w:rPr>
        <w:t xml:space="preserve"> suffered from them at </w:t>
      </w:r>
      <w:r w:rsidR="00716BCE">
        <w:rPr>
          <w:szCs w:val="24"/>
        </w:rPr>
        <w:t>the time of his misconduct; (2)</w:t>
      </w:r>
      <w:r w:rsidR="006F4F87">
        <w:rPr>
          <w:szCs w:val="24"/>
        </w:rPr>
        <w:t> </w:t>
      </w:r>
      <w:r w:rsidR="00716BCE">
        <w:rPr>
          <w:szCs w:val="24"/>
        </w:rPr>
        <w:t>the</w:t>
      </w:r>
      <w:r w:rsidR="006F4F87">
        <w:rPr>
          <w:szCs w:val="24"/>
        </w:rPr>
        <w:t>y</w:t>
      </w:r>
      <w:r w:rsidR="00716BCE">
        <w:rPr>
          <w:szCs w:val="24"/>
        </w:rPr>
        <w:t xml:space="preserve"> </w:t>
      </w:r>
      <w:r w:rsidR="00716BCE" w:rsidRPr="000374F6">
        <w:rPr>
          <w:szCs w:val="24"/>
        </w:rPr>
        <w:t>are established by expert testimony as being directly responsi</w:t>
      </w:r>
      <w:r w:rsidR="00716BCE">
        <w:rPr>
          <w:szCs w:val="24"/>
        </w:rPr>
        <w:t>ble for the misconduct; and (3) the difficulties</w:t>
      </w:r>
      <w:r w:rsidR="00716BCE" w:rsidRPr="000374F6">
        <w:rPr>
          <w:szCs w:val="24"/>
        </w:rPr>
        <w:t xml:space="preserve"> no longer pose a risk </w:t>
      </w:r>
      <w:r w:rsidR="00716BCE">
        <w:rPr>
          <w:szCs w:val="24"/>
        </w:rPr>
        <w:t>of future misconduct.</w:t>
      </w:r>
      <w:r w:rsidR="001F3EE9">
        <w:rPr>
          <w:bCs/>
          <w:szCs w:val="24"/>
        </w:rPr>
        <w:t xml:space="preserve">  </w:t>
      </w:r>
      <w:r w:rsidR="00886A33" w:rsidRPr="001F3EE9">
        <w:rPr>
          <w:bCs/>
          <w:szCs w:val="24"/>
        </w:rPr>
        <w:t>Kun</w:t>
      </w:r>
      <w:r w:rsidR="00886A33">
        <w:rPr>
          <w:bCs/>
          <w:szCs w:val="24"/>
        </w:rPr>
        <w:t xml:space="preserve"> testified that he has a hearing disability and his wife suffers from dementia</w:t>
      </w:r>
      <w:r w:rsidR="00EB6790">
        <w:rPr>
          <w:bCs/>
          <w:szCs w:val="24"/>
        </w:rPr>
        <w:t>,</w:t>
      </w:r>
      <w:r w:rsidR="000640BC">
        <w:rPr>
          <w:bCs/>
          <w:szCs w:val="24"/>
        </w:rPr>
        <w:t xml:space="preserve"> but he made no </w:t>
      </w:r>
      <w:r w:rsidR="00886A33">
        <w:rPr>
          <w:bCs/>
          <w:szCs w:val="24"/>
        </w:rPr>
        <w:t xml:space="preserve">showing that these disabilities were directly responsible for his </w:t>
      </w:r>
      <w:r w:rsidR="00411DAE">
        <w:rPr>
          <w:bCs/>
          <w:szCs w:val="24"/>
        </w:rPr>
        <w:t>wrongdoing</w:t>
      </w:r>
      <w:r w:rsidR="00886A33">
        <w:rPr>
          <w:bCs/>
          <w:szCs w:val="24"/>
        </w:rPr>
        <w:t xml:space="preserve">.  In fact, he appears to </w:t>
      </w:r>
      <w:r w:rsidR="00E3747C">
        <w:rPr>
          <w:bCs/>
          <w:szCs w:val="24"/>
        </w:rPr>
        <w:t xml:space="preserve">confuse </w:t>
      </w:r>
      <w:r w:rsidR="00886A33">
        <w:rPr>
          <w:bCs/>
          <w:szCs w:val="24"/>
        </w:rPr>
        <w:t xml:space="preserve">his need for accommodations under the Americans with Disabilities Act </w:t>
      </w:r>
      <w:r w:rsidR="003B5651">
        <w:rPr>
          <w:bCs/>
          <w:szCs w:val="24"/>
        </w:rPr>
        <w:t xml:space="preserve">(ADA) </w:t>
      </w:r>
      <w:r w:rsidR="008D76B0">
        <w:rPr>
          <w:bCs/>
          <w:szCs w:val="24"/>
        </w:rPr>
        <w:t xml:space="preserve">(assistive technology during his trial to address his hearing disability) </w:t>
      </w:r>
      <w:r w:rsidR="00886A33">
        <w:rPr>
          <w:bCs/>
          <w:szCs w:val="24"/>
        </w:rPr>
        <w:t xml:space="preserve">with the </w:t>
      </w:r>
      <w:r>
        <w:rPr>
          <w:bCs/>
          <w:szCs w:val="24"/>
        </w:rPr>
        <w:t xml:space="preserve">nexus </w:t>
      </w:r>
      <w:r w:rsidR="00521FE4">
        <w:rPr>
          <w:bCs/>
          <w:szCs w:val="24"/>
        </w:rPr>
        <w:t xml:space="preserve">that must be established </w:t>
      </w:r>
      <w:r>
        <w:rPr>
          <w:bCs/>
          <w:szCs w:val="24"/>
        </w:rPr>
        <w:t xml:space="preserve">between </w:t>
      </w:r>
      <w:r w:rsidR="008D76B0">
        <w:rPr>
          <w:bCs/>
          <w:szCs w:val="24"/>
        </w:rPr>
        <w:t xml:space="preserve">his </w:t>
      </w:r>
      <w:r>
        <w:rPr>
          <w:bCs/>
          <w:szCs w:val="24"/>
        </w:rPr>
        <w:t>disability and</w:t>
      </w:r>
      <w:r w:rsidR="008D76B0">
        <w:rPr>
          <w:bCs/>
          <w:szCs w:val="24"/>
        </w:rPr>
        <w:t xml:space="preserve"> his</w:t>
      </w:r>
      <w:r>
        <w:rPr>
          <w:bCs/>
          <w:szCs w:val="24"/>
        </w:rPr>
        <w:t xml:space="preserve"> misconduct</w:t>
      </w:r>
      <w:r w:rsidR="00886A33">
        <w:rPr>
          <w:bCs/>
          <w:szCs w:val="24"/>
        </w:rPr>
        <w:t xml:space="preserve"> to </w:t>
      </w:r>
      <w:r w:rsidR="00AA18D4">
        <w:rPr>
          <w:bCs/>
          <w:szCs w:val="24"/>
        </w:rPr>
        <w:t>warrant</w:t>
      </w:r>
      <w:r w:rsidR="00886A33">
        <w:rPr>
          <w:bCs/>
          <w:szCs w:val="24"/>
        </w:rPr>
        <w:t xml:space="preserve"> mitigation.  </w:t>
      </w:r>
      <w:r w:rsidR="0018330E">
        <w:rPr>
          <w:bCs/>
          <w:szCs w:val="24"/>
        </w:rPr>
        <w:t xml:space="preserve">However, he has not cited to </w:t>
      </w:r>
      <w:r w:rsidR="008D76B0">
        <w:rPr>
          <w:bCs/>
          <w:szCs w:val="24"/>
        </w:rPr>
        <w:t xml:space="preserve">any authority </w:t>
      </w:r>
      <w:r w:rsidR="00665FB7">
        <w:rPr>
          <w:bCs/>
          <w:szCs w:val="24"/>
        </w:rPr>
        <w:t>requiring</w:t>
      </w:r>
      <w:r w:rsidR="008D76B0">
        <w:rPr>
          <w:bCs/>
          <w:szCs w:val="24"/>
        </w:rPr>
        <w:t xml:space="preserve"> t</w:t>
      </w:r>
      <w:r w:rsidR="00D406DA">
        <w:rPr>
          <w:bCs/>
          <w:szCs w:val="24"/>
        </w:rPr>
        <w:t xml:space="preserve">he </w:t>
      </w:r>
      <w:r w:rsidR="00411DAE">
        <w:rPr>
          <w:bCs/>
          <w:szCs w:val="24"/>
        </w:rPr>
        <w:t>State B</w:t>
      </w:r>
      <w:r w:rsidR="0018330E">
        <w:rPr>
          <w:bCs/>
          <w:szCs w:val="24"/>
        </w:rPr>
        <w:t xml:space="preserve">ar </w:t>
      </w:r>
      <w:r w:rsidR="00665FB7">
        <w:rPr>
          <w:bCs/>
          <w:szCs w:val="24"/>
        </w:rPr>
        <w:t>to</w:t>
      </w:r>
      <w:r w:rsidR="000640BC">
        <w:rPr>
          <w:bCs/>
          <w:szCs w:val="24"/>
        </w:rPr>
        <w:t xml:space="preserve"> determine whether he had a disability under the </w:t>
      </w:r>
      <w:r w:rsidR="003B5651">
        <w:rPr>
          <w:bCs/>
          <w:szCs w:val="24"/>
        </w:rPr>
        <w:t xml:space="preserve">ADA during the time that his misconduct occurred.  </w:t>
      </w:r>
      <w:r w:rsidR="000640BC">
        <w:rPr>
          <w:bCs/>
          <w:szCs w:val="24"/>
        </w:rPr>
        <w:t>Moreover, s</w:t>
      </w:r>
      <w:r w:rsidR="00567574">
        <w:rPr>
          <w:bCs/>
          <w:szCs w:val="24"/>
        </w:rPr>
        <w:t xml:space="preserve">ince he did not establish the nexus required by the standard </w:t>
      </w:r>
      <w:r w:rsidR="00411DAE">
        <w:rPr>
          <w:bCs/>
          <w:szCs w:val="24"/>
        </w:rPr>
        <w:t>n</w:t>
      </w:r>
      <w:r w:rsidR="00567574">
        <w:rPr>
          <w:bCs/>
          <w:szCs w:val="24"/>
        </w:rPr>
        <w:t xml:space="preserve">or show that these </w:t>
      </w:r>
      <w:r w:rsidR="00340898">
        <w:rPr>
          <w:bCs/>
          <w:szCs w:val="24"/>
        </w:rPr>
        <w:t>disabilities</w:t>
      </w:r>
      <w:r w:rsidR="00567574">
        <w:rPr>
          <w:bCs/>
          <w:szCs w:val="24"/>
        </w:rPr>
        <w:t xml:space="preserve"> no longer pos</w:t>
      </w:r>
      <w:r w:rsidR="00411DAE">
        <w:rPr>
          <w:bCs/>
          <w:szCs w:val="24"/>
        </w:rPr>
        <w:t>e</w:t>
      </w:r>
      <w:r w:rsidR="00567574">
        <w:rPr>
          <w:bCs/>
          <w:szCs w:val="24"/>
        </w:rPr>
        <w:t xml:space="preserve"> a risk of future misconduct, Kun has failed to prove that he is entitled to mitigation.</w:t>
      </w:r>
    </w:p>
    <w:p w:rsidR="00F83B87" w:rsidRPr="00D06251" w:rsidRDefault="001933F0" w:rsidP="00F157D5">
      <w:pPr>
        <w:pStyle w:val="Heading5"/>
      </w:pPr>
      <w:r>
        <w:tab/>
      </w:r>
      <w:r w:rsidR="00F83B87">
        <w:t xml:space="preserve">3.  </w:t>
      </w:r>
      <w:r w:rsidR="00FA69A1">
        <w:t xml:space="preserve">Extraordinary </w:t>
      </w:r>
      <w:r w:rsidR="00F83B87">
        <w:t>Character Evidence (Std. 1.6(f))</w:t>
      </w:r>
    </w:p>
    <w:p w:rsidR="001933F0" w:rsidRDefault="00F83B87" w:rsidP="00183425">
      <w:pPr>
        <w:tabs>
          <w:tab w:val="left" w:pos="720"/>
        </w:tabs>
        <w:spacing w:line="480" w:lineRule="auto"/>
        <w:rPr>
          <w:szCs w:val="24"/>
        </w:rPr>
      </w:pPr>
      <w:r>
        <w:rPr>
          <w:bCs/>
          <w:szCs w:val="24"/>
        </w:rPr>
        <w:tab/>
      </w:r>
      <w:r w:rsidR="000640BC">
        <w:rPr>
          <w:bCs/>
          <w:szCs w:val="24"/>
        </w:rPr>
        <w:t xml:space="preserve">We disagree with the hearing judge that Kun is entitled to even minimal mitigating weight </w:t>
      </w:r>
      <w:r w:rsidR="005B1C52">
        <w:rPr>
          <w:bCs/>
          <w:szCs w:val="24"/>
        </w:rPr>
        <w:t xml:space="preserve">for his </w:t>
      </w:r>
      <w:r w:rsidR="000640BC">
        <w:rPr>
          <w:bCs/>
          <w:szCs w:val="24"/>
        </w:rPr>
        <w:t>character witness te</w:t>
      </w:r>
      <w:r w:rsidR="005B1C52">
        <w:rPr>
          <w:bCs/>
          <w:szCs w:val="24"/>
        </w:rPr>
        <w:t>stimony</w:t>
      </w:r>
      <w:r w:rsidR="000640BC">
        <w:rPr>
          <w:bCs/>
          <w:szCs w:val="24"/>
        </w:rPr>
        <w:t xml:space="preserve">.  </w:t>
      </w:r>
      <w:r w:rsidR="001933F0">
        <w:rPr>
          <w:szCs w:val="24"/>
        </w:rPr>
        <w:t>Mitigation credit is afforded for e</w:t>
      </w:r>
      <w:r w:rsidR="001933F0" w:rsidRPr="000374F6">
        <w:rPr>
          <w:szCs w:val="24"/>
        </w:rPr>
        <w:t>xtraordinary good character attested to by a wide range of references in the legal and general communities who are aware of the full e</w:t>
      </w:r>
      <w:r w:rsidR="001933F0">
        <w:rPr>
          <w:szCs w:val="24"/>
        </w:rPr>
        <w:t xml:space="preserve">xtent of the misconduct.  </w:t>
      </w:r>
      <w:r w:rsidR="005B1C52">
        <w:rPr>
          <w:szCs w:val="24"/>
        </w:rPr>
        <w:t>O</w:t>
      </w:r>
      <w:r w:rsidR="00C96A4B">
        <w:rPr>
          <w:szCs w:val="24"/>
        </w:rPr>
        <w:t xml:space="preserve">ne </w:t>
      </w:r>
      <w:r w:rsidR="00A430B3">
        <w:rPr>
          <w:szCs w:val="24"/>
        </w:rPr>
        <w:t xml:space="preserve">attorney </w:t>
      </w:r>
      <w:r w:rsidR="00C96A4B">
        <w:rPr>
          <w:szCs w:val="24"/>
        </w:rPr>
        <w:t>witness testified</w:t>
      </w:r>
      <w:r w:rsidR="00A430B3">
        <w:rPr>
          <w:szCs w:val="24"/>
        </w:rPr>
        <w:t>, and</w:t>
      </w:r>
      <w:r w:rsidR="00665FB7">
        <w:rPr>
          <w:szCs w:val="24"/>
        </w:rPr>
        <w:t>,</w:t>
      </w:r>
      <w:r w:rsidR="00A430B3">
        <w:rPr>
          <w:szCs w:val="24"/>
        </w:rPr>
        <w:t xml:space="preserve"> </w:t>
      </w:r>
      <w:r w:rsidR="00665FB7">
        <w:rPr>
          <w:szCs w:val="24"/>
        </w:rPr>
        <w:t>al</w:t>
      </w:r>
      <w:r w:rsidR="00C96A4B">
        <w:rPr>
          <w:szCs w:val="24"/>
        </w:rPr>
        <w:t xml:space="preserve">though the judge declined to admit a declaration from a second witness, it appears </w:t>
      </w:r>
      <w:r w:rsidR="00665FB7">
        <w:rPr>
          <w:szCs w:val="24"/>
        </w:rPr>
        <w:t>she</w:t>
      </w:r>
      <w:r w:rsidR="00C96A4B">
        <w:rPr>
          <w:szCs w:val="24"/>
        </w:rPr>
        <w:t xml:space="preserve"> considered it in her decision.</w:t>
      </w:r>
      <w:r w:rsidR="00C03AFA">
        <w:rPr>
          <w:rStyle w:val="FootnoteReference"/>
          <w:szCs w:val="24"/>
        </w:rPr>
        <w:footnoteReference w:id="15"/>
      </w:r>
      <w:r w:rsidR="001933F0">
        <w:rPr>
          <w:szCs w:val="24"/>
        </w:rPr>
        <w:t xml:space="preserve">  </w:t>
      </w:r>
      <w:r w:rsidR="006B1E9E">
        <w:rPr>
          <w:szCs w:val="24"/>
        </w:rPr>
        <w:t xml:space="preserve">The </w:t>
      </w:r>
      <w:r w:rsidR="00A430B3">
        <w:rPr>
          <w:szCs w:val="24"/>
        </w:rPr>
        <w:t xml:space="preserve">attorney </w:t>
      </w:r>
      <w:r w:rsidR="00C96A4B">
        <w:rPr>
          <w:szCs w:val="24"/>
        </w:rPr>
        <w:t xml:space="preserve">who testified </w:t>
      </w:r>
      <w:r w:rsidR="00307717">
        <w:rPr>
          <w:szCs w:val="24"/>
        </w:rPr>
        <w:t>described</w:t>
      </w:r>
      <w:r w:rsidR="00C96A4B">
        <w:rPr>
          <w:szCs w:val="24"/>
        </w:rPr>
        <w:t xml:space="preserve"> </w:t>
      </w:r>
      <w:r w:rsidR="005873E4">
        <w:rPr>
          <w:szCs w:val="24"/>
        </w:rPr>
        <w:t>Kun</w:t>
      </w:r>
      <w:r w:rsidR="001933F0">
        <w:rPr>
          <w:szCs w:val="24"/>
        </w:rPr>
        <w:t xml:space="preserve"> as</w:t>
      </w:r>
      <w:r w:rsidR="00C03AFA">
        <w:rPr>
          <w:szCs w:val="24"/>
        </w:rPr>
        <w:t xml:space="preserve"> an ethical and competent attorney</w:t>
      </w:r>
      <w:r w:rsidR="006B1E9E">
        <w:rPr>
          <w:szCs w:val="24"/>
        </w:rPr>
        <w:t>.  In general, we give serious consideration to attorney</w:t>
      </w:r>
      <w:r w:rsidR="00AC778E">
        <w:rPr>
          <w:szCs w:val="24"/>
        </w:rPr>
        <w:t>s</w:t>
      </w:r>
      <w:r w:rsidR="006B1E9E">
        <w:rPr>
          <w:szCs w:val="24"/>
        </w:rPr>
        <w:t xml:space="preserve">’ testimony due to their “strong interest in </w:t>
      </w:r>
      <w:r w:rsidR="006B1E9E">
        <w:rPr>
          <w:szCs w:val="24"/>
        </w:rPr>
        <w:lastRenderedPageBreak/>
        <w:t xml:space="preserve">maintaining the honest administration of justice.” </w:t>
      </w:r>
      <w:r w:rsidR="00665FB7">
        <w:rPr>
          <w:szCs w:val="24"/>
        </w:rPr>
        <w:t xml:space="preserve"> </w:t>
      </w:r>
      <w:r w:rsidR="006B1E9E">
        <w:rPr>
          <w:szCs w:val="24"/>
        </w:rPr>
        <w:t>(</w:t>
      </w:r>
      <w:r w:rsidR="006B1E9E" w:rsidRPr="000374F6">
        <w:rPr>
          <w:i/>
          <w:szCs w:val="24"/>
        </w:rPr>
        <w:t>In the Matter of Brown</w:t>
      </w:r>
      <w:r w:rsidR="006B1E9E">
        <w:rPr>
          <w:szCs w:val="24"/>
        </w:rPr>
        <w:t xml:space="preserve"> (Review Dept. 1993) 2 </w:t>
      </w:r>
      <w:r w:rsidR="006B1E9E" w:rsidRPr="000374F6">
        <w:rPr>
          <w:szCs w:val="24"/>
        </w:rPr>
        <w:t>Cal. State Bar Ct. Rptr. 309, 319</w:t>
      </w:r>
      <w:r w:rsidR="006B1E9E">
        <w:rPr>
          <w:szCs w:val="24"/>
        </w:rPr>
        <w:t>.)  However, this witness</w:t>
      </w:r>
      <w:r w:rsidR="00C96A4B">
        <w:rPr>
          <w:szCs w:val="24"/>
        </w:rPr>
        <w:t xml:space="preserve"> </w:t>
      </w:r>
      <w:r w:rsidR="009636A7">
        <w:rPr>
          <w:szCs w:val="24"/>
        </w:rPr>
        <w:t xml:space="preserve">knew nothing about the present charges pending against Kun and did not know how </w:t>
      </w:r>
      <w:r w:rsidR="00307717">
        <w:rPr>
          <w:szCs w:val="24"/>
        </w:rPr>
        <w:t>Kun</w:t>
      </w:r>
      <w:r w:rsidR="009636A7">
        <w:rPr>
          <w:szCs w:val="24"/>
        </w:rPr>
        <w:t xml:space="preserve"> managed his CTA.  Moreover, </w:t>
      </w:r>
      <w:r w:rsidR="006B1E9E">
        <w:rPr>
          <w:szCs w:val="24"/>
        </w:rPr>
        <w:t xml:space="preserve">the witness </w:t>
      </w:r>
      <w:r w:rsidR="00770A66">
        <w:rPr>
          <w:szCs w:val="24"/>
        </w:rPr>
        <w:t>was aware</w:t>
      </w:r>
      <w:r w:rsidR="009636A7">
        <w:rPr>
          <w:szCs w:val="24"/>
        </w:rPr>
        <w:t xml:space="preserve"> of only one of Kun’s prior </w:t>
      </w:r>
      <w:r w:rsidR="00307717">
        <w:rPr>
          <w:szCs w:val="24"/>
        </w:rPr>
        <w:t>discipline</w:t>
      </w:r>
      <w:r w:rsidR="009636A7">
        <w:rPr>
          <w:szCs w:val="24"/>
        </w:rPr>
        <w:t xml:space="preserve"> cases and was unfamiliar with the nature of </w:t>
      </w:r>
      <w:r w:rsidR="00E175E5">
        <w:rPr>
          <w:szCs w:val="24"/>
        </w:rPr>
        <w:t>Kun’s</w:t>
      </w:r>
      <w:r w:rsidR="009636A7">
        <w:rPr>
          <w:szCs w:val="24"/>
        </w:rPr>
        <w:t xml:space="preserve"> misconduct in </w:t>
      </w:r>
      <w:r w:rsidR="00177758">
        <w:rPr>
          <w:szCs w:val="24"/>
        </w:rPr>
        <w:t>that matter</w:t>
      </w:r>
      <w:r w:rsidR="009636A7">
        <w:rPr>
          <w:szCs w:val="24"/>
        </w:rPr>
        <w:t>.</w:t>
      </w:r>
      <w:r w:rsidR="006B1E9E">
        <w:rPr>
          <w:szCs w:val="24"/>
        </w:rPr>
        <w:t xml:space="preserve">  </w:t>
      </w:r>
      <w:r w:rsidR="00770A66">
        <w:rPr>
          <w:szCs w:val="24"/>
        </w:rPr>
        <w:t>T</w:t>
      </w:r>
      <w:r w:rsidR="006B1E9E">
        <w:rPr>
          <w:szCs w:val="24"/>
        </w:rPr>
        <w:t xml:space="preserve">his </w:t>
      </w:r>
      <w:r w:rsidR="009636A7">
        <w:rPr>
          <w:szCs w:val="24"/>
        </w:rPr>
        <w:t xml:space="preserve">witness felt </w:t>
      </w:r>
      <w:r w:rsidR="00770A66">
        <w:rPr>
          <w:szCs w:val="24"/>
        </w:rPr>
        <w:t xml:space="preserve">that </w:t>
      </w:r>
      <w:r w:rsidR="006B1E9E">
        <w:rPr>
          <w:szCs w:val="24"/>
        </w:rPr>
        <w:t>Kun</w:t>
      </w:r>
      <w:r w:rsidR="009636A7">
        <w:rPr>
          <w:szCs w:val="24"/>
        </w:rPr>
        <w:t xml:space="preserve"> was honest</w:t>
      </w:r>
      <w:r w:rsidR="006B1E9E">
        <w:rPr>
          <w:szCs w:val="24"/>
        </w:rPr>
        <w:t xml:space="preserve"> </w:t>
      </w:r>
      <w:r w:rsidR="009636A7">
        <w:rPr>
          <w:szCs w:val="24"/>
        </w:rPr>
        <w:t>and worked hard,</w:t>
      </w:r>
      <w:r w:rsidR="006B1E9E">
        <w:rPr>
          <w:szCs w:val="24"/>
        </w:rPr>
        <w:t xml:space="preserve"> </w:t>
      </w:r>
      <w:r w:rsidR="00770A66">
        <w:rPr>
          <w:szCs w:val="24"/>
        </w:rPr>
        <w:t>but</w:t>
      </w:r>
      <w:r w:rsidR="006B1E9E">
        <w:rPr>
          <w:szCs w:val="24"/>
        </w:rPr>
        <w:t xml:space="preserve"> </w:t>
      </w:r>
      <w:r w:rsidR="00177758">
        <w:rPr>
          <w:szCs w:val="24"/>
        </w:rPr>
        <w:t xml:space="preserve">also </w:t>
      </w:r>
      <w:r w:rsidR="006B1E9E">
        <w:rPr>
          <w:szCs w:val="24"/>
        </w:rPr>
        <w:t xml:space="preserve">concluded that </w:t>
      </w:r>
      <w:r w:rsidR="00752AB8">
        <w:rPr>
          <w:szCs w:val="24"/>
        </w:rPr>
        <w:t>Kun</w:t>
      </w:r>
      <w:r w:rsidR="002F7583">
        <w:rPr>
          <w:szCs w:val="24"/>
        </w:rPr>
        <w:t>’s two prior disciplines</w:t>
      </w:r>
      <w:r w:rsidR="00752AB8">
        <w:rPr>
          <w:szCs w:val="24"/>
        </w:rPr>
        <w:t xml:space="preserve"> were </w:t>
      </w:r>
      <w:r w:rsidR="00770A66">
        <w:rPr>
          <w:szCs w:val="24"/>
        </w:rPr>
        <w:t xml:space="preserve">of </w:t>
      </w:r>
      <w:r w:rsidR="00752AB8">
        <w:rPr>
          <w:szCs w:val="24"/>
        </w:rPr>
        <w:t>concern.</w:t>
      </w:r>
      <w:r w:rsidR="009636A7">
        <w:rPr>
          <w:szCs w:val="24"/>
        </w:rPr>
        <w:t xml:space="preserve">  </w:t>
      </w:r>
      <w:r w:rsidR="00752AB8">
        <w:rPr>
          <w:szCs w:val="24"/>
        </w:rPr>
        <w:t xml:space="preserve">We find that the </w:t>
      </w:r>
      <w:r w:rsidR="00A430B3">
        <w:rPr>
          <w:szCs w:val="24"/>
        </w:rPr>
        <w:t xml:space="preserve">overall </w:t>
      </w:r>
      <w:r w:rsidR="00752AB8">
        <w:rPr>
          <w:szCs w:val="24"/>
        </w:rPr>
        <w:t xml:space="preserve">character </w:t>
      </w:r>
      <w:r w:rsidR="00A430B3">
        <w:rPr>
          <w:szCs w:val="24"/>
        </w:rPr>
        <w:t xml:space="preserve">testimony </w:t>
      </w:r>
      <w:r w:rsidR="001933F0">
        <w:rPr>
          <w:szCs w:val="24"/>
        </w:rPr>
        <w:t xml:space="preserve">is </w:t>
      </w:r>
      <w:r w:rsidR="001933F0" w:rsidRPr="000374F6">
        <w:rPr>
          <w:szCs w:val="24"/>
        </w:rPr>
        <w:t xml:space="preserve">insufficient to warrant </w:t>
      </w:r>
      <w:r w:rsidR="001933F0">
        <w:rPr>
          <w:szCs w:val="24"/>
        </w:rPr>
        <w:t>credit</w:t>
      </w:r>
      <w:r w:rsidR="00D123F8">
        <w:rPr>
          <w:szCs w:val="24"/>
        </w:rPr>
        <w:t xml:space="preserve"> because </w:t>
      </w:r>
      <w:r w:rsidR="00752AB8">
        <w:rPr>
          <w:szCs w:val="24"/>
        </w:rPr>
        <w:t>two witnesses</w:t>
      </w:r>
      <w:r w:rsidR="001933F0">
        <w:rPr>
          <w:szCs w:val="24"/>
        </w:rPr>
        <w:t xml:space="preserve"> do not represent a broad spectrum of the community</w:t>
      </w:r>
      <w:r w:rsidR="00E344D6">
        <w:rPr>
          <w:szCs w:val="24"/>
        </w:rPr>
        <w:t>,</w:t>
      </w:r>
      <w:r w:rsidR="001933F0">
        <w:rPr>
          <w:szCs w:val="24"/>
        </w:rPr>
        <w:t xml:space="preserve"> nor </w:t>
      </w:r>
      <w:r w:rsidR="003145BE">
        <w:rPr>
          <w:szCs w:val="24"/>
        </w:rPr>
        <w:t>was</w:t>
      </w:r>
      <w:r w:rsidR="001933F0">
        <w:rPr>
          <w:szCs w:val="24"/>
        </w:rPr>
        <w:t xml:space="preserve"> </w:t>
      </w:r>
      <w:r w:rsidR="00752AB8">
        <w:rPr>
          <w:szCs w:val="24"/>
        </w:rPr>
        <w:t xml:space="preserve">either </w:t>
      </w:r>
      <w:r w:rsidR="00A430B3">
        <w:rPr>
          <w:szCs w:val="24"/>
        </w:rPr>
        <w:t>witness</w:t>
      </w:r>
      <w:r w:rsidR="003145BE">
        <w:rPr>
          <w:szCs w:val="24"/>
        </w:rPr>
        <w:t xml:space="preserve"> </w:t>
      </w:r>
      <w:r w:rsidR="001933F0">
        <w:rPr>
          <w:szCs w:val="24"/>
        </w:rPr>
        <w:t>aw</w:t>
      </w:r>
      <w:r w:rsidR="00C03AFA">
        <w:rPr>
          <w:szCs w:val="24"/>
        </w:rPr>
        <w:t>are of the full extent of Kun</w:t>
      </w:r>
      <w:r w:rsidR="001933F0">
        <w:rPr>
          <w:szCs w:val="24"/>
        </w:rPr>
        <w:t>’s misconduct, as the standard requires.  (</w:t>
      </w:r>
      <w:r w:rsidR="001933F0">
        <w:rPr>
          <w:i/>
          <w:szCs w:val="24"/>
        </w:rPr>
        <w:t xml:space="preserve">In the Matter of </w:t>
      </w:r>
      <w:r w:rsidR="001933F0" w:rsidRPr="00BA6167">
        <w:rPr>
          <w:i/>
          <w:szCs w:val="24"/>
        </w:rPr>
        <w:t>Kreitenberg</w:t>
      </w:r>
      <w:r w:rsidR="001933F0">
        <w:rPr>
          <w:szCs w:val="24"/>
        </w:rPr>
        <w:t xml:space="preserve"> (Review Dept. 2002) 4 Cal. State Bar Ct. Rptr. 469, 476 [character testimony from three attorneys not sufficiently wide range of references];</w:t>
      </w:r>
      <w:r w:rsidR="001933F0">
        <w:rPr>
          <w:i/>
          <w:szCs w:val="24"/>
        </w:rPr>
        <w:t xml:space="preserve"> In the Matter of Acuna</w:t>
      </w:r>
      <w:r w:rsidR="001933F0">
        <w:rPr>
          <w:szCs w:val="24"/>
        </w:rPr>
        <w:t xml:space="preserve"> (Review Dept. 1996) 3 Cal. State Bar Ct. Rptr. 495, 508-509 [no good character mitigation for testimony of two attorneys who did not know scope of charges].) </w:t>
      </w:r>
    </w:p>
    <w:p w:rsidR="002F7583" w:rsidRPr="00D06251" w:rsidRDefault="002F7583" w:rsidP="00F157D5">
      <w:pPr>
        <w:pStyle w:val="Heading5"/>
      </w:pPr>
      <w:r>
        <w:tab/>
        <w:t>4.  Kun’s Request for Additional Mitigation</w:t>
      </w:r>
    </w:p>
    <w:p w:rsidR="005873E4" w:rsidRDefault="005873E4" w:rsidP="00183425">
      <w:pPr>
        <w:tabs>
          <w:tab w:val="left" w:pos="720"/>
        </w:tabs>
        <w:spacing w:line="480" w:lineRule="auto"/>
        <w:rPr>
          <w:szCs w:val="24"/>
        </w:rPr>
      </w:pPr>
      <w:r>
        <w:rPr>
          <w:szCs w:val="24"/>
        </w:rPr>
        <w:tab/>
        <w:t xml:space="preserve">Finally, we reject Kun’s request for additional mitigation for </w:t>
      </w:r>
      <w:r w:rsidR="00E725D6">
        <w:rPr>
          <w:szCs w:val="24"/>
        </w:rPr>
        <w:t xml:space="preserve">a </w:t>
      </w:r>
      <w:r w:rsidR="00F21848">
        <w:rPr>
          <w:szCs w:val="24"/>
        </w:rPr>
        <w:t>good faith belief that is honestly held and objectively reasonable (</w:t>
      </w:r>
      <w:r w:rsidR="00E725D6">
        <w:rPr>
          <w:szCs w:val="24"/>
        </w:rPr>
        <w:t>s</w:t>
      </w:r>
      <w:r w:rsidR="00F21848">
        <w:rPr>
          <w:szCs w:val="24"/>
        </w:rPr>
        <w:t>td.</w:t>
      </w:r>
      <w:r w:rsidR="00E725D6">
        <w:rPr>
          <w:szCs w:val="24"/>
        </w:rPr>
        <w:t> </w:t>
      </w:r>
      <w:r w:rsidR="00F21848">
        <w:rPr>
          <w:szCs w:val="24"/>
        </w:rPr>
        <w:t>1.6(b)) and lack of harm to the client</w:t>
      </w:r>
      <w:r w:rsidR="00FA69A1">
        <w:rPr>
          <w:szCs w:val="24"/>
        </w:rPr>
        <w:t xml:space="preserve">. </w:t>
      </w:r>
      <w:r w:rsidR="00F21848">
        <w:rPr>
          <w:szCs w:val="24"/>
        </w:rPr>
        <w:t xml:space="preserve"> (</w:t>
      </w:r>
      <w:r w:rsidR="00FA69A1">
        <w:rPr>
          <w:szCs w:val="24"/>
        </w:rPr>
        <w:t>S</w:t>
      </w:r>
      <w:r w:rsidR="00F21848">
        <w:rPr>
          <w:szCs w:val="24"/>
        </w:rPr>
        <w:t>td.</w:t>
      </w:r>
      <w:r w:rsidR="00E725D6">
        <w:rPr>
          <w:szCs w:val="24"/>
        </w:rPr>
        <w:t> </w:t>
      </w:r>
      <w:r w:rsidR="00F21848">
        <w:rPr>
          <w:szCs w:val="24"/>
        </w:rPr>
        <w:t>1.6(c)</w:t>
      </w:r>
      <w:r w:rsidR="00FA69A1">
        <w:rPr>
          <w:szCs w:val="24"/>
        </w:rPr>
        <w:t>.</w:t>
      </w:r>
      <w:r w:rsidR="00F21848">
        <w:rPr>
          <w:szCs w:val="24"/>
        </w:rPr>
        <w:t>)</w:t>
      </w:r>
      <w:r w:rsidR="00FA69A1">
        <w:rPr>
          <w:szCs w:val="24"/>
        </w:rPr>
        <w:t xml:space="preserve"> </w:t>
      </w:r>
      <w:r w:rsidR="00F21848">
        <w:rPr>
          <w:szCs w:val="24"/>
        </w:rPr>
        <w:t xml:space="preserve"> </w:t>
      </w:r>
      <w:r w:rsidR="003D52A3">
        <w:rPr>
          <w:szCs w:val="24"/>
        </w:rPr>
        <w:t>Kun may not claim a good faith belie</w:t>
      </w:r>
      <w:r w:rsidR="003145BE">
        <w:rPr>
          <w:szCs w:val="24"/>
        </w:rPr>
        <w:t>f</w:t>
      </w:r>
      <w:r w:rsidR="003D52A3">
        <w:rPr>
          <w:szCs w:val="24"/>
        </w:rPr>
        <w:t xml:space="preserve"> that </w:t>
      </w:r>
      <w:r w:rsidR="007863C3">
        <w:rPr>
          <w:szCs w:val="24"/>
        </w:rPr>
        <w:t xml:space="preserve">that $460 was an </w:t>
      </w:r>
      <w:r w:rsidR="00426BED">
        <w:rPr>
          <w:szCs w:val="24"/>
        </w:rPr>
        <w:t>“</w:t>
      </w:r>
      <w:r w:rsidR="007863C3">
        <w:rPr>
          <w:szCs w:val="24"/>
        </w:rPr>
        <w:t>insignificantly small</w:t>
      </w:r>
      <w:r w:rsidR="00426BED">
        <w:rPr>
          <w:szCs w:val="24"/>
        </w:rPr>
        <w:t>”</w:t>
      </w:r>
      <w:r w:rsidR="007863C3">
        <w:rPr>
          <w:szCs w:val="24"/>
        </w:rPr>
        <w:t xml:space="preserve"> amount to misappropriate</w:t>
      </w:r>
      <w:r w:rsidR="006A0B4C">
        <w:rPr>
          <w:szCs w:val="24"/>
        </w:rPr>
        <w:t xml:space="preserve"> because any misappropriation establishes culpability</w:t>
      </w:r>
      <w:r w:rsidR="00CD62C0">
        <w:rPr>
          <w:szCs w:val="24"/>
        </w:rPr>
        <w:t>.</w:t>
      </w:r>
      <w:r w:rsidR="00421FA1">
        <w:rPr>
          <w:szCs w:val="24"/>
        </w:rPr>
        <w:t xml:space="preserve">  (</w:t>
      </w:r>
      <w:r w:rsidR="00421FA1">
        <w:rPr>
          <w:i/>
          <w:szCs w:val="24"/>
        </w:rPr>
        <w:t>Matter of Bleecker</w:t>
      </w:r>
      <w:r w:rsidR="00421FA1">
        <w:rPr>
          <w:szCs w:val="24"/>
        </w:rPr>
        <w:t xml:space="preserve"> (Review Dept. 1990) 1 Cal. State Bar Ct. Rptr. 113, 122-123 [finding misappropriation with gross negligence for failure to maintain $270]; see also </w:t>
      </w:r>
      <w:r w:rsidR="00421FA1">
        <w:rPr>
          <w:i/>
          <w:szCs w:val="24"/>
        </w:rPr>
        <w:t>Heavey v. State Bar</w:t>
      </w:r>
      <w:r w:rsidR="00421FA1">
        <w:rPr>
          <w:szCs w:val="24"/>
        </w:rPr>
        <w:t xml:space="preserve"> (1976) 17 Cal.3d 553 [finding misappropriation and commingling for failure to maintain $353.65].)</w:t>
      </w:r>
      <w:r w:rsidR="00CD62C0">
        <w:rPr>
          <w:szCs w:val="24"/>
        </w:rPr>
        <w:t xml:space="preserve">  </w:t>
      </w:r>
      <w:r w:rsidR="00F42225">
        <w:rPr>
          <w:szCs w:val="24"/>
        </w:rPr>
        <w:t>LeGrande suffer</w:t>
      </w:r>
      <w:r w:rsidR="00CD62C0">
        <w:rPr>
          <w:szCs w:val="24"/>
        </w:rPr>
        <w:t>ed</w:t>
      </w:r>
      <w:r w:rsidR="003D52A3">
        <w:rPr>
          <w:szCs w:val="24"/>
        </w:rPr>
        <w:t xml:space="preserve"> harm because </w:t>
      </w:r>
      <w:r w:rsidR="00E344D6">
        <w:rPr>
          <w:szCs w:val="24"/>
        </w:rPr>
        <w:t xml:space="preserve">Kun </w:t>
      </w:r>
      <w:r w:rsidR="00426BED">
        <w:rPr>
          <w:szCs w:val="24"/>
        </w:rPr>
        <w:t xml:space="preserve">has </w:t>
      </w:r>
      <w:r w:rsidR="003D52A3">
        <w:rPr>
          <w:szCs w:val="24"/>
        </w:rPr>
        <w:t xml:space="preserve">not refunded </w:t>
      </w:r>
      <w:r w:rsidR="00F42225">
        <w:rPr>
          <w:szCs w:val="24"/>
        </w:rPr>
        <w:t>the filing fee</w:t>
      </w:r>
      <w:r w:rsidR="0039532B">
        <w:rPr>
          <w:szCs w:val="24"/>
        </w:rPr>
        <w:t xml:space="preserve">, </w:t>
      </w:r>
      <w:r w:rsidR="00504CBF">
        <w:rPr>
          <w:szCs w:val="24"/>
        </w:rPr>
        <w:t xml:space="preserve">and </w:t>
      </w:r>
      <w:r w:rsidR="00770A66">
        <w:rPr>
          <w:szCs w:val="24"/>
        </w:rPr>
        <w:t>she</w:t>
      </w:r>
      <w:r w:rsidR="00426BED">
        <w:rPr>
          <w:szCs w:val="24"/>
        </w:rPr>
        <w:t xml:space="preserve"> </w:t>
      </w:r>
      <w:r w:rsidR="00F42225">
        <w:rPr>
          <w:szCs w:val="24"/>
        </w:rPr>
        <w:t xml:space="preserve">did not receive the legal services she retained Kun to provide.  </w:t>
      </w:r>
    </w:p>
    <w:p w:rsidR="009C2EFE" w:rsidRPr="005120B9" w:rsidRDefault="009C2EFE" w:rsidP="00F157D5">
      <w:pPr>
        <w:pStyle w:val="Heading3"/>
      </w:pPr>
      <w:r>
        <w:lastRenderedPageBreak/>
        <w:t>VI.  DISCIPLINE</w:t>
      </w:r>
      <w:r w:rsidRPr="0040037D">
        <w:rPr>
          <w:bCs/>
          <w:vertAlign w:val="superscript"/>
        </w:rPr>
        <w:footnoteReference w:id="16"/>
      </w:r>
    </w:p>
    <w:p w:rsidR="009C2EFE" w:rsidRDefault="009C2EFE" w:rsidP="009C2EFE">
      <w:pPr>
        <w:spacing w:line="480" w:lineRule="auto"/>
        <w:ind w:firstLine="720"/>
        <w:rPr>
          <w:rFonts w:eastAsia="Times New Roman"/>
          <w:szCs w:val="24"/>
        </w:rPr>
      </w:pPr>
      <w:r>
        <w:rPr>
          <w:rFonts w:eastAsia="Times New Roman"/>
          <w:szCs w:val="24"/>
        </w:rPr>
        <w:t>Kun maintains that his minimal misconduct in the present case warrants no discipline.  OCTC has equivocated about the appropriate level of discipline, despite Kun’s two prior discipline records.  In its pretrial statement, OCTC requested, at a minimum and among other things, a two-year actual suspension.</w:t>
      </w:r>
      <w:r>
        <w:rPr>
          <w:rStyle w:val="FootnoteReference"/>
          <w:rFonts w:eastAsia="Times New Roman"/>
          <w:szCs w:val="24"/>
        </w:rPr>
        <w:footnoteReference w:id="17"/>
      </w:r>
      <w:r>
        <w:rPr>
          <w:rFonts w:eastAsia="Times New Roman"/>
          <w:szCs w:val="24"/>
        </w:rPr>
        <w:t xml:space="preserve">  Yet, during closing argument, </w:t>
      </w:r>
      <w:r w:rsidR="003F3D68">
        <w:rPr>
          <w:rFonts w:eastAsia="Times New Roman"/>
          <w:szCs w:val="24"/>
        </w:rPr>
        <w:t>it</w:t>
      </w:r>
      <w:r>
        <w:rPr>
          <w:rFonts w:eastAsia="Times New Roman"/>
          <w:szCs w:val="24"/>
        </w:rPr>
        <w:t xml:space="preserve"> urged disbarment under standard</w:t>
      </w:r>
      <w:r w:rsidR="00770A66">
        <w:rPr>
          <w:rFonts w:eastAsia="Times New Roman"/>
          <w:szCs w:val="24"/>
        </w:rPr>
        <w:t> </w:t>
      </w:r>
      <w:r>
        <w:rPr>
          <w:rFonts w:eastAsia="Times New Roman"/>
          <w:szCs w:val="24"/>
        </w:rPr>
        <w:t xml:space="preserve">1.8(b).  Then, in its posttrial brief, </w:t>
      </w:r>
      <w:r w:rsidR="003F3D68">
        <w:rPr>
          <w:rFonts w:eastAsia="Times New Roman"/>
          <w:szCs w:val="24"/>
        </w:rPr>
        <w:t>it</w:t>
      </w:r>
      <w:r>
        <w:rPr>
          <w:rFonts w:eastAsia="Times New Roman"/>
          <w:szCs w:val="24"/>
        </w:rPr>
        <w:t xml:space="preserve"> reverted to its initial pretrial request for a minimum two-year actual suspension.  Finally, on review, </w:t>
      </w:r>
      <w:r w:rsidR="003F3D68">
        <w:rPr>
          <w:rFonts w:eastAsia="Times New Roman"/>
          <w:szCs w:val="24"/>
        </w:rPr>
        <w:t>OCTC</w:t>
      </w:r>
      <w:r>
        <w:rPr>
          <w:rFonts w:eastAsia="Times New Roman"/>
          <w:szCs w:val="24"/>
        </w:rPr>
        <w:t xml:space="preserve"> </w:t>
      </w:r>
      <w:r w:rsidR="00F31264">
        <w:rPr>
          <w:rFonts w:eastAsia="Times New Roman"/>
          <w:szCs w:val="24"/>
        </w:rPr>
        <w:t>again</w:t>
      </w:r>
      <w:r>
        <w:rPr>
          <w:rFonts w:eastAsia="Times New Roman"/>
          <w:szCs w:val="24"/>
        </w:rPr>
        <w:t xml:space="preserve"> urges disbarment</w:t>
      </w:r>
      <w:r w:rsidR="004B3AAE">
        <w:rPr>
          <w:rFonts w:eastAsia="Times New Roman"/>
          <w:szCs w:val="24"/>
        </w:rPr>
        <w:t>.</w:t>
      </w:r>
      <w:r>
        <w:rPr>
          <w:rFonts w:eastAsia="Times New Roman"/>
          <w:szCs w:val="24"/>
        </w:rPr>
        <w:t xml:space="preserve">  </w:t>
      </w:r>
    </w:p>
    <w:p w:rsidR="009C2EFE" w:rsidRPr="00CC7D8C" w:rsidRDefault="009C2EFE" w:rsidP="009C2EFE">
      <w:pPr>
        <w:spacing w:line="480" w:lineRule="auto"/>
        <w:ind w:firstLine="720"/>
      </w:pPr>
      <w:r>
        <w:t xml:space="preserve">Our analysis begins with the standards, which, although not binding, are entitled to great weight (std. 1.1; </w:t>
      </w:r>
      <w:r>
        <w:rPr>
          <w:i/>
          <w:iCs/>
        </w:rPr>
        <w:t>In re Silverton</w:t>
      </w:r>
      <w:r>
        <w:t xml:space="preserve"> (2005) 36 Cal.4th 81, 91-92), and should be followed </w:t>
      </w:r>
      <w:r w:rsidR="00C44B04">
        <w:t>“</w:t>
      </w:r>
      <w:r>
        <w:t>whenever possible</w:t>
      </w:r>
      <w:r w:rsidR="00E06B2E">
        <w:t>.</w:t>
      </w:r>
      <w:r w:rsidR="00C44B04">
        <w:t>”</w:t>
      </w:r>
      <w:r>
        <w:t xml:space="preserve"> </w:t>
      </w:r>
      <w:r w:rsidR="00421FA1">
        <w:t xml:space="preserve"> </w:t>
      </w:r>
      <w:r>
        <w:t>(</w:t>
      </w:r>
      <w:r>
        <w:rPr>
          <w:i/>
          <w:iCs/>
        </w:rPr>
        <w:t>In re Young</w:t>
      </w:r>
      <w:r>
        <w:t xml:space="preserve"> (1989) 49 Cal.3d 257, 267, fn.</w:t>
      </w:r>
      <w:r w:rsidR="00F31264">
        <w:t> </w:t>
      </w:r>
      <w:r>
        <w:t>11</w:t>
      </w:r>
      <w:r w:rsidR="00421FA1">
        <w:t>.</w:t>
      </w:r>
      <w:r>
        <w:t xml:space="preserve">)  </w:t>
      </w:r>
      <w:r w:rsidR="00C44B04" w:rsidRPr="005A44CF">
        <w:rPr>
          <w:rFonts w:eastAsia="Times New Roman"/>
          <w:szCs w:val="24"/>
        </w:rPr>
        <w:t xml:space="preserve">In analyzing the </w:t>
      </w:r>
      <w:r w:rsidR="00C44B04">
        <w:rPr>
          <w:rFonts w:eastAsia="Times New Roman"/>
          <w:szCs w:val="24"/>
        </w:rPr>
        <w:t xml:space="preserve">applicable </w:t>
      </w:r>
      <w:r w:rsidR="00C44B04" w:rsidRPr="005A44CF">
        <w:rPr>
          <w:rFonts w:eastAsia="Times New Roman"/>
          <w:szCs w:val="24"/>
        </w:rPr>
        <w:t xml:space="preserve">standards, we first determine which standard specifies the most severe sanction for the at-issue misconduct.  </w:t>
      </w:r>
      <w:r w:rsidR="00C44B04">
        <w:rPr>
          <w:rFonts w:eastAsia="Times New Roman"/>
          <w:szCs w:val="24"/>
        </w:rPr>
        <w:t>Here, standards 2.2(a) and 2.1(b) apply, but standard 2.1(b) is the most severe, providing that actual suspension is the presumed sanction for misappropriation involving gross negligence.</w:t>
      </w:r>
      <w:r w:rsidR="00C44B04" w:rsidRPr="00C606FC">
        <w:rPr>
          <w:rFonts w:eastAsia="Times New Roman"/>
          <w:szCs w:val="24"/>
          <w:vertAlign w:val="superscript"/>
        </w:rPr>
        <w:footnoteReference w:id="18"/>
      </w:r>
      <w:r w:rsidR="00C44B04">
        <w:rPr>
          <w:rFonts w:eastAsia="Times New Roman"/>
          <w:szCs w:val="24"/>
        </w:rPr>
        <w:t xml:space="preserve">  Next, s</w:t>
      </w:r>
      <w:r>
        <w:t>tandard</w:t>
      </w:r>
      <w:r w:rsidR="00F31264">
        <w:t> </w:t>
      </w:r>
      <w:r>
        <w:t>1.8(b) establishes disbarment as appropriate discipline since Kun has two prior records of discipline, one of which resulted in an actual suspension.</w:t>
      </w:r>
      <w:r>
        <w:rPr>
          <w:rStyle w:val="FootnoteReference"/>
        </w:rPr>
        <w:footnoteReference w:id="19"/>
      </w:r>
      <w:r>
        <w:t xml:space="preserve">  Even so, disbarment is not mandatory in every standard</w:t>
      </w:r>
      <w:r w:rsidR="00F31264">
        <w:t> </w:t>
      </w:r>
      <w:r>
        <w:t>1.8(b) case.</w:t>
      </w:r>
      <w:r w:rsidR="00D96DF4">
        <w:t xml:space="preserve"> </w:t>
      </w:r>
      <w:r>
        <w:t xml:space="preserve"> (</w:t>
      </w:r>
      <w:r>
        <w:rPr>
          <w:i/>
          <w:iCs/>
        </w:rPr>
        <w:t>Conroy v. State Bar</w:t>
      </w:r>
      <w:r>
        <w:t xml:space="preserve"> (1991) 53 Cal.3d 495, 506-507 [disbarment not </w:t>
      </w:r>
      <w:r w:rsidR="00C4657E">
        <w:t>imposed with</w:t>
      </w:r>
      <w:r>
        <w:t xml:space="preserve"> two </w:t>
      </w:r>
      <w:r w:rsidR="00C4657E">
        <w:t>p</w:t>
      </w:r>
      <w:r>
        <w:t>rior disciplines</w:t>
      </w:r>
      <w:r w:rsidR="00C4657E">
        <w:t xml:space="preserve"> and no </w:t>
      </w:r>
      <w:r>
        <w:t>compelling mitigating circumstances (analysis under former std. 1.7(b))</w:t>
      </w:r>
      <w:r w:rsidR="00D96DF4">
        <w:t>]</w:t>
      </w:r>
      <w:r>
        <w:t>.)  T</w:t>
      </w:r>
      <w:r w:rsidRPr="00985E1C">
        <w:rPr>
          <w:szCs w:val="24"/>
        </w:rPr>
        <w:t xml:space="preserve">he Supreme Court </w:t>
      </w:r>
      <w:r>
        <w:rPr>
          <w:szCs w:val="24"/>
        </w:rPr>
        <w:t xml:space="preserve">did not apply </w:t>
      </w:r>
      <w:r>
        <w:rPr>
          <w:szCs w:val="24"/>
        </w:rPr>
        <w:lastRenderedPageBreak/>
        <w:t>former standard</w:t>
      </w:r>
      <w:r w:rsidR="00F31264">
        <w:rPr>
          <w:szCs w:val="24"/>
        </w:rPr>
        <w:t> </w:t>
      </w:r>
      <w:r>
        <w:rPr>
          <w:szCs w:val="24"/>
        </w:rPr>
        <w:t xml:space="preserve">1.7(b) </w:t>
      </w:r>
      <w:r w:rsidRPr="00985E1C">
        <w:rPr>
          <w:szCs w:val="24"/>
        </w:rPr>
        <w:t xml:space="preserve">in a rote fashion, </w:t>
      </w:r>
      <w:r>
        <w:rPr>
          <w:szCs w:val="24"/>
        </w:rPr>
        <w:t>nor do we apply standard</w:t>
      </w:r>
      <w:r w:rsidR="00F31264">
        <w:rPr>
          <w:szCs w:val="24"/>
        </w:rPr>
        <w:t> </w:t>
      </w:r>
      <w:r>
        <w:rPr>
          <w:szCs w:val="24"/>
        </w:rPr>
        <w:t xml:space="preserve">1.8(b) in such a </w:t>
      </w:r>
      <w:r w:rsidR="00F31264">
        <w:rPr>
          <w:szCs w:val="24"/>
        </w:rPr>
        <w:t>manner</w:t>
      </w:r>
      <w:r>
        <w:rPr>
          <w:szCs w:val="24"/>
        </w:rPr>
        <w:t xml:space="preserve">.  Rather, </w:t>
      </w:r>
      <w:r w:rsidRPr="007A53BD">
        <w:rPr>
          <w:szCs w:val="24"/>
        </w:rPr>
        <w:t xml:space="preserve">we examine the nature and chronology of prior discipline records, recognizing that “[m]erely declaring that an attorney has [two prior] impositions of discipline, without more analysis, may not adequately justify disbarment in every case.” </w:t>
      </w:r>
      <w:r w:rsidR="00D96DF4">
        <w:rPr>
          <w:szCs w:val="24"/>
        </w:rPr>
        <w:t xml:space="preserve"> </w:t>
      </w:r>
      <w:r w:rsidRPr="007A53BD">
        <w:rPr>
          <w:szCs w:val="24"/>
        </w:rPr>
        <w:t>(</w:t>
      </w:r>
      <w:r w:rsidRPr="00D812EB">
        <w:rPr>
          <w:i/>
          <w:szCs w:val="24"/>
        </w:rPr>
        <w:t>In the Matter of Miller</w:t>
      </w:r>
      <w:r w:rsidRPr="007A53BD">
        <w:rPr>
          <w:szCs w:val="24"/>
        </w:rPr>
        <w:t xml:space="preserve"> (Review Dept.</w:t>
      </w:r>
      <w:r w:rsidR="00AC778E">
        <w:rPr>
          <w:szCs w:val="24"/>
        </w:rPr>
        <w:t xml:space="preserve"> </w:t>
      </w:r>
      <w:r w:rsidRPr="007A53BD">
        <w:rPr>
          <w:szCs w:val="24"/>
        </w:rPr>
        <w:t>1990) 1</w:t>
      </w:r>
      <w:r w:rsidR="00F31264">
        <w:rPr>
          <w:szCs w:val="24"/>
        </w:rPr>
        <w:t> </w:t>
      </w:r>
      <w:r w:rsidRPr="007A53BD">
        <w:rPr>
          <w:szCs w:val="24"/>
        </w:rPr>
        <w:t>Cal. State Bar Ct. Rptr. 131, 136.)</w:t>
      </w:r>
    </w:p>
    <w:p w:rsidR="009C2EFE" w:rsidRDefault="009C2EFE" w:rsidP="009C2EFE">
      <w:pPr>
        <w:tabs>
          <w:tab w:val="left" w:pos="720"/>
        </w:tabs>
        <w:spacing w:line="480" w:lineRule="auto"/>
      </w:pPr>
      <w:r w:rsidRPr="001223A2">
        <w:rPr>
          <w:szCs w:val="24"/>
        </w:rPr>
        <w:tab/>
      </w:r>
      <w:r>
        <w:t>Here, we find clear reasons to recommend a discipline less than disbarment under standard</w:t>
      </w:r>
      <w:r w:rsidR="00F31264">
        <w:t> </w:t>
      </w:r>
      <w:r w:rsidR="00D96DF4">
        <w:t xml:space="preserve">1.8(b). </w:t>
      </w:r>
      <w:r>
        <w:t xml:space="preserve"> (Std.</w:t>
      </w:r>
      <w:r w:rsidR="00F31264">
        <w:t> </w:t>
      </w:r>
      <w:r>
        <w:t xml:space="preserve">1.1; </w:t>
      </w:r>
      <w:r>
        <w:rPr>
          <w:i/>
          <w:iCs/>
        </w:rPr>
        <w:t>Blair v. State Bar</w:t>
      </w:r>
      <w:r>
        <w:t xml:space="preserve"> (1989) 49 Cal.3d 762, 776, fn. 5 [requiring clear reasons for departure from standards].)  The most serious misconduct in </w:t>
      </w:r>
      <w:r w:rsidR="002215D1">
        <w:t>this</w:t>
      </w:r>
      <w:r>
        <w:t xml:space="preserve"> case was a grossly negligent misappropriation of $4</w:t>
      </w:r>
      <w:r w:rsidR="000D45DF">
        <w:t>50.99</w:t>
      </w:r>
      <w:r>
        <w:t>, a relatively small amount</w:t>
      </w:r>
      <w:r>
        <w:rPr>
          <w:rStyle w:val="FootnoteReference"/>
        </w:rPr>
        <w:footnoteReference w:id="20"/>
      </w:r>
      <w:r>
        <w:t xml:space="preserve"> </w:t>
      </w:r>
      <w:r w:rsidR="002215D1">
        <w:t>that was</w:t>
      </w:r>
      <w:r w:rsidR="002F6B65">
        <w:t xml:space="preserve"> a </w:t>
      </w:r>
      <w:r w:rsidR="000D45DF">
        <w:t xml:space="preserve">part of a $460 </w:t>
      </w:r>
      <w:r w:rsidR="002F6B65">
        <w:t>filing fee his client paid him</w:t>
      </w:r>
      <w:r w:rsidR="00D96DF4">
        <w:t>, which</w:t>
      </w:r>
      <w:r w:rsidR="002F6B65">
        <w:t xml:space="preserve"> he subsequently converted into </w:t>
      </w:r>
      <w:r w:rsidR="002215D1">
        <w:t xml:space="preserve">part of his </w:t>
      </w:r>
      <w:r w:rsidR="002F6B65">
        <w:t>attorney fee</w:t>
      </w:r>
      <w:r w:rsidR="002215D1">
        <w:t>s</w:t>
      </w:r>
      <w:r w:rsidR="002F6B65">
        <w:t>.</w:t>
      </w:r>
      <w:r w:rsidR="002215D1">
        <w:t xml:space="preserve"> </w:t>
      </w:r>
      <w:r>
        <w:t xml:space="preserve"> Further</w:t>
      </w:r>
      <w:r w:rsidR="00653918">
        <w:t>, in Kun’s two prior cases, he</w:t>
      </w:r>
      <w:r>
        <w:t xml:space="preserve"> stipulated </w:t>
      </w:r>
      <w:r w:rsidR="00653918">
        <w:t xml:space="preserve">to </w:t>
      </w:r>
      <w:r>
        <w:t xml:space="preserve">misconduct, </w:t>
      </w:r>
      <w:r w:rsidR="00653918">
        <w:t xml:space="preserve">which, </w:t>
      </w:r>
      <w:r>
        <w:t>while serious, largely overlapped in time, date</w:t>
      </w:r>
      <w:r w:rsidR="00465990">
        <w:t>d</w:t>
      </w:r>
      <w:r>
        <w:t xml:space="preserve"> back </w:t>
      </w:r>
      <w:r w:rsidR="00465990">
        <w:t>14</w:t>
      </w:r>
      <w:r>
        <w:t xml:space="preserve"> years over his 44-year career, and resulted in light discipline – a public reproval in </w:t>
      </w:r>
      <w:r w:rsidRPr="00BD2747">
        <w:rPr>
          <w:i/>
        </w:rPr>
        <w:t>Kun I</w:t>
      </w:r>
      <w:r>
        <w:t xml:space="preserve"> and a 30-day suspension in </w:t>
      </w:r>
      <w:r w:rsidRPr="00BD2747">
        <w:rPr>
          <w:i/>
        </w:rPr>
        <w:t>Kun II</w:t>
      </w:r>
      <w:r>
        <w:t>, the shortest period generally imposed.</w:t>
      </w:r>
      <w:r>
        <w:rPr>
          <w:rStyle w:val="FootnoteReference"/>
        </w:rPr>
        <w:footnoteReference w:id="21"/>
      </w:r>
      <w:r>
        <w:t xml:space="preserve">  (See </w:t>
      </w:r>
      <w:r w:rsidRPr="00FF421E">
        <w:rPr>
          <w:i/>
        </w:rPr>
        <w:t>McCray v. State Bar</w:t>
      </w:r>
      <w:r>
        <w:t xml:space="preserve"> (1985) 38</w:t>
      </w:r>
      <w:r w:rsidR="00465990">
        <w:t> </w:t>
      </w:r>
      <w:r>
        <w:t>Cal.3d 257</w:t>
      </w:r>
      <w:r w:rsidR="00293109">
        <w:t>, 274</w:t>
      </w:r>
      <w:r>
        <w:t xml:space="preserve"> [less aggravating weight where prior misconduct overlapped and light discipline of 30-day </w:t>
      </w:r>
      <w:r w:rsidR="00293109">
        <w:t xml:space="preserve">actual </w:t>
      </w:r>
      <w:r>
        <w:t>suspension imposed]</w:t>
      </w:r>
      <w:r w:rsidR="00E15B7A">
        <w:t>.</w:t>
      </w:r>
      <w:r>
        <w:t xml:space="preserve">)  </w:t>
      </w:r>
    </w:p>
    <w:p w:rsidR="009C2EFE" w:rsidRDefault="009C2EFE" w:rsidP="009C2EFE">
      <w:pPr>
        <w:tabs>
          <w:tab w:val="left" w:pos="720"/>
        </w:tabs>
        <w:spacing w:line="480" w:lineRule="auto"/>
      </w:pPr>
      <w:r>
        <w:tab/>
        <w:t xml:space="preserve">Notably, the hearing judge found similar reasons to recommend discipline short of disbarment, including that more than </w:t>
      </w:r>
      <w:r w:rsidR="00293109">
        <w:t>10</w:t>
      </w:r>
      <w:r>
        <w:t xml:space="preserve"> years passed since Kun’s prior discipline cases, his misconduct occurred during three distinct periods that were not prolonged, the present misappropriation was not surrounded by misrepresentations to his client, and Kun has no history of failing to participate in State Bar Court proceedings or performing poorly on probation.  Along with these factors, the judge considered Kun’s present misconduct and concluded that “the </w:t>
      </w:r>
      <w:r>
        <w:lastRenderedPageBreak/>
        <w:t>nature and extent of Respondent’s prior disciplines do not justify disbarment.”  We agree.</w:t>
      </w:r>
      <w:r w:rsidR="002A1776">
        <w:rPr>
          <w:rStyle w:val="FootnoteReference"/>
        </w:rPr>
        <w:footnoteReference w:id="22"/>
      </w:r>
      <w:r w:rsidR="00F7196E">
        <w:t xml:space="preserve"> </w:t>
      </w:r>
      <w:r w:rsidR="002F6B65">
        <w:t>(</w:t>
      </w:r>
      <w:r w:rsidR="002F6B65">
        <w:rPr>
          <w:i/>
          <w:iCs/>
        </w:rPr>
        <w:t>Howard v. State Bar</w:t>
      </w:r>
      <w:r w:rsidR="00366737">
        <w:rPr>
          <w:i/>
          <w:iCs/>
        </w:rPr>
        <w:t xml:space="preserve"> </w:t>
      </w:r>
      <w:r w:rsidR="00366737">
        <w:rPr>
          <w:iCs/>
        </w:rPr>
        <w:t>(1990)</w:t>
      </w:r>
      <w:r w:rsidR="002F6B65">
        <w:rPr>
          <w:i/>
          <w:iCs/>
        </w:rPr>
        <w:t xml:space="preserve"> </w:t>
      </w:r>
      <w:r w:rsidR="00F76088">
        <w:t>51</w:t>
      </w:r>
      <w:r w:rsidR="00366737">
        <w:t> </w:t>
      </w:r>
      <w:r w:rsidR="00F76088">
        <w:t xml:space="preserve">Cal.3d 215, </w:t>
      </w:r>
      <w:r w:rsidR="002F6B65">
        <w:t>222 [</w:t>
      </w:r>
      <w:r w:rsidR="00F76088">
        <w:t xml:space="preserve">Supreme Court </w:t>
      </w:r>
      <w:r w:rsidR="00F76088" w:rsidRPr="008604D6">
        <w:t>has expressly r</w:t>
      </w:r>
      <w:r w:rsidR="00F76088">
        <w:t>eserved for itself authority to “temper the letter of the law with considerations peculiar to the offense and the offender”]</w:t>
      </w:r>
      <w:r w:rsidR="0068286E">
        <w:t>.</w:t>
      </w:r>
      <w:r w:rsidR="00F76088">
        <w:t xml:space="preserve">)  </w:t>
      </w:r>
    </w:p>
    <w:p w:rsidR="009C2EFE" w:rsidRDefault="009C2EFE" w:rsidP="009C2EFE">
      <w:pPr>
        <w:tabs>
          <w:tab w:val="left" w:pos="720"/>
        </w:tabs>
        <w:spacing w:line="480" w:lineRule="auto"/>
      </w:pPr>
      <w:r w:rsidRPr="001223A2">
        <w:rPr>
          <w:szCs w:val="24"/>
        </w:rPr>
        <w:tab/>
      </w:r>
      <w:r w:rsidR="00132A98">
        <w:t xml:space="preserve">Returning to the application of </w:t>
      </w:r>
      <w:r>
        <w:t>standard</w:t>
      </w:r>
      <w:r w:rsidR="00366737">
        <w:t> </w:t>
      </w:r>
      <w:r>
        <w:t xml:space="preserve">2.1(b) </w:t>
      </w:r>
      <w:r w:rsidR="00132A98">
        <w:t>to Kun’s misconduct, t</w:t>
      </w:r>
      <w:r>
        <w:t xml:space="preserve">his standard </w:t>
      </w:r>
      <w:r w:rsidR="00697C2D">
        <w:t xml:space="preserve">provides that </w:t>
      </w:r>
      <w:r>
        <w:t>an actual suspension is the presumed sanction for misappropriation involving gross negligence.  We agree with the hearing judge that Kun’s misconduct “calls for a lengthy period of suspension,” but disagree that a one-year suspension will adequately protect the public, the courts</w:t>
      </w:r>
      <w:r w:rsidR="00697C2D">
        <w:t>,</w:t>
      </w:r>
      <w:r>
        <w:t xml:space="preserve"> and the legal profession.</w:t>
      </w:r>
      <w:r>
        <w:rPr>
          <w:rStyle w:val="FootnoteReference"/>
        </w:rPr>
        <w:footnoteReference w:id="23"/>
      </w:r>
      <w:r>
        <w:t xml:space="preserve">  </w:t>
      </w:r>
      <w:r w:rsidRPr="00E9377A">
        <w:rPr>
          <w:szCs w:val="24"/>
        </w:rPr>
        <w:t>(</w:t>
      </w:r>
      <w:r>
        <w:rPr>
          <w:szCs w:val="24"/>
        </w:rPr>
        <w:t xml:space="preserve">Stds. </w:t>
      </w:r>
      <w:r w:rsidRPr="0085374F">
        <w:rPr>
          <w:szCs w:val="24"/>
        </w:rPr>
        <w:t>Part B</w:t>
      </w:r>
      <w:r w:rsidRPr="00E9377A">
        <w:rPr>
          <w:szCs w:val="24"/>
        </w:rPr>
        <w:t xml:space="preserve"> [presumed sanction is starting point for imposition of discipline; may be adjusted up or down depending on mitigating and aggravating circumstances].)</w:t>
      </w:r>
      <w:r>
        <w:rPr>
          <w:szCs w:val="24"/>
        </w:rPr>
        <w:t xml:space="preserve">  </w:t>
      </w:r>
      <w:r>
        <w:t>Though Kun’s misappropriation was of a small amount, he ignored appropriate trust accounting principles</w:t>
      </w:r>
      <w:r w:rsidR="008D2A3A">
        <w:t>,</w:t>
      </w:r>
      <w:r>
        <w:t xml:space="preserve"> citing a lack of knowledge about them</w:t>
      </w:r>
      <w:r w:rsidR="00862AA4">
        <w:t>;</w:t>
      </w:r>
      <w:r>
        <w:t xml:space="preserve"> has significant aggravation including two prior records of discipline</w:t>
      </w:r>
      <w:r w:rsidR="00862AA4">
        <w:t>;</w:t>
      </w:r>
      <w:r>
        <w:t xml:space="preserve"> proved minimal mitigation</w:t>
      </w:r>
      <w:r w:rsidR="002A1776">
        <w:t>;</w:t>
      </w:r>
      <w:r>
        <w:t xml:space="preserve"> and has not paid restitution.  </w:t>
      </w:r>
    </w:p>
    <w:p w:rsidR="009C2EFE" w:rsidRDefault="009C2EFE" w:rsidP="009C2EFE">
      <w:pPr>
        <w:tabs>
          <w:tab w:val="left" w:pos="720"/>
        </w:tabs>
        <w:spacing w:line="480" w:lineRule="auto"/>
        <w:rPr>
          <w:rFonts w:eastAsia="Times New Roman"/>
          <w:szCs w:val="24"/>
        </w:rPr>
      </w:pPr>
      <w:r>
        <w:tab/>
        <w:t xml:space="preserve">In view of these factors, we find that a two-year actual suspension with a three-year probation period is </w:t>
      </w:r>
      <w:r w:rsidR="00132A98">
        <w:t xml:space="preserve">the </w:t>
      </w:r>
      <w:r>
        <w:t>most appropriate</w:t>
      </w:r>
      <w:r w:rsidR="00E15B7A">
        <w:t xml:space="preserve"> discipline</w:t>
      </w:r>
      <w:r>
        <w:t xml:space="preserve">, and </w:t>
      </w:r>
      <w:r w:rsidR="00132A98">
        <w:t xml:space="preserve">note that this recommended discipline </w:t>
      </w:r>
      <w:r>
        <w:t xml:space="preserve">is significantly progressive from the 30-day suspension Kun received in </w:t>
      </w:r>
      <w:r w:rsidRPr="00453FF8">
        <w:rPr>
          <w:i/>
        </w:rPr>
        <w:t>Kun II</w:t>
      </w:r>
      <w:r>
        <w:t xml:space="preserve">.  (See </w:t>
      </w:r>
      <w:r w:rsidRPr="00A84968">
        <w:rPr>
          <w:i/>
        </w:rPr>
        <w:t>Palomo v. State Bar</w:t>
      </w:r>
      <w:r>
        <w:t xml:space="preserve"> </w:t>
      </w:r>
      <w:r w:rsidR="00BE603A">
        <w:t xml:space="preserve">(1984) </w:t>
      </w:r>
      <w:r>
        <w:t>36</w:t>
      </w:r>
      <w:r w:rsidR="00BE603A">
        <w:t> </w:t>
      </w:r>
      <w:r>
        <w:t xml:space="preserve">Cal.3d 785 [one-year </w:t>
      </w:r>
      <w:r w:rsidR="009D6D3A">
        <w:t xml:space="preserve">actual </w:t>
      </w:r>
      <w:r>
        <w:t xml:space="preserve">suspension for </w:t>
      </w:r>
      <w:r w:rsidR="00B26C95">
        <w:t>grossly negligent</w:t>
      </w:r>
      <w:r>
        <w:t xml:space="preserve"> misappropriation of over $3,000 with one prior record of discipline but where mitigating factors were present including payment of restitution]; </w:t>
      </w:r>
      <w:r w:rsidRPr="00705AB4">
        <w:rPr>
          <w:i/>
        </w:rPr>
        <w:t xml:space="preserve">Hipolito v. State Bar </w:t>
      </w:r>
      <w:r w:rsidRPr="00705AB4">
        <w:t>(1989)</w:t>
      </w:r>
      <w:r w:rsidR="00BE603A">
        <w:t> </w:t>
      </w:r>
      <w:r w:rsidRPr="00705AB4">
        <w:t xml:space="preserve">48 Cal.3d 621 </w:t>
      </w:r>
      <w:r>
        <w:t>[</w:t>
      </w:r>
      <w:r w:rsidRPr="00705AB4">
        <w:t>one-year</w:t>
      </w:r>
      <w:r w:rsidR="009D6D3A">
        <w:t xml:space="preserve"> actual</w:t>
      </w:r>
      <w:r w:rsidRPr="00705AB4">
        <w:t xml:space="preserve"> suspension for </w:t>
      </w:r>
      <w:r w:rsidR="00B26C95">
        <w:t>wil</w:t>
      </w:r>
      <w:r w:rsidR="00514A77">
        <w:t>l</w:t>
      </w:r>
      <w:r w:rsidR="00B26C95">
        <w:t>ful</w:t>
      </w:r>
      <w:r>
        <w:t xml:space="preserve"> </w:t>
      </w:r>
      <w:r w:rsidRPr="00705AB4">
        <w:t>$2,000 misappropriation</w:t>
      </w:r>
      <w:r>
        <w:t xml:space="preserve"> with no prior record of discipline</w:t>
      </w:r>
      <w:r w:rsidRPr="00705AB4">
        <w:t xml:space="preserve"> </w:t>
      </w:r>
      <w:r>
        <w:t xml:space="preserve">but </w:t>
      </w:r>
      <w:r>
        <w:lastRenderedPageBreak/>
        <w:t xml:space="preserve">where </w:t>
      </w:r>
      <w:r w:rsidRPr="00705AB4">
        <w:t xml:space="preserve">several mitigating factors </w:t>
      </w:r>
      <w:r>
        <w:t xml:space="preserve">were </w:t>
      </w:r>
      <w:r w:rsidRPr="00705AB4">
        <w:t xml:space="preserve">present, including remorse, cooperation, candor, </w:t>
      </w:r>
      <w:r>
        <w:t xml:space="preserve">repayment of restitution, </w:t>
      </w:r>
      <w:r w:rsidRPr="00705AB4">
        <w:t>and engagement of management firm to avoid future difficulties</w:t>
      </w:r>
      <w:r>
        <w:t xml:space="preserve">].)  We further recommend that Kun’s suspension continue until he </w:t>
      </w:r>
      <w:r>
        <w:rPr>
          <w:rFonts w:eastAsia="Times New Roman"/>
          <w:szCs w:val="24"/>
        </w:rPr>
        <w:t>proves his rehabilitation and fitness to practice law pursuant to standard</w:t>
      </w:r>
      <w:r w:rsidR="00BE603A">
        <w:rPr>
          <w:rFonts w:eastAsia="Times New Roman"/>
          <w:szCs w:val="24"/>
        </w:rPr>
        <w:t> </w:t>
      </w:r>
      <w:r>
        <w:rPr>
          <w:rFonts w:eastAsia="Times New Roman"/>
          <w:szCs w:val="24"/>
        </w:rPr>
        <w:t>1.2(c)(1)</w:t>
      </w:r>
      <w:r w:rsidR="00504CBF">
        <w:rPr>
          <w:rFonts w:eastAsia="Times New Roman"/>
          <w:szCs w:val="24"/>
        </w:rPr>
        <w:t xml:space="preserve"> and</w:t>
      </w:r>
      <w:r>
        <w:rPr>
          <w:rFonts w:eastAsia="Times New Roman"/>
          <w:szCs w:val="24"/>
        </w:rPr>
        <w:t xml:space="preserve"> pays restitution to his client</w:t>
      </w:r>
      <w:r w:rsidR="00504CBF">
        <w:rPr>
          <w:rFonts w:eastAsia="Times New Roman"/>
          <w:szCs w:val="24"/>
        </w:rPr>
        <w:t>.  Finally, we recommend that Kun</w:t>
      </w:r>
      <w:r>
        <w:rPr>
          <w:rFonts w:eastAsia="Times New Roman"/>
          <w:szCs w:val="24"/>
        </w:rPr>
        <w:t xml:space="preserve"> successfully complete </w:t>
      </w:r>
      <w:r w:rsidR="00504CBF">
        <w:rPr>
          <w:rFonts w:eastAsia="Times New Roman"/>
          <w:szCs w:val="24"/>
        </w:rPr>
        <w:t xml:space="preserve">both </w:t>
      </w:r>
      <w:r w:rsidR="00E82F5D">
        <w:rPr>
          <w:rFonts w:eastAsia="Times New Roman"/>
          <w:szCs w:val="24"/>
        </w:rPr>
        <w:t xml:space="preserve">Ethics School and </w:t>
      </w:r>
      <w:r>
        <w:rPr>
          <w:rFonts w:eastAsia="Times New Roman"/>
          <w:szCs w:val="24"/>
        </w:rPr>
        <w:t>C</w:t>
      </w:r>
      <w:r w:rsidR="00F76088">
        <w:rPr>
          <w:rFonts w:eastAsia="Times New Roman"/>
          <w:szCs w:val="24"/>
        </w:rPr>
        <w:t>lient Trust Accounting School</w:t>
      </w:r>
      <w:r w:rsidR="00E82F5D">
        <w:rPr>
          <w:rFonts w:eastAsia="Times New Roman"/>
          <w:szCs w:val="24"/>
        </w:rPr>
        <w:t xml:space="preserve"> during his first year of probation</w:t>
      </w:r>
      <w:r w:rsidR="00F76088">
        <w:rPr>
          <w:rFonts w:eastAsia="Times New Roman"/>
          <w:szCs w:val="24"/>
        </w:rPr>
        <w:t>.</w:t>
      </w:r>
    </w:p>
    <w:p w:rsidR="00C8161B" w:rsidRPr="00210CB6" w:rsidRDefault="00832AB5" w:rsidP="007311E4">
      <w:pPr>
        <w:pStyle w:val="Heading3"/>
      </w:pPr>
      <w:r>
        <w:t>V</w:t>
      </w:r>
      <w:r w:rsidR="00434D6C">
        <w:t>I</w:t>
      </w:r>
      <w:r>
        <w:t xml:space="preserve">I.  </w:t>
      </w:r>
      <w:r w:rsidR="00C8161B" w:rsidRPr="00210CB6">
        <w:t>RECOMMENDATION</w:t>
      </w:r>
    </w:p>
    <w:p w:rsidR="00D56D78" w:rsidRDefault="00D56D78" w:rsidP="00183425">
      <w:pPr>
        <w:pStyle w:val="ListParagraph"/>
        <w:tabs>
          <w:tab w:val="left" w:pos="720"/>
        </w:tabs>
        <w:spacing w:line="480" w:lineRule="auto"/>
        <w:ind w:left="0"/>
      </w:pPr>
      <w:r>
        <w:tab/>
      </w:r>
      <w:r w:rsidRPr="002F45AA">
        <w:t xml:space="preserve">For the foregoing reasons, we recommend that </w:t>
      </w:r>
      <w:r>
        <w:t xml:space="preserve">Albert Miklos Kun </w:t>
      </w:r>
      <w:r w:rsidRPr="002F45AA">
        <w:t xml:space="preserve">be suspended from the practice of law for </w:t>
      </w:r>
      <w:r>
        <w:t>three years</w:t>
      </w:r>
      <w:r w:rsidRPr="002F45AA">
        <w:t xml:space="preserve">, that execution of that suspension be stayed, and that </w:t>
      </w:r>
      <w:r>
        <w:t xml:space="preserve">he </w:t>
      </w:r>
      <w:r w:rsidRPr="002F45AA">
        <w:t xml:space="preserve">be placed on probation for </w:t>
      </w:r>
      <w:r>
        <w:t>three years</w:t>
      </w:r>
      <w:r w:rsidRPr="002F45AA">
        <w:t xml:space="preserve"> on the following conditions:</w:t>
      </w:r>
    </w:p>
    <w:p w:rsidR="00D56D78" w:rsidRDefault="00D56D78" w:rsidP="00DC07FC">
      <w:pPr>
        <w:pStyle w:val="ListParagraph"/>
        <w:numPr>
          <w:ilvl w:val="0"/>
          <w:numId w:val="20"/>
        </w:numPr>
        <w:tabs>
          <w:tab w:val="left" w:pos="720"/>
        </w:tabs>
      </w:pPr>
      <w:r>
        <w:t xml:space="preserve">He </w:t>
      </w:r>
      <w:r w:rsidRPr="00812E41">
        <w:t xml:space="preserve">must be suspended from the practice of law for a minimum of the first </w:t>
      </w:r>
      <w:r>
        <w:t xml:space="preserve">two years </w:t>
      </w:r>
      <w:r w:rsidRPr="00812E41">
        <w:t>of</w:t>
      </w:r>
      <w:r>
        <w:t xml:space="preserve"> the period of his probation, and remain suspended until the following conditions are satisfied:</w:t>
      </w:r>
    </w:p>
    <w:p w:rsidR="00EC5C21" w:rsidRDefault="00EC5C21" w:rsidP="00DC07FC">
      <w:pPr>
        <w:pStyle w:val="ListParagraph"/>
        <w:tabs>
          <w:tab w:val="left" w:pos="720"/>
        </w:tabs>
        <w:ind w:hanging="360"/>
      </w:pPr>
    </w:p>
    <w:p w:rsidR="00D56D78" w:rsidRDefault="00D56D78" w:rsidP="007B3082">
      <w:pPr>
        <w:pStyle w:val="ListParagraph"/>
        <w:numPr>
          <w:ilvl w:val="1"/>
          <w:numId w:val="20"/>
        </w:numPr>
        <w:tabs>
          <w:tab w:val="left" w:pos="720"/>
        </w:tabs>
        <w:ind w:left="1080"/>
      </w:pPr>
      <w:r>
        <w:t xml:space="preserve">He </w:t>
      </w:r>
      <w:r w:rsidRPr="00553FF9">
        <w:t xml:space="preserve">makes restitution to </w:t>
      </w:r>
      <w:r w:rsidR="00F92886">
        <w:t xml:space="preserve">Dana LeGrande </w:t>
      </w:r>
      <w:r w:rsidRPr="00553FF9">
        <w:t>in the amount of $</w:t>
      </w:r>
      <w:r w:rsidR="00AC3177">
        <w:t>460</w:t>
      </w:r>
      <w:r w:rsidRPr="00553FF9">
        <w:t xml:space="preserve"> plus 10 percent interest per annum from </w:t>
      </w:r>
      <w:r w:rsidR="00F92886">
        <w:t>June</w:t>
      </w:r>
      <w:r w:rsidR="00315206">
        <w:t> </w:t>
      </w:r>
      <w:r w:rsidR="00F92886">
        <w:t xml:space="preserve">9, 2014 </w:t>
      </w:r>
      <w:r w:rsidRPr="00553FF9">
        <w:t>(or reimburses the Client Security Fund to the extent of any payment from the Fund to</w:t>
      </w:r>
      <w:r w:rsidR="00F92886">
        <w:t xml:space="preserve"> Dana LeGrande</w:t>
      </w:r>
      <w:r w:rsidRPr="00553FF9">
        <w:t>, in accordance with Business and Professions Code section</w:t>
      </w:r>
      <w:r w:rsidR="00315206">
        <w:t> </w:t>
      </w:r>
      <w:r w:rsidRPr="00553FF9">
        <w:t>6140.5)</w:t>
      </w:r>
      <w:r w:rsidR="00A47540">
        <w:t>,</w:t>
      </w:r>
      <w:r w:rsidRPr="00553FF9">
        <w:t xml:space="preserve"> and furnishes satisfactory proof to the State Bar Office o</w:t>
      </w:r>
      <w:r w:rsidR="00EC5C21">
        <w:t>f Probation in Los Angeles; and</w:t>
      </w:r>
    </w:p>
    <w:p w:rsidR="00EC5C21" w:rsidRDefault="00EC5C21" w:rsidP="006025A9">
      <w:pPr>
        <w:pStyle w:val="ListParagraph"/>
        <w:tabs>
          <w:tab w:val="left" w:pos="720"/>
        </w:tabs>
        <w:ind w:left="1440" w:hanging="720"/>
      </w:pPr>
    </w:p>
    <w:p w:rsidR="00D56D78" w:rsidRDefault="00F92886" w:rsidP="007B3082">
      <w:pPr>
        <w:pStyle w:val="ListParagraph"/>
        <w:numPr>
          <w:ilvl w:val="1"/>
          <w:numId w:val="20"/>
        </w:numPr>
        <w:tabs>
          <w:tab w:val="left" w:pos="720"/>
        </w:tabs>
        <w:ind w:left="1080"/>
      </w:pPr>
      <w:r>
        <w:t xml:space="preserve">He </w:t>
      </w:r>
      <w:r w:rsidR="00D56D78" w:rsidRPr="002F45AA">
        <w:t xml:space="preserve">provides proof to the State Bar Court of </w:t>
      </w:r>
      <w:r>
        <w:t xml:space="preserve">his </w:t>
      </w:r>
      <w:r w:rsidR="00D56D78" w:rsidRPr="002F45AA">
        <w:t>rehabilitation, fitness to practice and learning and ability in the general law.  (Rules Proc. of State Bar, tit. IV, Stds. for Atty. Sanctions for Prof. Misconduct, std.</w:t>
      </w:r>
      <w:r w:rsidR="00315206">
        <w:t> </w:t>
      </w:r>
      <w:r w:rsidR="00D56D78" w:rsidRPr="002F45AA">
        <w:t>1</w:t>
      </w:r>
      <w:r w:rsidR="00D56D78">
        <w:t>.2(c)(1).)</w:t>
      </w:r>
    </w:p>
    <w:p w:rsidR="00EC5C21" w:rsidRDefault="00EC5C21" w:rsidP="00DC07FC">
      <w:pPr>
        <w:tabs>
          <w:tab w:val="left" w:pos="720"/>
        </w:tabs>
        <w:ind w:left="720" w:hanging="360"/>
      </w:pPr>
    </w:p>
    <w:p w:rsidR="00F92886" w:rsidRDefault="00EC5C21" w:rsidP="00DC07FC">
      <w:pPr>
        <w:pStyle w:val="ListParagraph"/>
        <w:numPr>
          <w:ilvl w:val="0"/>
          <w:numId w:val="20"/>
        </w:numPr>
        <w:tabs>
          <w:tab w:val="left" w:pos="720"/>
        </w:tabs>
      </w:pPr>
      <w:r>
        <w:t xml:space="preserve">He </w:t>
      </w:r>
      <w:r w:rsidR="00F92886" w:rsidRPr="00812E41">
        <w:t xml:space="preserve">must comply with the provisions of the State Bar Act, the Rules of Professional Conduct, and all of the conditions of </w:t>
      </w:r>
      <w:r>
        <w:t xml:space="preserve">his </w:t>
      </w:r>
      <w:r w:rsidR="00F92886" w:rsidRPr="00812E41">
        <w:t>probation</w:t>
      </w:r>
      <w:r w:rsidR="00F92886">
        <w:t>.</w:t>
      </w:r>
    </w:p>
    <w:p w:rsidR="00F92886" w:rsidRDefault="00F92886" w:rsidP="00DC07FC">
      <w:pPr>
        <w:tabs>
          <w:tab w:val="left" w:pos="720"/>
        </w:tabs>
        <w:ind w:left="720" w:hanging="360"/>
        <w:contextualSpacing/>
      </w:pPr>
    </w:p>
    <w:p w:rsidR="001616B2" w:rsidRDefault="001616B2" w:rsidP="00DC07FC">
      <w:pPr>
        <w:pStyle w:val="ListParagraph"/>
        <w:numPr>
          <w:ilvl w:val="0"/>
          <w:numId w:val="20"/>
        </w:numPr>
        <w:tabs>
          <w:tab w:val="left" w:pos="720"/>
        </w:tabs>
      </w:pPr>
      <w:r w:rsidRPr="00812E41">
        <w:t>Within 10 days of any change in the information required to be maintained on the membership records of the State Bar pursuant to Business and Professions Code section</w:t>
      </w:r>
      <w:r w:rsidR="00315206">
        <w:t> </w:t>
      </w:r>
      <w:r w:rsidRPr="00812E41">
        <w:t>6002.1, su</w:t>
      </w:r>
      <w:r>
        <w:t>bdivision</w:t>
      </w:r>
      <w:r w:rsidR="00315206">
        <w:t> </w:t>
      </w:r>
      <w:r>
        <w:t xml:space="preserve">(a), including </w:t>
      </w:r>
      <w:r w:rsidR="00EC5C21">
        <w:t xml:space="preserve">his </w:t>
      </w:r>
      <w:r w:rsidRPr="00812E41">
        <w:t xml:space="preserve">current office address and telephone number, or if no office is maintained, the address to be used for State Bar purposes, </w:t>
      </w:r>
      <w:r w:rsidR="00EC5C21">
        <w:t xml:space="preserve">he </w:t>
      </w:r>
      <w:r w:rsidRPr="00812E41">
        <w:t xml:space="preserve">must report such change in writing to the Membership Records Office </w:t>
      </w:r>
      <w:r>
        <w:t>and</w:t>
      </w:r>
      <w:r w:rsidRPr="00812E41">
        <w:t xml:space="preserve"> the State Bar Office of Probation</w:t>
      </w:r>
      <w:r>
        <w:t>.</w:t>
      </w:r>
    </w:p>
    <w:p w:rsidR="001616B2" w:rsidRPr="00D50330" w:rsidRDefault="001616B2" w:rsidP="00DC07FC">
      <w:pPr>
        <w:tabs>
          <w:tab w:val="left" w:pos="720"/>
        </w:tabs>
        <w:ind w:left="720" w:hanging="360"/>
        <w:contextualSpacing/>
      </w:pPr>
    </w:p>
    <w:p w:rsidR="001616B2" w:rsidRDefault="001616B2" w:rsidP="00DC07FC">
      <w:pPr>
        <w:pStyle w:val="ListParagraph"/>
        <w:numPr>
          <w:ilvl w:val="0"/>
          <w:numId w:val="20"/>
        </w:numPr>
        <w:tabs>
          <w:tab w:val="left" w:pos="720"/>
        </w:tabs>
      </w:pPr>
      <w:r>
        <w:t>Within 3</w:t>
      </w:r>
      <w:r w:rsidRPr="00812E41">
        <w:t xml:space="preserve">0 days </w:t>
      </w:r>
      <w:r>
        <w:t xml:space="preserve">after the effective date of discipline, </w:t>
      </w:r>
      <w:r w:rsidR="00EC5C21">
        <w:t xml:space="preserve">he </w:t>
      </w:r>
      <w:r>
        <w:t xml:space="preserve">must contact the Office of Probation and schedule a meeting with </w:t>
      </w:r>
      <w:r w:rsidR="00EC5C21">
        <w:t xml:space="preserve">his </w:t>
      </w:r>
      <w:r>
        <w:t xml:space="preserve">assigned probation deputy to discuss the terms and conditions of probation.  Upon the direction of the Office of Probation, </w:t>
      </w:r>
      <w:r w:rsidR="00EC5C21">
        <w:t xml:space="preserve">he </w:t>
      </w:r>
      <w:r w:rsidRPr="00812E41">
        <w:t xml:space="preserve">must </w:t>
      </w:r>
      <w:r>
        <w:t xml:space="preserve">meet with the probation deputy either in person or by telephone.  During the period of </w:t>
      </w:r>
      <w:r>
        <w:lastRenderedPageBreak/>
        <w:t xml:space="preserve">probation, </w:t>
      </w:r>
      <w:r w:rsidR="00EC5C21">
        <w:t xml:space="preserve">he </w:t>
      </w:r>
      <w:r>
        <w:t>must promptly meet with the probation deputy as directed and upon request.</w:t>
      </w:r>
    </w:p>
    <w:p w:rsidR="00E53CDF" w:rsidRDefault="00E53CDF" w:rsidP="00E53CDF">
      <w:pPr>
        <w:pStyle w:val="ListParagraph"/>
        <w:tabs>
          <w:tab w:val="left" w:pos="720"/>
        </w:tabs>
      </w:pPr>
    </w:p>
    <w:p w:rsidR="001616B2" w:rsidRDefault="00EC5C21" w:rsidP="00DC07FC">
      <w:pPr>
        <w:pStyle w:val="ListParagraph"/>
        <w:numPr>
          <w:ilvl w:val="0"/>
          <w:numId w:val="20"/>
        </w:numPr>
        <w:tabs>
          <w:tab w:val="left" w:pos="720"/>
        </w:tabs>
      </w:pPr>
      <w:r>
        <w:t xml:space="preserve">He </w:t>
      </w:r>
      <w:r w:rsidR="001616B2" w:rsidRPr="002F45AA">
        <w:t>must submit written quarterly reports to the Office of Probation on each January</w:t>
      </w:r>
      <w:r w:rsidR="001C2717">
        <w:t> </w:t>
      </w:r>
      <w:r w:rsidR="001616B2" w:rsidRPr="002F45AA">
        <w:t>10, April</w:t>
      </w:r>
      <w:r w:rsidR="001C2717">
        <w:t> </w:t>
      </w:r>
      <w:r w:rsidR="001616B2" w:rsidRPr="002F45AA">
        <w:t>10, July</w:t>
      </w:r>
      <w:r w:rsidR="001C2717">
        <w:t> </w:t>
      </w:r>
      <w:r w:rsidR="001616B2" w:rsidRPr="002F45AA">
        <w:t>10, and October</w:t>
      </w:r>
      <w:r w:rsidR="001C2717">
        <w:t> </w:t>
      </w:r>
      <w:r w:rsidR="001616B2" w:rsidRPr="002F45AA">
        <w:t xml:space="preserve">10 of the period of probation.  Under penalty of perjury, </w:t>
      </w:r>
      <w:r>
        <w:t xml:space="preserve">he </w:t>
      </w:r>
      <w:r w:rsidR="001616B2" w:rsidRPr="002F45AA">
        <w:t xml:space="preserve">must state whether </w:t>
      </w:r>
      <w:r>
        <w:t xml:space="preserve">he </w:t>
      </w:r>
      <w:r w:rsidR="001616B2" w:rsidRPr="002F45AA">
        <w:t xml:space="preserve">has complied with the State Bar Act, the Rules of Professional Conduct, and all of the conditions of </w:t>
      </w:r>
      <w:r>
        <w:t xml:space="preserve">his </w:t>
      </w:r>
      <w:r w:rsidR="001616B2" w:rsidRPr="002F45AA">
        <w:t>probation during the preceding calendar quarter.  In addition to all quarterly reports, a final report, containing the same information, is due no earlier than 20 days before the last day of the probation period and no later than the last day of the probation period.</w:t>
      </w:r>
    </w:p>
    <w:p w:rsidR="001616B2" w:rsidRDefault="001616B2" w:rsidP="00DC07FC">
      <w:pPr>
        <w:tabs>
          <w:tab w:val="left" w:pos="720"/>
        </w:tabs>
        <w:ind w:left="720" w:hanging="360"/>
        <w:contextualSpacing/>
      </w:pPr>
    </w:p>
    <w:p w:rsidR="001616B2" w:rsidRDefault="001616B2" w:rsidP="00DC07FC">
      <w:pPr>
        <w:pStyle w:val="ListParagraph"/>
        <w:numPr>
          <w:ilvl w:val="0"/>
          <w:numId w:val="20"/>
        </w:numPr>
        <w:tabs>
          <w:tab w:val="left" w:pos="720"/>
        </w:tabs>
      </w:pPr>
      <w:r w:rsidRPr="00812E41">
        <w:t xml:space="preserve">Subject to the assertion of applicable privileges, </w:t>
      </w:r>
      <w:r w:rsidR="00EC5C21">
        <w:t xml:space="preserve">he </w:t>
      </w:r>
      <w:r w:rsidRPr="00812E41">
        <w:t xml:space="preserve">must answer fully, promptly, and truthfully, any inquiries of the Office of Probation that are directed to </w:t>
      </w:r>
      <w:r w:rsidR="00EC5C21">
        <w:t xml:space="preserve">him </w:t>
      </w:r>
      <w:r w:rsidRPr="00812E41">
        <w:t xml:space="preserve">personally or in writing, relating to whether </w:t>
      </w:r>
      <w:r w:rsidR="00EC5C21">
        <w:t xml:space="preserve">he </w:t>
      </w:r>
      <w:r w:rsidRPr="00812E41">
        <w:t>is complying or has complied with the conditions contained herein</w:t>
      </w:r>
      <w:r>
        <w:t>.</w:t>
      </w:r>
    </w:p>
    <w:p w:rsidR="001616B2" w:rsidRDefault="001616B2" w:rsidP="00DC07FC">
      <w:pPr>
        <w:tabs>
          <w:tab w:val="left" w:pos="720"/>
        </w:tabs>
        <w:ind w:left="720" w:hanging="360"/>
        <w:contextualSpacing/>
      </w:pPr>
    </w:p>
    <w:p w:rsidR="001616B2" w:rsidRDefault="001616B2" w:rsidP="00DC07FC">
      <w:pPr>
        <w:pStyle w:val="ListParagraph"/>
        <w:numPr>
          <w:ilvl w:val="0"/>
          <w:numId w:val="20"/>
        </w:numPr>
        <w:tabs>
          <w:tab w:val="left" w:pos="720"/>
        </w:tabs>
      </w:pPr>
      <w:r w:rsidRPr="005539CE">
        <w:t xml:space="preserve">Within one year after the effective date of the discipline herein, </w:t>
      </w:r>
      <w:r w:rsidR="00EC5C21">
        <w:t xml:space="preserve">he </w:t>
      </w:r>
      <w:r w:rsidRPr="005539CE">
        <w:t xml:space="preserve">must submit to the Office of Probation satisfactory evidence of completion of the State Bar’s Ethics School </w:t>
      </w:r>
      <w:r w:rsidR="00F966DE">
        <w:t xml:space="preserve">and of the State Bar’s Client Trust Accounting School </w:t>
      </w:r>
      <w:r w:rsidRPr="005539CE">
        <w:t>and passage of the test</w:t>
      </w:r>
      <w:r w:rsidR="00F966DE">
        <w:t>s given at the end of those</w:t>
      </w:r>
      <w:r w:rsidRPr="005539CE">
        <w:t xml:space="preserve"> session</w:t>
      </w:r>
      <w:r w:rsidR="00F966DE">
        <w:t>s</w:t>
      </w:r>
      <w:r w:rsidRPr="005539CE">
        <w:t xml:space="preserve">.  This requirement is separate from any Minimum Continuing Legal Education (MCLE) requirement, and </w:t>
      </w:r>
      <w:r w:rsidR="00EC5C21">
        <w:t xml:space="preserve">he </w:t>
      </w:r>
      <w:r w:rsidRPr="005539CE">
        <w:t>shall not receive MCLE credit for attending Ethics School.</w:t>
      </w:r>
      <w:r w:rsidR="009D6D3A">
        <w:t xml:space="preserve"> </w:t>
      </w:r>
      <w:r w:rsidRPr="005539CE">
        <w:t xml:space="preserve"> (Rules Proc. of State Bar, rule</w:t>
      </w:r>
      <w:r w:rsidR="001C2717">
        <w:t> </w:t>
      </w:r>
      <w:r w:rsidRPr="005539CE">
        <w:t>3201.)</w:t>
      </w:r>
    </w:p>
    <w:p w:rsidR="001616B2" w:rsidRDefault="001616B2" w:rsidP="00183425">
      <w:pPr>
        <w:tabs>
          <w:tab w:val="left" w:pos="720"/>
        </w:tabs>
        <w:contextualSpacing/>
      </w:pPr>
    </w:p>
    <w:p w:rsidR="001616B2" w:rsidRDefault="00E03058" w:rsidP="00183425">
      <w:pPr>
        <w:tabs>
          <w:tab w:val="left" w:pos="720"/>
        </w:tabs>
        <w:spacing w:line="480" w:lineRule="auto"/>
      </w:pPr>
      <w:r>
        <w:tab/>
      </w:r>
      <w:r w:rsidR="001616B2" w:rsidRPr="004F622B">
        <w:t xml:space="preserve">The period of probation will commence on the effective date of the Supreme Court order imposing discipline in this matter.  At the expiration of the period of probation, if </w:t>
      </w:r>
      <w:r w:rsidR="00AF56D1">
        <w:t xml:space="preserve">he </w:t>
      </w:r>
      <w:r w:rsidR="001616B2" w:rsidRPr="004F622B">
        <w:t>has complied with all conditions of probation, the period of stayed suspension will be satisfied and that suspension will be terminated.</w:t>
      </w:r>
    </w:p>
    <w:p w:rsidR="00EC5C21" w:rsidRPr="009A4B3E" w:rsidRDefault="009D6D3A" w:rsidP="007311E4">
      <w:pPr>
        <w:pStyle w:val="Heading3"/>
      </w:pPr>
      <w:r>
        <w:t xml:space="preserve">VIII.  </w:t>
      </w:r>
      <w:r w:rsidR="00EC5C21" w:rsidRPr="009A4B3E">
        <w:t>PROFESSIONAL RESPONSIBILITY EXAMINATION</w:t>
      </w:r>
    </w:p>
    <w:p w:rsidR="006F0CFE" w:rsidRDefault="00EC5C21" w:rsidP="00183425">
      <w:pPr>
        <w:tabs>
          <w:tab w:val="left" w:pos="720"/>
        </w:tabs>
        <w:spacing w:line="480" w:lineRule="auto"/>
      </w:pPr>
      <w:r>
        <w:tab/>
        <w:t xml:space="preserve">We further recommend that </w:t>
      </w:r>
      <w:r w:rsidR="00AF56D1">
        <w:t xml:space="preserve">Albert Miklos Kun </w:t>
      </w:r>
      <w:r>
        <w:t xml:space="preserve">be ordered to take and pass the Multistate Professional Responsibility Examination administered by the National Conference of Bar Examiners during the period of </w:t>
      </w:r>
      <w:r w:rsidR="00AF56D1">
        <w:t xml:space="preserve">his </w:t>
      </w:r>
      <w:r>
        <w:t>actual suspension in this matter and to provide satisfactory proof of such passage to the Office of Probation within the same period.  Failure to do so may result in an automatic suspension.  (Cal. Rules of Court, rule 9.10(b).)</w:t>
      </w:r>
    </w:p>
    <w:p w:rsidR="00EC5C21" w:rsidRDefault="009D6D3A" w:rsidP="007311E4">
      <w:pPr>
        <w:pStyle w:val="Heading3"/>
      </w:pPr>
      <w:r>
        <w:t xml:space="preserve">IX.  </w:t>
      </w:r>
      <w:r w:rsidR="00EC5C21" w:rsidRPr="00AB5D67">
        <w:t>RULE 9.20</w:t>
      </w:r>
    </w:p>
    <w:p w:rsidR="00DA54CA" w:rsidRDefault="00EC5C21" w:rsidP="00297423">
      <w:pPr>
        <w:tabs>
          <w:tab w:val="left" w:pos="720"/>
        </w:tabs>
        <w:spacing w:line="480" w:lineRule="auto"/>
      </w:pPr>
      <w:r>
        <w:tab/>
      </w:r>
      <w:r w:rsidRPr="00AB5D67">
        <w:t xml:space="preserve">We further recommend that </w:t>
      </w:r>
      <w:r w:rsidR="00AF56D1">
        <w:t xml:space="preserve">Albert Miklos Kun </w:t>
      </w:r>
      <w:r w:rsidRPr="00AB5D67">
        <w:t>be ordered to comply with the requirements of rule</w:t>
      </w:r>
      <w:r w:rsidR="001C2717">
        <w:t> </w:t>
      </w:r>
      <w:r w:rsidRPr="00AB5D67">
        <w:t>9.20 of the</w:t>
      </w:r>
      <w:r>
        <w:t xml:space="preserve"> </w:t>
      </w:r>
      <w:r w:rsidRPr="00AB5D67">
        <w:t xml:space="preserve">California Rules of Court, and to perform the acts specified in </w:t>
      </w:r>
      <w:r w:rsidRPr="00AB5D67">
        <w:lastRenderedPageBreak/>
        <w:t>subdivisions</w:t>
      </w:r>
      <w:r w:rsidR="001C2717">
        <w:t> </w:t>
      </w:r>
      <w:r w:rsidRPr="00AB5D67">
        <w:t>(a) and (c) of that rule within 30 and 40 days, respectively, after the effective date of the Supreme Court order in this proceeding.  Failure to do so may result in disbarment or suspension.</w:t>
      </w:r>
    </w:p>
    <w:p w:rsidR="00EC5C21" w:rsidRDefault="009D6D3A" w:rsidP="007311E4">
      <w:pPr>
        <w:pStyle w:val="Heading3"/>
      </w:pPr>
      <w:bookmarkStart w:id="8" w:name="_GoBack"/>
      <w:r>
        <w:t xml:space="preserve">X.  </w:t>
      </w:r>
      <w:r w:rsidR="00EC5C21">
        <w:t>COSTS</w:t>
      </w:r>
      <w:bookmarkEnd w:id="8"/>
    </w:p>
    <w:p w:rsidR="00EC5C21" w:rsidRDefault="00EC5C21" w:rsidP="00183425">
      <w:pPr>
        <w:tabs>
          <w:tab w:val="left" w:pos="720"/>
        </w:tabs>
        <w:spacing w:line="480" w:lineRule="auto"/>
      </w:pPr>
      <w:r>
        <w:tab/>
      </w:r>
      <w:r w:rsidRPr="00101C9A">
        <w:t>We further recommend that costs be awarded to the State Bar in accordance with Business and Professions Code section</w:t>
      </w:r>
      <w:r w:rsidR="001C2717">
        <w:t> </w:t>
      </w:r>
      <w:r w:rsidRPr="00101C9A">
        <w:t>6086.10, such costs being enforceable both as provided in section</w:t>
      </w:r>
      <w:r w:rsidR="001C2717">
        <w:t> </w:t>
      </w:r>
      <w:r w:rsidRPr="00101C9A">
        <w:t>6140.7 and as a money judgment</w:t>
      </w:r>
      <w:r w:rsidR="00F83D5D">
        <w:t>.</w:t>
      </w:r>
    </w:p>
    <w:p w:rsidR="00832223" w:rsidRDefault="00832223" w:rsidP="00183425">
      <w:pPr>
        <w:tabs>
          <w:tab w:val="left" w:pos="720"/>
        </w:tabs>
      </w:pPr>
      <w:r w:rsidRPr="007768C9">
        <w:tab/>
      </w:r>
      <w:r w:rsidRPr="007768C9">
        <w:tab/>
      </w:r>
      <w:r w:rsidRPr="007768C9">
        <w:tab/>
      </w:r>
      <w:r w:rsidRPr="007768C9">
        <w:tab/>
      </w:r>
      <w:r w:rsidRPr="007768C9">
        <w:tab/>
      </w:r>
      <w:r w:rsidRPr="007768C9">
        <w:tab/>
      </w:r>
      <w:r w:rsidRPr="007768C9">
        <w:tab/>
      </w:r>
      <w:bookmarkStart w:id="9" w:name="judge"/>
      <w:bookmarkEnd w:id="9"/>
      <w:r w:rsidR="00B70F35">
        <w:t>McGILL,</w:t>
      </w:r>
      <w:r w:rsidR="00832AB5">
        <w:t xml:space="preserve"> </w:t>
      </w:r>
      <w:r w:rsidR="00B70F35">
        <w:t>J.</w:t>
      </w:r>
    </w:p>
    <w:p w:rsidR="00706366" w:rsidRDefault="00706366" w:rsidP="00183425">
      <w:pPr>
        <w:tabs>
          <w:tab w:val="left" w:pos="720"/>
        </w:tabs>
      </w:pPr>
    </w:p>
    <w:p w:rsidR="00832223" w:rsidRDefault="00832223" w:rsidP="00183425">
      <w:pPr>
        <w:tabs>
          <w:tab w:val="left" w:pos="720"/>
        </w:tabs>
        <w:spacing w:line="480" w:lineRule="auto"/>
      </w:pPr>
      <w:r>
        <w:t>WE CONCUR:</w:t>
      </w:r>
    </w:p>
    <w:p w:rsidR="00B70F35" w:rsidRDefault="00B70F35" w:rsidP="00183425">
      <w:pPr>
        <w:tabs>
          <w:tab w:val="left" w:pos="720"/>
        </w:tabs>
      </w:pPr>
      <w:bookmarkStart w:id="10" w:name="multinames"/>
      <w:bookmarkEnd w:id="10"/>
      <w:r>
        <w:t>PURCELL, P. J.</w:t>
      </w:r>
    </w:p>
    <w:p w:rsidR="00832AB5" w:rsidRDefault="00832AB5" w:rsidP="00183425">
      <w:pPr>
        <w:tabs>
          <w:tab w:val="left" w:pos="720"/>
        </w:tabs>
      </w:pPr>
    </w:p>
    <w:p w:rsidR="00B70F35" w:rsidRDefault="00B70F35" w:rsidP="00183425">
      <w:pPr>
        <w:tabs>
          <w:tab w:val="left" w:pos="720"/>
        </w:tabs>
      </w:pPr>
      <w:r>
        <w:t>HONN, J.</w:t>
      </w:r>
    </w:p>
    <w:p w:rsidR="00203644" w:rsidRPr="00E26B8A" w:rsidRDefault="00203644" w:rsidP="00183425">
      <w:pPr>
        <w:tabs>
          <w:tab w:val="left" w:pos="720"/>
        </w:tabs>
      </w:pPr>
    </w:p>
    <w:sectPr w:rsidR="00203644" w:rsidRPr="00E26B8A" w:rsidSect="002A535A">
      <w:footerReference w:type="default" r:id="rId9"/>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5D1" w:rsidRDefault="002215D1" w:rsidP="00055C8A">
      <w:r>
        <w:separator/>
      </w:r>
    </w:p>
  </w:endnote>
  <w:endnote w:type="continuationSeparator" w:id="0">
    <w:p w:rsidR="002215D1" w:rsidRDefault="002215D1"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8990"/>
      <w:docPartObj>
        <w:docPartGallery w:val="Page Numbers (Bottom of Page)"/>
        <w:docPartUnique/>
      </w:docPartObj>
    </w:sdtPr>
    <w:sdtEndPr/>
    <w:sdtContent>
      <w:p w:rsidR="002215D1" w:rsidRDefault="002215D1" w:rsidP="0099101B">
        <w:pPr>
          <w:pStyle w:val="Footer"/>
          <w:spacing w:before="120"/>
          <w:jc w:val="center"/>
        </w:pPr>
        <w:r>
          <w:t>-</w:t>
        </w:r>
        <w:r>
          <w:fldChar w:fldCharType="begin"/>
        </w:r>
        <w:r>
          <w:instrText xml:space="preserve"> PAGE   \* MERGEFORMAT </w:instrText>
        </w:r>
        <w:r>
          <w:fldChar w:fldCharType="separate"/>
        </w:r>
        <w:r w:rsidR="003D5CDD">
          <w:rPr>
            <w:noProof/>
          </w:rPr>
          <w:t>2</w:t>
        </w:r>
        <w:r>
          <w:rPr>
            <w:noProof/>
          </w:rPr>
          <w:fldChar w:fldCharType="end"/>
        </w:r>
        <w: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5D1" w:rsidRDefault="002215D1" w:rsidP="00055C8A">
      <w:r>
        <w:separator/>
      </w:r>
    </w:p>
  </w:footnote>
  <w:footnote w:type="continuationSeparator" w:id="0">
    <w:p w:rsidR="002215D1" w:rsidRDefault="002215D1" w:rsidP="00055C8A">
      <w:r>
        <w:continuationSeparator/>
      </w:r>
    </w:p>
  </w:footnote>
  <w:footnote w:id="1">
    <w:p w:rsidR="002215D1" w:rsidRDefault="002215D1" w:rsidP="006D3833">
      <w:pPr>
        <w:pStyle w:val="FootnoteText"/>
        <w:spacing w:after="120"/>
      </w:pPr>
      <w:r>
        <w:rPr>
          <w:rStyle w:val="FootnoteReference"/>
        </w:rPr>
        <w:footnoteRef/>
      </w:r>
      <w:r>
        <w:t xml:space="preserve"> Rules of Procedure of the State Bar, title IV, Standards for Attorney Sanctions for Professional Misconduct.  All further references to standards are to this source.</w:t>
      </w:r>
    </w:p>
  </w:footnote>
  <w:footnote w:id="2">
    <w:p w:rsidR="002215D1" w:rsidRDefault="002215D1" w:rsidP="008C1FF2">
      <w:pPr>
        <w:pStyle w:val="TemplateFootnote"/>
      </w:pPr>
      <w:r>
        <w:rPr>
          <w:rStyle w:val="FootnoteReference"/>
        </w:rPr>
        <w:footnoteRef/>
      </w:r>
      <w:r>
        <w:t xml:space="preserve"> </w:t>
      </w:r>
      <w:r w:rsidRPr="00574058">
        <w:t>Having independently reviewed all arguments set forth by</w:t>
      </w:r>
      <w:r>
        <w:t xml:space="preserve"> Kun</w:t>
      </w:r>
      <w:r w:rsidRPr="00574058">
        <w:t>, those not specifically addressed have been considered and are rejected as having no merit.</w:t>
      </w:r>
      <w:r>
        <w:t xml:space="preserve"> </w:t>
      </w:r>
    </w:p>
  </w:footnote>
  <w:footnote w:id="3">
    <w:p w:rsidR="002215D1" w:rsidRDefault="002215D1" w:rsidP="008A3D27">
      <w:pPr>
        <w:pStyle w:val="TemplateFootnote"/>
      </w:pPr>
      <w:r>
        <w:rPr>
          <w:rStyle w:val="FootnoteReference"/>
        </w:rPr>
        <w:footnoteRef/>
      </w:r>
      <w:r>
        <w:t xml:space="preserve"> All further references to rules are to this source, unless otherwise noted.  Under     rule 4-100(A), “[a]</w:t>
      </w:r>
      <w:r w:rsidRPr="00551C68">
        <w:t xml:space="preserve">ll </w:t>
      </w:r>
      <w:r w:rsidRPr="00F16476">
        <w:t>funds</w:t>
      </w:r>
      <w:r w:rsidRPr="00551C68">
        <w:t xml:space="preserve"> received or held for the benefit of clients</w:t>
      </w:r>
      <w:r>
        <w:t xml:space="preserve"> by a member . . . shall be deposited in one or more identifiable bank accounts labeled ‘Trust Account,’ ‘Client’s Funds Account’ or words of similar import . . . .”</w:t>
      </w:r>
    </w:p>
  </w:footnote>
  <w:footnote w:id="4">
    <w:p w:rsidR="002215D1" w:rsidRDefault="002215D1" w:rsidP="00684319">
      <w:pPr>
        <w:pStyle w:val="TemplateFootnote"/>
      </w:pPr>
      <w:r>
        <w:rPr>
          <w:rStyle w:val="FootnoteReference"/>
        </w:rPr>
        <w:footnoteRef/>
      </w:r>
      <w:r>
        <w:t xml:space="preserve"> All further references to sections are to this source.</w:t>
      </w:r>
      <w:r w:rsidRPr="00D77E6E">
        <w:t xml:space="preserve"> </w:t>
      </w:r>
      <w:r>
        <w:t xml:space="preserve"> Under section 6106, “[t]</w:t>
      </w:r>
      <w:r w:rsidRPr="00D77E6E">
        <w:t>he commission of any act involving moral turpitude</w:t>
      </w:r>
      <w:r>
        <w:t>,</w:t>
      </w:r>
      <w:r w:rsidRPr="00D77E6E">
        <w:t xml:space="preserve"> dishonesty or corruption, whether the act is committed in the course of his relations as an attorney or otherwise</w:t>
      </w:r>
      <w:r>
        <w:t xml:space="preserve"> . . .</w:t>
      </w:r>
      <w:r w:rsidRPr="00D77E6E">
        <w:t xml:space="preserve"> constitutes a cause</w:t>
      </w:r>
      <w:r>
        <w:t xml:space="preserve"> for disbarment or suspension.”  </w:t>
      </w:r>
    </w:p>
  </w:footnote>
  <w:footnote w:id="5">
    <w:p w:rsidR="002215D1" w:rsidRDefault="002215D1" w:rsidP="00995BA2">
      <w:pPr>
        <w:pStyle w:val="TemplateFootnote"/>
      </w:pPr>
      <w:r>
        <w:rPr>
          <w:rStyle w:val="FootnoteReference"/>
        </w:rPr>
        <w:footnoteRef/>
      </w:r>
      <w:r>
        <w:t xml:space="preserve"> Under rule 4-100(A), “[n]o funds belonging to the member or the law firm shall be deposited [in the client trust account] or otherwise commingled therewith. . . .”</w:t>
      </w:r>
    </w:p>
  </w:footnote>
  <w:footnote w:id="6">
    <w:p w:rsidR="002215D1" w:rsidRDefault="002215D1" w:rsidP="00706366">
      <w:pPr>
        <w:pStyle w:val="TemplateFootnote"/>
        <w:spacing w:after="0"/>
      </w:pPr>
      <w:r>
        <w:rPr>
          <w:rStyle w:val="FootnoteReference"/>
        </w:rPr>
        <w:footnoteRef/>
      </w:r>
      <w:r>
        <w:t xml:space="preserve"> For many years, Kun has maintained two CTAs: one at Wells Fargo Bank (Wells Fargo CTA) and another at Bank of the West (Bank of the West CTA).  Only Kun’s CTA records from Bank of the West are relevant to the issues in this case.</w:t>
      </w:r>
    </w:p>
  </w:footnote>
  <w:footnote w:id="7">
    <w:p w:rsidR="002215D1" w:rsidRPr="00C44BA7" w:rsidRDefault="002215D1" w:rsidP="0044062E">
      <w:pPr>
        <w:pStyle w:val="TemplateFootnote"/>
        <w:rPr>
          <w:color w:val="000000"/>
          <w:szCs w:val="24"/>
        </w:rPr>
      </w:pPr>
      <w:r>
        <w:rPr>
          <w:rStyle w:val="FootnoteReference"/>
        </w:rPr>
        <w:footnoteRef/>
      </w:r>
      <w:r>
        <w:t xml:space="preserve"> We base the </w:t>
      </w:r>
      <w:r w:rsidRPr="00177A32">
        <w:t xml:space="preserve">factual background on </w:t>
      </w:r>
      <w:r>
        <w:t xml:space="preserve">the Stipulation as to Facts and </w:t>
      </w:r>
      <w:r w:rsidR="002B04A2">
        <w:t>Admission</w:t>
      </w:r>
      <w:r w:rsidR="00230622">
        <w:t xml:space="preserve"> of </w:t>
      </w:r>
      <w:r>
        <w:t xml:space="preserve">Documents, the Supplemental Stipulation as to Facts, trial testimony, documentary evidence, and the hearing </w:t>
      </w:r>
      <w:r>
        <w:rPr>
          <w:szCs w:val="24"/>
        </w:rPr>
        <w:t xml:space="preserve">judge’s factual findings, which are entitled to great weight.  (Rules Proc. of State Bar, rule 5.155(A).) </w:t>
      </w:r>
      <w:r>
        <w:rPr>
          <w:color w:val="000000"/>
          <w:szCs w:val="24"/>
        </w:rPr>
        <w:t xml:space="preserve"> W</w:t>
      </w:r>
      <w:r>
        <w:rPr>
          <w:szCs w:val="24"/>
        </w:rPr>
        <w:t>e</w:t>
      </w:r>
      <w:r>
        <w:rPr>
          <w:color w:val="000000"/>
          <w:szCs w:val="24"/>
        </w:rPr>
        <w:t xml:space="preserve"> give great weight to the judge’s credibility findings.  (</w:t>
      </w:r>
      <w:r w:rsidRPr="00906307">
        <w:rPr>
          <w:i/>
          <w:color w:val="000000"/>
          <w:szCs w:val="24"/>
        </w:rPr>
        <w:t>McKnight v. State Bar</w:t>
      </w:r>
      <w:r w:rsidRPr="00906307">
        <w:rPr>
          <w:color w:val="000000"/>
          <w:szCs w:val="24"/>
        </w:rPr>
        <w:t xml:space="preserve"> (1991) 53</w:t>
      </w:r>
      <w:r>
        <w:rPr>
          <w:color w:val="000000"/>
          <w:szCs w:val="24"/>
        </w:rPr>
        <w:t> </w:t>
      </w:r>
      <w:r w:rsidRPr="00906307">
        <w:rPr>
          <w:color w:val="000000"/>
          <w:szCs w:val="24"/>
        </w:rPr>
        <w:t>Cal.3d 1025,</w:t>
      </w:r>
      <w:r>
        <w:rPr>
          <w:color w:val="000000"/>
          <w:szCs w:val="24"/>
        </w:rPr>
        <w:t xml:space="preserve"> </w:t>
      </w:r>
      <w:r w:rsidRPr="00906307">
        <w:rPr>
          <w:color w:val="000000"/>
          <w:szCs w:val="24"/>
        </w:rPr>
        <w:t>1032</w:t>
      </w:r>
      <w:r>
        <w:rPr>
          <w:color w:val="000000"/>
          <w:szCs w:val="24"/>
        </w:rPr>
        <w:t xml:space="preserve"> </w:t>
      </w:r>
      <w:r w:rsidRPr="00906307">
        <w:rPr>
          <w:color w:val="000000"/>
          <w:szCs w:val="24"/>
        </w:rPr>
        <w:t xml:space="preserve">[hearing judge </w:t>
      </w:r>
      <w:r>
        <w:rPr>
          <w:color w:val="000000"/>
          <w:szCs w:val="24"/>
        </w:rPr>
        <w:t xml:space="preserve">best suited to resolve </w:t>
      </w:r>
      <w:r w:rsidRPr="00906307">
        <w:rPr>
          <w:color w:val="000000"/>
          <w:szCs w:val="24"/>
        </w:rPr>
        <w:t>credibility questions</w:t>
      </w:r>
      <w:r>
        <w:rPr>
          <w:color w:val="000000"/>
          <w:szCs w:val="24"/>
        </w:rPr>
        <w:t xml:space="preserve"> “</w:t>
      </w:r>
      <w:r w:rsidRPr="00906307">
        <w:rPr>
          <w:color w:val="000000"/>
          <w:szCs w:val="24"/>
        </w:rPr>
        <w:t xml:space="preserve">because </w:t>
      </w:r>
      <w:r>
        <w:rPr>
          <w:color w:val="000000"/>
          <w:szCs w:val="24"/>
        </w:rPr>
        <w:t>[the judge]</w:t>
      </w:r>
      <w:r w:rsidRPr="00906307">
        <w:rPr>
          <w:color w:val="000000"/>
          <w:szCs w:val="24"/>
        </w:rPr>
        <w:t xml:space="preserve"> alone is able to observe the witnesses’ demeanor and evaluate their veracity</w:t>
      </w:r>
      <w:r>
        <w:rPr>
          <w:color w:val="000000"/>
          <w:szCs w:val="24"/>
        </w:rPr>
        <w:t xml:space="preserve"> firsthand”].)</w:t>
      </w:r>
    </w:p>
  </w:footnote>
  <w:footnote w:id="8">
    <w:p w:rsidR="002215D1" w:rsidRDefault="002215D1" w:rsidP="00F16476">
      <w:pPr>
        <w:pStyle w:val="TemplateFootnote"/>
      </w:pPr>
      <w:r>
        <w:rPr>
          <w:rStyle w:val="FootnoteReference"/>
        </w:rPr>
        <w:footnoteRef/>
      </w:r>
      <w:r>
        <w:t xml:space="preserve"> Under section 6148, “[i]n any case [other than contingency fee contracts] in which it is reasonably foreseeable that total expense to a client, including attorney fees, will exceed one thousand dollars. . . , the contract for services in the case shall be in writing.”</w:t>
      </w:r>
    </w:p>
  </w:footnote>
  <w:footnote w:id="9">
    <w:p w:rsidR="002215D1" w:rsidRDefault="002215D1">
      <w:pPr>
        <w:pStyle w:val="FootnoteText"/>
      </w:pPr>
      <w:r>
        <w:rPr>
          <w:rStyle w:val="FootnoteReference"/>
        </w:rPr>
        <w:footnoteRef/>
      </w:r>
      <w:r>
        <w:t xml:space="preserve"> </w:t>
      </w:r>
      <w:r w:rsidRPr="00850F1B">
        <w:t>The hearing judge found that LeGrande terminated Kun during the phone call on July</w:t>
      </w:r>
      <w:r>
        <w:t> </w:t>
      </w:r>
      <w:r w:rsidRPr="00850F1B">
        <w:t>7, 2014.  Both parties contend that this factual finding is in error.  The record shows that LeGrande did not terminate Kun during th</w:t>
      </w:r>
      <w:r>
        <w:t>at</w:t>
      </w:r>
      <w:r w:rsidRPr="00850F1B">
        <w:t xml:space="preserve"> call</w:t>
      </w:r>
      <w:r>
        <w:t>, but</w:t>
      </w:r>
      <w:r w:rsidRPr="00850F1B">
        <w:t xml:space="preserve"> </w:t>
      </w:r>
      <w:r>
        <w:t xml:space="preserve">did so </w:t>
      </w:r>
      <w:r w:rsidRPr="00850F1B">
        <w:t xml:space="preserve">after </w:t>
      </w:r>
      <w:r>
        <w:t xml:space="preserve">she </w:t>
      </w:r>
      <w:r w:rsidRPr="00850F1B">
        <w:t>receiv</w:t>
      </w:r>
      <w:r>
        <w:t>ed</w:t>
      </w:r>
      <w:r w:rsidRPr="00850F1B">
        <w:t xml:space="preserve"> the</w:t>
      </w:r>
      <w:r>
        <w:t xml:space="preserve"> unsatisfactory</w:t>
      </w:r>
      <w:r w:rsidRPr="00850F1B">
        <w:t xml:space="preserve"> </w:t>
      </w:r>
      <w:r>
        <w:t xml:space="preserve">draft </w:t>
      </w:r>
      <w:r w:rsidRPr="00850F1B">
        <w:t xml:space="preserve">petition </w:t>
      </w:r>
      <w:r>
        <w:t xml:space="preserve">regarding her mother’s trust </w:t>
      </w:r>
      <w:r w:rsidRPr="00850F1B">
        <w:t>on July</w:t>
      </w:r>
      <w:r>
        <w:t> </w:t>
      </w:r>
      <w:r w:rsidRPr="00850F1B">
        <w:t xml:space="preserve">10, 2014.  </w:t>
      </w:r>
    </w:p>
  </w:footnote>
  <w:footnote w:id="10">
    <w:p w:rsidR="002215D1" w:rsidRDefault="002215D1">
      <w:pPr>
        <w:pStyle w:val="FootnoteText"/>
      </w:pPr>
      <w:r>
        <w:rPr>
          <w:rStyle w:val="FootnoteReference"/>
        </w:rPr>
        <w:footnoteRef/>
      </w:r>
      <w:r>
        <w:t xml:space="preserve"> These personal and business expenses included car insurance, a car loan, office expenses, and personal healthcare expenses.</w:t>
      </w:r>
    </w:p>
  </w:footnote>
  <w:footnote w:id="11">
    <w:p w:rsidR="002215D1" w:rsidRDefault="002215D1" w:rsidP="001210D4">
      <w:pPr>
        <w:pStyle w:val="TemplateFootnote"/>
      </w:pPr>
      <w:r>
        <w:rPr>
          <w:rStyle w:val="FootnoteReference"/>
        </w:rPr>
        <w:footnoteRef/>
      </w:r>
      <w:r>
        <w:t xml:space="preserve"> Clear and convincing evidence leaves </w:t>
      </w:r>
      <w:r w:rsidRPr="00F03D05">
        <w:t>no</w:t>
      </w:r>
      <w:r>
        <w:t xml:space="preserve"> substantial doubt and is sufficiently strong to command the unhesitating assent of every reasonable mind.  (</w:t>
      </w:r>
      <w:r w:rsidRPr="00AF0984">
        <w:rPr>
          <w:i/>
        </w:rPr>
        <w:t>Conservatorship of Wendland</w:t>
      </w:r>
      <w:r>
        <w:t xml:space="preserve"> (2001) 26 Cal.4th 519, 552.)</w:t>
      </w:r>
    </w:p>
  </w:footnote>
  <w:footnote w:id="12">
    <w:p w:rsidR="00E7323F" w:rsidRDefault="00E7323F" w:rsidP="00D24488">
      <w:pPr>
        <w:pStyle w:val="TemplateFootnote"/>
      </w:pPr>
      <w:r>
        <w:rPr>
          <w:rStyle w:val="FootnoteReference"/>
        </w:rPr>
        <w:footnoteRef/>
      </w:r>
      <w:r>
        <w:t xml:space="preserve"> As explained by the Handbook: “</w:t>
      </w:r>
      <w:r w:rsidRPr="0006735F">
        <w:t xml:space="preserve">You </w:t>
      </w:r>
      <w:r w:rsidRPr="0006735F">
        <w:rPr>
          <w:i/>
          <w:iCs/>
        </w:rPr>
        <w:t>can</w:t>
      </w:r>
      <w:r>
        <w:rPr>
          <w:i/>
          <w:iCs/>
        </w:rPr>
        <w:t>’</w:t>
      </w:r>
      <w:r w:rsidRPr="0006735F">
        <w:rPr>
          <w:i/>
          <w:iCs/>
        </w:rPr>
        <w:t xml:space="preserve">t </w:t>
      </w:r>
      <w:r w:rsidRPr="0006735F">
        <w:t>make payments out of your client trust bank account to cover your own expenses, personal</w:t>
      </w:r>
      <w:r>
        <w:t xml:space="preserve"> </w:t>
      </w:r>
      <w:r w:rsidRPr="0006735F">
        <w:t>or business, or for any other purpose that isn't directly related to carrying out your duties to an</w:t>
      </w:r>
      <w:r>
        <w:t xml:space="preserve"> </w:t>
      </w:r>
      <w:r w:rsidRPr="0006735F">
        <w:t>individual client.</w:t>
      </w:r>
      <w:r>
        <w:t>”  (</w:t>
      </w:r>
      <w:r w:rsidR="00F82851">
        <w:t xml:space="preserve">Handbook (2013) § VI, p. 19, </w:t>
      </w:r>
      <w:r w:rsidR="00E81F0F">
        <w:t xml:space="preserve">italics in </w:t>
      </w:r>
      <w:r w:rsidR="00F82851">
        <w:t>original</w:t>
      </w:r>
      <w:r>
        <w:t>.)</w:t>
      </w:r>
    </w:p>
  </w:footnote>
  <w:footnote w:id="13">
    <w:p w:rsidR="005124B6" w:rsidRDefault="005124B6" w:rsidP="005124B6">
      <w:pPr>
        <w:pStyle w:val="FootnoteText"/>
      </w:pPr>
      <w:r>
        <w:rPr>
          <w:rStyle w:val="FootnoteReference"/>
        </w:rPr>
        <w:footnoteRef/>
      </w:r>
      <w:r>
        <w:t xml:space="preserve"> Standard 2.1(a) provides, inter alia, that disbarment is the presumed sanction for an intentional or dishonest misappropriation unless the amount misappropriated is “insignificantly small” or sufficient compelling mitigating circumstances clearly predominate.</w:t>
      </w:r>
    </w:p>
  </w:footnote>
  <w:footnote w:id="14">
    <w:p w:rsidR="002215D1" w:rsidRDefault="002215D1" w:rsidP="007C1C6A">
      <w:pPr>
        <w:pStyle w:val="TemplateFootnote"/>
        <w:spacing w:after="0"/>
      </w:pPr>
      <w:r>
        <w:rPr>
          <w:rStyle w:val="FootnoteReference"/>
        </w:rPr>
        <w:footnoteRef/>
      </w:r>
      <w:r>
        <w:t xml:space="preserve"> Standard 1.5 </w:t>
      </w:r>
      <w:r w:rsidRPr="00BE77CB">
        <w:t xml:space="preserve">requires OCTC to establish aggravating </w:t>
      </w:r>
      <w:r w:rsidRPr="001D7CFA">
        <w:t>circumstances</w:t>
      </w:r>
      <w:r w:rsidRPr="00BE77CB">
        <w:t xml:space="preserve"> by </w:t>
      </w:r>
      <w:r>
        <w:t>clear and convincing evidence.  S</w:t>
      </w:r>
      <w:r w:rsidRPr="00A532D0">
        <w:t>tandard</w:t>
      </w:r>
      <w:r>
        <w:t> </w:t>
      </w:r>
      <w:r w:rsidRPr="00A532D0">
        <w:t>1.6</w:t>
      </w:r>
      <w:r>
        <w:t xml:space="preserve"> requires Kun </w:t>
      </w:r>
      <w:r w:rsidRPr="00A532D0">
        <w:t>to meet the sa</w:t>
      </w:r>
      <w:r>
        <w:t>me burden to prove mitigation.</w:t>
      </w:r>
      <w:r w:rsidRPr="00BE77CB">
        <w:t xml:space="preserve">  </w:t>
      </w:r>
    </w:p>
  </w:footnote>
  <w:footnote w:id="15">
    <w:p w:rsidR="002215D1" w:rsidRDefault="002215D1" w:rsidP="009F0FBC">
      <w:pPr>
        <w:pStyle w:val="TemplateFootnote"/>
        <w:spacing w:after="0"/>
      </w:pPr>
      <w:r>
        <w:rPr>
          <w:rStyle w:val="FootnoteReference"/>
        </w:rPr>
        <w:footnoteRef/>
      </w:r>
      <w:r>
        <w:t xml:space="preserve"> Accordingly, we reject Kun’s challenges of the hearing judge’s refusal to admit the declaration.  </w:t>
      </w:r>
    </w:p>
  </w:footnote>
  <w:footnote w:id="16">
    <w:p w:rsidR="002215D1" w:rsidRDefault="002215D1" w:rsidP="009C2EFE">
      <w:pPr>
        <w:pStyle w:val="TemplateFootnote"/>
      </w:pPr>
      <w:r>
        <w:rPr>
          <w:rStyle w:val="FootnoteReference"/>
        </w:rPr>
        <w:footnoteRef/>
      </w:r>
      <w:r>
        <w:t xml:space="preserve"> </w:t>
      </w:r>
      <w:r w:rsidRPr="0073476E">
        <w:t>The purpose of attorney discipline is not to punish the attorney, but to protect the public, the courts, and the legal profession</w:t>
      </w:r>
      <w:r>
        <w:t>;</w:t>
      </w:r>
      <w:r w:rsidRPr="0073476E">
        <w:t xml:space="preserve"> to preserve public confidence in the profession</w:t>
      </w:r>
      <w:r>
        <w:t>;</w:t>
      </w:r>
      <w:r w:rsidRPr="0073476E">
        <w:t xml:space="preserve"> and to maintain high professional standards for attorney</w:t>
      </w:r>
      <w:r>
        <w:t>s.  (Std. </w:t>
      </w:r>
      <w:r w:rsidRPr="0073476E">
        <w:t>1.</w:t>
      </w:r>
      <w:r>
        <w:t xml:space="preserve">1.)  </w:t>
      </w:r>
    </w:p>
  </w:footnote>
  <w:footnote w:id="17">
    <w:p w:rsidR="002215D1" w:rsidRDefault="002215D1" w:rsidP="00C4657E">
      <w:pPr>
        <w:pStyle w:val="TemplateFootnote"/>
      </w:pPr>
      <w:r w:rsidRPr="00D07284">
        <w:rPr>
          <w:rStyle w:val="FootnoteReference"/>
        </w:rPr>
        <w:footnoteRef/>
      </w:r>
      <w:r>
        <w:t xml:space="preserve"> </w:t>
      </w:r>
      <w:r w:rsidRPr="00D07284">
        <w:t>OCTC reserved the right to modify this request at trial.</w:t>
      </w:r>
    </w:p>
  </w:footnote>
  <w:footnote w:id="18">
    <w:p w:rsidR="002215D1" w:rsidRPr="001223A2" w:rsidRDefault="002215D1" w:rsidP="00C44B04">
      <w:pPr>
        <w:pStyle w:val="TemplateFootnote"/>
      </w:pPr>
      <w:r w:rsidRPr="001223A2">
        <w:rPr>
          <w:rStyle w:val="FootnoteReference"/>
          <w:szCs w:val="24"/>
        </w:rPr>
        <w:footnoteRef/>
      </w:r>
      <w:r w:rsidRPr="001223A2">
        <w:t xml:space="preserve"> </w:t>
      </w:r>
      <w:r>
        <w:t>Standard</w:t>
      </w:r>
      <w:r>
        <w:rPr>
          <w:rFonts w:eastAsia="Times New Roman"/>
        </w:rPr>
        <w:t> 2.2(a</w:t>
      </w:r>
      <w:r w:rsidRPr="001223A2">
        <w:rPr>
          <w:rFonts w:eastAsia="Times New Roman"/>
        </w:rPr>
        <w:t>)</w:t>
      </w:r>
      <w:r w:rsidR="00C4657E">
        <w:rPr>
          <w:rFonts w:eastAsia="Times New Roman"/>
        </w:rPr>
        <w:t xml:space="preserve"> provides that a </w:t>
      </w:r>
      <w:r>
        <w:rPr>
          <w:rFonts w:eastAsia="Times New Roman"/>
        </w:rPr>
        <w:t>three-month actual suspension</w:t>
      </w:r>
      <w:r w:rsidR="00C4657E">
        <w:rPr>
          <w:rFonts w:eastAsia="Times New Roman"/>
        </w:rPr>
        <w:t xml:space="preserve"> is the</w:t>
      </w:r>
      <w:r>
        <w:rPr>
          <w:rFonts w:eastAsia="Times New Roman"/>
        </w:rPr>
        <w:t xml:space="preserve"> pr</w:t>
      </w:r>
      <w:r w:rsidR="00C4657E">
        <w:rPr>
          <w:rFonts w:eastAsia="Times New Roman"/>
        </w:rPr>
        <w:t>esumed sanction for commingling.</w:t>
      </w:r>
    </w:p>
  </w:footnote>
  <w:footnote w:id="19">
    <w:p w:rsidR="002215D1" w:rsidRDefault="002215D1" w:rsidP="00E62A86">
      <w:pPr>
        <w:pStyle w:val="TemplateFootnote"/>
      </w:pPr>
      <w:r>
        <w:rPr>
          <w:rStyle w:val="FootnoteReference"/>
        </w:rPr>
        <w:footnoteRef/>
      </w:r>
      <w:r>
        <w:t xml:space="preserve"> The two stated exceptions to disbarment under standard 1.8(b) do not apply here because (1) Kun did not prove compelling mitigation that clearly pr</w:t>
      </w:r>
      <w:r w:rsidR="00D24E1F">
        <w:t>edominates,</w:t>
      </w:r>
      <w:r>
        <w:t xml:space="preserve"> and (2) his present misconduct did not overlap in time with his prior misconduct.</w:t>
      </w:r>
    </w:p>
  </w:footnote>
  <w:footnote w:id="20">
    <w:p w:rsidR="002215D1" w:rsidRDefault="002215D1" w:rsidP="009F0FBC">
      <w:pPr>
        <w:pStyle w:val="TemplateFootnote"/>
      </w:pPr>
      <w:r w:rsidRPr="003F2589">
        <w:rPr>
          <w:rStyle w:val="FootnoteReference"/>
        </w:rPr>
        <w:footnoteRef/>
      </w:r>
      <w:r w:rsidRPr="003F2589">
        <w:rPr>
          <w:rStyle w:val="FootnoteReference"/>
        </w:rPr>
        <w:t xml:space="preserve"> </w:t>
      </w:r>
      <w:r w:rsidRPr="00D07284">
        <w:t xml:space="preserve">See </w:t>
      </w:r>
      <w:r w:rsidRPr="00271E64">
        <w:rPr>
          <w:i/>
        </w:rPr>
        <w:t>In the Matter of Bleecker</w:t>
      </w:r>
      <w:r w:rsidR="00293109">
        <w:t xml:space="preserve">, </w:t>
      </w:r>
      <w:r w:rsidR="00293109">
        <w:rPr>
          <w:i/>
        </w:rPr>
        <w:t>supra</w:t>
      </w:r>
      <w:r w:rsidR="00293109">
        <w:t xml:space="preserve">, </w:t>
      </w:r>
      <w:r w:rsidRPr="00D07284">
        <w:t>1</w:t>
      </w:r>
      <w:r w:rsidR="00465990">
        <w:t> </w:t>
      </w:r>
      <w:r w:rsidRPr="00D07284">
        <w:t xml:space="preserve">Cal. State Bar Ct. Rptr. </w:t>
      </w:r>
      <w:r w:rsidR="00293109">
        <w:t>at pp. 122, 127</w:t>
      </w:r>
      <w:r w:rsidRPr="00D07284">
        <w:t xml:space="preserve"> (amount of misappropriated funds considered in determining discipline; $270 non-intentional misappropriation deemed “relatively small amount”).</w:t>
      </w:r>
    </w:p>
  </w:footnote>
  <w:footnote w:id="21">
    <w:p w:rsidR="002215D1" w:rsidRDefault="002215D1" w:rsidP="009C2EFE">
      <w:pPr>
        <w:pStyle w:val="TemplateFootnote"/>
      </w:pPr>
      <w:r w:rsidRPr="003F2589">
        <w:rPr>
          <w:rStyle w:val="FootnoteReference"/>
        </w:rPr>
        <w:footnoteRef/>
      </w:r>
      <w:r w:rsidRPr="003F2589">
        <w:rPr>
          <w:rStyle w:val="FootnoteReference"/>
        </w:rPr>
        <w:t xml:space="preserve"> </w:t>
      </w:r>
      <w:r>
        <w:t>Standard</w:t>
      </w:r>
      <w:r w:rsidR="00697C2D">
        <w:t> </w:t>
      </w:r>
      <w:r>
        <w:t xml:space="preserve">1.2(c)(1) (actual suspension generally for period of 30 days, </w:t>
      </w:r>
      <w:r w:rsidR="00697C2D">
        <w:t>60</w:t>
      </w:r>
      <w:r>
        <w:t xml:space="preserve"> days, 90 days, six months, one year, </w:t>
      </w:r>
      <w:r w:rsidR="00697C2D">
        <w:t>18</w:t>
      </w:r>
      <w:r>
        <w:t xml:space="preserve"> months, two years, three years, or until conditions met).</w:t>
      </w:r>
    </w:p>
  </w:footnote>
  <w:footnote w:id="22">
    <w:p w:rsidR="002A1776" w:rsidRDefault="002A1776" w:rsidP="009D6D3A">
      <w:pPr>
        <w:pStyle w:val="TemplateFootnote"/>
      </w:pPr>
      <w:r>
        <w:rPr>
          <w:rStyle w:val="FootnoteReference"/>
        </w:rPr>
        <w:footnoteRef/>
      </w:r>
      <w:r>
        <w:t xml:space="preserve"> </w:t>
      </w:r>
      <w:r w:rsidR="000D45DF" w:rsidRPr="000D45DF">
        <w:t>The hearing judge appears to make a contradictory finding, at page 11 of her decision, that Kun’s prior record of discipline and current disciplinary proceedings demonstrate an unwillingness to conform to his ethical responsibilities.  We do not find an unwillingness to conform given that Kun’s last misconduct occurred over a decade before his current misconduct and the better part of his lengthy career has been discipline free</w:t>
      </w:r>
      <w:r w:rsidR="000D45DF">
        <w:t>.</w:t>
      </w:r>
    </w:p>
  </w:footnote>
  <w:footnote w:id="23">
    <w:p w:rsidR="002215D1" w:rsidRPr="003F2589" w:rsidRDefault="002215D1" w:rsidP="009C2EFE">
      <w:pPr>
        <w:pStyle w:val="FootnoteText"/>
      </w:pPr>
      <w:r w:rsidRPr="003F2589">
        <w:rPr>
          <w:rStyle w:val="FootnoteReference"/>
        </w:rPr>
        <w:footnoteRef/>
      </w:r>
      <w:r w:rsidRPr="003F2589">
        <w:rPr>
          <w:rStyle w:val="FootnoteReference"/>
        </w:rPr>
        <w:t xml:space="preserve"> </w:t>
      </w:r>
      <w:r w:rsidRPr="003F2589">
        <w:t>The cases cited by the hearing judge in support of a one-year actual suspension are distinguishable from the present case as the disciplined attorneys did not have any</w:t>
      </w:r>
      <w:r>
        <w:t xml:space="preserve"> prior </w:t>
      </w:r>
      <w:r w:rsidR="00697C2D">
        <w:t xml:space="preserve">disciplinary </w:t>
      </w:r>
      <w:r>
        <w:t xml:space="preserve">record </w:t>
      </w:r>
      <w:r w:rsidRPr="003F2589">
        <w:t>and presented greater mitigation than Kun</w:t>
      </w:r>
      <w:r w:rsidR="00BE603A">
        <w:t xml:space="preserve"> did</w:t>
      </w:r>
      <w:r w:rsidRPr="003F2589">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4">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E36F4B"/>
    <w:multiLevelType w:val="hybridMultilevel"/>
    <w:tmpl w:val="A636DE54"/>
    <w:lvl w:ilvl="0" w:tplc="07360DCC">
      <w:start w:val="1"/>
      <w:numFmt w:val="upperLetter"/>
      <w:suff w:val="space"/>
      <w:lvlText w:val="%1."/>
      <w:lvlJc w:val="left"/>
      <w:pPr>
        <w:ind w:left="1440" w:hanging="144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8">
    <w:nsid w:val="2DE96CF1"/>
    <w:multiLevelType w:val="multilevel"/>
    <w:tmpl w:val="6F86EEC4"/>
    <w:lvl w:ilvl="0">
      <w:start w:val="1"/>
      <w:numFmt w:val="upperRoman"/>
      <w:lvlText w:val="%1."/>
      <w:lvlJc w:val="left"/>
      <w:pPr>
        <w:ind w:left="1080" w:hanging="720"/>
      </w:pPr>
      <w:rPr>
        <w:rFonts w:hint="default"/>
      </w:rPr>
    </w:lvl>
    <w:lvl w:ilvl="1">
      <w:start w:val="1"/>
      <w:numFmt w:val="upp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2">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3">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7">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23">
    <w:nsid w:val="7FC3225E"/>
    <w:multiLevelType w:val="hybridMultilevel"/>
    <w:tmpl w:val="088637B0"/>
    <w:lvl w:ilvl="0" w:tplc="B85644DA">
      <w:start w:val="1"/>
      <w:numFmt w:val="upperRoman"/>
      <w:lvlText w:val="%1."/>
      <w:lvlJc w:val="left"/>
      <w:pPr>
        <w:ind w:left="1080" w:hanging="720"/>
      </w:pPr>
      <w:rPr>
        <w:rFonts w:hint="default"/>
      </w:rPr>
    </w:lvl>
    <w:lvl w:ilvl="1" w:tplc="18DC00C6">
      <w:start w:val="1"/>
      <w:numFmt w:val="upperLetter"/>
      <w:lvlText w:val="%2."/>
      <w:lvlJc w:val="left"/>
      <w:pPr>
        <w:ind w:left="1710" w:hanging="1440"/>
      </w:pPr>
      <w:rPr>
        <w:rFonts w:hint="default"/>
        <w:b/>
      </w:rPr>
    </w:lvl>
    <w:lvl w:ilvl="2" w:tplc="22162434">
      <w:start w:val="1"/>
      <w:numFmt w:val="lowerRoman"/>
      <w:lvlText w:val="%3."/>
      <w:lvlJc w:val="right"/>
      <w:pPr>
        <w:ind w:left="2160" w:hanging="180"/>
      </w:pPr>
      <w:rPr>
        <w:rFonts w:hint="default"/>
      </w:rPr>
    </w:lvl>
    <w:lvl w:ilvl="3" w:tplc="0742C3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5"/>
  </w:num>
  <w:num w:numId="4">
    <w:abstractNumId w:val="19"/>
  </w:num>
  <w:num w:numId="5">
    <w:abstractNumId w:val="4"/>
  </w:num>
  <w:num w:numId="6">
    <w:abstractNumId w:val="15"/>
  </w:num>
  <w:num w:numId="7">
    <w:abstractNumId w:val="10"/>
  </w:num>
  <w:num w:numId="8">
    <w:abstractNumId w:val="9"/>
  </w:num>
  <w:num w:numId="9">
    <w:abstractNumId w:val="17"/>
  </w:num>
  <w:num w:numId="10">
    <w:abstractNumId w:val="16"/>
  </w:num>
  <w:num w:numId="11">
    <w:abstractNumId w:val="12"/>
  </w:num>
  <w:num w:numId="12">
    <w:abstractNumId w:val="7"/>
  </w:num>
  <w:num w:numId="13">
    <w:abstractNumId w:val="22"/>
  </w:num>
  <w:num w:numId="14">
    <w:abstractNumId w:val="18"/>
  </w:num>
  <w:num w:numId="15">
    <w:abstractNumId w:val="11"/>
  </w:num>
  <w:num w:numId="16">
    <w:abstractNumId w:val="3"/>
  </w:num>
  <w:num w:numId="17">
    <w:abstractNumId w:val="0"/>
  </w:num>
  <w:num w:numId="18">
    <w:abstractNumId w:val="21"/>
  </w:num>
  <w:num w:numId="19">
    <w:abstractNumId w:val="1"/>
  </w:num>
  <w:num w:numId="20">
    <w:abstractNumId w:val="2"/>
  </w:num>
  <w:num w:numId="21">
    <w:abstractNumId w:val="20"/>
  </w:num>
  <w:num w:numId="22">
    <w:abstractNumId w:val="23"/>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20"/>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F35"/>
    <w:rsid w:val="000155E6"/>
    <w:rsid w:val="00015966"/>
    <w:rsid w:val="000161FD"/>
    <w:rsid w:val="0002043F"/>
    <w:rsid w:val="000206F7"/>
    <w:rsid w:val="000247F2"/>
    <w:rsid w:val="00025309"/>
    <w:rsid w:val="00027058"/>
    <w:rsid w:val="00027125"/>
    <w:rsid w:val="00032797"/>
    <w:rsid w:val="0003339E"/>
    <w:rsid w:val="000334C6"/>
    <w:rsid w:val="00042AAE"/>
    <w:rsid w:val="000432A2"/>
    <w:rsid w:val="000500F2"/>
    <w:rsid w:val="00055216"/>
    <w:rsid w:val="00055C8A"/>
    <w:rsid w:val="00060D20"/>
    <w:rsid w:val="0006335D"/>
    <w:rsid w:val="000640BC"/>
    <w:rsid w:val="00065A44"/>
    <w:rsid w:val="0006654B"/>
    <w:rsid w:val="0006735F"/>
    <w:rsid w:val="00073E72"/>
    <w:rsid w:val="0007643C"/>
    <w:rsid w:val="00076FB9"/>
    <w:rsid w:val="00077ED2"/>
    <w:rsid w:val="000876D9"/>
    <w:rsid w:val="00087B57"/>
    <w:rsid w:val="00092189"/>
    <w:rsid w:val="00093262"/>
    <w:rsid w:val="0009560B"/>
    <w:rsid w:val="000977EB"/>
    <w:rsid w:val="000A2FD6"/>
    <w:rsid w:val="000A5822"/>
    <w:rsid w:val="000A5ADA"/>
    <w:rsid w:val="000A757C"/>
    <w:rsid w:val="000B2C26"/>
    <w:rsid w:val="000B3BA7"/>
    <w:rsid w:val="000B3F52"/>
    <w:rsid w:val="000B58E6"/>
    <w:rsid w:val="000B6FEC"/>
    <w:rsid w:val="000B784F"/>
    <w:rsid w:val="000B7D56"/>
    <w:rsid w:val="000C144C"/>
    <w:rsid w:val="000C4D16"/>
    <w:rsid w:val="000C6048"/>
    <w:rsid w:val="000D16D9"/>
    <w:rsid w:val="000D45DF"/>
    <w:rsid w:val="000D6726"/>
    <w:rsid w:val="000E0A7C"/>
    <w:rsid w:val="000E14EA"/>
    <w:rsid w:val="000E23F8"/>
    <w:rsid w:val="000E321A"/>
    <w:rsid w:val="000E4BA8"/>
    <w:rsid w:val="000E72BF"/>
    <w:rsid w:val="000F3BB3"/>
    <w:rsid w:val="000F4645"/>
    <w:rsid w:val="000F5E35"/>
    <w:rsid w:val="00102204"/>
    <w:rsid w:val="00106AE5"/>
    <w:rsid w:val="0011063F"/>
    <w:rsid w:val="0011488A"/>
    <w:rsid w:val="001210D4"/>
    <w:rsid w:val="00126761"/>
    <w:rsid w:val="001269E6"/>
    <w:rsid w:val="00132A98"/>
    <w:rsid w:val="00133621"/>
    <w:rsid w:val="00133A76"/>
    <w:rsid w:val="0013602B"/>
    <w:rsid w:val="00141FF8"/>
    <w:rsid w:val="00147E39"/>
    <w:rsid w:val="00150E62"/>
    <w:rsid w:val="001516DE"/>
    <w:rsid w:val="0015212D"/>
    <w:rsid w:val="00154135"/>
    <w:rsid w:val="0015497C"/>
    <w:rsid w:val="00156414"/>
    <w:rsid w:val="00160894"/>
    <w:rsid w:val="00160C30"/>
    <w:rsid w:val="001616B2"/>
    <w:rsid w:val="001633B2"/>
    <w:rsid w:val="001645FB"/>
    <w:rsid w:val="0016653C"/>
    <w:rsid w:val="00170C86"/>
    <w:rsid w:val="00172237"/>
    <w:rsid w:val="00172A16"/>
    <w:rsid w:val="00175256"/>
    <w:rsid w:val="00175712"/>
    <w:rsid w:val="00177758"/>
    <w:rsid w:val="00177944"/>
    <w:rsid w:val="00181F0C"/>
    <w:rsid w:val="0018330E"/>
    <w:rsid w:val="00183425"/>
    <w:rsid w:val="001840FB"/>
    <w:rsid w:val="001873F6"/>
    <w:rsid w:val="00190515"/>
    <w:rsid w:val="001933F0"/>
    <w:rsid w:val="00195440"/>
    <w:rsid w:val="001A3082"/>
    <w:rsid w:val="001A6CD9"/>
    <w:rsid w:val="001B0733"/>
    <w:rsid w:val="001B12A4"/>
    <w:rsid w:val="001B208B"/>
    <w:rsid w:val="001B21E7"/>
    <w:rsid w:val="001B2F99"/>
    <w:rsid w:val="001B3B9E"/>
    <w:rsid w:val="001B5B7E"/>
    <w:rsid w:val="001B61A2"/>
    <w:rsid w:val="001B6200"/>
    <w:rsid w:val="001B6D74"/>
    <w:rsid w:val="001B7F9B"/>
    <w:rsid w:val="001C0276"/>
    <w:rsid w:val="001C0964"/>
    <w:rsid w:val="001C2717"/>
    <w:rsid w:val="001C6D4B"/>
    <w:rsid w:val="001D1ED7"/>
    <w:rsid w:val="001D3A28"/>
    <w:rsid w:val="001D4B94"/>
    <w:rsid w:val="001D69C0"/>
    <w:rsid w:val="001D7AF8"/>
    <w:rsid w:val="001E3579"/>
    <w:rsid w:val="001E3E25"/>
    <w:rsid w:val="001E5A9B"/>
    <w:rsid w:val="001E64A0"/>
    <w:rsid w:val="001F16FC"/>
    <w:rsid w:val="001F3EE9"/>
    <w:rsid w:val="001F4D04"/>
    <w:rsid w:val="001F703B"/>
    <w:rsid w:val="002010F3"/>
    <w:rsid w:val="00203644"/>
    <w:rsid w:val="002053A3"/>
    <w:rsid w:val="00210CB6"/>
    <w:rsid w:val="00215D33"/>
    <w:rsid w:val="00220005"/>
    <w:rsid w:val="002215D1"/>
    <w:rsid w:val="00223504"/>
    <w:rsid w:val="00223BF0"/>
    <w:rsid w:val="00227187"/>
    <w:rsid w:val="00230622"/>
    <w:rsid w:val="00232B0A"/>
    <w:rsid w:val="00234D03"/>
    <w:rsid w:val="00235764"/>
    <w:rsid w:val="0023766E"/>
    <w:rsid w:val="0024103B"/>
    <w:rsid w:val="0024299E"/>
    <w:rsid w:val="00243A9D"/>
    <w:rsid w:val="00244A80"/>
    <w:rsid w:val="00245788"/>
    <w:rsid w:val="002464C0"/>
    <w:rsid w:val="002508B4"/>
    <w:rsid w:val="002518C1"/>
    <w:rsid w:val="00252683"/>
    <w:rsid w:val="00252C67"/>
    <w:rsid w:val="00253E1F"/>
    <w:rsid w:val="002630D6"/>
    <w:rsid w:val="002636D9"/>
    <w:rsid w:val="002645A0"/>
    <w:rsid w:val="00265EC7"/>
    <w:rsid w:val="00277FD3"/>
    <w:rsid w:val="00280472"/>
    <w:rsid w:val="00282CBB"/>
    <w:rsid w:val="0028625D"/>
    <w:rsid w:val="00287021"/>
    <w:rsid w:val="00291BD4"/>
    <w:rsid w:val="00292094"/>
    <w:rsid w:val="00292AAF"/>
    <w:rsid w:val="00293109"/>
    <w:rsid w:val="00293579"/>
    <w:rsid w:val="00297423"/>
    <w:rsid w:val="002A010C"/>
    <w:rsid w:val="002A1776"/>
    <w:rsid w:val="002A535A"/>
    <w:rsid w:val="002B04A2"/>
    <w:rsid w:val="002B4493"/>
    <w:rsid w:val="002C1DF8"/>
    <w:rsid w:val="002C47B6"/>
    <w:rsid w:val="002C50B6"/>
    <w:rsid w:val="002D045D"/>
    <w:rsid w:val="002D0B85"/>
    <w:rsid w:val="002D3DE8"/>
    <w:rsid w:val="002D4778"/>
    <w:rsid w:val="002E18CB"/>
    <w:rsid w:val="002E4279"/>
    <w:rsid w:val="002E7623"/>
    <w:rsid w:val="002F078B"/>
    <w:rsid w:val="002F0B2D"/>
    <w:rsid w:val="002F1034"/>
    <w:rsid w:val="002F3BFA"/>
    <w:rsid w:val="002F45AA"/>
    <w:rsid w:val="002F65F7"/>
    <w:rsid w:val="002F6B65"/>
    <w:rsid w:val="002F7583"/>
    <w:rsid w:val="00306403"/>
    <w:rsid w:val="00307717"/>
    <w:rsid w:val="00311270"/>
    <w:rsid w:val="003116C7"/>
    <w:rsid w:val="003119E2"/>
    <w:rsid w:val="003145BE"/>
    <w:rsid w:val="00314DC1"/>
    <w:rsid w:val="00315206"/>
    <w:rsid w:val="00315EFD"/>
    <w:rsid w:val="00320666"/>
    <w:rsid w:val="003209BE"/>
    <w:rsid w:val="00321BF2"/>
    <w:rsid w:val="00330595"/>
    <w:rsid w:val="003313E4"/>
    <w:rsid w:val="0033146A"/>
    <w:rsid w:val="00336BA0"/>
    <w:rsid w:val="00340898"/>
    <w:rsid w:val="003416DB"/>
    <w:rsid w:val="003427DA"/>
    <w:rsid w:val="00345541"/>
    <w:rsid w:val="00345F69"/>
    <w:rsid w:val="003467F5"/>
    <w:rsid w:val="00353B88"/>
    <w:rsid w:val="0035432F"/>
    <w:rsid w:val="00354CEC"/>
    <w:rsid w:val="00355F9E"/>
    <w:rsid w:val="00357051"/>
    <w:rsid w:val="003639D1"/>
    <w:rsid w:val="00366737"/>
    <w:rsid w:val="00367461"/>
    <w:rsid w:val="00373A07"/>
    <w:rsid w:val="00374340"/>
    <w:rsid w:val="00374C9A"/>
    <w:rsid w:val="0038125B"/>
    <w:rsid w:val="003813ED"/>
    <w:rsid w:val="00382790"/>
    <w:rsid w:val="00383E98"/>
    <w:rsid w:val="00385A28"/>
    <w:rsid w:val="00391899"/>
    <w:rsid w:val="0039194B"/>
    <w:rsid w:val="00392AEF"/>
    <w:rsid w:val="00393210"/>
    <w:rsid w:val="00394B64"/>
    <w:rsid w:val="00394C0C"/>
    <w:rsid w:val="00394CB0"/>
    <w:rsid w:val="0039532B"/>
    <w:rsid w:val="003974C7"/>
    <w:rsid w:val="003A023F"/>
    <w:rsid w:val="003A34D4"/>
    <w:rsid w:val="003A34E1"/>
    <w:rsid w:val="003A5AAA"/>
    <w:rsid w:val="003A5F40"/>
    <w:rsid w:val="003B21A8"/>
    <w:rsid w:val="003B280B"/>
    <w:rsid w:val="003B3699"/>
    <w:rsid w:val="003B4AD9"/>
    <w:rsid w:val="003B5651"/>
    <w:rsid w:val="003B7D83"/>
    <w:rsid w:val="003C378C"/>
    <w:rsid w:val="003C430C"/>
    <w:rsid w:val="003C5B3A"/>
    <w:rsid w:val="003D09FD"/>
    <w:rsid w:val="003D41D0"/>
    <w:rsid w:val="003D462B"/>
    <w:rsid w:val="003D4EA5"/>
    <w:rsid w:val="003D52A3"/>
    <w:rsid w:val="003D5CDD"/>
    <w:rsid w:val="003D78B3"/>
    <w:rsid w:val="003D7D88"/>
    <w:rsid w:val="003E20CF"/>
    <w:rsid w:val="003E2BE1"/>
    <w:rsid w:val="003E3C19"/>
    <w:rsid w:val="003E6F4B"/>
    <w:rsid w:val="003E7EDE"/>
    <w:rsid w:val="003F06DF"/>
    <w:rsid w:val="003F1FBC"/>
    <w:rsid w:val="003F28AB"/>
    <w:rsid w:val="003F3D68"/>
    <w:rsid w:val="003F4A8E"/>
    <w:rsid w:val="003F4F0F"/>
    <w:rsid w:val="003F5A0E"/>
    <w:rsid w:val="003F6EFE"/>
    <w:rsid w:val="003F76A5"/>
    <w:rsid w:val="00402B1E"/>
    <w:rsid w:val="004110FF"/>
    <w:rsid w:val="00411DAE"/>
    <w:rsid w:val="004120CC"/>
    <w:rsid w:val="00412160"/>
    <w:rsid w:val="00420D75"/>
    <w:rsid w:val="00421FA1"/>
    <w:rsid w:val="00422DFE"/>
    <w:rsid w:val="0042441A"/>
    <w:rsid w:val="00424A5A"/>
    <w:rsid w:val="00426015"/>
    <w:rsid w:val="00426BED"/>
    <w:rsid w:val="00427506"/>
    <w:rsid w:val="004330DE"/>
    <w:rsid w:val="00434D6C"/>
    <w:rsid w:val="00434FA7"/>
    <w:rsid w:val="0043566C"/>
    <w:rsid w:val="0043780F"/>
    <w:rsid w:val="0044062E"/>
    <w:rsid w:val="00445795"/>
    <w:rsid w:val="00446AF6"/>
    <w:rsid w:val="00453273"/>
    <w:rsid w:val="00453F38"/>
    <w:rsid w:val="00455C63"/>
    <w:rsid w:val="004565B8"/>
    <w:rsid w:val="004606F5"/>
    <w:rsid w:val="00462F93"/>
    <w:rsid w:val="00463107"/>
    <w:rsid w:val="00465990"/>
    <w:rsid w:val="00465A2B"/>
    <w:rsid w:val="0047206F"/>
    <w:rsid w:val="00472511"/>
    <w:rsid w:val="004730CE"/>
    <w:rsid w:val="004738F0"/>
    <w:rsid w:val="00473FE7"/>
    <w:rsid w:val="00474987"/>
    <w:rsid w:val="00475A2F"/>
    <w:rsid w:val="00477F98"/>
    <w:rsid w:val="00486056"/>
    <w:rsid w:val="0049129F"/>
    <w:rsid w:val="00492467"/>
    <w:rsid w:val="0049638B"/>
    <w:rsid w:val="00497D09"/>
    <w:rsid w:val="004B2267"/>
    <w:rsid w:val="004B3AAE"/>
    <w:rsid w:val="004B5803"/>
    <w:rsid w:val="004B6BBA"/>
    <w:rsid w:val="004C2FED"/>
    <w:rsid w:val="004C5560"/>
    <w:rsid w:val="004C5BDE"/>
    <w:rsid w:val="004C6A45"/>
    <w:rsid w:val="004D553D"/>
    <w:rsid w:val="004D618A"/>
    <w:rsid w:val="004D640C"/>
    <w:rsid w:val="004E01DF"/>
    <w:rsid w:val="004E0D84"/>
    <w:rsid w:val="004E26ED"/>
    <w:rsid w:val="004E2A52"/>
    <w:rsid w:val="004F4322"/>
    <w:rsid w:val="004F459A"/>
    <w:rsid w:val="004F622B"/>
    <w:rsid w:val="004F7369"/>
    <w:rsid w:val="004F7727"/>
    <w:rsid w:val="00500F84"/>
    <w:rsid w:val="00501F1A"/>
    <w:rsid w:val="00504CBF"/>
    <w:rsid w:val="00505038"/>
    <w:rsid w:val="00506310"/>
    <w:rsid w:val="00511767"/>
    <w:rsid w:val="005120B9"/>
    <w:rsid w:val="005124B6"/>
    <w:rsid w:val="00514A77"/>
    <w:rsid w:val="00514D79"/>
    <w:rsid w:val="00521FE4"/>
    <w:rsid w:val="00525A40"/>
    <w:rsid w:val="00527842"/>
    <w:rsid w:val="005311F4"/>
    <w:rsid w:val="005379C1"/>
    <w:rsid w:val="005401E3"/>
    <w:rsid w:val="005462F9"/>
    <w:rsid w:val="00546B54"/>
    <w:rsid w:val="00546CD9"/>
    <w:rsid w:val="00547CB0"/>
    <w:rsid w:val="00550C2C"/>
    <w:rsid w:val="005539CE"/>
    <w:rsid w:val="00555276"/>
    <w:rsid w:val="00560394"/>
    <w:rsid w:val="00560ED4"/>
    <w:rsid w:val="00565BD1"/>
    <w:rsid w:val="00567574"/>
    <w:rsid w:val="0056780A"/>
    <w:rsid w:val="00567D95"/>
    <w:rsid w:val="00570C3E"/>
    <w:rsid w:val="005722F8"/>
    <w:rsid w:val="005724C8"/>
    <w:rsid w:val="005725C7"/>
    <w:rsid w:val="00581B64"/>
    <w:rsid w:val="00582F9D"/>
    <w:rsid w:val="00586EED"/>
    <w:rsid w:val="005873E4"/>
    <w:rsid w:val="005903CD"/>
    <w:rsid w:val="0059364F"/>
    <w:rsid w:val="00596785"/>
    <w:rsid w:val="0059689A"/>
    <w:rsid w:val="005A0FA6"/>
    <w:rsid w:val="005A100D"/>
    <w:rsid w:val="005B1C52"/>
    <w:rsid w:val="005B2007"/>
    <w:rsid w:val="005B3B7B"/>
    <w:rsid w:val="005B412B"/>
    <w:rsid w:val="005B65A4"/>
    <w:rsid w:val="005C17BF"/>
    <w:rsid w:val="005C20F1"/>
    <w:rsid w:val="005C42A0"/>
    <w:rsid w:val="005C4319"/>
    <w:rsid w:val="005C543C"/>
    <w:rsid w:val="005C5A1E"/>
    <w:rsid w:val="005D12C3"/>
    <w:rsid w:val="005D213B"/>
    <w:rsid w:val="005D3FBD"/>
    <w:rsid w:val="005D67CA"/>
    <w:rsid w:val="005D6DCB"/>
    <w:rsid w:val="005D784A"/>
    <w:rsid w:val="005E0349"/>
    <w:rsid w:val="005E17BD"/>
    <w:rsid w:val="005E2AC3"/>
    <w:rsid w:val="005F1BAF"/>
    <w:rsid w:val="005F1BE5"/>
    <w:rsid w:val="005F2BB4"/>
    <w:rsid w:val="005F2D5A"/>
    <w:rsid w:val="005F3507"/>
    <w:rsid w:val="005F4481"/>
    <w:rsid w:val="005F5005"/>
    <w:rsid w:val="005F5E3F"/>
    <w:rsid w:val="006025A9"/>
    <w:rsid w:val="006025B5"/>
    <w:rsid w:val="006025E4"/>
    <w:rsid w:val="006043B2"/>
    <w:rsid w:val="00605473"/>
    <w:rsid w:val="0060601A"/>
    <w:rsid w:val="006102C0"/>
    <w:rsid w:val="0061274E"/>
    <w:rsid w:val="00613185"/>
    <w:rsid w:val="006138F4"/>
    <w:rsid w:val="00615BB4"/>
    <w:rsid w:val="00616CA2"/>
    <w:rsid w:val="006179AF"/>
    <w:rsid w:val="00622299"/>
    <w:rsid w:val="00625BF1"/>
    <w:rsid w:val="00625FD5"/>
    <w:rsid w:val="0063371F"/>
    <w:rsid w:val="00636221"/>
    <w:rsid w:val="00642191"/>
    <w:rsid w:val="00643332"/>
    <w:rsid w:val="00644FC5"/>
    <w:rsid w:val="00647228"/>
    <w:rsid w:val="006476AD"/>
    <w:rsid w:val="0065009F"/>
    <w:rsid w:val="006503EE"/>
    <w:rsid w:val="00650E13"/>
    <w:rsid w:val="00651EB4"/>
    <w:rsid w:val="00653918"/>
    <w:rsid w:val="00655461"/>
    <w:rsid w:val="00661C97"/>
    <w:rsid w:val="00661F20"/>
    <w:rsid w:val="00662EC9"/>
    <w:rsid w:val="00663BC7"/>
    <w:rsid w:val="00664B19"/>
    <w:rsid w:val="006659F9"/>
    <w:rsid w:val="00665D4D"/>
    <w:rsid w:val="00665FB7"/>
    <w:rsid w:val="00670059"/>
    <w:rsid w:val="0067079E"/>
    <w:rsid w:val="00672C77"/>
    <w:rsid w:val="00673F29"/>
    <w:rsid w:val="006764EE"/>
    <w:rsid w:val="0068286E"/>
    <w:rsid w:val="00684319"/>
    <w:rsid w:val="006848D5"/>
    <w:rsid w:val="006917E7"/>
    <w:rsid w:val="00692696"/>
    <w:rsid w:val="0069454C"/>
    <w:rsid w:val="00695F08"/>
    <w:rsid w:val="006974E5"/>
    <w:rsid w:val="00697BB5"/>
    <w:rsid w:val="00697C2D"/>
    <w:rsid w:val="006A032F"/>
    <w:rsid w:val="006A0B4C"/>
    <w:rsid w:val="006A1631"/>
    <w:rsid w:val="006A2E3A"/>
    <w:rsid w:val="006A30DC"/>
    <w:rsid w:val="006A347B"/>
    <w:rsid w:val="006A39E0"/>
    <w:rsid w:val="006A6962"/>
    <w:rsid w:val="006B0A93"/>
    <w:rsid w:val="006B1E21"/>
    <w:rsid w:val="006B1E9E"/>
    <w:rsid w:val="006B3460"/>
    <w:rsid w:val="006B4D4D"/>
    <w:rsid w:val="006B56C5"/>
    <w:rsid w:val="006B69EC"/>
    <w:rsid w:val="006B7539"/>
    <w:rsid w:val="006C6CA6"/>
    <w:rsid w:val="006C7F02"/>
    <w:rsid w:val="006D1404"/>
    <w:rsid w:val="006D2BE1"/>
    <w:rsid w:val="006D3833"/>
    <w:rsid w:val="006D5CCF"/>
    <w:rsid w:val="006D696E"/>
    <w:rsid w:val="006E0A41"/>
    <w:rsid w:val="006E1C33"/>
    <w:rsid w:val="006E599C"/>
    <w:rsid w:val="006F0CFE"/>
    <w:rsid w:val="006F2BC8"/>
    <w:rsid w:val="006F4667"/>
    <w:rsid w:val="006F4F74"/>
    <w:rsid w:val="006F4F87"/>
    <w:rsid w:val="006F59F8"/>
    <w:rsid w:val="007000C7"/>
    <w:rsid w:val="00700D84"/>
    <w:rsid w:val="00702FE3"/>
    <w:rsid w:val="007042F6"/>
    <w:rsid w:val="00706366"/>
    <w:rsid w:val="007071A5"/>
    <w:rsid w:val="007075ED"/>
    <w:rsid w:val="00711AF8"/>
    <w:rsid w:val="007140E3"/>
    <w:rsid w:val="00714856"/>
    <w:rsid w:val="007152B1"/>
    <w:rsid w:val="00715C73"/>
    <w:rsid w:val="00716BCE"/>
    <w:rsid w:val="00717F75"/>
    <w:rsid w:val="00722EEF"/>
    <w:rsid w:val="0072436D"/>
    <w:rsid w:val="007256EF"/>
    <w:rsid w:val="00727FFE"/>
    <w:rsid w:val="007307D3"/>
    <w:rsid w:val="00730B4C"/>
    <w:rsid w:val="007311E4"/>
    <w:rsid w:val="007314DC"/>
    <w:rsid w:val="00735FF8"/>
    <w:rsid w:val="00736534"/>
    <w:rsid w:val="0073660A"/>
    <w:rsid w:val="00737417"/>
    <w:rsid w:val="00737FD5"/>
    <w:rsid w:val="0074039C"/>
    <w:rsid w:val="0074056B"/>
    <w:rsid w:val="00741010"/>
    <w:rsid w:val="00741B93"/>
    <w:rsid w:val="0074426B"/>
    <w:rsid w:val="00744ECF"/>
    <w:rsid w:val="00745DBC"/>
    <w:rsid w:val="007514F8"/>
    <w:rsid w:val="00752AB8"/>
    <w:rsid w:val="00755015"/>
    <w:rsid w:val="007618CF"/>
    <w:rsid w:val="00763312"/>
    <w:rsid w:val="00766E2D"/>
    <w:rsid w:val="00767B59"/>
    <w:rsid w:val="00767C07"/>
    <w:rsid w:val="00770A66"/>
    <w:rsid w:val="0077655E"/>
    <w:rsid w:val="00776B44"/>
    <w:rsid w:val="007800D5"/>
    <w:rsid w:val="00780AC2"/>
    <w:rsid w:val="00780EC5"/>
    <w:rsid w:val="0078319E"/>
    <w:rsid w:val="007863C3"/>
    <w:rsid w:val="0079096F"/>
    <w:rsid w:val="0079180C"/>
    <w:rsid w:val="00794485"/>
    <w:rsid w:val="0079450C"/>
    <w:rsid w:val="00794D8A"/>
    <w:rsid w:val="00795963"/>
    <w:rsid w:val="00796343"/>
    <w:rsid w:val="00797D22"/>
    <w:rsid w:val="007B025D"/>
    <w:rsid w:val="007B3082"/>
    <w:rsid w:val="007B3BC3"/>
    <w:rsid w:val="007B55DF"/>
    <w:rsid w:val="007B65E6"/>
    <w:rsid w:val="007B7283"/>
    <w:rsid w:val="007C1C6A"/>
    <w:rsid w:val="007C26E8"/>
    <w:rsid w:val="007D0795"/>
    <w:rsid w:val="007D462D"/>
    <w:rsid w:val="007E1C4E"/>
    <w:rsid w:val="007E3300"/>
    <w:rsid w:val="007E4192"/>
    <w:rsid w:val="007E5547"/>
    <w:rsid w:val="007E761D"/>
    <w:rsid w:val="007E7F91"/>
    <w:rsid w:val="007F0F8B"/>
    <w:rsid w:val="007F25CB"/>
    <w:rsid w:val="007F54DA"/>
    <w:rsid w:val="007F6123"/>
    <w:rsid w:val="007F627F"/>
    <w:rsid w:val="00800373"/>
    <w:rsid w:val="00802252"/>
    <w:rsid w:val="00803C13"/>
    <w:rsid w:val="00804E7E"/>
    <w:rsid w:val="00811C15"/>
    <w:rsid w:val="00812C0F"/>
    <w:rsid w:val="00812E41"/>
    <w:rsid w:val="00813125"/>
    <w:rsid w:val="00815347"/>
    <w:rsid w:val="00817C15"/>
    <w:rsid w:val="00824E47"/>
    <w:rsid w:val="00832223"/>
    <w:rsid w:val="00832AB5"/>
    <w:rsid w:val="0083319F"/>
    <w:rsid w:val="00836303"/>
    <w:rsid w:val="008409BC"/>
    <w:rsid w:val="00840FC8"/>
    <w:rsid w:val="0084324A"/>
    <w:rsid w:val="008467BC"/>
    <w:rsid w:val="008507D6"/>
    <w:rsid w:val="00850F1B"/>
    <w:rsid w:val="0085374F"/>
    <w:rsid w:val="00853CF6"/>
    <w:rsid w:val="00856547"/>
    <w:rsid w:val="0086031F"/>
    <w:rsid w:val="0086259A"/>
    <w:rsid w:val="00862AA4"/>
    <w:rsid w:val="00865A49"/>
    <w:rsid w:val="008718C6"/>
    <w:rsid w:val="008726CB"/>
    <w:rsid w:val="0087283C"/>
    <w:rsid w:val="00872F24"/>
    <w:rsid w:val="00873C5F"/>
    <w:rsid w:val="008832D8"/>
    <w:rsid w:val="00885EA7"/>
    <w:rsid w:val="00886A33"/>
    <w:rsid w:val="008875A5"/>
    <w:rsid w:val="00891653"/>
    <w:rsid w:val="00893C50"/>
    <w:rsid w:val="00896514"/>
    <w:rsid w:val="008972C9"/>
    <w:rsid w:val="008A3478"/>
    <w:rsid w:val="008A3D27"/>
    <w:rsid w:val="008B02F1"/>
    <w:rsid w:val="008B522C"/>
    <w:rsid w:val="008B58D6"/>
    <w:rsid w:val="008B796F"/>
    <w:rsid w:val="008C1FF2"/>
    <w:rsid w:val="008C29D4"/>
    <w:rsid w:val="008C2C2D"/>
    <w:rsid w:val="008C57F4"/>
    <w:rsid w:val="008C7C71"/>
    <w:rsid w:val="008D15BF"/>
    <w:rsid w:val="008D2A3A"/>
    <w:rsid w:val="008D6952"/>
    <w:rsid w:val="008D7038"/>
    <w:rsid w:val="008D76B0"/>
    <w:rsid w:val="008E4D3B"/>
    <w:rsid w:val="008F0B0D"/>
    <w:rsid w:val="008F158F"/>
    <w:rsid w:val="008F2D60"/>
    <w:rsid w:val="008F37DC"/>
    <w:rsid w:val="008F5823"/>
    <w:rsid w:val="008F5AEC"/>
    <w:rsid w:val="00901361"/>
    <w:rsid w:val="00901763"/>
    <w:rsid w:val="009033E7"/>
    <w:rsid w:val="00906543"/>
    <w:rsid w:val="00910128"/>
    <w:rsid w:val="00913027"/>
    <w:rsid w:val="00921687"/>
    <w:rsid w:val="009216F6"/>
    <w:rsid w:val="00921766"/>
    <w:rsid w:val="009257C1"/>
    <w:rsid w:val="009307AA"/>
    <w:rsid w:val="009308C8"/>
    <w:rsid w:val="00932010"/>
    <w:rsid w:val="00933881"/>
    <w:rsid w:val="00937C8F"/>
    <w:rsid w:val="0094174A"/>
    <w:rsid w:val="009422FE"/>
    <w:rsid w:val="0094519A"/>
    <w:rsid w:val="00950D31"/>
    <w:rsid w:val="00951947"/>
    <w:rsid w:val="00952CE5"/>
    <w:rsid w:val="009614C7"/>
    <w:rsid w:val="009636A7"/>
    <w:rsid w:val="00964FF2"/>
    <w:rsid w:val="00965FE3"/>
    <w:rsid w:val="009742D2"/>
    <w:rsid w:val="009801FE"/>
    <w:rsid w:val="00984C7A"/>
    <w:rsid w:val="00986341"/>
    <w:rsid w:val="0099101B"/>
    <w:rsid w:val="009944C5"/>
    <w:rsid w:val="00995BA2"/>
    <w:rsid w:val="009A121C"/>
    <w:rsid w:val="009A2E7E"/>
    <w:rsid w:val="009A3F95"/>
    <w:rsid w:val="009A4FCB"/>
    <w:rsid w:val="009A5CB7"/>
    <w:rsid w:val="009B2E2E"/>
    <w:rsid w:val="009B4736"/>
    <w:rsid w:val="009C1BE3"/>
    <w:rsid w:val="009C2EFE"/>
    <w:rsid w:val="009C3229"/>
    <w:rsid w:val="009C5015"/>
    <w:rsid w:val="009C5A53"/>
    <w:rsid w:val="009C6992"/>
    <w:rsid w:val="009D1BB3"/>
    <w:rsid w:val="009D6D3A"/>
    <w:rsid w:val="009E7736"/>
    <w:rsid w:val="009F0FBC"/>
    <w:rsid w:val="009F2927"/>
    <w:rsid w:val="009F3AB2"/>
    <w:rsid w:val="00A02627"/>
    <w:rsid w:val="00A034B1"/>
    <w:rsid w:val="00A05ED2"/>
    <w:rsid w:val="00A06CE6"/>
    <w:rsid w:val="00A1065D"/>
    <w:rsid w:val="00A11DE0"/>
    <w:rsid w:val="00A137C1"/>
    <w:rsid w:val="00A148CB"/>
    <w:rsid w:val="00A15EFA"/>
    <w:rsid w:val="00A165D9"/>
    <w:rsid w:val="00A20F5C"/>
    <w:rsid w:val="00A2169D"/>
    <w:rsid w:val="00A22306"/>
    <w:rsid w:val="00A225F7"/>
    <w:rsid w:val="00A23FE4"/>
    <w:rsid w:val="00A27C7D"/>
    <w:rsid w:val="00A377C7"/>
    <w:rsid w:val="00A3798F"/>
    <w:rsid w:val="00A42CD4"/>
    <w:rsid w:val="00A430B3"/>
    <w:rsid w:val="00A47540"/>
    <w:rsid w:val="00A54C67"/>
    <w:rsid w:val="00A60D56"/>
    <w:rsid w:val="00A6294C"/>
    <w:rsid w:val="00A649AA"/>
    <w:rsid w:val="00A71179"/>
    <w:rsid w:val="00A71CEA"/>
    <w:rsid w:val="00A7586E"/>
    <w:rsid w:val="00A85682"/>
    <w:rsid w:val="00A86167"/>
    <w:rsid w:val="00A905BB"/>
    <w:rsid w:val="00A93323"/>
    <w:rsid w:val="00A94B9A"/>
    <w:rsid w:val="00A95CDB"/>
    <w:rsid w:val="00AA18B6"/>
    <w:rsid w:val="00AA18D4"/>
    <w:rsid w:val="00AA1A56"/>
    <w:rsid w:val="00AA68E9"/>
    <w:rsid w:val="00AB0559"/>
    <w:rsid w:val="00AB26E6"/>
    <w:rsid w:val="00AB62AE"/>
    <w:rsid w:val="00AC3177"/>
    <w:rsid w:val="00AC3D77"/>
    <w:rsid w:val="00AC4A5D"/>
    <w:rsid w:val="00AC6B07"/>
    <w:rsid w:val="00AC778E"/>
    <w:rsid w:val="00AE05AD"/>
    <w:rsid w:val="00AE4919"/>
    <w:rsid w:val="00AE600C"/>
    <w:rsid w:val="00AE7A5F"/>
    <w:rsid w:val="00AF0D46"/>
    <w:rsid w:val="00AF3829"/>
    <w:rsid w:val="00AF56D1"/>
    <w:rsid w:val="00AF7121"/>
    <w:rsid w:val="00B02AF0"/>
    <w:rsid w:val="00B04F30"/>
    <w:rsid w:val="00B05826"/>
    <w:rsid w:val="00B12EFD"/>
    <w:rsid w:val="00B13AD3"/>
    <w:rsid w:val="00B14544"/>
    <w:rsid w:val="00B1645E"/>
    <w:rsid w:val="00B21202"/>
    <w:rsid w:val="00B225D6"/>
    <w:rsid w:val="00B231E1"/>
    <w:rsid w:val="00B2507A"/>
    <w:rsid w:val="00B26C95"/>
    <w:rsid w:val="00B31553"/>
    <w:rsid w:val="00B31719"/>
    <w:rsid w:val="00B40EC9"/>
    <w:rsid w:val="00B4146C"/>
    <w:rsid w:val="00B43194"/>
    <w:rsid w:val="00B50457"/>
    <w:rsid w:val="00B5165F"/>
    <w:rsid w:val="00B51F2F"/>
    <w:rsid w:val="00B52FB8"/>
    <w:rsid w:val="00B538E8"/>
    <w:rsid w:val="00B53F31"/>
    <w:rsid w:val="00B574B6"/>
    <w:rsid w:val="00B57595"/>
    <w:rsid w:val="00B616EE"/>
    <w:rsid w:val="00B6324F"/>
    <w:rsid w:val="00B635D7"/>
    <w:rsid w:val="00B6636F"/>
    <w:rsid w:val="00B705D6"/>
    <w:rsid w:val="00B70F35"/>
    <w:rsid w:val="00B71004"/>
    <w:rsid w:val="00B72340"/>
    <w:rsid w:val="00B73D38"/>
    <w:rsid w:val="00B76793"/>
    <w:rsid w:val="00B85509"/>
    <w:rsid w:val="00B87B3C"/>
    <w:rsid w:val="00B91076"/>
    <w:rsid w:val="00B918EB"/>
    <w:rsid w:val="00B92F2B"/>
    <w:rsid w:val="00B938D6"/>
    <w:rsid w:val="00BA2443"/>
    <w:rsid w:val="00BA5B76"/>
    <w:rsid w:val="00BA7C50"/>
    <w:rsid w:val="00BB251F"/>
    <w:rsid w:val="00BB5E20"/>
    <w:rsid w:val="00BB62C6"/>
    <w:rsid w:val="00BB7EEC"/>
    <w:rsid w:val="00BC53C2"/>
    <w:rsid w:val="00BC7B6F"/>
    <w:rsid w:val="00BD0653"/>
    <w:rsid w:val="00BD3B02"/>
    <w:rsid w:val="00BE16C7"/>
    <w:rsid w:val="00BE2DFE"/>
    <w:rsid w:val="00BE603A"/>
    <w:rsid w:val="00BF098A"/>
    <w:rsid w:val="00BF2BDD"/>
    <w:rsid w:val="00BF3217"/>
    <w:rsid w:val="00BF38AA"/>
    <w:rsid w:val="00BF562D"/>
    <w:rsid w:val="00BF63B0"/>
    <w:rsid w:val="00C016C1"/>
    <w:rsid w:val="00C03AFA"/>
    <w:rsid w:val="00C06365"/>
    <w:rsid w:val="00C13F27"/>
    <w:rsid w:val="00C15FC8"/>
    <w:rsid w:val="00C161F6"/>
    <w:rsid w:val="00C21F57"/>
    <w:rsid w:val="00C23E33"/>
    <w:rsid w:val="00C2496B"/>
    <w:rsid w:val="00C3352C"/>
    <w:rsid w:val="00C44B04"/>
    <w:rsid w:val="00C44D74"/>
    <w:rsid w:val="00C4657E"/>
    <w:rsid w:val="00C50B39"/>
    <w:rsid w:val="00C51421"/>
    <w:rsid w:val="00C52F7C"/>
    <w:rsid w:val="00C606FC"/>
    <w:rsid w:val="00C65E6D"/>
    <w:rsid w:val="00C661B0"/>
    <w:rsid w:val="00C679EC"/>
    <w:rsid w:val="00C67BFC"/>
    <w:rsid w:val="00C706ED"/>
    <w:rsid w:val="00C71D0A"/>
    <w:rsid w:val="00C740F9"/>
    <w:rsid w:val="00C75770"/>
    <w:rsid w:val="00C766F6"/>
    <w:rsid w:val="00C77164"/>
    <w:rsid w:val="00C7744E"/>
    <w:rsid w:val="00C8161B"/>
    <w:rsid w:val="00C85F80"/>
    <w:rsid w:val="00C96A4B"/>
    <w:rsid w:val="00C9774C"/>
    <w:rsid w:val="00C97989"/>
    <w:rsid w:val="00CA0073"/>
    <w:rsid w:val="00CA0D73"/>
    <w:rsid w:val="00CA1595"/>
    <w:rsid w:val="00CA1B5E"/>
    <w:rsid w:val="00CA7138"/>
    <w:rsid w:val="00CB160E"/>
    <w:rsid w:val="00CB1DCD"/>
    <w:rsid w:val="00CB2394"/>
    <w:rsid w:val="00CB3F36"/>
    <w:rsid w:val="00CB4820"/>
    <w:rsid w:val="00CB51D8"/>
    <w:rsid w:val="00CB5486"/>
    <w:rsid w:val="00CB7057"/>
    <w:rsid w:val="00CB7D2E"/>
    <w:rsid w:val="00CC253F"/>
    <w:rsid w:val="00CC5591"/>
    <w:rsid w:val="00CC6DA2"/>
    <w:rsid w:val="00CC7A49"/>
    <w:rsid w:val="00CD208E"/>
    <w:rsid w:val="00CD2D5B"/>
    <w:rsid w:val="00CD62C0"/>
    <w:rsid w:val="00CE0675"/>
    <w:rsid w:val="00CE2471"/>
    <w:rsid w:val="00CE3A36"/>
    <w:rsid w:val="00CE4699"/>
    <w:rsid w:val="00CE50E8"/>
    <w:rsid w:val="00CE5CA0"/>
    <w:rsid w:val="00CE6B33"/>
    <w:rsid w:val="00CE7B0F"/>
    <w:rsid w:val="00CF1389"/>
    <w:rsid w:val="00CF3379"/>
    <w:rsid w:val="00CF3CFA"/>
    <w:rsid w:val="00D004CA"/>
    <w:rsid w:val="00D01957"/>
    <w:rsid w:val="00D01BDC"/>
    <w:rsid w:val="00D024DE"/>
    <w:rsid w:val="00D048B7"/>
    <w:rsid w:val="00D06251"/>
    <w:rsid w:val="00D10D5A"/>
    <w:rsid w:val="00D11339"/>
    <w:rsid w:val="00D123F8"/>
    <w:rsid w:val="00D13B68"/>
    <w:rsid w:val="00D150B5"/>
    <w:rsid w:val="00D1596E"/>
    <w:rsid w:val="00D16C97"/>
    <w:rsid w:val="00D17EF1"/>
    <w:rsid w:val="00D17F89"/>
    <w:rsid w:val="00D24130"/>
    <w:rsid w:val="00D24488"/>
    <w:rsid w:val="00D24E1F"/>
    <w:rsid w:val="00D27D0C"/>
    <w:rsid w:val="00D31639"/>
    <w:rsid w:val="00D3310B"/>
    <w:rsid w:val="00D406DA"/>
    <w:rsid w:val="00D424A5"/>
    <w:rsid w:val="00D442F9"/>
    <w:rsid w:val="00D44B89"/>
    <w:rsid w:val="00D47B64"/>
    <w:rsid w:val="00D51788"/>
    <w:rsid w:val="00D51905"/>
    <w:rsid w:val="00D523ED"/>
    <w:rsid w:val="00D53AB4"/>
    <w:rsid w:val="00D56D78"/>
    <w:rsid w:val="00D61F8C"/>
    <w:rsid w:val="00D61F94"/>
    <w:rsid w:val="00D6363C"/>
    <w:rsid w:val="00D6424E"/>
    <w:rsid w:val="00D66666"/>
    <w:rsid w:val="00D716AB"/>
    <w:rsid w:val="00D73BC8"/>
    <w:rsid w:val="00D7417C"/>
    <w:rsid w:val="00D74724"/>
    <w:rsid w:val="00D759E7"/>
    <w:rsid w:val="00D8047A"/>
    <w:rsid w:val="00D81782"/>
    <w:rsid w:val="00D81812"/>
    <w:rsid w:val="00D81C16"/>
    <w:rsid w:val="00D82013"/>
    <w:rsid w:val="00D84242"/>
    <w:rsid w:val="00D8689C"/>
    <w:rsid w:val="00D87459"/>
    <w:rsid w:val="00D91868"/>
    <w:rsid w:val="00D92F24"/>
    <w:rsid w:val="00D9440F"/>
    <w:rsid w:val="00D96DF4"/>
    <w:rsid w:val="00DA3709"/>
    <w:rsid w:val="00DA3D26"/>
    <w:rsid w:val="00DA54CA"/>
    <w:rsid w:val="00DA6487"/>
    <w:rsid w:val="00DA6F7F"/>
    <w:rsid w:val="00DA7A66"/>
    <w:rsid w:val="00DB0165"/>
    <w:rsid w:val="00DB1218"/>
    <w:rsid w:val="00DB1B4E"/>
    <w:rsid w:val="00DB2AF5"/>
    <w:rsid w:val="00DB5370"/>
    <w:rsid w:val="00DB7B0C"/>
    <w:rsid w:val="00DC07FC"/>
    <w:rsid w:val="00DC2BF7"/>
    <w:rsid w:val="00DC2F98"/>
    <w:rsid w:val="00DC5622"/>
    <w:rsid w:val="00DD33AB"/>
    <w:rsid w:val="00DD576A"/>
    <w:rsid w:val="00DD65CC"/>
    <w:rsid w:val="00DD68AA"/>
    <w:rsid w:val="00DF0E86"/>
    <w:rsid w:val="00DF3F83"/>
    <w:rsid w:val="00DF4E67"/>
    <w:rsid w:val="00DF4FBF"/>
    <w:rsid w:val="00DF7F3A"/>
    <w:rsid w:val="00E03058"/>
    <w:rsid w:val="00E0332B"/>
    <w:rsid w:val="00E06B2E"/>
    <w:rsid w:val="00E07260"/>
    <w:rsid w:val="00E07295"/>
    <w:rsid w:val="00E0799C"/>
    <w:rsid w:val="00E1061F"/>
    <w:rsid w:val="00E1199D"/>
    <w:rsid w:val="00E11E9D"/>
    <w:rsid w:val="00E125C0"/>
    <w:rsid w:val="00E14CCA"/>
    <w:rsid w:val="00E15B7A"/>
    <w:rsid w:val="00E175E5"/>
    <w:rsid w:val="00E17D2E"/>
    <w:rsid w:val="00E225CF"/>
    <w:rsid w:val="00E24B2A"/>
    <w:rsid w:val="00E2516F"/>
    <w:rsid w:val="00E26B8A"/>
    <w:rsid w:val="00E33CFB"/>
    <w:rsid w:val="00E344D6"/>
    <w:rsid w:val="00E3747C"/>
    <w:rsid w:val="00E37A44"/>
    <w:rsid w:val="00E41E02"/>
    <w:rsid w:val="00E422F7"/>
    <w:rsid w:val="00E51189"/>
    <w:rsid w:val="00E53CDF"/>
    <w:rsid w:val="00E545F1"/>
    <w:rsid w:val="00E56BDA"/>
    <w:rsid w:val="00E57500"/>
    <w:rsid w:val="00E60424"/>
    <w:rsid w:val="00E621D5"/>
    <w:rsid w:val="00E6262A"/>
    <w:rsid w:val="00E62A86"/>
    <w:rsid w:val="00E6711E"/>
    <w:rsid w:val="00E725D6"/>
    <w:rsid w:val="00E7323F"/>
    <w:rsid w:val="00E7748F"/>
    <w:rsid w:val="00E77DDF"/>
    <w:rsid w:val="00E81F0F"/>
    <w:rsid w:val="00E82230"/>
    <w:rsid w:val="00E82D33"/>
    <w:rsid w:val="00E82F5D"/>
    <w:rsid w:val="00E92D0E"/>
    <w:rsid w:val="00E92EEA"/>
    <w:rsid w:val="00E9386A"/>
    <w:rsid w:val="00E94036"/>
    <w:rsid w:val="00E944BD"/>
    <w:rsid w:val="00E976C4"/>
    <w:rsid w:val="00EA5D65"/>
    <w:rsid w:val="00EA7246"/>
    <w:rsid w:val="00EB110F"/>
    <w:rsid w:val="00EB145E"/>
    <w:rsid w:val="00EB6790"/>
    <w:rsid w:val="00EB7F73"/>
    <w:rsid w:val="00EC0DF5"/>
    <w:rsid w:val="00EC111C"/>
    <w:rsid w:val="00EC5C21"/>
    <w:rsid w:val="00ED4E96"/>
    <w:rsid w:val="00EE2DF9"/>
    <w:rsid w:val="00EE57F2"/>
    <w:rsid w:val="00EE68BA"/>
    <w:rsid w:val="00EF00C3"/>
    <w:rsid w:val="00EF3842"/>
    <w:rsid w:val="00EF7F11"/>
    <w:rsid w:val="00F02247"/>
    <w:rsid w:val="00F06FEE"/>
    <w:rsid w:val="00F130F1"/>
    <w:rsid w:val="00F134D2"/>
    <w:rsid w:val="00F139DD"/>
    <w:rsid w:val="00F146A7"/>
    <w:rsid w:val="00F157D5"/>
    <w:rsid w:val="00F16476"/>
    <w:rsid w:val="00F170CE"/>
    <w:rsid w:val="00F174C8"/>
    <w:rsid w:val="00F202E4"/>
    <w:rsid w:val="00F21848"/>
    <w:rsid w:val="00F22592"/>
    <w:rsid w:val="00F22B7B"/>
    <w:rsid w:val="00F242EA"/>
    <w:rsid w:val="00F263BC"/>
    <w:rsid w:val="00F26DFB"/>
    <w:rsid w:val="00F31264"/>
    <w:rsid w:val="00F41703"/>
    <w:rsid w:val="00F42225"/>
    <w:rsid w:val="00F427B6"/>
    <w:rsid w:val="00F43F9B"/>
    <w:rsid w:val="00F45C39"/>
    <w:rsid w:val="00F51955"/>
    <w:rsid w:val="00F52439"/>
    <w:rsid w:val="00F53059"/>
    <w:rsid w:val="00F558C7"/>
    <w:rsid w:val="00F601D4"/>
    <w:rsid w:val="00F60F8F"/>
    <w:rsid w:val="00F62FE3"/>
    <w:rsid w:val="00F64CB6"/>
    <w:rsid w:val="00F65584"/>
    <w:rsid w:val="00F70CF8"/>
    <w:rsid w:val="00F70E4A"/>
    <w:rsid w:val="00F7196E"/>
    <w:rsid w:val="00F73193"/>
    <w:rsid w:val="00F76088"/>
    <w:rsid w:val="00F768AA"/>
    <w:rsid w:val="00F82851"/>
    <w:rsid w:val="00F83B87"/>
    <w:rsid w:val="00F83D5D"/>
    <w:rsid w:val="00F844BE"/>
    <w:rsid w:val="00F85B14"/>
    <w:rsid w:val="00F87CE3"/>
    <w:rsid w:val="00F87F27"/>
    <w:rsid w:val="00F91750"/>
    <w:rsid w:val="00F91B50"/>
    <w:rsid w:val="00F91DCA"/>
    <w:rsid w:val="00F92886"/>
    <w:rsid w:val="00F966DE"/>
    <w:rsid w:val="00F97ED8"/>
    <w:rsid w:val="00F97FD1"/>
    <w:rsid w:val="00FA2F90"/>
    <w:rsid w:val="00FA3277"/>
    <w:rsid w:val="00FA49A6"/>
    <w:rsid w:val="00FA699B"/>
    <w:rsid w:val="00FA69A1"/>
    <w:rsid w:val="00FA7889"/>
    <w:rsid w:val="00FB12DA"/>
    <w:rsid w:val="00FB3A50"/>
    <w:rsid w:val="00FB40EC"/>
    <w:rsid w:val="00FC5361"/>
    <w:rsid w:val="00FC593C"/>
    <w:rsid w:val="00FC599B"/>
    <w:rsid w:val="00FC66F8"/>
    <w:rsid w:val="00FC778F"/>
    <w:rsid w:val="00FE1002"/>
    <w:rsid w:val="00FE1155"/>
    <w:rsid w:val="00FE39BC"/>
    <w:rsid w:val="00FE425B"/>
    <w:rsid w:val="00FE458C"/>
    <w:rsid w:val="00FE5BD2"/>
    <w:rsid w:val="00FE7F67"/>
    <w:rsid w:val="00FF0998"/>
    <w:rsid w:val="00FF51B2"/>
    <w:rsid w:val="00FF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A54C67"/>
    <w:pPr>
      <w:tabs>
        <w:tab w:val="left" w:pos="720"/>
      </w:tabs>
      <w:jc w:val="center"/>
      <w:outlineLvl w:val="0"/>
    </w:pPr>
    <w:rPr>
      <w:b/>
    </w:rPr>
  </w:style>
  <w:style w:type="paragraph" w:styleId="Heading2">
    <w:name w:val="heading 2"/>
    <w:basedOn w:val="Normal"/>
    <w:next w:val="Normal"/>
    <w:link w:val="Heading2Char"/>
    <w:uiPriority w:val="9"/>
    <w:unhideWhenUsed/>
    <w:qFormat/>
    <w:rsid w:val="00A54C67"/>
    <w:pPr>
      <w:tabs>
        <w:tab w:val="left" w:pos="720"/>
      </w:tabs>
      <w:outlineLvl w:val="1"/>
    </w:pPr>
  </w:style>
  <w:style w:type="paragraph" w:styleId="Heading3">
    <w:name w:val="heading 3"/>
    <w:basedOn w:val="ListParagraph"/>
    <w:next w:val="Normal"/>
    <w:link w:val="Heading3Char"/>
    <w:uiPriority w:val="9"/>
    <w:unhideWhenUsed/>
    <w:qFormat/>
    <w:rsid w:val="00A54C67"/>
    <w:pPr>
      <w:tabs>
        <w:tab w:val="left" w:pos="720"/>
      </w:tabs>
      <w:spacing w:line="480" w:lineRule="auto"/>
      <w:ind w:left="0"/>
      <w:jc w:val="center"/>
      <w:outlineLvl w:val="2"/>
    </w:pPr>
    <w:rPr>
      <w:rFonts w:eastAsia="Times New Roman"/>
      <w:b/>
      <w:szCs w:val="24"/>
    </w:rPr>
  </w:style>
  <w:style w:type="paragraph" w:styleId="Heading4">
    <w:name w:val="heading 4"/>
    <w:basedOn w:val="ListParagraph"/>
    <w:next w:val="Normal"/>
    <w:link w:val="Heading4Char"/>
    <w:uiPriority w:val="9"/>
    <w:unhideWhenUsed/>
    <w:qFormat/>
    <w:rsid w:val="00A54C67"/>
    <w:pPr>
      <w:tabs>
        <w:tab w:val="left" w:pos="720"/>
      </w:tabs>
      <w:spacing w:line="480" w:lineRule="auto"/>
      <w:ind w:left="0"/>
      <w:outlineLvl w:val="3"/>
    </w:pPr>
    <w:rPr>
      <w:b/>
    </w:rPr>
  </w:style>
  <w:style w:type="paragraph" w:styleId="Heading5">
    <w:name w:val="heading 5"/>
    <w:basedOn w:val="Normal"/>
    <w:next w:val="Normal"/>
    <w:link w:val="Heading5Char"/>
    <w:uiPriority w:val="9"/>
    <w:unhideWhenUsed/>
    <w:qFormat/>
    <w:rsid w:val="00F157D5"/>
    <w:pPr>
      <w:tabs>
        <w:tab w:val="left" w:pos="720"/>
      </w:tabs>
      <w:spacing w:line="480" w:lineRule="auto"/>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qFormat/>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styleId="CommentReference">
    <w:name w:val="annotation reference"/>
    <w:basedOn w:val="DefaultParagraphFont"/>
    <w:uiPriority w:val="99"/>
    <w:semiHidden/>
    <w:unhideWhenUsed/>
    <w:rsid w:val="00B31553"/>
    <w:rPr>
      <w:sz w:val="16"/>
      <w:szCs w:val="16"/>
    </w:rPr>
  </w:style>
  <w:style w:type="paragraph" w:styleId="CommentText">
    <w:name w:val="annotation text"/>
    <w:basedOn w:val="Normal"/>
    <w:link w:val="CommentTextChar"/>
    <w:uiPriority w:val="99"/>
    <w:semiHidden/>
    <w:unhideWhenUsed/>
    <w:rsid w:val="00B31553"/>
    <w:rPr>
      <w:sz w:val="20"/>
      <w:szCs w:val="20"/>
    </w:rPr>
  </w:style>
  <w:style w:type="character" w:customStyle="1" w:styleId="CommentTextChar">
    <w:name w:val="Comment Text Char"/>
    <w:basedOn w:val="DefaultParagraphFont"/>
    <w:link w:val="CommentText"/>
    <w:uiPriority w:val="99"/>
    <w:semiHidden/>
    <w:rsid w:val="00B3155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31553"/>
    <w:rPr>
      <w:b/>
      <w:bCs/>
    </w:rPr>
  </w:style>
  <w:style w:type="character" w:customStyle="1" w:styleId="CommentSubjectChar">
    <w:name w:val="Comment Subject Char"/>
    <w:basedOn w:val="CommentTextChar"/>
    <w:link w:val="CommentSubject"/>
    <w:uiPriority w:val="99"/>
    <w:semiHidden/>
    <w:rsid w:val="00B31553"/>
    <w:rPr>
      <w:rFonts w:ascii="Times New Roman" w:hAnsi="Times New Roman"/>
      <w:b/>
      <w:bCs/>
    </w:rPr>
  </w:style>
  <w:style w:type="character" w:styleId="Hyperlink">
    <w:name w:val="Hyperlink"/>
    <w:basedOn w:val="DefaultParagraphFont"/>
    <w:uiPriority w:val="99"/>
    <w:unhideWhenUsed/>
    <w:rsid w:val="008875A5"/>
    <w:rPr>
      <w:color w:val="0000FF" w:themeColor="hyperlink"/>
      <w:u w:val="single"/>
    </w:rPr>
  </w:style>
  <w:style w:type="paragraph" w:styleId="Revision">
    <w:name w:val="Revision"/>
    <w:hidden/>
    <w:uiPriority w:val="99"/>
    <w:semiHidden/>
    <w:rsid w:val="00E41E02"/>
    <w:rPr>
      <w:rFonts w:ascii="Times New Roman" w:hAnsi="Times New Roman"/>
      <w:sz w:val="24"/>
      <w:szCs w:val="22"/>
    </w:rPr>
  </w:style>
  <w:style w:type="character" w:customStyle="1" w:styleId="Heading1Char">
    <w:name w:val="Heading 1 Char"/>
    <w:basedOn w:val="DefaultParagraphFont"/>
    <w:link w:val="Heading1"/>
    <w:uiPriority w:val="9"/>
    <w:rsid w:val="00A54C67"/>
    <w:rPr>
      <w:rFonts w:ascii="Times New Roman" w:hAnsi="Times New Roman"/>
      <w:b/>
      <w:sz w:val="24"/>
      <w:szCs w:val="22"/>
    </w:rPr>
  </w:style>
  <w:style w:type="character" w:customStyle="1" w:styleId="Heading2Char">
    <w:name w:val="Heading 2 Char"/>
    <w:basedOn w:val="DefaultParagraphFont"/>
    <w:link w:val="Heading2"/>
    <w:uiPriority w:val="9"/>
    <w:rsid w:val="00A54C67"/>
    <w:rPr>
      <w:rFonts w:ascii="Times New Roman" w:hAnsi="Times New Roman"/>
      <w:sz w:val="24"/>
      <w:szCs w:val="22"/>
    </w:rPr>
  </w:style>
  <w:style w:type="character" w:customStyle="1" w:styleId="Heading3Char">
    <w:name w:val="Heading 3 Char"/>
    <w:basedOn w:val="DefaultParagraphFont"/>
    <w:link w:val="Heading3"/>
    <w:uiPriority w:val="9"/>
    <w:rsid w:val="00A54C67"/>
    <w:rPr>
      <w:rFonts w:ascii="Times New Roman" w:eastAsia="Times New Roman" w:hAnsi="Times New Roman"/>
      <w:b/>
      <w:sz w:val="24"/>
      <w:szCs w:val="24"/>
    </w:rPr>
  </w:style>
  <w:style w:type="character" w:customStyle="1" w:styleId="Heading4Char">
    <w:name w:val="Heading 4 Char"/>
    <w:basedOn w:val="DefaultParagraphFont"/>
    <w:link w:val="Heading4"/>
    <w:uiPriority w:val="9"/>
    <w:rsid w:val="00A54C67"/>
    <w:rPr>
      <w:rFonts w:ascii="Times New Roman" w:hAnsi="Times New Roman"/>
      <w:b/>
      <w:sz w:val="24"/>
      <w:szCs w:val="22"/>
    </w:rPr>
  </w:style>
  <w:style w:type="character" w:customStyle="1" w:styleId="Heading5Char">
    <w:name w:val="Heading 5 Char"/>
    <w:basedOn w:val="DefaultParagraphFont"/>
    <w:link w:val="Heading5"/>
    <w:uiPriority w:val="9"/>
    <w:rsid w:val="00F157D5"/>
    <w:rPr>
      <w:rFonts w:ascii="Times New Roman" w:hAnsi="Times New Roman"/>
      <w:b/>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A54C67"/>
    <w:pPr>
      <w:tabs>
        <w:tab w:val="left" w:pos="720"/>
      </w:tabs>
      <w:jc w:val="center"/>
      <w:outlineLvl w:val="0"/>
    </w:pPr>
    <w:rPr>
      <w:b/>
    </w:rPr>
  </w:style>
  <w:style w:type="paragraph" w:styleId="Heading2">
    <w:name w:val="heading 2"/>
    <w:basedOn w:val="Normal"/>
    <w:next w:val="Normal"/>
    <w:link w:val="Heading2Char"/>
    <w:uiPriority w:val="9"/>
    <w:unhideWhenUsed/>
    <w:qFormat/>
    <w:rsid w:val="00A54C67"/>
    <w:pPr>
      <w:tabs>
        <w:tab w:val="left" w:pos="720"/>
      </w:tabs>
      <w:outlineLvl w:val="1"/>
    </w:pPr>
  </w:style>
  <w:style w:type="paragraph" w:styleId="Heading3">
    <w:name w:val="heading 3"/>
    <w:basedOn w:val="ListParagraph"/>
    <w:next w:val="Normal"/>
    <w:link w:val="Heading3Char"/>
    <w:uiPriority w:val="9"/>
    <w:unhideWhenUsed/>
    <w:qFormat/>
    <w:rsid w:val="00A54C67"/>
    <w:pPr>
      <w:tabs>
        <w:tab w:val="left" w:pos="720"/>
      </w:tabs>
      <w:spacing w:line="480" w:lineRule="auto"/>
      <w:ind w:left="0"/>
      <w:jc w:val="center"/>
      <w:outlineLvl w:val="2"/>
    </w:pPr>
    <w:rPr>
      <w:rFonts w:eastAsia="Times New Roman"/>
      <w:b/>
      <w:szCs w:val="24"/>
    </w:rPr>
  </w:style>
  <w:style w:type="paragraph" w:styleId="Heading4">
    <w:name w:val="heading 4"/>
    <w:basedOn w:val="ListParagraph"/>
    <w:next w:val="Normal"/>
    <w:link w:val="Heading4Char"/>
    <w:uiPriority w:val="9"/>
    <w:unhideWhenUsed/>
    <w:qFormat/>
    <w:rsid w:val="00A54C67"/>
    <w:pPr>
      <w:tabs>
        <w:tab w:val="left" w:pos="720"/>
      </w:tabs>
      <w:spacing w:line="480" w:lineRule="auto"/>
      <w:ind w:left="0"/>
      <w:outlineLvl w:val="3"/>
    </w:pPr>
    <w:rPr>
      <w:b/>
    </w:rPr>
  </w:style>
  <w:style w:type="paragraph" w:styleId="Heading5">
    <w:name w:val="heading 5"/>
    <w:basedOn w:val="Normal"/>
    <w:next w:val="Normal"/>
    <w:link w:val="Heading5Char"/>
    <w:uiPriority w:val="9"/>
    <w:unhideWhenUsed/>
    <w:qFormat/>
    <w:rsid w:val="00F157D5"/>
    <w:pPr>
      <w:tabs>
        <w:tab w:val="left" w:pos="720"/>
      </w:tabs>
      <w:spacing w:line="480" w:lineRule="auto"/>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qFormat/>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styleId="CommentReference">
    <w:name w:val="annotation reference"/>
    <w:basedOn w:val="DefaultParagraphFont"/>
    <w:uiPriority w:val="99"/>
    <w:semiHidden/>
    <w:unhideWhenUsed/>
    <w:rsid w:val="00B31553"/>
    <w:rPr>
      <w:sz w:val="16"/>
      <w:szCs w:val="16"/>
    </w:rPr>
  </w:style>
  <w:style w:type="paragraph" w:styleId="CommentText">
    <w:name w:val="annotation text"/>
    <w:basedOn w:val="Normal"/>
    <w:link w:val="CommentTextChar"/>
    <w:uiPriority w:val="99"/>
    <w:semiHidden/>
    <w:unhideWhenUsed/>
    <w:rsid w:val="00B31553"/>
    <w:rPr>
      <w:sz w:val="20"/>
      <w:szCs w:val="20"/>
    </w:rPr>
  </w:style>
  <w:style w:type="character" w:customStyle="1" w:styleId="CommentTextChar">
    <w:name w:val="Comment Text Char"/>
    <w:basedOn w:val="DefaultParagraphFont"/>
    <w:link w:val="CommentText"/>
    <w:uiPriority w:val="99"/>
    <w:semiHidden/>
    <w:rsid w:val="00B3155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31553"/>
    <w:rPr>
      <w:b/>
      <w:bCs/>
    </w:rPr>
  </w:style>
  <w:style w:type="character" w:customStyle="1" w:styleId="CommentSubjectChar">
    <w:name w:val="Comment Subject Char"/>
    <w:basedOn w:val="CommentTextChar"/>
    <w:link w:val="CommentSubject"/>
    <w:uiPriority w:val="99"/>
    <w:semiHidden/>
    <w:rsid w:val="00B31553"/>
    <w:rPr>
      <w:rFonts w:ascii="Times New Roman" w:hAnsi="Times New Roman"/>
      <w:b/>
      <w:bCs/>
    </w:rPr>
  </w:style>
  <w:style w:type="character" w:styleId="Hyperlink">
    <w:name w:val="Hyperlink"/>
    <w:basedOn w:val="DefaultParagraphFont"/>
    <w:uiPriority w:val="99"/>
    <w:unhideWhenUsed/>
    <w:rsid w:val="008875A5"/>
    <w:rPr>
      <w:color w:val="0000FF" w:themeColor="hyperlink"/>
      <w:u w:val="single"/>
    </w:rPr>
  </w:style>
  <w:style w:type="paragraph" w:styleId="Revision">
    <w:name w:val="Revision"/>
    <w:hidden/>
    <w:uiPriority w:val="99"/>
    <w:semiHidden/>
    <w:rsid w:val="00E41E02"/>
    <w:rPr>
      <w:rFonts w:ascii="Times New Roman" w:hAnsi="Times New Roman"/>
      <w:sz w:val="24"/>
      <w:szCs w:val="22"/>
    </w:rPr>
  </w:style>
  <w:style w:type="character" w:customStyle="1" w:styleId="Heading1Char">
    <w:name w:val="Heading 1 Char"/>
    <w:basedOn w:val="DefaultParagraphFont"/>
    <w:link w:val="Heading1"/>
    <w:uiPriority w:val="9"/>
    <w:rsid w:val="00A54C67"/>
    <w:rPr>
      <w:rFonts w:ascii="Times New Roman" w:hAnsi="Times New Roman"/>
      <w:b/>
      <w:sz w:val="24"/>
      <w:szCs w:val="22"/>
    </w:rPr>
  </w:style>
  <w:style w:type="character" w:customStyle="1" w:styleId="Heading2Char">
    <w:name w:val="Heading 2 Char"/>
    <w:basedOn w:val="DefaultParagraphFont"/>
    <w:link w:val="Heading2"/>
    <w:uiPriority w:val="9"/>
    <w:rsid w:val="00A54C67"/>
    <w:rPr>
      <w:rFonts w:ascii="Times New Roman" w:hAnsi="Times New Roman"/>
      <w:sz w:val="24"/>
      <w:szCs w:val="22"/>
    </w:rPr>
  </w:style>
  <w:style w:type="character" w:customStyle="1" w:styleId="Heading3Char">
    <w:name w:val="Heading 3 Char"/>
    <w:basedOn w:val="DefaultParagraphFont"/>
    <w:link w:val="Heading3"/>
    <w:uiPriority w:val="9"/>
    <w:rsid w:val="00A54C67"/>
    <w:rPr>
      <w:rFonts w:ascii="Times New Roman" w:eastAsia="Times New Roman" w:hAnsi="Times New Roman"/>
      <w:b/>
      <w:sz w:val="24"/>
      <w:szCs w:val="24"/>
    </w:rPr>
  </w:style>
  <w:style w:type="character" w:customStyle="1" w:styleId="Heading4Char">
    <w:name w:val="Heading 4 Char"/>
    <w:basedOn w:val="DefaultParagraphFont"/>
    <w:link w:val="Heading4"/>
    <w:uiPriority w:val="9"/>
    <w:rsid w:val="00A54C67"/>
    <w:rPr>
      <w:rFonts w:ascii="Times New Roman" w:hAnsi="Times New Roman"/>
      <w:b/>
      <w:sz w:val="24"/>
      <w:szCs w:val="22"/>
    </w:rPr>
  </w:style>
  <w:style w:type="character" w:customStyle="1" w:styleId="Heading5Char">
    <w:name w:val="Heading 5 Char"/>
    <w:basedOn w:val="DefaultParagraphFont"/>
    <w:link w:val="Heading5"/>
    <w:uiPriority w:val="9"/>
    <w:rsid w:val="00F157D5"/>
    <w:rPr>
      <w:rFonts w:ascii="Times New Roman" w:hAnsi="Times New Roman"/>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767539">
      <w:bodyDiv w:val="1"/>
      <w:marLeft w:val="0"/>
      <w:marRight w:val="0"/>
      <w:marTop w:val="0"/>
      <w:marBottom w:val="0"/>
      <w:divBdr>
        <w:top w:val="none" w:sz="0" w:space="0" w:color="auto"/>
        <w:left w:val="none" w:sz="0" w:space="0" w:color="auto"/>
        <w:bottom w:val="none" w:sz="0" w:space="0" w:color="auto"/>
        <w:right w:val="none" w:sz="0" w:space="0" w:color="auto"/>
      </w:divBdr>
    </w:div>
    <w:div w:id="480082170">
      <w:bodyDiv w:val="1"/>
      <w:marLeft w:val="0"/>
      <w:marRight w:val="0"/>
      <w:marTop w:val="0"/>
      <w:marBottom w:val="0"/>
      <w:divBdr>
        <w:top w:val="none" w:sz="0" w:space="0" w:color="auto"/>
        <w:left w:val="none" w:sz="0" w:space="0" w:color="auto"/>
        <w:bottom w:val="none" w:sz="0" w:space="0" w:color="auto"/>
        <w:right w:val="none" w:sz="0" w:space="0" w:color="auto"/>
      </w:divBdr>
      <w:divsChild>
        <w:div w:id="2121946515">
          <w:marLeft w:val="0"/>
          <w:marRight w:val="0"/>
          <w:marTop w:val="0"/>
          <w:marBottom w:val="0"/>
          <w:divBdr>
            <w:top w:val="none" w:sz="0" w:space="0" w:color="auto"/>
            <w:left w:val="none" w:sz="0" w:space="0" w:color="auto"/>
            <w:bottom w:val="none" w:sz="0" w:space="0" w:color="auto"/>
            <w:right w:val="none" w:sz="0" w:space="0" w:color="auto"/>
          </w:divBdr>
          <w:divsChild>
            <w:div w:id="157296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1586">
      <w:bodyDiv w:val="1"/>
      <w:marLeft w:val="0"/>
      <w:marRight w:val="0"/>
      <w:marTop w:val="0"/>
      <w:marBottom w:val="0"/>
      <w:divBdr>
        <w:top w:val="none" w:sz="0" w:space="0" w:color="auto"/>
        <w:left w:val="none" w:sz="0" w:space="0" w:color="auto"/>
        <w:bottom w:val="none" w:sz="0" w:space="0" w:color="auto"/>
        <w:right w:val="none" w:sz="0" w:space="0" w:color="auto"/>
      </w:divBdr>
    </w:div>
    <w:div w:id="986014655">
      <w:bodyDiv w:val="1"/>
      <w:marLeft w:val="0"/>
      <w:marRight w:val="0"/>
      <w:marTop w:val="0"/>
      <w:marBottom w:val="0"/>
      <w:divBdr>
        <w:top w:val="none" w:sz="0" w:space="0" w:color="auto"/>
        <w:left w:val="none" w:sz="0" w:space="0" w:color="auto"/>
        <w:bottom w:val="none" w:sz="0" w:space="0" w:color="auto"/>
        <w:right w:val="none" w:sz="0" w:space="0" w:color="auto"/>
      </w:divBdr>
    </w:div>
    <w:div w:id="1682580609">
      <w:bodyDiv w:val="1"/>
      <w:marLeft w:val="0"/>
      <w:marRight w:val="0"/>
      <w:marTop w:val="0"/>
      <w:marBottom w:val="0"/>
      <w:divBdr>
        <w:top w:val="none" w:sz="0" w:space="0" w:color="auto"/>
        <w:left w:val="none" w:sz="0" w:space="0" w:color="auto"/>
        <w:bottom w:val="none" w:sz="0" w:space="0" w:color="auto"/>
        <w:right w:val="none" w:sz="0" w:space="0" w:color="auto"/>
      </w:divBdr>
    </w:div>
    <w:div w:id="1682783179">
      <w:bodyDiv w:val="1"/>
      <w:marLeft w:val="0"/>
      <w:marRight w:val="0"/>
      <w:marTop w:val="0"/>
      <w:marBottom w:val="0"/>
      <w:divBdr>
        <w:top w:val="none" w:sz="0" w:space="0" w:color="auto"/>
        <w:left w:val="none" w:sz="0" w:space="0" w:color="auto"/>
        <w:bottom w:val="none" w:sz="0" w:space="0" w:color="auto"/>
        <w:right w:val="none" w:sz="0" w:space="0" w:color="auto"/>
      </w:divBdr>
      <w:divsChild>
        <w:div w:id="892421131">
          <w:marLeft w:val="0"/>
          <w:marRight w:val="0"/>
          <w:marTop w:val="0"/>
          <w:marBottom w:val="0"/>
          <w:divBdr>
            <w:top w:val="none" w:sz="0" w:space="0" w:color="auto"/>
            <w:left w:val="none" w:sz="0" w:space="0" w:color="auto"/>
            <w:bottom w:val="none" w:sz="0" w:space="0" w:color="auto"/>
            <w:right w:val="none" w:sz="0" w:space="0" w:color="auto"/>
          </w:divBdr>
          <w:divsChild>
            <w:div w:id="8444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9142">
      <w:bodyDiv w:val="1"/>
      <w:marLeft w:val="0"/>
      <w:marRight w:val="0"/>
      <w:marTop w:val="0"/>
      <w:marBottom w:val="0"/>
      <w:divBdr>
        <w:top w:val="none" w:sz="0" w:space="0" w:color="auto"/>
        <w:left w:val="none" w:sz="0" w:space="0" w:color="auto"/>
        <w:bottom w:val="none" w:sz="0" w:space="0" w:color="auto"/>
        <w:right w:val="none" w:sz="0" w:space="0" w:color="auto"/>
      </w:divBdr>
      <w:divsChild>
        <w:div w:id="1635678316">
          <w:marLeft w:val="0"/>
          <w:marRight w:val="0"/>
          <w:marTop w:val="0"/>
          <w:marBottom w:val="0"/>
          <w:divBdr>
            <w:top w:val="none" w:sz="0" w:space="0" w:color="auto"/>
            <w:left w:val="none" w:sz="0" w:space="0" w:color="auto"/>
            <w:bottom w:val="none" w:sz="0" w:space="0" w:color="auto"/>
            <w:right w:val="none" w:sz="0" w:space="0" w:color="auto"/>
          </w:divBdr>
          <w:divsChild>
            <w:div w:id="14418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User%20Templates\2011_CNSL\2011-Judge_Counsel_%20Forms\Opinion_F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C1F7E-20FD-4D8A-95D2-4E144F84E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Opinion_Frm.dotm</Template>
  <TotalTime>9</TotalTime>
  <Pages>22</Pages>
  <Words>5911</Words>
  <Characters>33698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39530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 Bar Court of California OPINION</dc:title>
  <dc:creator>Dina Goldman</dc:creator>
  <cp:lastModifiedBy>James Evans</cp:lastModifiedBy>
  <cp:revision>5</cp:revision>
  <cp:lastPrinted>2017-04-24T19:54:00Z</cp:lastPrinted>
  <dcterms:created xsi:type="dcterms:W3CDTF">2017-04-24T22:58:00Z</dcterms:created>
  <dcterms:modified xsi:type="dcterms:W3CDTF">2017-04-26T21:38:00Z</dcterms:modified>
</cp:coreProperties>
</file>