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9D273" w14:textId="21898B9D" w:rsidR="00C11CC8" w:rsidRDefault="00B55EA6" w:rsidP="00D77EA4">
      <w:bookmarkStart w:id="0" w:name="_GoBack"/>
      <w:bookmarkEnd w:id="0"/>
      <w:r>
        <w:t>PUBLIC MATTER—</w:t>
      </w:r>
      <w:r w:rsidR="00AB7821">
        <w:t>D</w:t>
      </w:r>
      <w:r>
        <w:t>ESIGNATED FOR PUBLICATION</w:t>
      </w:r>
    </w:p>
    <w:p w14:paraId="0F9B4CBD" w14:textId="77777777" w:rsidR="00371E31" w:rsidRDefault="00371E31" w:rsidP="00D77EA4"/>
    <w:p w14:paraId="53DBA2A9" w14:textId="0726B427" w:rsidR="00371E31" w:rsidRDefault="00F01737" w:rsidP="00D77EA4">
      <w:r>
        <w:tab/>
      </w:r>
      <w:r>
        <w:tab/>
      </w:r>
      <w:r>
        <w:tab/>
      </w:r>
      <w:r>
        <w:tab/>
      </w:r>
      <w:r>
        <w:tab/>
      </w:r>
      <w:r>
        <w:tab/>
      </w:r>
      <w:r>
        <w:tab/>
      </w:r>
      <w:r>
        <w:tab/>
      </w:r>
      <w:r>
        <w:tab/>
        <w:t>Filed November 8, 2018</w:t>
      </w:r>
    </w:p>
    <w:p w14:paraId="7003062E" w14:textId="77777777" w:rsidR="00EA2B28" w:rsidRDefault="00EA2B28" w:rsidP="00D77EA4"/>
    <w:p w14:paraId="2BFC097C" w14:textId="77777777" w:rsidR="00371E31" w:rsidRDefault="00371E31" w:rsidP="00D77EA4"/>
    <w:p w14:paraId="7F049696" w14:textId="77777777" w:rsidR="00371E31" w:rsidRPr="00C11CC8" w:rsidRDefault="00371E31" w:rsidP="00D77EA4"/>
    <w:p w14:paraId="6E11EFB3" w14:textId="77777777" w:rsidR="00C11CC8" w:rsidRDefault="00AB0F42" w:rsidP="00DD047C">
      <w:pPr>
        <w:jc w:val="center"/>
        <w:rPr>
          <w:b/>
        </w:rPr>
      </w:pPr>
      <w:r>
        <w:rPr>
          <w:b/>
        </w:rPr>
        <w:t>STATE BAR COURT OF CALIFORNIA</w:t>
      </w:r>
    </w:p>
    <w:p w14:paraId="4125A5EE" w14:textId="77777777" w:rsidR="00DD047C" w:rsidRPr="00C11CC8" w:rsidRDefault="00DD047C" w:rsidP="00DD047C">
      <w:pPr>
        <w:jc w:val="center"/>
      </w:pPr>
    </w:p>
    <w:p w14:paraId="5C5B77B2" w14:textId="77777777" w:rsidR="008F3169" w:rsidRDefault="00AB0F42" w:rsidP="00DD047C">
      <w:pPr>
        <w:jc w:val="center"/>
        <w:rPr>
          <w:b/>
        </w:rPr>
      </w:pPr>
      <w:r>
        <w:rPr>
          <w:b/>
        </w:rPr>
        <w:t>REVIEW DEPARTMENT</w:t>
      </w:r>
    </w:p>
    <w:p w14:paraId="3C0BD882" w14:textId="77777777" w:rsidR="00C11CC8" w:rsidRDefault="00C11CC8" w:rsidP="00DD047C">
      <w:pPr>
        <w:rPr>
          <w:b/>
        </w:rPr>
      </w:pPr>
    </w:p>
    <w:p w14:paraId="2D7DBBD5" w14:textId="77777777" w:rsidR="00371E31" w:rsidRPr="00C11CC8" w:rsidRDefault="00371E31" w:rsidP="00DD047C">
      <w:pPr>
        <w:rPr>
          <w:b/>
        </w:rPr>
      </w:pPr>
    </w:p>
    <w:tbl>
      <w:tblPr>
        <w:tblStyle w:val="TableGrid"/>
        <w:tblW w:w="0" w:type="auto"/>
        <w:tblLook w:val="04A0" w:firstRow="1" w:lastRow="0" w:firstColumn="1" w:lastColumn="0" w:noHBand="0" w:noVBand="1"/>
      </w:tblPr>
      <w:tblGrid>
        <w:gridCol w:w="4770"/>
        <w:gridCol w:w="497"/>
        <w:gridCol w:w="4201"/>
      </w:tblGrid>
      <w:tr w:rsidR="00C11CC8" w:rsidRPr="006440CE" w14:paraId="2F5C5E08" w14:textId="77777777" w:rsidTr="001A4C1C">
        <w:tc>
          <w:tcPr>
            <w:tcW w:w="4770" w:type="dxa"/>
            <w:tcBorders>
              <w:top w:val="nil"/>
              <w:left w:val="nil"/>
              <w:right w:val="nil"/>
            </w:tcBorders>
            <w:tcMar>
              <w:left w:w="0" w:type="dxa"/>
              <w:right w:w="0" w:type="dxa"/>
            </w:tcMar>
          </w:tcPr>
          <w:p w14:paraId="4B9BB498" w14:textId="77777777" w:rsidR="00C11CC8" w:rsidRPr="006440CE" w:rsidRDefault="00C11CC8" w:rsidP="00DD047C">
            <w:r w:rsidRPr="006440CE">
              <w:t>In the Matter of</w:t>
            </w:r>
          </w:p>
          <w:p w14:paraId="2F6BF95F" w14:textId="77777777" w:rsidR="009216E0" w:rsidRPr="006440CE" w:rsidRDefault="009216E0" w:rsidP="00DD047C"/>
          <w:p w14:paraId="5C4A764B" w14:textId="77777777" w:rsidR="00C11CC8" w:rsidRPr="006440CE" w:rsidRDefault="007C6C88" w:rsidP="00DD047C">
            <w:bookmarkStart w:id="1" w:name="Respondent"/>
            <w:bookmarkEnd w:id="1"/>
            <w:r>
              <w:t>MANUEL ANGEL GONZALEZ</w:t>
            </w:r>
            <w:r w:rsidR="00C11CC8" w:rsidRPr="006440CE">
              <w:t>,</w:t>
            </w:r>
          </w:p>
          <w:p w14:paraId="2FA911B6" w14:textId="77777777" w:rsidR="009216E0" w:rsidRPr="006440CE" w:rsidRDefault="009216E0" w:rsidP="00DD047C"/>
          <w:p w14:paraId="04192D44" w14:textId="77777777" w:rsidR="009216E0" w:rsidRPr="006440CE" w:rsidRDefault="00906EE2" w:rsidP="00755351">
            <w:bookmarkStart w:id="2" w:name="type"/>
            <w:bookmarkEnd w:id="2"/>
            <w:r>
              <w:t>A Member of the State Bar, No.</w:t>
            </w:r>
            <w:r w:rsidR="00D90643" w:rsidRPr="006440CE">
              <w:t xml:space="preserve"> </w:t>
            </w:r>
            <w:bookmarkStart w:id="3" w:name="memno"/>
            <w:bookmarkStart w:id="4" w:name="MemberNo"/>
            <w:bookmarkEnd w:id="3"/>
            <w:bookmarkEnd w:id="4"/>
            <w:r w:rsidR="00755351">
              <w:t>219130</w:t>
            </w:r>
            <w:r>
              <w:t>.</w:t>
            </w:r>
          </w:p>
        </w:tc>
        <w:tc>
          <w:tcPr>
            <w:tcW w:w="497" w:type="dxa"/>
            <w:tcBorders>
              <w:top w:val="nil"/>
              <w:left w:val="nil"/>
              <w:bottom w:val="nil"/>
              <w:right w:val="nil"/>
            </w:tcBorders>
            <w:tcMar>
              <w:left w:w="0" w:type="dxa"/>
              <w:right w:w="0" w:type="dxa"/>
            </w:tcMar>
          </w:tcPr>
          <w:p w14:paraId="54EA3B61" w14:textId="77777777" w:rsidR="00C11CC8" w:rsidRPr="006440CE" w:rsidRDefault="00C11CC8" w:rsidP="00DD047C">
            <w:r w:rsidRPr="006440CE">
              <w:t>)</w:t>
            </w:r>
          </w:p>
          <w:p w14:paraId="38F4E27D" w14:textId="77777777" w:rsidR="009216E0" w:rsidRPr="006440CE" w:rsidRDefault="009216E0" w:rsidP="00DD047C">
            <w:r w:rsidRPr="006440CE">
              <w:t>)</w:t>
            </w:r>
            <w:r w:rsidRPr="006440CE">
              <w:br/>
              <w:t>)</w:t>
            </w:r>
            <w:r w:rsidRPr="006440CE">
              <w:br/>
              <w:t>)</w:t>
            </w:r>
            <w:r w:rsidRPr="006440CE">
              <w:br/>
              <w:t>)</w:t>
            </w:r>
            <w:r w:rsidRPr="006440CE">
              <w:br/>
              <w:t>)</w:t>
            </w:r>
          </w:p>
        </w:tc>
        <w:tc>
          <w:tcPr>
            <w:tcW w:w="4201" w:type="dxa"/>
            <w:tcBorders>
              <w:top w:val="nil"/>
              <w:left w:val="nil"/>
              <w:bottom w:val="nil"/>
              <w:right w:val="nil"/>
            </w:tcBorders>
          </w:tcPr>
          <w:p w14:paraId="7000882F" w14:textId="1D1B0514" w:rsidR="0015423F" w:rsidRPr="006440CE" w:rsidRDefault="008F3169" w:rsidP="00DD047C">
            <w:r w:rsidRPr="006440CE">
              <w:t xml:space="preserve">Case </w:t>
            </w:r>
            <w:r w:rsidR="00C11CC8" w:rsidRPr="006440CE">
              <w:t>No</w:t>
            </w:r>
            <w:r w:rsidR="00CF110A" w:rsidRPr="006440CE">
              <w:t>s</w:t>
            </w:r>
            <w:r w:rsidR="00C11CC8" w:rsidRPr="006440CE">
              <w:t>.</w:t>
            </w:r>
            <w:r w:rsidR="00CF110A" w:rsidRPr="006440CE">
              <w:t xml:space="preserve"> </w:t>
            </w:r>
            <w:bookmarkStart w:id="5" w:name="caseno"/>
            <w:bookmarkEnd w:id="5"/>
            <w:r w:rsidR="00755351">
              <w:t>12-N-16025</w:t>
            </w:r>
            <w:r w:rsidR="0015423F">
              <w:t>;</w:t>
            </w:r>
            <w:r w:rsidR="00755351">
              <w:t xml:space="preserve"> 12-O-12219</w:t>
            </w:r>
            <w:r w:rsidR="0015423F">
              <w:t xml:space="preserve">   (</w:t>
            </w:r>
            <w:r w:rsidR="00755351">
              <w:t>12-O-12410</w:t>
            </w:r>
            <w:r w:rsidR="0015423F">
              <w:t>;</w:t>
            </w:r>
            <w:r w:rsidR="00755351">
              <w:t xml:space="preserve"> 12-O-12507</w:t>
            </w:r>
            <w:r w:rsidR="0015423F">
              <w:t>;</w:t>
            </w:r>
            <w:r w:rsidR="00755351">
              <w:t xml:space="preserve"> 12-O-12759</w:t>
            </w:r>
            <w:r w:rsidR="0015423F">
              <w:t>;</w:t>
            </w:r>
            <w:r w:rsidR="00755351">
              <w:t xml:space="preserve"> 12-O-13128</w:t>
            </w:r>
            <w:r w:rsidR="0015423F">
              <w:t>)  (Consolidated)</w:t>
            </w:r>
          </w:p>
          <w:p w14:paraId="444ED8A2" w14:textId="77777777" w:rsidR="009216E0" w:rsidRPr="006440CE" w:rsidRDefault="009216E0" w:rsidP="00DD047C"/>
          <w:p w14:paraId="1FD99266" w14:textId="763D9067" w:rsidR="007F537A" w:rsidRPr="006440CE" w:rsidRDefault="00F46DAC" w:rsidP="00DD047C">
            <w:bookmarkStart w:id="6" w:name="doctitle"/>
            <w:bookmarkEnd w:id="6"/>
            <w:r>
              <w:t xml:space="preserve">OPINION </w:t>
            </w:r>
            <w:r w:rsidR="001A05C1">
              <w:t>AND ORDER</w:t>
            </w:r>
          </w:p>
          <w:p w14:paraId="78D21AD5" w14:textId="77777777" w:rsidR="007F537A" w:rsidRPr="006440CE" w:rsidRDefault="007F537A" w:rsidP="00DD047C"/>
        </w:tc>
      </w:tr>
    </w:tbl>
    <w:p w14:paraId="05902E1B" w14:textId="5F757872" w:rsidR="00783AF1" w:rsidRDefault="00783AF1" w:rsidP="00F17153">
      <w:r>
        <w:tab/>
      </w:r>
      <w:bookmarkStart w:id="7" w:name="start"/>
      <w:bookmarkEnd w:id="7"/>
    </w:p>
    <w:p w14:paraId="15B212A7" w14:textId="2AD8222D" w:rsidR="00F07A36" w:rsidRDefault="00935853" w:rsidP="008410DB">
      <w:pPr>
        <w:tabs>
          <w:tab w:val="left" w:pos="720"/>
        </w:tabs>
        <w:spacing w:line="480" w:lineRule="auto"/>
        <w:ind w:right="-144"/>
      </w:pPr>
      <w:r>
        <w:tab/>
      </w:r>
      <w:r w:rsidR="00530B18">
        <w:t xml:space="preserve">This is Manuel Angel Gonzalez’s </w:t>
      </w:r>
      <w:r w:rsidR="00353901">
        <w:t>third disciplinary</w:t>
      </w:r>
      <w:r w:rsidR="00AC6DFB">
        <w:t xml:space="preserve"> proceeding</w:t>
      </w:r>
      <w:r w:rsidR="00521ABD">
        <w:t xml:space="preserve"> since 2011, and the second time he has taken advantage of clients in immigration and criminal cases.</w:t>
      </w:r>
      <w:r w:rsidR="00530B18">
        <w:t xml:space="preserve">  A </w:t>
      </w:r>
      <w:r>
        <w:t xml:space="preserve">hearing judge found </w:t>
      </w:r>
      <w:r w:rsidR="00AB0B4E">
        <w:t>that Gonzalez</w:t>
      </w:r>
      <w:r w:rsidR="000F2E5E">
        <w:t xml:space="preserve"> </w:t>
      </w:r>
      <w:r w:rsidR="002E1B89">
        <w:t>(1)</w:t>
      </w:r>
      <w:r w:rsidR="003F5373">
        <w:t> </w:t>
      </w:r>
      <w:r w:rsidR="00AB0B4E">
        <w:t>failed</w:t>
      </w:r>
      <w:r w:rsidR="000F2E5E">
        <w:t xml:space="preserve"> </w:t>
      </w:r>
      <w:r w:rsidR="00AB0B4E">
        <w:t xml:space="preserve">to </w:t>
      </w:r>
      <w:r w:rsidR="000F2E5E">
        <w:t xml:space="preserve">comply </w:t>
      </w:r>
      <w:r w:rsidR="00A50D18">
        <w:t>with rule</w:t>
      </w:r>
      <w:r w:rsidR="003F5373">
        <w:t> </w:t>
      </w:r>
      <w:r w:rsidR="00A50D18">
        <w:t xml:space="preserve">9.20 of </w:t>
      </w:r>
      <w:r w:rsidR="00C6630D">
        <w:t>t</w:t>
      </w:r>
      <w:r w:rsidR="00A50D18">
        <w:t xml:space="preserve">he California Rules of Court, </w:t>
      </w:r>
      <w:r w:rsidR="002E1B89">
        <w:t>(</w:t>
      </w:r>
      <w:r w:rsidR="00923CEF">
        <w:t>2</w:t>
      </w:r>
      <w:r w:rsidR="002E1B89">
        <w:t>)</w:t>
      </w:r>
      <w:r w:rsidR="00A272C3">
        <w:t> </w:t>
      </w:r>
      <w:r w:rsidR="002E1B89">
        <w:t>fail</w:t>
      </w:r>
      <w:r w:rsidR="00AB0B4E">
        <w:t>ed</w:t>
      </w:r>
      <w:r w:rsidR="002E1B89">
        <w:t xml:space="preserve"> to cooperate with State Bar </w:t>
      </w:r>
      <w:r w:rsidR="00C6630D">
        <w:t>investigation</w:t>
      </w:r>
      <w:r w:rsidR="00923CEF">
        <w:t>s</w:t>
      </w:r>
      <w:r w:rsidR="002E1B89">
        <w:t xml:space="preserve">, </w:t>
      </w:r>
      <w:r w:rsidR="00521ABD">
        <w:t>(3)</w:t>
      </w:r>
      <w:r w:rsidR="00A272C3">
        <w:t> </w:t>
      </w:r>
      <w:r w:rsidR="00521ABD">
        <w:t>engag</w:t>
      </w:r>
      <w:r w:rsidR="00AB0B4E">
        <w:t>ed in</w:t>
      </w:r>
      <w:r w:rsidR="00521ABD">
        <w:t xml:space="preserve"> the unauthorized practice of law (UPL)</w:t>
      </w:r>
      <w:r w:rsidR="007D0F6C">
        <w:t>, (4)</w:t>
      </w:r>
      <w:r w:rsidR="00FC2E76">
        <w:t> </w:t>
      </w:r>
      <w:r w:rsidR="00F64F62">
        <w:t>committ</w:t>
      </w:r>
      <w:r w:rsidR="00AB0B4E">
        <w:t>ed</w:t>
      </w:r>
      <w:r w:rsidR="00F64F62">
        <w:t xml:space="preserve"> </w:t>
      </w:r>
      <w:r w:rsidR="007D0F6C">
        <w:t>acts of moral turpitude</w:t>
      </w:r>
      <w:r w:rsidR="00521ABD">
        <w:t xml:space="preserve">, and </w:t>
      </w:r>
      <w:r w:rsidR="002E1B89">
        <w:t>(</w:t>
      </w:r>
      <w:r w:rsidR="007D0F6C">
        <w:t>5</w:t>
      </w:r>
      <w:r w:rsidR="002E1B89">
        <w:t>)</w:t>
      </w:r>
      <w:r w:rsidR="00A272C3">
        <w:t> </w:t>
      </w:r>
      <w:r w:rsidR="002E1B89">
        <w:t>collect</w:t>
      </w:r>
      <w:r w:rsidR="00AB0B4E">
        <w:t>ed</w:t>
      </w:r>
      <w:r w:rsidR="002E1B89">
        <w:t xml:space="preserve"> fees</w:t>
      </w:r>
      <w:r w:rsidR="003F5373">
        <w:t xml:space="preserve"> while</w:t>
      </w:r>
      <w:r w:rsidR="002E1B89">
        <w:t xml:space="preserve"> failing to perform, account, or refund fees in five client matters.  </w:t>
      </w:r>
      <w:r w:rsidR="00F64F62">
        <w:t xml:space="preserve">Gonzalez </w:t>
      </w:r>
      <w:r w:rsidR="00AB0B4E">
        <w:t>was disciplined for committing</w:t>
      </w:r>
      <w:r w:rsidR="002E1B89">
        <w:t xml:space="preserve"> </w:t>
      </w:r>
      <w:r w:rsidR="00F64F62">
        <w:t>similar</w:t>
      </w:r>
      <w:r w:rsidR="00FF261C">
        <w:t xml:space="preserve"> </w:t>
      </w:r>
      <w:r w:rsidR="00FC2E76">
        <w:t xml:space="preserve">client </w:t>
      </w:r>
      <w:r w:rsidR="002E1B89">
        <w:t xml:space="preserve">misconduct </w:t>
      </w:r>
      <w:r w:rsidR="00923CEF">
        <w:t xml:space="preserve">in </w:t>
      </w:r>
      <w:r w:rsidR="00AB0B4E">
        <w:t>2011</w:t>
      </w:r>
      <w:r w:rsidR="00521ABD">
        <w:t xml:space="preserve">.  </w:t>
      </w:r>
    </w:p>
    <w:p w14:paraId="554E1466" w14:textId="397DB43A" w:rsidR="00304E77" w:rsidRDefault="00F07A36" w:rsidP="00F07A36">
      <w:pPr>
        <w:spacing w:line="480" w:lineRule="auto"/>
      </w:pPr>
      <w:r>
        <w:tab/>
        <w:t xml:space="preserve">The </w:t>
      </w:r>
      <w:r w:rsidR="00F64F62">
        <w:t xml:space="preserve">hearing </w:t>
      </w:r>
      <w:r w:rsidR="004E782D">
        <w:t>judge</w:t>
      </w:r>
      <w:r w:rsidR="00E617BD">
        <w:t xml:space="preserve"> </w:t>
      </w:r>
      <w:r w:rsidR="00935853">
        <w:t xml:space="preserve">recommended </w:t>
      </w:r>
      <w:r w:rsidR="000A1B45">
        <w:t xml:space="preserve">discipline including </w:t>
      </w:r>
      <w:r w:rsidR="004B4B6B">
        <w:t>a</w:t>
      </w:r>
      <w:r w:rsidR="00530B18">
        <w:t xml:space="preserve"> </w:t>
      </w:r>
      <w:r w:rsidR="00EE014F">
        <w:t>two</w:t>
      </w:r>
      <w:r w:rsidR="00530B18">
        <w:t>-year actual suspension</w:t>
      </w:r>
      <w:r w:rsidR="001C25EA">
        <w:t>,</w:t>
      </w:r>
      <w:r w:rsidR="00530B18">
        <w:t xml:space="preserve"> continuing until Gonzalez </w:t>
      </w:r>
      <w:r w:rsidR="007548BC">
        <w:t>refunds</w:t>
      </w:r>
      <w:r w:rsidR="00530B18">
        <w:t xml:space="preserve"> </w:t>
      </w:r>
      <w:r w:rsidR="004E782D">
        <w:t>$</w:t>
      </w:r>
      <w:r w:rsidR="007144A9">
        <w:t xml:space="preserve">14,400 to clients </w:t>
      </w:r>
      <w:r w:rsidR="00530B18">
        <w:t>and proves his</w:t>
      </w:r>
      <w:r w:rsidR="00BC0FF7">
        <w:t xml:space="preserve"> </w:t>
      </w:r>
      <w:r w:rsidR="00530B18">
        <w:t>reha</w:t>
      </w:r>
      <w:r w:rsidR="00EE014F">
        <w:t>bilitation</w:t>
      </w:r>
      <w:r w:rsidR="0022658A">
        <w:t>.</w:t>
      </w:r>
      <w:r>
        <w:t xml:space="preserve">  </w:t>
      </w:r>
      <w:r w:rsidR="00935853" w:rsidRPr="0066782C">
        <w:t xml:space="preserve">The </w:t>
      </w:r>
      <w:r w:rsidR="00935853">
        <w:t xml:space="preserve">Office of Chief Trial </w:t>
      </w:r>
      <w:r w:rsidR="00851B60">
        <w:t>Counsel of the State Bar</w:t>
      </w:r>
      <w:r w:rsidR="00935853">
        <w:t xml:space="preserve"> (OCTC)</w:t>
      </w:r>
      <w:r w:rsidR="00935853" w:rsidRPr="0066782C">
        <w:t xml:space="preserve"> </w:t>
      </w:r>
      <w:r w:rsidR="00F64F62">
        <w:t xml:space="preserve">appeals, </w:t>
      </w:r>
      <w:r w:rsidR="00353901">
        <w:t>seek</w:t>
      </w:r>
      <w:r w:rsidR="00F64F62">
        <w:t>ing</w:t>
      </w:r>
      <w:r w:rsidR="002A6E2A">
        <w:t xml:space="preserve"> </w:t>
      </w:r>
      <w:r w:rsidR="00304E77">
        <w:t>Gonzalez</w:t>
      </w:r>
      <w:r w:rsidR="00F64F62">
        <w:t xml:space="preserve">’s disbarment </w:t>
      </w:r>
      <w:r w:rsidR="007548BC">
        <w:t xml:space="preserve">since his two </w:t>
      </w:r>
      <w:r w:rsidR="003425D7">
        <w:t>prior disciplines</w:t>
      </w:r>
      <w:r w:rsidR="007548BC">
        <w:t xml:space="preserve"> did not reform him</w:t>
      </w:r>
      <w:r w:rsidR="005D51C7">
        <w:t>.</w:t>
      </w:r>
      <w:r w:rsidR="00353901">
        <w:t xml:space="preserve">  </w:t>
      </w:r>
      <w:r w:rsidR="002A6E2A">
        <w:t>Gonzale</w:t>
      </w:r>
      <w:r w:rsidR="00B76640">
        <w:t>z</w:t>
      </w:r>
      <w:r w:rsidR="002A6E2A">
        <w:t xml:space="preserve"> </w:t>
      </w:r>
      <w:r w:rsidR="00EB7C1F">
        <w:t xml:space="preserve">does not </w:t>
      </w:r>
      <w:r w:rsidR="007B66EE">
        <w:t xml:space="preserve">challenge the </w:t>
      </w:r>
      <w:r w:rsidR="00C6630D">
        <w:t>judge’s</w:t>
      </w:r>
      <w:r w:rsidR="003425D7">
        <w:t xml:space="preserve"> findings or </w:t>
      </w:r>
      <w:r w:rsidR="00286FDC">
        <w:t>discipline recommendation</w:t>
      </w:r>
      <w:r w:rsidR="0094172D">
        <w:t xml:space="preserve">, except the actual suspension continuing until </w:t>
      </w:r>
      <w:r w:rsidR="00F64F62">
        <w:t xml:space="preserve">he pays </w:t>
      </w:r>
      <w:r w:rsidR="0094172D">
        <w:t>restitution.</w:t>
      </w:r>
      <w:r w:rsidR="007B66EE">
        <w:t xml:space="preserve">  </w:t>
      </w:r>
    </w:p>
    <w:p w14:paraId="40F8891A" w14:textId="48FD9B02" w:rsidR="00CB0DD2" w:rsidRDefault="00304E77" w:rsidP="000474E3">
      <w:pPr>
        <w:spacing w:line="480" w:lineRule="auto"/>
        <w:ind w:firstLine="720"/>
      </w:pPr>
      <w:r>
        <w:t>After inde</w:t>
      </w:r>
      <w:r w:rsidR="00EC6BF1">
        <w:t>pendently reviewing the record (Cal. Rules of Court, rule 9.12)</w:t>
      </w:r>
      <w:r w:rsidR="007144A9">
        <w:t xml:space="preserve">, we </w:t>
      </w:r>
      <w:r w:rsidR="008A5C46">
        <w:t>agree</w:t>
      </w:r>
      <w:r w:rsidR="00851B60">
        <w:t xml:space="preserve"> with </w:t>
      </w:r>
      <w:r w:rsidR="00816EBE">
        <w:t xml:space="preserve">most of the </w:t>
      </w:r>
      <w:r w:rsidR="00EC6BF1">
        <w:t xml:space="preserve">hearing </w:t>
      </w:r>
      <w:r w:rsidR="0089345A">
        <w:t>judge</w:t>
      </w:r>
      <w:r w:rsidR="00012872">
        <w:t xml:space="preserve">’s </w:t>
      </w:r>
      <w:r w:rsidR="00F64F62">
        <w:t>findings</w:t>
      </w:r>
      <w:r w:rsidR="00816EBE">
        <w:t xml:space="preserve">.  We do not agree with </w:t>
      </w:r>
      <w:r w:rsidR="00F64F62">
        <w:t>her discipline</w:t>
      </w:r>
      <w:r w:rsidR="00816EBE">
        <w:t xml:space="preserve"> </w:t>
      </w:r>
      <w:r w:rsidR="00F64F62">
        <w:t>recommendation</w:t>
      </w:r>
      <w:r w:rsidR="00D76ED5">
        <w:t xml:space="preserve"> because </w:t>
      </w:r>
      <w:r w:rsidR="00EE697A">
        <w:t>G</w:t>
      </w:r>
      <w:r w:rsidR="002D7AD4">
        <w:t xml:space="preserve">onzalez’s </w:t>
      </w:r>
      <w:r w:rsidR="002C23D9">
        <w:t>recidivist</w:t>
      </w:r>
      <w:r w:rsidR="005D51C7">
        <w:t xml:space="preserve"> misconduct</w:t>
      </w:r>
      <w:r w:rsidR="00173645">
        <w:t xml:space="preserve"> calls for</w:t>
      </w:r>
      <w:r w:rsidR="003425D7">
        <w:t xml:space="preserve"> disbarment</w:t>
      </w:r>
      <w:r w:rsidR="002D7AD4">
        <w:t xml:space="preserve"> under our disciplinary standards.</w:t>
      </w:r>
    </w:p>
    <w:p w14:paraId="05C5824F" w14:textId="77777777" w:rsidR="0094172D" w:rsidRDefault="0094172D" w:rsidP="000474E3">
      <w:pPr>
        <w:spacing w:line="480" w:lineRule="auto"/>
        <w:ind w:firstLine="720"/>
      </w:pPr>
    </w:p>
    <w:p w14:paraId="149504C3" w14:textId="7ABF0E3F" w:rsidR="00935853" w:rsidRPr="00D3537C" w:rsidRDefault="00B55EA6" w:rsidP="00FF46EE">
      <w:pPr>
        <w:spacing w:line="480" w:lineRule="auto"/>
        <w:jc w:val="center"/>
        <w:rPr>
          <w:b/>
          <w:caps/>
        </w:rPr>
      </w:pPr>
      <w:r>
        <w:rPr>
          <w:b/>
          <w:caps/>
        </w:rPr>
        <w:lastRenderedPageBreak/>
        <w:t xml:space="preserve">I.  </w:t>
      </w:r>
      <w:r w:rsidR="00C620A4">
        <w:rPr>
          <w:b/>
          <w:caps/>
        </w:rPr>
        <w:t>PROCEDURAL HISTORY</w:t>
      </w:r>
    </w:p>
    <w:p w14:paraId="63C41768" w14:textId="71F64775" w:rsidR="00BD63DE" w:rsidRDefault="00684ADB" w:rsidP="001A05C1">
      <w:pPr>
        <w:spacing w:line="480" w:lineRule="auto"/>
        <w:ind w:firstLine="720"/>
      </w:pPr>
      <w:r>
        <w:t>OCTC</w:t>
      </w:r>
      <w:r w:rsidR="009C3A93">
        <w:t xml:space="preserve"> </w:t>
      </w:r>
      <w:r w:rsidR="00CD4EE1">
        <w:t xml:space="preserve">filed </w:t>
      </w:r>
      <w:r w:rsidR="00EE697A">
        <w:t xml:space="preserve">the </w:t>
      </w:r>
      <w:r w:rsidR="009C3A93">
        <w:t>Notice of Disciplinary Charges (NDC)</w:t>
      </w:r>
      <w:r w:rsidR="00C71EE5">
        <w:t xml:space="preserve"> on October 1</w:t>
      </w:r>
      <w:r w:rsidR="00C0141E">
        <w:t>8</w:t>
      </w:r>
      <w:r w:rsidR="00C71EE5">
        <w:t>, 2012</w:t>
      </w:r>
      <w:r w:rsidR="0094172D">
        <w:t>, charging 25 counts of misconduct</w:t>
      </w:r>
      <w:r w:rsidR="005D6FD1">
        <w:t xml:space="preserve">.  </w:t>
      </w:r>
      <w:r w:rsidR="00227EE0">
        <w:t>On November</w:t>
      </w:r>
      <w:r w:rsidR="00EA2B28">
        <w:t> </w:t>
      </w:r>
      <w:r w:rsidR="00227EE0">
        <w:t xml:space="preserve">14, </w:t>
      </w:r>
      <w:r w:rsidR="00C0141E">
        <w:t xml:space="preserve">2012, </w:t>
      </w:r>
      <w:r w:rsidR="00227EE0">
        <w:t>Gonzalez filed his response</w:t>
      </w:r>
      <w:r w:rsidR="007548BC">
        <w:t>, stating</w:t>
      </w:r>
      <w:r w:rsidR="00F9737E">
        <w:t xml:space="preserve"> that</w:t>
      </w:r>
      <w:r w:rsidR="007548BC">
        <w:t xml:space="preserve"> he</w:t>
      </w:r>
      <w:r w:rsidR="00F9737E">
        <w:t xml:space="preserve"> </w:t>
      </w:r>
      <w:r w:rsidR="005D6FD1">
        <w:t>suffered</w:t>
      </w:r>
      <w:r w:rsidR="00E435C5">
        <w:t xml:space="preserve"> </w:t>
      </w:r>
      <w:r w:rsidR="009C3A93">
        <w:t>a</w:t>
      </w:r>
      <w:r w:rsidR="00BA7124">
        <w:t xml:space="preserve"> “massive stroke”</w:t>
      </w:r>
      <w:r w:rsidR="009C3A93">
        <w:t xml:space="preserve"> on July</w:t>
      </w:r>
      <w:r w:rsidR="00EA2B28">
        <w:t> </w:t>
      </w:r>
      <w:r w:rsidR="009C3A93">
        <w:t>21,</w:t>
      </w:r>
      <w:r w:rsidR="005A769D">
        <w:t xml:space="preserve"> </w:t>
      </w:r>
      <w:r w:rsidR="009C3A93">
        <w:t>2012</w:t>
      </w:r>
      <w:r w:rsidR="002C23D9">
        <w:t>,</w:t>
      </w:r>
      <w:r w:rsidR="00173645">
        <w:t xml:space="preserve"> </w:t>
      </w:r>
      <w:r w:rsidR="00EE697A">
        <w:t xml:space="preserve">that resulted in </w:t>
      </w:r>
      <w:r w:rsidR="00E435C5">
        <w:t xml:space="preserve">serious </w:t>
      </w:r>
      <w:r w:rsidR="00BA7124">
        <w:t>medical problem</w:t>
      </w:r>
      <w:r w:rsidR="00E435C5">
        <w:t>s</w:t>
      </w:r>
      <w:r w:rsidR="002C23D9">
        <w:t xml:space="preserve">.  He </w:t>
      </w:r>
      <w:r w:rsidR="005D6FD1">
        <w:t>alleged</w:t>
      </w:r>
      <w:r w:rsidR="00F9737E">
        <w:t xml:space="preserve"> </w:t>
      </w:r>
      <w:r w:rsidR="004503D1">
        <w:t>he experienced several “mini-strokes” that</w:t>
      </w:r>
      <w:r w:rsidR="00C0141E">
        <w:t xml:space="preserve"> negatively</w:t>
      </w:r>
      <w:r w:rsidR="004503D1">
        <w:t xml:space="preserve"> affected his cognitive functions</w:t>
      </w:r>
      <w:r w:rsidR="00F9737E">
        <w:t xml:space="preserve"> </w:t>
      </w:r>
      <w:r w:rsidR="002C23D9">
        <w:t xml:space="preserve">for </w:t>
      </w:r>
      <w:r w:rsidR="00E435C5">
        <w:t xml:space="preserve">two years before </w:t>
      </w:r>
      <w:r w:rsidR="00F9737E">
        <w:t>the</w:t>
      </w:r>
      <w:r w:rsidR="002C23D9">
        <w:t xml:space="preserve"> stroke</w:t>
      </w:r>
      <w:r w:rsidR="005D6FD1">
        <w:t xml:space="preserve">, </w:t>
      </w:r>
      <w:r w:rsidR="00321932">
        <w:t xml:space="preserve">which was </w:t>
      </w:r>
      <w:r w:rsidR="005D6FD1">
        <w:t xml:space="preserve">during </w:t>
      </w:r>
      <w:r w:rsidR="00B518F8">
        <w:t xml:space="preserve">the time of his </w:t>
      </w:r>
      <w:r w:rsidR="00EE697A">
        <w:t xml:space="preserve">present </w:t>
      </w:r>
      <w:r w:rsidR="00B518F8">
        <w:t>misconduct</w:t>
      </w:r>
      <w:r w:rsidR="002C23D9">
        <w:t>.</w:t>
      </w:r>
      <w:r w:rsidR="00CD4EE1">
        <w:t xml:space="preserve">  </w:t>
      </w:r>
      <w:r w:rsidR="00BD63DE">
        <w:t xml:space="preserve">Given </w:t>
      </w:r>
      <w:r w:rsidR="000A1B45">
        <w:t xml:space="preserve">these </w:t>
      </w:r>
      <w:r w:rsidR="00BD63DE">
        <w:t xml:space="preserve">health issues, </w:t>
      </w:r>
      <w:r w:rsidR="00AA151E">
        <w:t xml:space="preserve">the case was </w:t>
      </w:r>
      <w:r w:rsidR="00B15CE6">
        <w:t xml:space="preserve">first </w:t>
      </w:r>
      <w:r w:rsidR="00AA151E">
        <w:t xml:space="preserve">abated </w:t>
      </w:r>
      <w:r w:rsidR="00B15CE6">
        <w:t xml:space="preserve">in 2013, </w:t>
      </w:r>
      <w:r w:rsidR="00AA151E">
        <w:t xml:space="preserve">and ultimately unabated for trial in </w:t>
      </w:r>
      <w:r w:rsidR="00B15CE6">
        <w:t xml:space="preserve">April </w:t>
      </w:r>
      <w:r w:rsidR="00697A68">
        <w:t>2017</w:t>
      </w:r>
      <w:r w:rsidR="00BD63DE">
        <w:t xml:space="preserve">. </w:t>
      </w:r>
    </w:p>
    <w:p w14:paraId="77732F14" w14:textId="5C43A24E" w:rsidR="00C620A4" w:rsidRDefault="00A72010" w:rsidP="001A05C1">
      <w:pPr>
        <w:spacing w:line="480" w:lineRule="auto"/>
        <w:ind w:firstLine="720"/>
      </w:pPr>
      <w:r>
        <w:t>On September</w:t>
      </w:r>
      <w:r w:rsidR="00EA2B28">
        <w:t> </w:t>
      </w:r>
      <w:r>
        <w:t xml:space="preserve">29, 2017, the </w:t>
      </w:r>
      <w:r w:rsidR="009C3A93">
        <w:t xml:space="preserve">parties filed an extensive </w:t>
      </w:r>
      <w:r w:rsidR="00B96F94">
        <w:t>Stipulation as to Facts; Admission of Documents; and Telephonic Witness Testimony</w:t>
      </w:r>
      <w:r w:rsidR="009C3A93">
        <w:t xml:space="preserve"> </w:t>
      </w:r>
      <w:r>
        <w:t>(Stipulation)</w:t>
      </w:r>
      <w:r w:rsidR="0094172D">
        <w:t xml:space="preserve">.  </w:t>
      </w:r>
      <w:r w:rsidR="007C1FA1">
        <w:t xml:space="preserve">Gonzalez </w:t>
      </w:r>
      <w:r w:rsidR="000A1B45">
        <w:t xml:space="preserve">admitted culpability for failing to timely file </w:t>
      </w:r>
      <w:r w:rsidR="00BA2841">
        <w:t xml:space="preserve">a </w:t>
      </w:r>
      <w:r w:rsidR="007C1FA1">
        <w:t>California Rules of Court, rule 9.20 declaration</w:t>
      </w:r>
      <w:r w:rsidR="000A1B45">
        <w:t xml:space="preserve"> and </w:t>
      </w:r>
      <w:r w:rsidR="00FF46EE">
        <w:t xml:space="preserve">for </w:t>
      </w:r>
      <w:r w:rsidR="000A1B45">
        <w:t xml:space="preserve">not cooperating </w:t>
      </w:r>
      <w:r w:rsidR="007C1FA1">
        <w:t xml:space="preserve">in three State Bar investigations. </w:t>
      </w:r>
      <w:r w:rsidR="00467CB0">
        <w:t xml:space="preserve"> A two-day trial took place on October 3</w:t>
      </w:r>
      <w:r w:rsidR="002D7AD4">
        <w:t xml:space="preserve"> and </w:t>
      </w:r>
      <w:r w:rsidR="00467CB0">
        <w:t>November 7</w:t>
      </w:r>
      <w:r w:rsidR="002D7AD4">
        <w:t xml:space="preserve">, 2017.  </w:t>
      </w:r>
      <w:r w:rsidR="00AB0B4E">
        <w:t>The hearing judge filed her decision on December 18, 2017</w:t>
      </w:r>
      <w:r w:rsidR="004D1B70">
        <w:t xml:space="preserve">, finding </w:t>
      </w:r>
      <w:r w:rsidR="002D7AD4">
        <w:t>Gonzalez culpable of 21 counts of misconduct</w:t>
      </w:r>
      <w:r w:rsidR="004D1B70">
        <w:t xml:space="preserve">.  The judge </w:t>
      </w:r>
      <w:r w:rsidR="00EE697A">
        <w:t>recommended</w:t>
      </w:r>
      <w:r w:rsidR="000A1B45">
        <w:t xml:space="preserve"> </w:t>
      </w:r>
      <w:r w:rsidR="00EE697A">
        <w:t xml:space="preserve">a two-year suspension continuing until </w:t>
      </w:r>
      <w:r w:rsidR="004D1B70">
        <w:t>Gonzalez</w:t>
      </w:r>
      <w:r w:rsidR="00EE697A">
        <w:t xml:space="preserve"> pays restitution and proves his rehabilitation</w:t>
      </w:r>
      <w:r w:rsidR="00A801D8">
        <w:t>, fitness to practice, and present learning and ability in the general law.</w:t>
      </w:r>
      <w:r w:rsidR="00EE697A">
        <w:t xml:space="preserve">  </w:t>
      </w:r>
    </w:p>
    <w:p w14:paraId="41647ABD" w14:textId="3DC11D8A" w:rsidR="005453E8" w:rsidRDefault="001C3978" w:rsidP="00D73D16">
      <w:pPr>
        <w:spacing w:line="480" w:lineRule="auto"/>
        <w:ind w:firstLine="720"/>
      </w:pPr>
      <w:r>
        <w:t xml:space="preserve">On </w:t>
      </w:r>
      <w:r w:rsidR="009B5193">
        <w:t>April</w:t>
      </w:r>
      <w:r w:rsidR="00DE239F">
        <w:t> </w:t>
      </w:r>
      <w:r w:rsidR="009B5193">
        <w:t>6, 2018, OCTC filed its opening brief</w:t>
      </w:r>
      <w:r w:rsidR="008410DB">
        <w:t xml:space="preserve"> on review</w:t>
      </w:r>
      <w:r w:rsidR="00FF46EE">
        <w:t>,</w:t>
      </w:r>
      <w:r w:rsidR="00EE697A">
        <w:t xml:space="preserve"> </w:t>
      </w:r>
      <w:r w:rsidR="00AC03B5">
        <w:t xml:space="preserve">requesting that </w:t>
      </w:r>
      <w:r w:rsidR="00EE697A">
        <w:t xml:space="preserve">Gonzalez </w:t>
      </w:r>
      <w:r w:rsidR="00AC03B5">
        <w:t>be disbarred</w:t>
      </w:r>
      <w:r w:rsidR="009B5193">
        <w:t xml:space="preserve">.  </w:t>
      </w:r>
      <w:r w:rsidR="00073806">
        <w:t>On May</w:t>
      </w:r>
      <w:r w:rsidR="00DE239F">
        <w:t> </w:t>
      </w:r>
      <w:r w:rsidR="00073806">
        <w:t xml:space="preserve">8, </w:t>
      </w:r>
      <w:r w:rsidR="009B5193">
        <w:t xml:space="preserve">Gonzalez </w:t>
      </w:r>
      <w:r w:rsidR="00C4199B">
        <w:t xml:space="preserve">filed a </w:t>
      </w:r>
      <w:r w:rsidR="002439AD">
        <w:t xml:space="preserve">two-page </w:t>
      </w:r>
      <w:r w:rsidR="00E57390">
        <w:t xml:space="preserve">responsive </w:t>
      </w:r>
      <w:r w:rsidR="00D6026F">
        <w:t>brief</w:t>
      </w:r>
      <w:r w:rsidR="002B1D83">
        <w:t xml:space="preserve"> in which</w:t>
      </w:r>
      <w:r w:rsidR="00321932">
        <w:t xml:space="preserve"> he </w:t>
      </w:r>
      <w:r w:rsidR="00073806">
        <w:t>did not</w:t>
      </w:r>
      <w:r w:rsidR="00D6026F">
        <w:t xml:space="preserve"> challenge </w:t>
      </w:r>
      <w:r w:rsidR="00E57390">
        <w:t xml:space="preserve">the hearing judge’s </w:t>
      </w:r>
      <w:r w:rsidR="00BA2841">
        <w:t xml:space="preserve">decision except </w:t>
      </w:r>
      <w:r w:rsidR="00EE697A">
        <w:t xml:space="preserve">to </w:t>
      </w:r>
      <w:r w:rsidR="00BA2841">
        <w:t>request that we reconsider continuing his suspension until he pays restitution</w:t>
      </w:r>
      <w:r w:rsidR="00EE697A">
        <w:t>;</w:t>
      </w:r>
      <w:r w:rsidR="00BA2841">
        <w:t xml:space="preserve"> </w:t>
      </w:r>
      <w:r w:rsidR="00AC03B5">
        <w:t xml:space="preserve">he stated he wants </w:t>
      </w:r>
      <w:r w:rsidR="00BA2841">
        <w:t xml:space="preserve">to “reimburse </w:t>
      </w:r>
      <w:r w:rsidR="00010223">
        <w:t xml:space="preserve">the parties now that [his] condition has been identified, treated, and </w:t>
      </w:r>
      <w:r w:rsidR="00C0141E">
        <w:t>[</w:t>
      </w:r>
      <w:r w:rsidR="00010223">
        <w:t>is</w:t>
      </w:r>
      <w:r w:rsidR="00C0141E">
        <w:t>]</w:t>
      </w:r>
      <w:r w:rsidR="00010223">
        <w:t xml:space="preserve"> in full remission.”  On May</w:t>
      </w:r>
      <w:r w:rsidR="00DE239F">
        <w:t> </w:t>
      </w:r>
      <w:r w:rsidR="00E57390">
        <w:t xml:space="preserve">18, OCTC filed </w:t>
      </w:r>
      <w:r w:rsidR="005D51BF">
        <w:t>its</w:t>
      </w:r>
      <w:r w:rsidR="00E57390">
        <w:t xml:space="preserve"> rebuttal brief.</w:t>
      </w:r>
      <w:r w:rsidR="00D73D16">
        <w:t xml:space="preserve">  </w:t>
      </w:r>
    </w:p>
    <w:p w14:paraId="5955B1CE" w14:textId="5F635627" w:rsidR="00961AED" w:rsidRDefault="00D73D16" w:rsidP="00D73D16">
      <w:pPr>
        <w:spacing w:line="480" w:lineRule="auto"/>
        <w:ind w:firstLine="720"/>
      </w:pPr>
      <w:r>
        <w:t>On review, n</w:t>
      </w:r>
      <w:r w:rsidR="00E1433A">
        <w:t xml:space="preserve">either </w:t>
      </w:r>
      <w:r w:rsidR="0096692E">
        <w:t xml:space="preserve">party contests </w:t>
      </w:r>
      <w:r w:rsidR="00234A2F">
        <w:t xml:space="preserve">the </w:t>
      </w:r>
      <w:r w:rsidR="005453E8">
        <w:t xml:space="preserve">hearing </w:t>
      </w:r>
      <w:r w:rsidR="00234A2F">
        <w:t>judge</w:t>
      </w:r>
      <w:r w:rsidR="00226B8B">
        <w:t>’s findings</w:t>
      </w:r>
      <w:r w:rsidR="008410DB">
        <w:t xml:space="preserve"> </w:t>
      </w:r>
      <w:r w:rsidR="005453E8">
        <w:t>of fact or conclusions of law</w:t>
      </w:r>
      <w:r>
        <w:t xml:space="preserve">.  </w:t>
      </w:r>
      <w:r w:rsidR="005453E8">
        <w:t>Though we disagree with the judge’s disc</w:t>
      </w:r>
      <w:r w:rsidR="00B0253D">
        <w:t xml:space="preserve">ipline recommendation, we adopt most of </w:t>
      </w:r>
      <w:r w:rsidR="004D1B70">
        <w:t>her findings</w:t>
      </w:r>
      <w:r w:rsidR="00B0253D">
        <w:t xml:space="preserve"> as they are</w:t>
      </w:r>
      <w:r w:rsidR="004D1B70">
        <w:t xml:space="preserve"> supported by the evidence</w:t>
      </w:r>
      <w:r w:rsidR="00B0253D">
        <w:t>.  We summarize those findings below</w:t>
      </w:r>
      <w:r w:rsidR="005D51BF">
        <w:t>.</w:t>
      </w:r>
      <w:r w:rsidR="0096692E">
        <w:t xml:space="preserve"> </w:t>
      </w:r>
    </w:p>
    <w:p w14:paraId="590690F7" w14:textId="77777777" w:rsidR="00D73D16" w:rsidRDefault="00D73D16" w:rsidP="002D7AD4">
      <w:pPr>
        <w:spacing w:line="480" w:lineRule="auto"/>
        <w:jc w:val="center"/>
        <w:rPr>
          <w:b/>
        </w:rPr>
      </w:pPr>
    </w:p>
    <w:p w14:paraId="0F40AC6D" w14:textId="77777777" w:rsidR="002D7AD4" w:rsidRDefault="002D7AD4" w:rsidP="002D7AD4">
      <w:pPr>
        <w:spacing w:line="480" w:lineRule="auto"/>
        <w:jc w:val="center"/>
        <w:rPr>
          <w:b/>
        </w:rPr>
      </w:pPr>
      <w:r>
        <w:rPr>
          <w:b/>
        </w:rPr>
        <w:lastRenderedPageBreak/>
        <w:t>II.  FACTS</w:t>
      </w:r>
      <w:r w:rsidRPr="00437002">
        <w:rPr>
          <w:b/>
          <w:vertAlign w:val="superscript"/>
        </w:rPr>
        <w:footnoteReference w:id="2"/>
      </w:r>
      <w:r>
        <w:rPr>
          <w:b/>
        </w:rPr>
        <w:t xml:space="preserve"> AND CULPABILITY</w:t>
      </w:r>
    </w:p>
    <w:p w14:paraId="77F948F8" w14:textId="7903228F" w:rsidR="00E709E7" w:rsidRPr="00E709E7" w:rsidRDefault="00B55EA6" w:rsidP="00E709E7">
      <w:pPr>
        <w:spacing w:line="480" w:lineRule="auto"/>
        <w:rPr>
          <w:b/>
          <w:iCs/>
        </w:rPr>
      </w:pPr>
      <w:r>
        <w:rPr>
          <w:b/>
          <w:iCs/>
        </w:rPr>
        <w:t>A.</w:t>
      </w:r>
      <w:r>
        <w:rPr>
          <w:b/>
          <w:iCs/>
        </w:rPr>
        <w:tab/>
      </w:r>
      <w:r w:rsidR="00FF2EB4">
        <w:rPr>
          <w:b/>
          <w:iCs/>
        </w:rPr>
        <w:t>THE RULE 9.20 MATTER (</w:t>
      </w:r>
      <w:r w:rsidR="00FF2EB4" w:rsidRPr="007A7283">
        <w:rPr>
          <w:b/>
          <w:iCs/>
        </w:rPr>
        <w:t>CASE NO. 12-N-16025</w:t>
      </w:r>
      <w:r w:rsidR="00FF2EB4">
        <w:rPr>
          <w:b/>
          <w:iCs/>
        </w:rPr>
        <w:t>)</w:t>
      </w:r>
      <w:r w:rsidR="00FF2EB4" w:rsidRPr="00E709E7">
        <w:rPr>
          <w:b/>
          <w:iCs/>
        </w:rPr>
        <w:t xml:space="preserve"> </w:t>
      </w:r>
      <w:r w:rsidR="00FF2EB4">
        <w:rPr>
          <w:b/>
          <w:iCs/>
        </w:rPr>
        <w:t xml:space="preserve">[COUNT ONE] </w:t>
      </w:r>
    </w:p>
    <w:p w14:paraId="0128823A" w14:textId="1378B0FB" w:rsidR="00B80EEE" w:rsidRDefault="001C1153" w:rsidP="00AE1968">
      <w:pPr>
        <w:spacing w:line="480" w:lineRule="auto"/>
        <w:ind w:right="-144" w:firstLine="720"/>
        <w:rPr>
          <w:iCs/>
        </w:rPr>
      </w:pPr>
      <w:r>
        <w:rPr>
          <w:iCs/>
        </w:rPr>
        <w:t xml:space="preserve">Gonzalez </w:t>
      </w:r>
      <w:r w:rsidR="00CB41F6">
        <w:rPr>
          <w:iCs/>
        </w:rPr>
        <w:t xml:space="preserve">stipulated to violating </w:t>
      </w:r>
      <w:r>
        <w:rPr>
          <w:iCs/>
        </w:rPr>
        <w:t>rule</w:t>
      </w:r>
      <w:r w:rsidR="00DE239F">
        <w:rPr>
          <w:iCs/>
        </w:rPr>
        <w:t> </w:t>
      </w:r>
      <w:r>
        <w:rPr>
          <w:iCs/>
        </w:rPr>
        <w:t xml:space="preserve">9.20 of the </w:t>
      </w:r>
      <w:r w:rsidR="00114FBA">
        <w:rPr>
          <w:iCs/>
        </w:rPr>
        <w:t>Ca</w:t>
      </w:r>
      <w:r w:rsidR="00DE239F">
        <w:rPr>
          <w:iCs/>
        </w:rPr>
        <w:t>lifornia Rules of Court (count o</w:t>
      </w:r>
      <w:r w:rsidR="00114FBA">
        <w:rPr>
          <w:iCs/>
        </w:rPr>
        <w:t>ne</w:t>
      </w:r>
      <w:r w:rsidR="002806FC">
        <w:rPr>
          <w:iCs/>
        </w:rPr>
        <w:t>)</w:t>
      </w:r>
      <w:r w:rsidR="00114FBA">
        <w:rPr>
          <w:iCs/>
        </w:rPr>
        <w:t xml:space="preserve">.  </w:t>
      </w:r>
      <w:r w:rsidR="00836B2E">
        <w:rPr>
          <w:iCs/>
        </w:rPr>
        <w:t xml:space="preserve">Due to </w:t>
      </w:r>
      <w:r w:rsidR="004B4E58">
        <w:rPr>
          <w:iCs/>
        </w:rPr>
        <w:t xml:space="preserve">his </w:t>
      </w:r>
      <w:r w:rsidR="00836B2E">
        <w:rPr>
          <w:iCs/>
        </w:rPr>
        <w:t>suspension</w:t>
      </w:r>
      <w:r w:rsidR="00C0141E">
        <w:rPr>
          <w:iCs/>
        </w:rPr>
        <w:t xml:space="preserve"> or involuntary inactive enrollment</w:t>
      </w:r>
      <w:r w:rsidR="00836B2E">
        <w:rPr>
          <w:iCs/>
        </w:rPr>
        <w:t xml:space="preserve"> </w:t>
      </w:r>
      <w:r w:rsidR="004B4E58">
        <w:rPr>
          <w:iCs/>
        </w:rPr>
        <w:t xml:space="preserve">in </w:t>
      </w:r>
      <w:r w:rsidR="00836B2E">
        <w:rPr>
          <w:iCs/>
        </w:rPr>
        <w:t xml:space="preserve">two prior </w:t>
      </w:r>
      <w:r w:rsidR="00C0141E">
        <w:rPr>
          <w:iCs/>
        </w:rPr>
        <w:t xml:space="preserve">discipline </w:t>
      </w:r>
      <w:r w:rsidR="00836B2E">
        <w:rPr>
          <w:iCs/>
        </w:rPr>
        <w:t xml:space="preserve">cases, he </w:t>
      </w:r>
      <w:r w:rsidR="000C541E">
        <w:rPr>
          <w:iCs/>
        </w:rPr>
        <w:t xml:space="preserve">was not entitled to practice </w:t>
      </w:r>
      <w:r w:rsidR="00A14A38">
        <w:rPr>
          <w:iCs/>
        </w:rPr>
        <w:t xml:space="preserve">law </w:t>
      </w:r>
      <w:r w:rsidR="000C541E">
        <w:rPr>
          <w:iCs/>
        </w:rPr>
        <w:t>from May</w:t>
      </w:r>
      <w:r w:rsidR="00DE239F">
        <w:rPr>
          <w:iCs/>
        </w:rPr>
        <w:t> </w:t>
      </w:r>
      <w:r w:rsidR="000C541E">
        <w:rPr>
          <w:iCs/>
        </w:rPr>
        <w:t>27 to July</w:t>
      </w:r>
      <w:r w:rsidR="00DE239F">
        <w:rPr>
          <w:iCs/>
        </w:rPr>
        <w:t> </w:t>
      </w:r>
      <w:r w:rsidR="000C541E">
        <w:rPr>
          <w:iCs/>
        </w:rPr>
        <w:t>26, 2011</w:t>
      </w:r>
      <w:r w:rsidR="00AE1968">
        <w:rPr>
          <w:iCs/>
        </w:rPr>
        <w:t xml:space="preserve"> (</w:t>
      </w:r>
      <w:r w:rsidR="00AE1968">
        <w:rPr>
          <w:i/>
          <w:iCs/>
        </w:rPr>
        <w:t>Gonzalez I</w:t>
      </w:r>
      <w:r w:rsidR="00AE1968">
        <w:rPr>
          <w:iCs/>
        </w:rPr>
        <w:t>)</w:t>
      </w:r>
      <w:r w:rsidR="00234A2F">
        <w:rPr>
          <w:iCs/>
        </w:rPr>
        <w:t xml:space="preserve"> and </w:t>
      </w:r>
      <w:r w:rsidR="000C541E">
        <w:rPr>
          <w:iCs/>
        </w:rPr>
        <w:t>from February</w:t>
      </w:r>
      <w:r w:rsidR="00001FC6">
        <w:rPr>
          <w:iCs/>
        </w:rPr>
        <w:t> </w:t>
      </w:r>
      <w:r w:rsidR="000C541E">
        <w:rPr>
          <w:iCs/>
        </w:rPr>
        <w:t>6, 2012</w:t>
      </w:r>
      <w:r w:rsidR="00AE1968">
        <w:rPr>
          <w:iCs/>
        </w:rPr>
        <w:t xml:space="preserve"> (</w:t>
      </w:r>
      <w:r w:rsidR="00AE1968">
        <w:rPr>
          <w:i/>
          <w:iCs/>
        </w:rPr>
        <w:t>Gonzalez II</w:t>
      </w:r>
      <w:r w:rsidR="00AE1968">
        <w:rPr>
          <w:iCs/>
        </w:rPr>
        <w:t>)</w:t>
      </w:r>
      <w:r w:rsidR="000A1B45">
        <w:rPr>
          <w:iCs/>
        </w:rPr>
        <w:t>.</w:t>
      </w:r>
      <w:r w:rsidR="007D0F6C">
        <w:rPr>
          <w:rStyle w:val="FootnoteReference"/>
          <w:iCs/>
        </w:rPr>
        <w:footnoteReference w:id="3"/>
      </w:r>
      <w:r w:rsidR="000C541E">
        <w:rPr>
          <w:iCs/>
        </w:rPr>
        <w:t xml:space="preserve"> </w:t>
      </w:r>
      <w:r w:rsidR="00E709E7">
        <w:rPr>
          <w:iCs/>
        </w:rPr>
        <w:t xml:space="preserve"> </w:t>
      </w:r>
      <w:r w:rsidR="002B1D83">
        <w:rPr>
          <w:iCs/>
        </w:rPr>
        <w:t>T</w:t>
      </w:r>
      <w:r w:rsidR="00C25D02">
        <w:rPr>
          <w:iCs/>
        </w:rPr>
        <w:t>he</w:t>
      </w:r>
      <w:r w:rsidR="00B80EEE">
        <w:rPr>
          <w:iCs/>
        </w:rPr>
        <w:t xml:space="preserve"> Supreme Court </w:t>
      </w:r>
      <w:r w:rsidR="00D6026F">
        <w:rPr>
          <w:iCs/>
        </w:rPr>
        <w:t xml:space="preserve">ordered </w:t>
      </w:r>
      <w:r w:rsidR="00226B8B">
        <w:rPr>
          <w:iCs/>
        </w:rPr>
        <w:t xml:space="preserve">in </w:t>
      </w:r>
      <w:r w:rsidR="00226B8B" w:rsidRPr="00226B8B">
        <w:rPr>
          <w:i/>
          <w:iCs/>
        </w:rPr>
        <w:t>Gonzalez</w:t>
      </w:r>
      <w:r w:rsidR="00001FC6">
        <w:rPr>
          <w:i/>
          <w:iCs/>
        </w:rPr>
        <w:t> </w:t>
      </w:r>
      <w:r w:rsidR="00226B8B" w:rsidRPr="00226B8B">
        <w:rPr>
          <w:i/>
          <w:iCs/>
        </w:rPr>
        <w:t>II</w:t>
      </w:r>
      <w:r w:rsidR="00226B8B">
        <w:rPr>
          <w:iCs/>
        </w:rPr>
        <w:t xml:space="preserve"> </w:t>
      </w:r>
      <w:r w:rsidR="00D6026F">
        <w:rPr>
          <w:iCs/>
        </w:rPr>
        <w:t xml:space="preserve">that </w:t>
      </w:r>
      <w:r w:rsidR="002B1D83">
        <w:rPr>
          <w:iCs/>
        </w:rPr>
        <w:t>he</w:t>
      </w:r>
      <w:r w:rsidR="00723D9C">
        <w:rPr>
          <w:iCs/>
        </w:rPr>
        <w:t xml:space="preserve"> comply with rule</w:t>
      </w:r>
      <w:r w:rsidR="00001FC6">
        <w:rPr>
          <w:iCs/>
        </w:rPr>
        <w:t> </w:t>
      </w:r>
      <w:r w:rsidR="00723D9C">
        <w:rPr>
          <w:iCs/>
        </w:rPr>
        <w:t>9.20</w:t>
      </w:r>
      <w:r w:rsidR="004B4E58">
        <w:rPr>
          <w:iCs/>
        </w:rPr>
        <w:t xml:space="preserve"> of the California Rules of Court</w:t>
      </w:r>
      <w:r w:rsidR="003B0B87">
        <w:rPr>
          <w:iCs/>
        </w:rPr>
        <w:t xml:space="preserve"> as follows: </w:t>
      </w:r>
      <w:r w:rsidR="00723D9C">
        <w:rPr>
          <w:iCs/>
        </w:rPr>
        <w:t>subdivision</w:t>
      </w:r>
      <w:r w:rsidR="00001FC6">
        <w:rPr>
          <w:iCs/>
        </w:rPr>
        <w:t> </w:t>
      </w:r>
      <w:r w:rsidR="00723D9C">
        <w:rPr>
          <w:iCs/>
        </w:rPr>
        <w:t>(a) no later than July</w:t>
      </w:r>
      <w:r w:rsidR="00001FC6">
        <w:rPr>
          <w:iCs/>
        </w:rPr>
        <w:t> </w:t>
      </w:r>
      <w:r w:rsidR="00723D9C">
        <w:rPr>
          <w:iCs/>
        </w:rPr>
        <w:t>7, 2012</w:t>
      </w:r>
      <w:r w:rsidR="002A5D29">
        <w:rPr>
          <w:iCs/>
        </w:rPr>
        <w:t xml:space="preserve"> (notification</w:t>
      </w:r>
      <w:r w:rsidR="00B80EEE">
        <w:rPr>
          <w:iCs/>
        </w:rPr>
        <w:t>s to clients and counsel</w:t>
      </w:r>
      <w:r w:rsidR="002A5D29">
        <w:rPr>
          <w:iCs/>
        </w:rPr>
        <w:t>) and</w:t>
      </w:r>
      <w:r w:rsidR="00723D9C">
        <w:rPr>
          <w:iCs/>
        </w:rPr>
        <w:t xml:space="preserve"> subdivision</w:t>
      </w:r>
      <w:r w:rsidR="00001FC6">
        <w:rPr>
          <w:iCs/>
        </w:rPr>
        <w:t> </w:t>
      </w:r>
      <w:r w:rsidR="00723D9C">
        <w:rPr>
          <w:iCs/>
        </w:rPr>
        <w:t>(c) no later than July</w:t>
      </w:r>
      <w:r w:rsidR="00001FC6">
        <w:rPr>
          <w:iCs/>
        </w:rPr>
        <w:t> </w:t>
      </w:r>
      <w:r w:rsidR="00723D9C">
        <w:rPr>
          <w:iCs/>
        </w:rPr>
        <w:t xml:space="preserve">17, </w:t>
      </w:r>
      <w:r w:rsidR="002A5D29">
        <w:rPr>
          <w:iCs/>
        </w:rPr>
        <w:t>2</w:t>
      </w:r>
      <w:r w:rsidR="00723D9C">
        <w:rPr>
          <w:iCs/>
        </w:rPr>
        <w:t>012</w:t>
      </w:r>
      <w:r w:rsidR="002A5D29">
        <w:rPr>
          <w:iCs/>
        </w:rPr>
        <w:t xml:space="preserve"> (filing of affidavit showing compliance with </w:t>
      </w:r>
      <w:r w:rsidR="00B80EEE">
        <w:rPr>
          <w:iCs/>
        </w:rPr>
        <w:t>subdivision (a)</w:t>
      </w:r>
      <w:r w:rsidR="002A5D29">
        <w:rPr>
          <w:iCs/>
        </w:rPr>
        <w:t>)</w:t>
      </w:r>
      <w:r w:rsidR="00723D9C">
        <w:rPr>
          <w:iCs/>
        </w:rPr>
        <w:t xml:space="preserve">.  </w:t>
      </w:r>
      <w:r w:rsidR="00B80EEE">
        <w:rPr>
          <w:iCs/>
        </w:rPr>
        <w:t>Gonzalez</w:t>
      </w:r>
      <w:r w:rsidR="00002586">
        <w:rPr>
          <w:iCs/>
        </w:rPr>
        <w:t xml:space="preserve"> failed to </w:t>
      </w:r>
      <w:r w:rsidR="002A5D29">
        <w:rPr>
          <w:iCs/>
        </w:rPr>
        <w:t xml:space="preserve">file his affidavit </w:t>
      </w:r>
      <w:r w:rsidR="00002586">
        <w:rPr>
          <w:iCs/>
        </w:rPr>
        <w:t>by the due date</w:t>
      </w:r>
      <w:r w:rsidR="00234A2F">
        <w:rPr>
          <w:iCs/>
        </w:rPr>
        <w:t>.  Four</w:t>
      </w:r>
      <w:r w:rsidR="003B0B87">
        <w:rPr>
          <w:iCs/>
        </w:rPr>
        <w:t xml:space="preserve"> </w:t>
      </w:r>
      <w:r w:rsidR="00002586">
        <w:rPr>
          <w:iCs/>
        </w:rPr>
        <w:t xml:space="preserve">days </w:t>
      </w:r>
      <w:r w:rsidR="000259AF">
        <w:rPr>
          <w:iCs/>
        </w:rPr>
        <w:t>later</w:t>
      </w:r>
      <w:r w:rsidR="00BB49BF">
        <w:rPr>
          <w:iCs/>
        </w:rPr>
        <w:t xml:space="preserve">, </w:t>
      </w:r>
      <w:r w:rsidR="00AE1968">
        <w:rPr>
          <w:iCs/>
        </w:rPr>
        <w:t xml:space="preserve">on July 21, 2012, </w:t>
      </w:r>
      <w:r w:rsidR="00B80EEE">
        <w:rPr>
          <w:iCs/>
        </w:rPr>
        <w:t>he</w:t>
      </w:r>
      <w:r w:rsidR="00002586">
        <w:rPr>
          <w:iCs/>
        </w:rPr>
        <w:t xml:space="preserve"> was incapacitated</w:t>
      </w:r>
      <w:r w:rsidR="009316DE">
        <w:rPr>
          <w:iCs/>
        </w:rPr>
        <w:t xml:space="preserve"> by </w:t>
      </w:r>
      <w:r w:rsidR="005453E8">
        <w:rPr>
          <w:iCs/>
        </w:rPr>
        <w:t>the</w:t>
      </w:r>
      <w:r w:rsidR="009316DE">
        <w:rPr>
          <w:iCs/>
        </w:rPr>
        <w:t xml:space="preserve"> stroke</w:t>
      </w:r>
      <w:r w:rsidR="00002586">
        <w:rPr>
          <w:iCs/>
        </w:rPr>
        <w:t xml:space="preserve">.  </w:t>
      </w:r>
      <w:r w:rsidR="00226B8B">
        <w:rPr>
          <w:iCs/>
        </w:rPr>
        <w:t>He</w:t>
      </w:r>
      <w:r w:rsidR="00002586">
        <w:rPr>
          <w:iCs/>
        </w:rPr>
        <w:t xml:space="preserve"> filed </w:t>
      </w:r>
      <w:r w:rsidR="00BB49BF">
        <w:rPr>
          <w:iCs/>
        </w:rPr>
        <w:t xml:space="preserve">a belated </w:t>
      </w:r>
      <w:r w:rsidR="00226B8B">
        <w:rPr>
          <w:iCs/>
        </w:rPr>
        <w:t>affidavit on</w:t>
      </w:r>
      <w:r w:rsidR="007B0A49">
        <w:rPr>
          <w:iCs/>
        </w:rPr>
        <w:t xml:space="preserve"> November</w:t>
      </w:r>
      <w:r w:rsidR="00001FC6">
        <w:rPr>
          <w:iCs/>
        </w:rPr>
        <w:t> </w:t>
      </w:r>
      <w:r w:rsidR="007B0A49">
        <w:rPr>
          <w:iCs/>
        </w:rPr>
        <w:t>15, 2012.</w:t>
      </w:r>
    </w:p>
    <w:p w14:paraId="20C47015" w14:textId="0D0D8296" w:rsidR="00C61515" w:rsidRDefault="00C61515" w:rsidP="007A7283">
      <w:pPr>
        <w:spacing w:line="480" w:lineRule="auto"/>
        <w:rPr>
          <w:b/>
          <w:iCs/>
        </w:rPr>
      </w:pPr>
      <w:r>
        <w:rPr>
          <w:b/>
          <w:iCs/>
        </w:rPr>
        <w:t>B.</w:t>
      </w:r>
      <w:r w:rsidR="00B55EA6">
        <w:rPr>
          <w:b/>
          <w:iCs/>
        </w:rPr>
        <w:tab/>
      </w:r>
      <w:r w:rsidR="00FF2EB4">
        <w:rPr>
          <w:b/>
          <w:iCs/>
        </w:rPr>
        <w:t>THE FIVE CLIENT MATTERS</w:t>
      </w:r>
    </w:p>
    <w:p w14:paraId="17FA05B9" w14:textId="44B3D4B8" w:rsidR="007A7283" w:rsidRDefault="00693283" w:rsidP="007A7283">
      <w:pPr>
        <w:spacing w:line="480" w:lineRule="auto"/>
        <w:rPr>
          <w:b/>
          <w:iCs/>
        </w:rPr>
      </w:pPr>
      <w:r>
        <w:rPr>
          <w:b/>
          <w:iCs/>
        </w:rPr>
        <w:tab/>
      </w:r>
      <w:r w:rsidR="00C61515">
        <w:rPr>
          <w:b/>
          <w:iCs/>
        </w:rPr>
        <w:t xml:space="preserve">1.  </w:t>
      </w:r>
      <w:r w:rsidR="00445BC9">
        <w:rPr>
          <w:b/>
          <w:iCs/>
        </w:rPr>
        <w:t>The Rivera Matter (</w:t>
      </w:r>
      <w:r w:rsidR="007A7283">
        <w:rPr>
          <w:b/>
          <w:iCs/>
        </w:rPr>
        <w:t>No. 12-O-12219</w:t>
      </w:r>
      <w:r w:rsidR="00F11875">
        <w:rPr>
          <w:b/>
          <w:iCs/>
        </w:rPr>
        <w:t>)</w:t>
      </w:r>
      <w:r w:rsidR="006F50E7">
        <w:rPr>
          <w:b/>
          <w:iCs/>
        </w:rPr>
        <w:t xml:space="preserve"> [Counts </w:t>
      </w:r>
      <w:r w:rsidR="005453E8">
        <w:rPr>
          <w:b/>
          <w:iCs/>
        </w:rPr>
        <w:t>Two</w:t>
      </w:r>
      <w:r w:rsidR="009C2101">
        <w:rPr>
          <w:b/>
          <w:iCs/>
        </w:rPr>
        <w:t>, Four, and Six</w:t>
      </w:r>
      <w:r w:rsidR="006F50E7">
        <w:rPr>
          <w:b/>
          <w:iCs/>
        </w:rPr>
        <w:t>]</w:t>
      </w:r>
      <w:r w:rsidR="00C0141E" w:rsidRPr="00C0141E">
        <w:rPr>
          <w:rStyle w:val="FootnoteReference"/>
          <w:iCs/>
        </w:rPr>
        <w:footnoteReference w:id="4"/>
      </w:r>
    </w:p>
    <w:p w14:paraId="29E575C1" w14:textId="54F5E2F5" w:rsidR="001728DA" w:rsidRDefault="007A7283" w:rsidP="0010301C">
      <w:pPr>
        <w:spacing w:line="480" w:lineRule="auto"/>
        <w:rPr>
          <w:iCs/>
        </w:rPr>
      </w:pPr>
      <w:r>
        <w:rPr>
          <w:iCs/>
        </w:rPr>
        <w:tab/>
      </w:r>
      <w:r w:rsidR="00A57356" w:rsidRPr="00A57356">
        <w:rPr>
          <w:iCs/>
        </w:rPr>
        <w:t>On February</w:t>
      </w:r>
      <w:r w:rsidR="00001FC6">
        <w:rPr>
          <w:iCs/>
        </w:rPr>
        <w:t> </w:t>
      </w:r>
      <w:r w:rsidR="00A57356" w:rsidRPr="00A57356">
        <w:rPr>
          <w:iCs/>
        </w:rPr>
        <w:t>6,</w:t>
      </w:r>
      <w:r w:rsidR="00BF58ED">
        <w:rPr>
          <w:iCs/>
        </w:rPr>
        <w:t xml:space="preserve"> </w:t>
      </w:r>
      <w:r w:rsidR="00A57356" w:rsidRPr="00A57356">
        <w:rPr>
          <w:iCs/>
        </w:rPr>
        <w:t>2011, Salvador Rivera</w:t>
      </w:r>
      <w:r w:rsidR="008A3900">
        <w:rPr>
          <w:iCs/>
        </w:rPr>
        <w:t xml:space="preserve"> employed Gonzalez</w:t>
      </w:r>
      <w:r w:rsidR="00A57356" w:rsidRPr="00A57356">
        <w:rPr>
          <w:iCs/>
        </w:rPr>
        <w:t xml:space="preserve"> to represent him in</w:t>
      </w:r>
      <w:r w:rsidR="0010301C">
        <w:rPr>
          <w:iCs/>
        </w:rPr>
        <w:t xml:space="preserve"> </w:t>
      </w:r>
      <w:r w:rsidR="00A57356" w:rsidRPr="00A57356">
        <w:rPr>
          <w:iCs/>
        </w:rPr>
        <w:t>an immigration</w:t>
      </w:r>
      <w:r w:rsidR="00573DDE">
        <w:rPr>
          <w:iCs/>
        </w:rPr>
        <w:t xml:space="preserve"> removal </w:t>
      </w:r>
      <w:r w:rsidR="0060579D">
        <w:rPr>
          <w:iCs/>
        </w:rPr>
        <w:t>proceeding</w:t>
      </w:r>
      <w:r w:rsidR="00DA5874">
        <w:rPr>
          <w:iCs/>
        </w:rPr>
        <w:t xml:space="preserve">.  </w:t>
      </w:r>
      <w:r w:rsidR="00A8072A">
        <w:rPr>
          <w:iCs/>
        </w:rPr>
        <w:t>Gonzalez agreed to perform all legal services, including investigation, analysis, document preparation</w:t>
      </w:r>
      <w:r w:rsidR="0060579D">
        <w:rPr>
          <w:iCs/>
        </w:rPr>
        <w:t>,</w:t>
      </w:r>
      <w:r w:rsidR="00A8072A">
        <w:rPr>
          <w:iCs/>
        </w:rPr>
        <w:t xml:space="preserve"> and appearances.  Between </w:t>
      </w:r>
      <w:r w:rsidR="008A3900">
        <w:rPr>
          <w:iCs/>
        </w:rPr>
        <w:t>February</w:t>
      </w:r>
      <w:r w:rsidR="00001FC6">
        <w:rPr>
          <w:iCs/>
        </w:rPr>
        <w:t> </w:t>
      </w:r>
      <w:r w:rsidR="008A3900">
        <w:rPr>
          <w:iCs/>
        </w:rPr>
        <w:t>6 and April</w:t>
      </w:r>
      <w:r w:rsidR="00001FC6">
        <w:rPr>
          <w:iCs/>
        </w:rPr>
        <w:t> </w:t>
      </w:r>
      <w:r w:rsidR="008A3900">
        <w:rPr>
          <w:iCs/>
        </w:rPr>
        <w:t xml:space="preserve">21, 2011, </w:t>
      </w:r>
      <w:r w:rsidR="00BF58ED">
        <w:rPr>
          <w:iCs/>
        </w:rPr>
        <w:t>Gonzalez</w:t>
      </w:r>
      <w:r w:rsidR="00A57356" w:rsidRPr="00A57356">
        <w:rPr>
          <w:iCs/>
        </w:rPr>
        <w:t xml:space="preserve"> </w:t>
      </w:r>
      <w:r w:rsidR="00A8072A">
        <w:rPr>
          <w:iCs/>
        </w:rPr>
        <w:t xml:space="preserve">was paid $1,200 </w:t>
      </w:r>
      <w:r w:rsidR="00DA5874">
        <w:rPr>
          <w:iCs/>
        </w:rPr>
        <w:t>in installment</w:t>
      </w:r>
      <w:r w:rsidR="00071967">
        <w:rPr>
          <w:iCs/>
        </w:rPr>
        <w:t xml:space="preserve"> payments</w:t>
      </w:r>
      <w:r w:rsidR="00A8072A">
        <w:rPr>
          <w:iCs/>
        </w:rPr>
        <w:t>.  On</w:t>
      </w:r>
      <w:r w:rsidR="00A57356" w:rsidRPr="00A57356">
        <w:rPr>
          <w:iCs/>
        </w:rPr>
        <w:t xml:space="preserve"> May</w:t>
      </w:r>
      <w:r w:rsidR="00001FC6">
        <w:rPr>
          <w:iCs/>
        </w:rPr>
        <w:t> </w:t>
      </w:r>
      <w:r w:rsidR="00A57356" w:rsidRPr="00A57356">
        <w:rPr>
          <w:iCs/>
        </w:rPr>
        <w:t xml:space="preserve">27, 2011, </w:t>
      </w:r>
      <w:r w:rsidR="000259AF">
        <w:rPr>
          <w:iCs/>
        </w:rPr>
        <w:t>he</w:t>
      </w:r>
      <w:r w:rsidR="00A57356" w:rsidRPr="00A57356">
        <w:rPr>
          <w:iCs/>
        </w:rPr>
        <w:t xml:space="preserve"> was suspended from </w:t>
      </w:r>
      <w:r w:rsidR="00071967">
        <w:rPr>
          <w:iCs/>
        </w:rPr>
        <w:t xml:space="preserve">practicing </w:t>
      </w:r>
      <w:r w:rsidR="00A57356" w:rsidRPr="00A57356">
        <w:rPr>
          <w:iCs/>
        </w:rPr>
        <w:t>law for 60 days</w:t>
      </w:r>
      <w:r w:rsidR="000D0015">
        <w:rPr>
          <w:iCs/>
        </w:rPr>
        <w:t xml:space="preserve"> </w:t>
      </w:r>
      <w:r w:rsidR="0060579D">
        <w:rPr>
          <w:iCs/>
        </w:rPr>
        <w:t xml:space="preserve">in </w:t>
      </w:r>
      <w:r w:rsidR="0060579D" w:rsidRPr="00F93CEA">
        <w:rPr>
          <w:i/>
          <w:iCs/>
        </w:rPr>
        <w:t>Gonzalez</w:t>
      </w:r>
      <w:r w:rsidR="00001FC6">
        <w:rPr>
          <w:i/>
          <w:iCs/>
        </w:rPr>
        <w:t> </w:t>
      </w:r>
      <w:r w:rsidR="0060579D" w:rsidRPr="00F93CEA">
        <w:rPr>
          <w:i/>
          <w:iCs/>
        </w:rPr>
        <w:t>I</w:t>
      </w:r>
      <w:r w:rsidR="00573DDE">
        <w:rPr>
          <w:iCs/>
        </w:rPr>
        <w:t xml:space="preserve">, but did not </w:t>
      </w:r>
      <w:r w:rsidR="00A57356" w:rsidRPr="00A57356">
        <w:rPr>
          <w:iCs/>
        </w:rPr>
        <w:t>notif</w:t>
      </w:r>
      <w:r w:rsidR="00E0018E">
        <w:rPr>
          <w:iCs/>
        </w:rPr>
        <w:t>y</w:t>
      </w:r>
      <w:r w:rsidR="00A57356" w:rsidRPr="00A57356">
        <w:rPr>
          <w:iCs/>
        </w:rPr>
        <w:t xml:space="preserve"> Rivera</w:t>
      </w:r>
      <w:r w:rsidR="000D0015">
        <w:rPr>
          <w:iCs/>
        </w:rPr>
        <w:t xml:space="preserve">.   </w:t>
      </w:r>
    </w:p>
    <w:p w14:paraId="2576169B" w14:textId="02528CE7" w:rsidR="00A57356" w:rsidRPr="00A57356" w:rsidRDefault="001728DA" w:rsidP="0010301C">
      <w:pPr>
        <w:spacing w:line="480" w:lineRule="auto"/>
        <w:rPr>
          <w:iCs/>
        </w:rPr>
      </w:pPr>
      <w:r>
        <w:rPr>
          <w:iCs/>
        </w:rPr>
        <w:tab/>
      </w:r>
      <w:r w:rsidR="000D0015">
        <w:rPr>
          <w:iCs/>
        </w:rPr>
        <w:t xml:space="preserve">On </w:t>
      </w:r>
      <w:r w:rsidR="00A57356" w:rsidRPr="00A57356">
        <w:rPr>
          <w:iCs/>
        </w:rPr>
        <w:t>May</w:t>
      </w:r>
      <w:r w:rsidR="00001FC6">
        <w:rPr>
          <w:iCs/>
        </w:rPr>
        <w:t> </w:t>
      </w:r>
      <w:r w:rsidR="00A57356" w:rsidRPr="00A57356">
        <w:rPr>
          <w:iCs/>
        </w:rPr>
        <w:t>28 and June</w:t>
      </w:r>
      <w:r w:rsidR="00001FC6">
        <w:rPr>
          <w:iCs/>
        </w:rPr>
        <w:t> </w:t>
      </w:r>
      <w:r w:rsidR="00A57356" w:rsidRPr="00A57356">
        <w:rPr>
          <w:iCs/>
        </w:rPr>
        <w:t>22,</w:t>
      </w:r>
      <w:r w:rsidR="001F2AC0">
        <w:rPr>
          <w:iCs/>
        </w:rPr>
        <w:t xml:space="preserve"> 2011</w:t>
      </w:r>
      <w:r w:rsidR="00A57356" w:rsidRPr="00A57356">
        <w:rPr>
          <w:iCs/>
        </w:rPr>
        <w:t xml:space="preserve">, while on suspension, </w:t>
      </w:r>
      <w:r w:rsidR="00BF58ED">
        <w:rPr>
          <w:iCs/>
        </w:rPr>
        <w:t>Gonzalez</w:t>
      </w:r>
      <w:r w:rsidR="00A57356" w:rsidRPr="00A57356">
        <w:rPr>
          <w:iCs/>
        </w:rPr>
        <w:t xml:space="preserve"> negotiated two</w:t>
      </w:r>
      <w:r w:rsidR="001F2AC0">
        <w:rPr>
          <w:iCs/>
        </w:rPr>
        <w:t xml:space="preserve"> </w:t>
      </w:r>
      <w:r w:rsidR="00A57356" w:rsidRPr="00A57356">
        <w:rPr>
          <w:iCs/>
        </w:rPr>
        <w:t xml:space="preserve">checks </w:t>
      </w:r>
      <w:r w:rsidR="00FF46EE">
        <w:rPr>
          <w:iCs/>
        </w:rPr>
        <w:t xml:space="preserve">from Rivera </w:t>
      </w:r>
      <w:r w:rsidR="00282BF3">
        <w:rPr>
          <w:iCs/>
        </w:rPr>
        <w:t xml:space="preserve">for $300 </w:t>
      </w:r>
      <w:r w:rsidR="002806FC">
        <w:rPr>
          <w:iCs/>
        </w:rPr>
        <w:t xml:space="preserve">each </w:t>
      </w:r>
      <w:r w:rsidR="00AC4F4A">
        <w:rPr>
          <w:iCs/>
        </w:rPr>
        <w:t>without</w:t>
      </w:r>
      <w:r w:rsidR="00C61515">
        <w:rPr>
          <w:iCs/>
        </w:rPr>
        <w:t xml:space="preserve"> inform</w:t>
      </w:r>
      <w:r w:rsidR="00AC4F4A">
        <w:rPr>
          <w:iCs/>
        </w:rPr>
        <w:t>ing</w:t>
      </w:r>
      <w:r w:rsidR="00C61515">
        <w:rPr>
          <w:iCs/>
        </w:rPr>
        <w:t xml:space="preserve"> </w:t>
      </w:r>
      <w:r w:rsidR="006C56E2">
        <w:rPr>
          <w:iCs/>
        </w:rPr>
        <w:t>his client</w:t>
      </w:r>
      <w:r w:rsidR="00071967">
        <w:rPr>
          <w:iCs/>
        </w:rPr>
        <w:t xml:space="preserve"> that </w:t>
      </w:r>
      <w:r w:rsidR="00C61515">
        <w:rPr>
          <w:iCs/>
        </w:rPr>
        <w:t xml:space="preserve">he was suspended.  </w:t>
      </w:r>
      <w:r w:rsidR="00A57356" w:rsidRPr="00A57356">
        <w:rPr>
          <w:iCs/>
        </w:rPr>
        <w:t xml:space="preserve">Between </w:t>
      </w:r>
      <w:r w:rsidR="00A57356" w:rsidRPr="00A57356">
        <w:rPr>
          <w:iCs/>
        </w:rPr>
        <w:lastRenderedPageBreak/>
        <w:t xml:space="preserve">February and December </w:t>
      </w:r>
      <w:r w:rsidR="00B7512C">
        <w:rPr>
          <w:iCs/>
        </w:rPr>
        <w:t xml:space="preserve">of </w:t>
      </w:r>
      <w:r w:rsidR="00A57356" w:rsidRPr="00A57356">
        <w:rPr>
          <w:iCs/>
        </w:rPr>
        <w:t>2011, Rivera repeatedly asked about the</w:t>
      </w:r>
      <w:r w:rsidR="009F3E95">
        <w:rPr>
          <w:iCs/>
        </w:rPr>
        <w:t xml:space="preserve"> </w:t>
      </w:r>
      <w:r w:rsidR="00AC4F4A">
        <w:rPr>
          <w:iCs/>
        </w:rPr>
        <w:t xml:space="preserve">case </w:t>
      </w:r>
      <w:r w:rsidR="00A57356" w:rsidRPr="00A57356">
        <w:rPr>
          <w:iCs/>
        </w:rPr>
        <w:t>status</w:t>
      </w:r>
      <w:r w:rsidR="00AC4F4A">
        <w:rPr>
          <w:iCs/>
        </w:rPr>
        <w:t>, but</w:t>
      </w:r>
      <w:r w:rsidR="000D0015">
        <w:rPr>
          <w:iCs/>
        </w:rPr>
        <w:t xml:space="preserve"> Gonzalez did not </w:t>
      </w:r>
      <w:r w:rsidR="00AC4F4A">
        <w:rPr>
          <w:iCs/>
        </w:rPr>
        <w:t>respond</w:t>
      </w:r>
      <w:r w:rsidR="000D0015">
        <w:rPr>
          <w:iCs/>
        </w:rPr>
        <w:t xml:space="preserve">.  </w:t>
      </w:r>
      <w:r>
        <w:rPr>
          <w:iCs/>
        </w:rPr>
        <w:t>On July</w:t>
      </w:r>
      <w:r w:rsidR="00001FC6">
        <w:rPr>
          <w:iCs/>
        </w:rPr>
        <w:t> </w:t>
      </w:r>
      <w:r>
        <w:rPr>
          <w:iCs/>
        </w:rPr>
        <w:t xml:space="preserve">27, 2011, </w:t>
      </w:r>
      <w:r w:rsidR="008705D1">
        <w:rPr>
          <w:iCs/>
        </w:rPr>
        <w:t>G</w:t>
      </w:r>
      <w:r>
        <w:rPr>
          <w:iCs/>
        </w:rPr>
        <w:t>onzalez’s suspension ended and his status was change</w:t>
      </w:r>
      <w:r w:rsidR="00794C46">
        <w:rPr>
          <w:iCs/>
        </w:rPr>
        <w:t>d</w:t>
      </w:r>
      <w:r>
        <w:rPr>
          <w:iCs/>
        </w:rPr>
        <w:t xml:space="preserve"> to active.  </w:t>
      </w:r>
      <w:r w:rsidR="006C56E2">
        <w:rPr>
          <w:iCs/>
        </w:rPr>
        <w:t>F</w:t>
      </w:r>
      <w:r w:rsidR="0072383E">
        <w:rPr>
          <w:iCs/>
        </w:rPr>
        <w:t xml:space="preserve">rom </w:t>
      </w:r>
      <w:r>
        <w:rPr>
          <w:iCs/>
        </w:rPr>
        <w:t xml:space="preserve">August to November 2011, </w:t>
      </w:r>
      <w:r w:rsidR="00230B20">
        <w:rPr>
          <w:iCs/>
        </w:rPr>
        <w:t>he</w:t>
      </w:r>
      <w:r>
        <w:rPr>
          <w:iCs/>
        </w:rPr>
        <w:t xml:space="preserve"> continued to collect </w:t>
      </w:r>
      <w:r w:rsidR="00DA4DBC">
        <w:rPr>
          <w:iCs/>
        </w:rPr>
        <w:t>legal fees fro</w:t>
      </w:r>
      <w:r w:rsidR="00A14A38">
        <w:rPr>
          <w:iCs/>
        </w:rPr>
        <w:t>m</w:t>
      </w:r>
      <w:r w:rsidR="00DA4DBC">
        <w:rPr>
          <w:iCs/>
        </w:rPr>
        <w:t xml:space="preserve"> Rivera</w:t>
      </w:r>
      <w:r w:rsidR="00071967">
        <w:rPr>
          <w:iCs/>
        </w:rPr>
        <w:t xml:space="preserve"> for a total of </w:t>
      </w:r>
      <w:r>
        <w:rPr>
          <w:iCs/>
        </w:rPr>
        <w:t xml:space="preserve">$6,015.  </w:t>
      </w:r>
      <w:r w:rsidR="00071967">
        <w:rPr>
          <w:iCs/>
        </w:rPr>
        <w:t>B</w:t>
      </w:r>
      <w:r>
        <w:rPr>
          <w:iCs/>
        </w:rPr>
        <w:t xml:space="preserve">etween February 2011 and February 2012, </w:t>
      </w:r>
      <w:r w:rsidR="00230B20">
        <w:rPr>
          <w:iCs/>
        </w:rPr>
        <w:t>he</w:t>
      </w:r>
      <w:r>
        <w:rPr>
          <w:iCs/>
        </w:rPr>
        <w:t xml:space="preserve"> did not file any documents on </w:t>
      </w:r>
      <w:r w:rsidR="00230B20">
        <w:rPr>
          <w:iCs/>
        </w:rPr>
        <w:t xml:space="preserve">Rivera’s </w:t>
      </w:r>
      <w:r>
        <w:rPr>
          <w:iCs/>
        </w:rPr>
        <w:t>behalf</w:t>
      </w:r>
      <w:r w:rsidR="00660801">
        <w:rPr>
          <w:iCs/>
        </w:rPr>
        <w:t>, but spent 50-60 hours working on the case</w:t>
      </w:r>
      <w:r>
        <w:rPr>
          <w:iCs/>
        </w:rPr>
        <w:t xml:space="preserve">.  </w:t>
      </w:r>
      <w:r w:rsidR="00071967">
        <w:rPr>
          <w:iCs/>
        </w:rPr>
        <w:t>On February</w:t>
      </w:r>
      <w:r w:rsidR="00001FC6">
        <w:rPr>
          <w:iCs/>
        </w:rPr>
        <w:t> </w:t>
      </w:r>
      <w:r w:rsidR="00071967">
        <w:rPr>
          <w:iCs/>
        </w:rPr>
        <w:t xml:space="preserve">2, 2012, Rivera terminated </w:t>
      </w:r>
      <w:r>
        <w:rPr>
          <w:iCs/>
        </w:rPr>
        <w:t>Gonzalez</w:t>
      </w:r>
      <w:r w:rsidR="008705D1">
        <w:rPr>
          <w:iCs/>
        </w:rPr>
        <w:t>’s</w:t>
      </w:r>
      <w:r>
        <w:rPr>
          <w:iCs/>
        </w:rPr>
        <w:t xml:space="preserve"> services</w:t>
      </w:r>
      <w:r w:rsidR="00DA4DBC">
        <w:rPr>
          <w:iCs/>
        </w:rPr>
        <w:t>,</w:t>
      </w:r>
      <w:r>
        <w:rPr>
          <w:iCs/>
        </w:rPr>
        <w:t xml:space="preserve"> and requested </w:t>
      </w:r>
      <w:r w:rsidR="0051528A">
        <w:rPr>
          <w:iCs/>
        </w:rPr>
        <w:t xml:space="preserve">a </w:t>
      </w:r>
      <w:r>
        <w:rPr>
          <w:iCs/>
        </w:rPr>
        <w:t>refund of unearned fee</w:t>
      </w:r>
      <w:r w:rsidR="00071967">
        <w:rPr>
          <w:iCs/>
        </w:rPr>
        <w:t>s</w:t>
      </w:r>
      <w:r>
        <w:rPr>
          <w:iCs/>
        </w:rPr>
        <w:t>.  Gonzalez received the letter</w:t>
      </w:r>
      <w:r w:rsidR="0051528A">
        <w:rPr>
          <w:iCs/>
        </w:rPr>
        <w:t xml:space="preserve"> request</w:t>
      </w:r>
      <w:r>
        <w:rPr>
          <w:iCs/>
        </w:rPr>
        <w:t xml:space="preserve">, </w:t>
      </w:r>
      <w:r w:rsidR="0072383E">
        <w:rPr>
          <w:iCs/>
        </w:rPr>
        <w:t xml:space="preserve">but </w:t>
      </w:r>
      <w:r>
        <w:rPr>
          <w:iCs/>
        </w:rPr>
        <w:t xml:space="preserve">did not </w:t>
      </w:r>
      <w:r w:rsidR="00794622">
        <w:rPr>
          <w:iCs/>
        </w:rPr>
        <w:t>respond</w:t>
      </w:r>
      <w:r w:rsidR="008705D1">
        <w:rPr>
          <w:iCs/>
        </w:rPr>
        <w:t>, provide an accounting, or refund any fees.</w:t>
      </w:r>
      <w:r>
        <w:rPr>
          <w:iCs/>
        </w:rPr>
        <w:t xml:space="preserve"> </w:t>
      </w:r>
    </w:p>
    <w:p w14:paraId="758E51A2" w14:textId="6393C7BB" w:rsidR="00316111" w:rsidRDefault="00334331" w:rsidP="00316111">
      <w:pPr>
        <w:spacing w:line="480" w:lineRule="auto"/>
        <w:ind w:firstLine="720"/>
        <w:rPr>
          <w:iCs/>
        </w:rPr>
      </w:pPr>
      <w:r>
        <w:rPr>
          <w:iCs/>
        </w:rPr>
        <w:t>Gonzalez</w:t>
      </w:r>
      <w:r w:rsidRPr="00A57356">
        <w:rPr>
          <w:iCs/>
        </w:rPr>
        <w:t xml:space="preserve"> </w:t>
      </w:r>
      <w:r>
        <w:rPr>
          <w:iCs/>
        </w:rPr>
        <w:t>committed three ethical violations:</w:t>
      </w:r>
      <w:r w:rsidR="006E0585">
        <w:rPr>
          <w:iCs/>
        </w:rPr>
        <w:t xml:space="preserve"> </w:t>
      </w:r>
      <w:r w:rsidR="00B55EA6">
        <w:rPr>
          <w:iCs/>
        </w:rPr>
        <w:t>(1)</w:t>
      </w:r>
      <w:r w:rsidR="00001FC6">
        <w:rPr>
          <w:iCs/>
        </w:rPr>
        <w:t> </w:t>
      </w:r>
      <w:r w:rsidR="003C280C">
        <w:rPr>
          <w:iCs/>
        </w:rPr>
        <w:t>h</w:t>
      </w:r>
      <w:r>
        <w:rPr>
          <w:iCs/>
        </w:rPr>
        <w:t>e</w:t>
      </w:r>
      <w:r w:rsidR="002D7F6A">
        <w:rPr>
          <w:iCs/>
        </w:rPr>
        <w:t xml:space="preserve"> </w:t>
      </w:r>
      <w:r w:rsidR="006D0DFD">
        <w:rPr>
          <w:iCs/>
        </w:rPr>
        <w:t xml:space="preserve">engaged in </w:t>
      </w:r>
      <w:r w:rsidR="002D7F6A">
        <w:rPr>
          <w:iCs/>
        </w:rPr>
        <w:t xml:space="preserve">an act of moral turpitude, </w:t>
      </w:r>
      <w:r w:rsidR="008705D1">
        <w:rPr>
          <w:iCs/>
        </w:rPr>
        <w:t xml:space="preserve">dishonesty, or corruption, </w:t>
      </w:r>
      <w:r w:rsidR="002D7F6A">
        <w:rPr>
          <w:iCs/>
        </w:rPr>
        <w:t xml:space="preserve">in willful violation of </w:t>
      </w:r>
      <w:r w:rsidR="003F593E">
        <w:rPr>
          <w:iCs/>
        </w:rPr>
        <w:t xml:space="preserve">Business and Professions Code </w:t>
      </w:r>
      <w:r w:rsidR="002D7F6A">
        <w:rPr>
          <w:iCs/>
        </w:rPr>
        <w:t>section</w:t>
      </w:r>
      <w:r w:rsidR="00001FC6">
        <w:rPr>
          <w:iCs/>
        </w:rPr>
        <w:t> </w:t>
      </w:r>
      <w:r w:rsidR="002D7F6A">
        <w:rPr>
          <w:iCs/>
        </w:rPr>
        <w:t>6106</w:t>
      </w:r>
      <w:r w:rsidR="00DA4DBC">
        <w:rPr>
          <w:iCs/>
        </w:rPr>
        <w:t>,</w:t>
      </w:r>
      <w:r w:rsidR="003F593E">
        <w:rPr>
          <w:rStyle w:val="FootnoteReference"/>
          <w:iCs/>
        </w:rPr>
        <w:footnoteReference w:id="5"/>
      </w:r>
      <w:r w:rsidR="002D7F6A">
        <w:rPr>
          <w:iCs/>
        </w:rPr>
        <w:t xml:space="preserve"> by </w:t>
      </w:r>
      <w:r w:rsidR="00A57356" w:rsidRPr="00A57356">
        <w:rPr>
          <w:iCs/>
        </w:rPr>
        <w:t xml:space="preserve">receiving advance fees from Rivera during </w:t>
      </w:r>
      <w:r w:rsidR="002D7F6A">
        <w:rPr>
          <w:iCs/>
        </w:rPr>
        <w:t>his</w:t>
      </w:r>
      <w:r w:rsidR="00A57356" w:rsidRPr="00A57356">
        <w:rPr>
          <w:iCs/>
        </w:rPr>
        <w:t xml:space="preserve"> suspension, when</w:t>
      </w:r>
      <w:r w:rsidR="00EB72A7">
        <w:rPr>
          <w:iCs/>
        </w:rPr>
        <w:t xml:space="preserve"> </w:t>
      </w:r>
      <w:r w:rsidR="002D7F6A">
        <w:rPr>
          <w:iCs/>
        </w:rPr>
        <w:t>he</w:t>
      </w:r>
      <w:r w:rsidR="00A57356" w:rsidRPr="00A57356">
        <w:rPr>
          <w:iCs/>
        </w:rPr>
        <w:t xml:space="preserve"> knew</w:t>
      </w:r>
      <w:r w:rsidR="0072383E">
        <w:rPr>
          <w:iCs/>
        </w:rPr>
        <w:t>,</w:t>
      </w:r>
      <w:r w:rsidR="00A57356" w:rsidRPr="00A57356">
        <w:rPr>
          <w:iCs/>
        </w:rPr>
        <w:t xml:space="preserve"> or was grossly negligent in not knowing</w:t>
      </w:r>
      <w:r w:rsidR="0072383E">
        <w:rPr>
          <w:iCs/>
        </w:rPr>
        <w:t>,</w:t>
      </w:r>
      <w:r w:rsidR="00A57356" w:rsidRPr="00A57356">
        <w:rPr>
          <w:iCs/>
        </w:rPr>
        <w:t xml:space="preserve"> that Rivera paid the fees</w:t>
      </w:r>
      <w:r w:rsidR="006D0DFD">
        <w:rPr>
          <w:iCs/>
        </w:rPr>
        <w:t xml:space="preserve"> reasonably </w:t>
      </w:r>
      <w:r w:rsidR="00A57356" w:rsidRPr="00A57356">
        <w:rPr>
          <w:iCs/>
        </w:rPr>
        <w:t xml:space="preserve">believing </w:t>
      </w:r>
      <w:r w:rsidR="002D7F6A">
        <w:rPr>
          <w:iCs/>
        </w:rPr>
        <w:t xml:space="preserve">that </w:t>
      </w:r>
      <w:r w:rsidR="00794C46">
        <w:rPr>
          <w:iCs/>
        </w:rPr>
        <w:t>Gonzalez</w:t>
      </w:r>
      <w:r w:rsidR="002D7F6A">
        <w:rPr>
          <w:iCs/>
        </w:rPr>
        <w:t xml:space="preserve"> was </w:t>
      </w:r>
      <w:r w:rsidR="00A57356" w:rsidRPr="00A57356">
        <w:rPr>
          <w:iCs/>
        </w:rPr>
        <w:t>entitled to practice law</w:t>
      </w:r>
      <w:r w:rsidR="00001FC6">
        <w:rPr>
          <w:iCs/>
        </w:rPr>
        <w:t xml:space="preserve"> (c</w:t>
      </w:r>
      <w:r w:rsidR="002D7F6A">
        <w:rPr>
          <w:iCs/>
        </w:rPr>
        <w:t xml:space="preserve">ount </w:t>
      </w:r>
      <w:r w:rsidR="00001FC6">
        <w:rPr>
          <w:iCs/>
        </w:rPr>
        <w:t>t</w:t>
      </w:r>
      <w:r w:rsidR="00C0141E">
        <w:rPr>
          <w:iCs/>
        </w:rPr>
        <w:t>wo</w:t>
      </w:r>
      <w:r w:rsidR="002D7F6A">
        <w:rPr>
          <w:iCs/>
        </w:rPr>
        <w:t>)</w:t>
      </w:r>
      <w:r w:rsidR="006E0585">
        <w:rPr>
          <w:iCs/>
        </w:rPr>
        <w:t xml:space="preserve">; </w:t>
      </w:r>
      <w:r w:rsidR="00B55EA6">
        <w:rPr>
          <w:iCs/>
        </w:rPr>
        <w:t>(2)</w:t>
      </w:r>
      <w:r w:rsidR="00001FC6">
        <w:rPr>
          <w:iCs/>
        </w:rPr>
        <w:t> </w:t>
      </w:r>
      <w:r w:rsidR="00DA4DBC">
        <w:rPr>
          <w:iCs/>
        </w:rPr>
        <w:t>h</w:t>
      </w:r>
      <w:r>
        <w:rPr>
          <w:iCs/>
        </w:rPr>
        <w:t>e</w:t>
      </w:r>
      <w:r w:rsidR="002D7F6A" w:rsidRPr="00A57356">
        <w:rPr>
          <w:iCs/>
        </w:rPr>
        <w:t xml:space="preserve"> willfully violated section</w:t>
      </w:r>
      <w:r w:rsidR="00001FC6">
        <w:rPr>
          <w:iCs/>
        </w:rPr>
        <w:t> </w:t>
      </w:r>
      <w:r w:rsidR="002D7F6A" w:rsidRPr="00A57356">
        <w:rPr>
          <w:iCs/>
        </w:rPr>
        <w:t>6068, subdivision</w:t>
      </w:r>
      <w:r w:rsidR="00001FC6">
        <w:rPr>
          <w:iCs/>
        </w:rPr>
        <w:t> </w:t>
      </w:r>
      <w:r w:rsidR="002D7F6A" w:rsidRPr="00A57356">
        <w:rPr>
          <w:iCs/>
        </w:rPr>
        <w:t>(m)</w:t>
      </w:r>
      <w:r w:rsidR="002D7F6A">
        <w:rPr>
          <w:iCs/>
        </w:rPr>
        <w:t>, by</w:t>
      </w:r>
      <w:r w:rsidR="00C53C5E">
        <w:rPr>
          <w:iCs/>
        </w:rPr>
        <w:t xml:space="preserve"> </w:t>
      </w:r>
      <w:r w:rsidR="00A57356" w:rsidRPr="00A57356">
        <w:rPr>
          <w:iCs/>
        </w:rPr>
        <w:t>failing to respond to Rivera</w:t>
      </w:r>
      <w:r w:rsidR="00794C46">
        <w:rPr>
          <w:iCs/>
        </w:rPr>
        <w:t>’</w:t>
      </w:r>
      <w:r w:rsidR="00A57356" w:rsidRPr="00A57356">
        <w:rPr>
          <w:iCs/>
        </w:rPr>
        <w:t>s status inquiries between February and</w:t>
      </w:r>
      <w:r w:rsidR="00794622">
        <w:rPr>
          <w:iCs/>
        </w:rPr>
        <w:t xml:space="preserve"> </w:t>
      </w:r>
      <w:r w:rsidR="00A57356" w:rsidRPr="00A57356">
        <w:rPr>
          <w:iCs/>
        </w:rPr>
        <w:t>Dece</w:t>
      </w:r>
      <w:r w:rsidR="0003358E">
        <w:rPr>
          <w:iCs/>
        </w:rPr>
        <w:t>m</w:t>
      </w:r>
      <w:r w:rsidR="00A57356" w:rsidRPr="00A57356">
        <w:rPr>
          <w:iCs/>
        </w:rPr>
        <w:t>ber 2011</w:t>
      </w:r>
      <w:r w:rsidR="00001FC6">
        <w:rPr>
          <w:iCs/>
        </w:rPr>
        <w:t xml:space="preserve"> (c</w:t>
      </w:r>
      <w:r w:rsidR="006E0585">
        <w:rPr>
          <w:iCs/>
        </w:rPr>
        <w:t xml:space="preserve">ount </w:t>
      </w:r>
      <w:r w:rsidR="00001FC6">
        <w:rPr>
          <w:iCs/>
        </w:rPr>
        <w:t>f</w:t>
      </w:r>
      <w:r w:rsidR="006E0585">
        <w:rPr>
          <w:iCs/>
        </w:rPr>
        <w:t xml:space="preserve">our); </w:t>
      </w:r>
      <w:r w:rsidR="00451901">
        <w:rPr>
          <w:iCs/>
        </w:rPr>
        <w:t xml:space="preserve">and </w:t>
      </w:r>
      <w:r w:rsidR="00B55EA6">
        <w:rPr>
          <w:iCs/>
        </w:rPr>
        <w:t>(3)</w:t>
      </w:r>
      <w:r w:rsidR="00001FC6">
        <w:rPr>
          <w:iCs/>
        </w:rPr>
        <w:t> </w:t>
      </w:r>
      <w:r w:rsidR="00DA4DBC">
        <w:rPr>
          <w:iCs/>
        </w:rPr>
        <w:t>h</w:t>
      </w:r>
      <w:r>
        <w:rPr>
          <w:iCs/>
        </w:rPr>
        <w:t>e</w:t>
      </w:r>
      <w:r w:rsidR="00316111">
        <w:rPr>
          <w:iCs/>
        </w:rPr>
        <w:t xml:space="preserve"> willfully violated </w:t>
      </w:r>
      <w:r w:rsidR="00316111" w:rsidRPr="00A57356">
        <w:rPr>
          <w:iCs/>
        </w:rPr>
        <w:t>rule</w:t>
      </w:r>
      <w:r w:rsidR="00001FC6">
        <w:rPr>
          <w:iCs/>
        </w:rPr>
        <w:t> </w:t>
      </w:r>
      <w:r w:rsidR="00316111" w:rsidRPr="00A57356">
        <w:rPr>
          <w:iCs/>
        </w:rPr>
        <w:t>4-100(B</w:t>
      </w:r>
      <w:r w:rsidR="00316111">
        <w:rPr>
          <w:iCs/>
        </w:rPr>
        <w:t>)(</w:t>
      </w:r>
      <w:r w:rsidR="00316111" w:rsidRPr="00A57356">
        <w:rPr>
          <w:iCs/>
        </w:rPr>
        <w:t>3)</w:t>
      </w:r>
      <w:r w:rsidR="003F593E">
        <w:rPr>
          <w:iCs/>
        </w:rPr>
        <w:t xml:space="preserve"> of the Rules of Professional Conduct</w:t>
      </w:r>
      <w:r w:rsidR="003F593E">
        <w:rPr>
          <w:rStyle w:val="FootnoteReference"/>
          <w:iCs/>
        </w:rPr>
        <w:footnoteReference w:id="6"/>
      </w:r>
      <w:r w:rsidR="00316111">
        <w:rPr>
          <w:iCs/>
        </w:rPr>
        <w:t xml:space="preserve"> by failing to render accountings to Rivera (</w:t>
      </w:r>
      <w:r w:rsidR="00001FC6">
        <w:rPr>
          <w:iCs/>
        </w:rPr>
        <w:t>c</w:t>
      </w:r>
      <w:r w:rsidR="00316111">
        <w:rPr>
          <w:iCs/>
        </w:rPr>
        <w:t xml:space="preserve">ount </w:t>
      </w:r>
      <w:r w:rsidR="00001FC6">
        <w:rPr>
          <w:iCs/>
        </w:rPr>
        <w:t>s</w:t>
      </w:r>
      <w:r w:rsidR="00316111">
        <w:rPr>
          <w:iCs/>
        </w:rPr>
        <w:t>ix).</w:t>
      </w:r>
    </w:p>
    <w:p w14:paraId="1F9524E6" w14:textId="22B43F7C" w:rsidR="00A57356" w:rsidRDefault="00316111" w:rsidP="00A57356">
      <w:pPr>
        <w:spacing w:line="480" w:lineRule="auto"/>
        <w:rPr>
          <w:b/>
          <w:bCs/>
          <w:iCs/>
        </w:rPr>
      </w:pPr>
      <w:r>
        <w:rPr>
          <w:b/>
          <w:bCs/>
          <w:iCs/>
        </w:rPr>
        <w:tab/>
        <w:t xml:space="preserve">2.  </w:t>
      </w:r>
      <w:r w:rsidR="00445BC9">
        <w:rPr>
          <w:b/>
          <w:bCs/>
          <w:iCs/>
        </w:rPr>
        <w:t>The Castillo Matter (</w:t>
      </w:r>
      <w:r w:rsidR="00A57356" w:rsidRPr="00F11875">
        <w:rPr>
          <w:b/>
          <w:bCs/>
          <w:iCs/>
        </w:rPr>
        <w:t>No. 12-</w:t>
      </w:r>
      <w:r w:rsidR="005453E8">
        <w:rPr>
          <w:b/>
          <w:bCs/>
          <w:iCs/>
        </w:rPr>
        <w:t>O</w:t>
      </w:r>
      <w:r w:rsidR="00A57356" w:rsidRPr="00F11875">
        <w:rPr>
          <w:b/>
          <w:bCs/>
          <w:iCs/>
        </w:rPr>
        <w:t>-12507</w:t>
      </w:r>
      <w:r w:rsidR="00445BC9">
        <w:rPr>
          <w:b/>
          <w:bCs/>
          <w:iCs/>
        </w:rPr>
        <w:t>)</w:t>
      </w:r>
      <w:r w:rsidR="006F50E7">
        <w:rPr>
          <w:b/>
          <w:bCs/>
          <w:iCs/>
        </w:rPr>
        <w:t xml:space="preserve"> [Counts </w:t>
      </w:r>
      <w:r w:rsidR="009C2101">
        <w:rPr>
          <w:b/>
          <w:bCs/>
          <w:iCs/>
        </w:rPr>
        <w:t xml:space="preserve">Seven, Eight, </w:t>
      </w:r>
      <w:r w:rsidR="00FA58CE">
        <w:rPr>
          <w:b/>
          <w:bCs/>
          <w:iCs/>
        </w:rPr>
        <w:t>10</w:t>
      </w:r>
      <w:r w:rsidR="009C2101">
        <w:rPr>
          <w:b/>
          <w:bCs/>
          <w:iCs/>
        </w:rPr>
        <w:t xml:space="preserve">, and </w:t>
      </w:r>
      <w:r w:rsidR="00FA58CE">
        <w:rPr>
          <w:b/>
          <w:bCs/>
          <w:iCs/>
        </w:rPr>
        <w:t>11</w:t>
      </w:r>
      <w:r w:rsidR="006F50E7">
        <w:rPr>
          <w:b/>
          <w:bCs/>
          <w:iCs/>
        </w:rPr>
        <w:t>]</w:t>
      </w:r>
    </w:p>
    <w:p w14:paraId="16708128" w14:textId="0F2987D3" w:rsidR="00F11875" w:rsidRDefault="00A57356" w:rsidP="003C280C">
      <w:pPr>
        <w:spacing w:line="480" w:lineRule="auto"/>
        <w:ind w:firstLine="720"/>
        <w:rPr>
          <w:iCs/>
        </w:rPr>
      </w:pPr>
      <w:r w:rsidRPr="00A57356">
        <w:rPr>
          <w:iCs/>
        </w:rPr>
        <w:t>On March</w:t>
      </w:r>
      <w:r w:rsidR="003C280C">
        <w:rPr>
          <w:iCs/>
        </w:rPr>
        <w:t> </w:t>
      </w:r>
      <w:r w:rsidRPr="00A57356">
        <w:rPr>
          <w:iCs/>
        </w:rPr>
        <w:t>7,</w:t>
      </w:r>
      <w:r w:rsidR="00A63437">
        <w:rPr>
          <w:iCs/>
        </w:rPr>
        <w:t xml:space="preserve"> </w:t>
      </w:r>
      <w:r w:rsidRPr="00A57356">
        <w:rPr>
          <w:iCs/>
        </w:rPr>
        <w:t xml:space="preserve">2011, Concepcion Castillo employed </w:t>
      </w:r>
      <w:r w:rsidR="00BF58ED">
        <w:rPr>
          <w:iCs/>
        </w:rPr>
        <w:t>Gonzalez</w:t>
      </w:r>
      <w:r w:rsidRPr="00A57356">
        <w:rPr>
          <w:iCs/>
        </w:rPr>
        <w:t xml:space="preserve"> to represent her</w:t>
      </w:r>
      <w:r w:rsidR="003C280C">
        <w:rPr>
          <w:iCs/>
        </w:rPr>
        <w:t xml:space="preserve"> </w:t>
      </w:r>
      <w:r w:rsidRPr="00A57356">
        <w:rPr>
          <w:iCs/>
        </w:rPr>
        <w:t>in immigration proceedings</w:t>
      </w:r>
      <w:r w:rsidR="00316111">
        <w:rPr>
          <w:iCs/>
        </w:rPr>
        <w:t xml:space="preserve"> to </w:t>
      </w:r>
      <w:r w:rsidRPr="00A57356">
        <w:rPr>
          <w:iCs/>
        </w:rPr>
        <w:t>obtain legal</w:t>
      </w:r>
      <w:r w:rsidR="00797456">
        <w:rPr>
          <w:iCs/>
        </w:rPr>
        <w:t xml:space="preserve"> </w:t>
      </w:r>
      <w:r w:rsidRPr="00A57356">
        <w:rPr>
          <w:iCs/>
        </w:rPr>
        <w:t>residency status and permanent citizenship</w:t>
      </w:r>
      <w:r w:rsidR="004B7771">
        <w:rPr>
          <w:iCs/>
        </w:rPr>
        <w:t xml:space="preserve">.  Gonzalez agreed to perform all legal services, including investigation, analysis, document preparation, and appearances.  </w:t>
      </w:r>
      <w:r w:rsidRPr="00A57356">
        <w:rPr>
          <w:iCs/>
        </w:rPr>
        <w:t>Between March</w:t>
      </w:r>
      <w:r w:rsidR="003C280C">
        <w:rPr>
          <w:iCs/>
        </w:rPr>
        <w:t> </w:t>
      </w:r>
      <w:r w:rsidRPr="00A57356">
        <w:rPr>
          <w:iCs/>
        </w:rPr>
        <w:t>7 and November</w:t>
      </w:r>
      <w:r w:rsidR="003C280C">
        <w:rPr>
          <w:iCs/>
        </w:rPr>
        <w:t> </w:t>
      </w:r>
      <w:r w:rsidRPr="00A57356">
        <w:rPr>
          <w:iCs/>
        </w:rPr>
        <w:t>29,</w:t>
      </w:r>
      <w:r w:rsidR="00F11875">
        <w:rPr>
          <w:iCs/>
        </w:rPr>
        <w:t xml:space="preserve"> </w:t>
      </w:r>
      <w:r w:rsidRPr="00A57356">
        <w:rPr>
          <w:iCs/>
        </w:rPr>
        <w:t>20</w:t>
      </w:r>
      <w:r w:rsidR="00F11875">
        <w:rPr>
          <w:iCs/>
        </w:rPr>
        <w:t>11</w:t>
      </w:r>
      <w:r w:rsidRPr="00A57356">
        <w:rPr>
          <w:iCs/>
        </w:rPr>
        <w:t>, Castillo</w:t>
      </w:r>
      <w:r w:rsidR="0042692F">
        <w:rPr>
          <w:iCs/>
        </w:rPr>
        <w:t xml:space="preserve"> </w:t>
      </w:r>
      <w:r w:rsidRPr="00A57356">
        <w:rPr>
          <w:iCs/>
        </w:rPr>
        <w:t xml:space="preserve">paid </w:t>
      </w:r>
      <w:r w:rsidR="00BF58ED">
        <w:rPr>
          <w:iCs/>
        </w:rPr>
        <w:t>Gonzalez</w:t>
      </w:r>
      <w:r w:rsidRPr="00A57356">
        <w:rPr>
          <w:iCs/>
        </w:rPr>
        <w:t xml:space="preserve"> </w:t>
      </w:r>
      <w:r w:rsidR="004B7771">
        <w:rPr>
          <w:iCs/>
        </w:rPr>
        <w:t xml:space="preserve">several installments totaling </w:t>
      </w:r>
      <w:r w:rsidR="00316111">
        <w:rPr>
          <w:iCs/>
        </w:rPr>
        <w:t xml:space="preserve">$6,000 in advance </w:t>
      </w:r>
      <w:r w:rsidRPr="00A57356">
        <w:rPr>
          <w:iCs/>
        </w:rPr>
        <w:t>attorney fees.</w:t>
      </w:r>
      <w:r w:rsidR="00797456">
        <w:rPr>
          <w:iCs/>
        </w:rPr>
        <w:t xml:space="preserve">  </w:t>
      </w:r>
      <w:r w:rsidRPr="00A57356">
        <w:rPr>
          <w:iCs/>
        </w:rPr>
        <w:t>On May</w:t>
      </w:r>
      <w:r w:rsidR="003C280C">
        <w:rPr>
          <w:iCs/>
        </w:rPr>
        <w:t> </w:t>
      </w:r>
      <w:r w:rsidRPr="00A57356">
        <w:rPr>
          <w:iCs/>
        </w:rPr>
        <w:t xml:space="preserve">27, 2011, </w:t>
      </w:r>
      <w:r w:rsidR="00BF58ED">
        <w:rPr>
          <w:iCs/>
        </w:rPr>
        <w:t>Gonzalez</w:t>
      </w:r>
      <w:r w:rsidRPr="00A57356">
        <w:rPr>
          <w:iCs/>
        </w:rPr>
        <w:t xml:space="preserve"> was </w:t>
      </w:r>
      <w:r w:rsidRPr="00A57356">
        <w:rPr>
          <w:iCs/>
        </w:rPr>
        <w:lastRenderedPageBreak/>
        <w:t>suspended from the practice of law for 60 days</w:t>
      </w:r>
      <w:r w:rsidR="00797456">
        <w:rPr>
          <w:iCs/>
        </w:rPr>
        <w:t xml:space="preserve">, but did not notify Castillo.  </w:t>
      </w:r>
      <w:r w:rsidR="00AE2303">
        <w:rPr>
          <w:iCs/>
        </w:rPr>
        <w:t>He</w:t>
      </w:r>
      <w:r w:rsidR="00FD2BE0">
        <w:rPr>
          <w:iCs/>
        </w:rPr>
        <w:t xml:space="preserve"> collected </w:t>
      </w:r>
      <w:r w:rsidRPr="00A57356">
        <w:rPr>
          <w:iCs/>
        </w:rPr>
        <w:t xml:space="preserve">fees from </w:t>
      </w:r>
      <w:r w:rsidR="00C16F41">
        <w:rPr>
          <w:iCs/>
        </w:rPr>
        <w:t>her</w:t>
      </w:r>
      <w:r w:rsidRPr="00A57356">
        <w:rPr>
          <w:iCs/>
        </w:rPr>
        <w:t xml:space="preserve"> on</w:t>
      </w:r>
      <w:r w:rsidR="00A945D6">
        <w:rPr>
          <w:iCs/>
        </w:rPr>
        <w:t xml:space="preserve"> </w:t>
      </w:r>
      <w:r w:rsidRPr="00A57356">
        <w:rPr>
          <w:iCs/>
        </w:rPr>
        <w:t>May</w:t>
      </w:r>
      <w:r w:rsidR="003C280C">
        <w:rPr>
          <w:iCs/>
        </w:rPr>
        <w:t> </w:t>
      </w:r>
      <w:r w:rsidRPr="00A57356">
        <w:rPr>
          <w:iCs/>
        </w:rPr>
        <w:t>28 and June</w:t>
      </w:r>
      <w:r w:rsidR="003C280C">
        <w:rPr>
          <w:iCs/>
        </w:rPr>
        <w:t> </w:t>
      </w:r>
      <w:r w:rsidRPr="00A57356">
        <w:rPr>
          <w:iCs/>
        </w:rPr>
        <w:t>22,</w:t>
      </w:r>
      <w:r w:rsidR="00B94017">
        <w:rPr>
          <w:iCs/>
        </w:rPr>
        <w:t xml:space="preserve"> </w:t>
      </w:r>
      <w:r w:rsidRPr="00A57356">
        <w:rPr>
          <w:iCs/>
        </w:rPr>
        <w:t>2011</w:t>
      </w:r>
      <w:r w:rsidR="00316111">
        <w:rPr>
          <w:iCs/>
        </w:rPr>
        <w:t xml:space="preserve">, </w:t>
      </w:r>
      <w:r w:rsidR="00797456">
        <w:rPr>
          <w:iCs/>
        </w:rPr>
        <w:t>while he was suspended</w:t>
      </w:r>
      <w:r w:rsidRPr="00A57356">
        <w:rPr>
          <w:iCs/>
        </w:rPr>
        <w:t xml:space="preserve">. </w:t>
      </w:r>
      <w:r w:rsidR="00F11875">
        <w:rPr>
          <w:iCs/>
        </w:rPr>
        <w:t xml:space="preserve"> </w:t>
      </w:r>
    </w:p>
    <w:p w14:paraId="155B4D40" w14:textId="1A755492" w:rsidR="00A57356" w:rsidRPr="00A57356" w:rsidRDefault="00A57356" w:rsidP="003C280C">
      <w:pPr>
        <w:spacing w:line="480" w:lineRule="auto"/>
        <w:ind w:firstLine="720"/>
        <w:rPr>
          <w:iCs/>
        </w:rPr>
      </w:pPr>
      <w:r w:rsidRPr="00A57356">
        <w:rPr>
          <w:iCs/>
        </w:rPr>
        <w:t>On July</w:t>
      </w:r>
      <w:r w:rsidR="003C280C">
        <w:rPr>
          <w:iCs/>
        </w:rPr>
        <w:t> </w:t>
      </w:r>
      <w:r w:rsidRPr="00A57356">
        <w:rPr>
          <w:iCs/>
        </w:rPr>
        <w:t>27,</w:t>
      </w:r>
      <w:r w:rsidR="006A4FFD">
        <w:rPr>
          <w:iCs/>
        </w:rPr>
        <w:t xml:space="preserve"> </w:t>
      </w:r>
      <w:r w:rsidRPr="00A57356">
        <w:rPr>
          <w:iCs/>
        </w:rPr>
        <w:t xml:space="preserve">2011, </w:t>
      </w:r>
      <w:r w:rsidR="00BF58ED">
        <w:rPr>
          <w:iCs/>
        </w:rPr>
        <w:t>Gonzalez</w:t>
      </w:r>
      <w:r w:rsidR="003C1B45">
        <w:rPr>
          <w:iCs/>
        </w:rPr>
        <w:t>’</w:t>
      </w:r>
      <w:r w:rsidRPr="00A57356">
        <w:rPr>
          <w:iCs/>
        </w:rPr>
        <w:t>s suspension ended</w:t>
      </w:r>
      <w:r w:rsidR="00C779E3">
        <w:rPr>
          <w:iCs/>
        </w:rPr>
        <w:t>,</w:t>
      </w:r>
      <w:r w:rsidRPr="00A57356">
        <w:rPr>
          <w:iCs/>
        </w:rPr>
        <w:t xml:space="preserve"> and his status was changed to</w:t>
      </w:r>
      <w:r w:rsidR="003C280C">
        <w:rPr>
          <w:iCs/>
        </w:rPr>
        <w:t xml:space="preserve"> </w:t>
      </w:r>
      <w:r w:rsidRPr="00A57356">
        <w:rPr>
          <w:iCs/>
        </w:rPr>
        <w:t>active.</w:t>
      </w:r>
      <w:r w:rsidR="00F11875">
        <w:rPr>
          <w:iCs/>
        </w:rPr>
        <w:t xml:space="preserve">  </w:t>
      </w:r>
      <w:r w:rsidRPr="00A57356">
        <w:rPr>
          <w:iCs/>
        </w:rPr>
        <w:t xml:space="preserve">Between </w:t>
      </w:r>
      <w:r w:rsidR="00467CB0">
        <w:rPr>
          <w:iCs/>
        </w:rPr>
        <w:t>March 7, 20</w:t>
      </w:r>
      <w:r w:rsidR="000C2159">
        <w:rPr>
          <w:iCs/>
        </w:rPr>
        <w:t>11</w:t>
      </w:r>
      <w:r w:rsidR="00D45ED5">
        <w:rPr>
          <w:iCs/>
        </w:rPr>
        <w:t>,</w:t>
      </w:r>
      <w:r w:rsidRPr="00A57356">
        <w:rPr>
          <w:iCs/>
        </w:rPr>
        <w:t xml:space="preserve"> and January 2012, </w:t>
      </w:r>
      <w:r w:rsidR="00AE2303">
        <w:rPr>
          <w:iCs/>
        </w:rPr>
        <w:t>he</w:t>
      </w:r>
      <w:r w:rsidRPr="00A57356">
        <w:rPr>
          <w:iCs/>
        </w:rPr>
        <w:t xml:space="preserve"> did not perform any services on </w:t>
      </w:r>
      <w:r w:rsidR="00AE2303">
        <w:rPr>
          <w:iCs/>
        </w:rPr>
        <w:t xml:space="preserve">Castillo’s </w:t>
      </w:r>
      <w:r w:rsidRPr="00A57356">
        <w:rPr>
          <w:iCs/>
        </w:rPr>
        <w:t>behalf.</w:t>
      </w:r>
      <w:r w:rsidR="00316111">
        <w:rPr>
          <w:iCs/>
        </w:rPr>
        <w:t xml:space="preserve">  </w:t>
      </w:r>
      <w:r w:rsidRPr="00A57356">
        <w:rPr>
          <w:iCs/>
        </w:rPr>
        <w:t>On January</w:t>
      </w:r>
      <w:r w:rsidR="003C280C">
        <w:rPr>
          <w:iCs/>
        </w:rPr>
        <w:t> </w:t>
      </w:r>
      <w:r w:rsidRPr="00A57356">
        <w:rPr>
          <w:iCs/>
        </w:rPr>
        <w:t>17,</w:t>
      </w:r>
      <w:r w:rsidR="00F11875">
        <w:rPr>
          <w:iCs/>
        </w:rPr>
        <w:t xml:space="preserve"> </w:t>
      </w:r>
      <w:r w:rsidRPr="00A57356">
        <w:rPr>
          <w:iCs/>
        </w:rPr>
        <w:t xml:space="preserve">2012, Castillo terminated </w:t>
      </w:r>
      <w:r w:rsidR="00BF58ED">
        <w:rPr>
          <w:iCs/>
        </w:rPr>
        <w:t>Gonzalez</w:t>
      </w:r>
      <w:r w:rsidR="003C1B45">
        <w:rPr>
          <w:iCs/>
        </w:rPr>
        <w:t>’</w:t>
      </w:r>
      <w:r w:rsidRPr="00A57356">
        <w:rPr>
          <w:iCs/>
        </w:rPr>
        <w:t>s services, and asked for a refund</w:t>
      </w:r>
      <w:r w:rsidR="00316111">
        <w:rPr>
          <w:iCs/>
        </w:rPr>
        <w:t xml:space="preserve"> </w:t>
      </w:r>
      <w:r w:rsidRPr="00A57356">
        <w:rPr>
          <w:iCs/>
        </w:rPr>
        <w:t xml:space="preserve">of unearned fees. </w:t>
      </w:r>
      <w:r w:rsidR="00F11875">
        <w:rPr>
          <w:iCs/>
        </w:rPr>
        <w:t xml:space="preserve"> </w:t>
      </w:r>
      <w:r w:rsidR="00310351">
        <w:rPr>
          <w:iCs/>
        </w:rPr>
        <w:t>On February</w:t>
      </w:r>
      <w:r w:rsidR="003C280C">
        <w:rPr>
          <w:iCs/>
        </w:rPr>
        <w:t> </w:t>
      </w:r>
      <w:r w:rsidR="00310351">
        <w:rPr>
          <w:iCs/>
        </w:rPr>
        <w:t xml:space="preserve">16, </w:t>
      </w:r>
      <w:r w:rsidR="0090631E">
        <w:rPr>
          <w:iCs/>
        </w:rPr>
        <w:t>Gonzalez</w:t>
      </w:r>
      <w:r w:rsidR="00310351">
        <w:rPr>
          <w:iCs/>
        </w:rPr>
        <w:t xml:space="preserve"> sent an email response to Castillo admitting he did not have the funds and ask</w:t>
      </w:r>
      <w:r w:rsidR="00AE2303">
        <w:rPr>
          <w:iCs/>
        </w:rPr>
        <w:t>ing</w:t>
      </w:r>
      <w:r w:rsidR="00310351">
        <w:rPr>
          <w:iCs/>
        </w:rPr>
        <w:t xml:space="preserve"> her to consider using an </w:t>
      </w:r>
      <w:r w:rsidR="003C1B45">
        <w:rPr>
          <w:iCs/>
        </w:rPr>
        <w:t>i</w:t>
      </w:r>
      <w:r w:rsidR="00310351">
        <w:rPr>
          <w:iCs/>
        </w:rPr>
        <w:t xml:space="preserve">mmigration </w:t>
      </w:r>
      <w:r w:rsidR="003C1B45">
        <w:rPr>
          <w:iCs/>
        </w:rPr>
        <w:t>s</w:t>
      </w:r>
      <w:r w:rsidR="00310351">
        <w:rPr>
          <w:iCs/>
        </w:rPr>
        <w:t>pecialist he found who would perform the work for no additional cost.  Ultimately, Gonzalez</w:t>
      </w:r>
      <w:r w:rsidR="00310351" w:rsidRPr="00A57356">
        <w:rPr>
          <w:iCs/>
        </w:rPr>
        <w:t xml:space="preserve"> </w:t>
      </w:r>
      <w:r w:rsidR="00310351">
        <w:rPr>
          <w:iCs/>
        </w:rPr>
        <w:t xml:space="preserve">did not refund </w:t>
      </w:r>
      <w:r w:rsidR="00310351" w:rsidRPr="00A57356">
        <w:rPr>
          <w:iCs/>
        </w:rPr>
        <w:t xml:space="preserve">the fees or </w:t>
      </w:r>
      <w:r w:rsidR="00310351">
        <w:rPr>
          <w:iCs/>
        </w:rPr>
        <w:t xml:space="preserve">provide an </w:t>
      </w:r>
      <w:r w:rsidR="005B10AA">
        <w:rPr>
          <w:iCs/>
        </w:rPr>
        <w:t>accounting</w:t>
      </w:r>
      <w:r w:rsidR="00310351" w:rsidRPr="00A57356">
        <w:rPr>
          <w:iCs/>
        </w:rPr>
        <w:t>.</w:t>
      </w:r>
      <w:r w:rsidR="00310351">
        <w:rPr>
          <w:iCs/>
        </w:rPr>
        <w:t xml:space="preserve">  </w:t>
      </w:r>
      <w:r w:rsidR="005B10AA">
        <w:rPr>
          <w:iCs/>
        </w:rPr>
        <w:t xml:space="preserve">Castillo filed a State Bar </w:t>
      </w:r>
      <w:r w:rsidR="000C2159">
        <w:rPr>
          <w:iCs/>
        </w:rPr>
        <w:t>c</w:t>
      </w:r>
      <w:r w:rsidR="005B10AA">
        <w:rPr>
          <w:iCs/>
        </w:rPr>
        <w:t>omplaint on March</w:t>
      </w:r>
      <w:r w:rsidR="003C280C">
        <w:rPr>
          <w:iCs/>
        </w:rPr>
        <w:t> </w:t>
      </w:r>
      <w:r w:rsidR="005B10AA">
        <w:rPr>
          <w:iCs/>
        </w:rPr>
        <w:t xml:space="preserve">21, 2012. </w:t>
      </w:r>
    </w:p>
    <w:p w14:paraId="3BE67406" w14:textId="0273F836" w:rsidR="00A57356" w:rsidRPr="00A57356" w:rsidRDefault="00334331" w:rsidP="00F65CD5">
      <w:pPr>
        <w:spacing w:line="480" w:lineRule="auto"/>
        <w:ind w:firstLine="720"/>
        <w:rPr>
          <w:iCs/>
        </w:rPr>
      </w:pPr>
      <w:r>
        <w:rPr>
          <w:iCs/>
        </w:rPr>
        <w:t>Gonzalez</w:t>
      </w:r>
      <w:r w:rsidRPr="00A57356">
        <w:rPr>
          <w:iCs/>
        </w:rPr>
        <w:t xml:space="preserve"> </w:t>
      </w:r>
      <w:r w:rsidR="00F109C2">
        <w:rPr>
          <w:iCs/>
        </w:rPr>
        <w:t>committed four</w:t>
      </w:r>
      <w:r>
        <w:rPr>
          <w:iCs/>
        </w:rPr>
        <w:t xml:space="preserve"> ethical violations:</w:t>
      </w:r>
      <w:r w:rsidR="00451901">
        <w:rPr>
          <w:iCs/>
        </w:rPr>
        <w:t xml:space="preserve"> </w:t>
      </w:r>
      <w:r w:rsidR="00872CB7">
        <w:rPr>
          <w:iCs/>
        </w:rPr>
        <w:t>(1)</w:t>
      </w:r>
      <w:r w:rsidR="003C280C">
        <w:rPr>
          <w:iCs/>
        </w:rPr>
        <w:t> h</w:t>
      </w:r>
      <w:r>
        <w:rPr>
          <w:iCs/>
        </w:rPr>
        <w:t>e</w:t>
      </w:r>
      <w:r w:rsidR="003B25E5">
        <w:rPr>
          <w:iCs/>
        </w:rPr>
        <w:t xml:space="preserve"> </w:t>
      </w:r>
      <w:r w:rsidR="003B25E5" w:rsidRPr="00A57356">
        <w:rPr>
          <w:iCs/>
        </w:rPr>
        <w:t xml:space="preserve">committed an act involving moral turpitude, </w:t>
      </w:r>
      <w:r w:rsidR="0090631E">
        <w:rPr>
          <w:iCs/>
        </w:rPr>
        <w:t xml:space="preserve">dishonesty, or corruption, </w:t>
      </w:r>
      <w:r w:rsidR="003B25E5" w:rsidRPr="00A57356">
        <w:rPr>
          <w:iCs/>
        </w:rPr>
        <w:t>in willful violation of section</w:t>
      </w:r>
      <w:r w:rsidR="003C280C">
        <w:rPr>
          <w:iCs/>
        </w:rPr>
        <w:t> </w:t>
      </w:r>
      <w:r w:rsidR="003B25E5" w:rsidRPr="00A57356">
        <w:rPr>
          <w:iCs/>
        </w:rPr>
        <w:t>6106</w:t>
      </w:r>
      <w:r w:rsidR="003B25E5">
        <w:rPr>
          <w:iCs/>
        </w:rPr>
        <w:t xml:space="preserve">, </w:t>
      </w:r>
      <w:r w:rsidR="00F65CD5">
        <w:rPr>
          <w:iCs/>
        </w:rPr>
        <w:t xml:space="preserve">by </w:t>
      </w:r>
      <w:r w:rsidR="00487501">
        <w:rPr>
          <w:iCs/>
        </w:rPr>
        <w:t>receiving</w:t>
      </w:r>
      <w:r w:rsidR="00A57356" w:rsidRPr="00A57356">
        <w:rPr>
          <w:iCs/>
        </w:rPr>
        <w:t xml:space="preserve"> fees from Castillo during </w:t>
      </w:r>
      <w:r w:rsidR="003B25E5">
        <w:rPr>
          <w:iCs/>
        </w:rPr>
        <w:t>his</w:t>
      </w:r>
      <w:r w:rsidR="00F65CD5">
        <w:rPr>
          <w:iCs/>
        </w:rPr>
        <w:t xml:space="preserve"> </w:t>
      </w:r>
      <w:r w:rsidR="00A57356" w:rsidRPr="00A57356">
        <w:rPr>
          <w:iCs/>
        </w:rPr>
        <w:t xml:space="preserve">suspension when </w:t>
      </w:r>
      <w:r w:rsidR="003B25E5">
        <w:rPr>
          <w:iCs/>
        </w:rPr>
        <w:t>he</w:t>
      </w:r>
      <w:r w:rsidR="00A57356" w:rsidRPr="00A57356">
        <w:rPr>
          <w:iCs/>
        </w:rPr>
        <w:t xml:space="preserve"> knew</w:t>
      </w:r>
      <w:r w:rsidR="00487501">
        <w:rPr>
          <w:iCs/>
        </w:rPr>
        <w:t>,</w:t>
      </w:r>
      <w:r w:rsidR="00A57356" w:rsidRPr="00A57356">
        <w:rPr>
          <w:iCs/>
        </w:rPr>
        <w:t xml:space="preserve"> or was grossly negligent in not knowing</w:t>
      </w:r>
      <w:r w:rsidR="003C1B45">
        <w:rPr>
          <w:iCs/>
        </w:rPr>
        <w:t>,</w:t>
      </w:r>
      <w:r w:rsidR="00A57356" w:rsidRPr="00A57356">
        <w:rPr>
          <w:iCs/>
        </w:rPr>
        <w:t xml:space="preserve"> that </w:t>
      </w:r>
      <w:r w:rsidR="00487501">
        <w:rPr>
          <w:iCs/>
        </w:rPr>
        <w:t>she</w:t>
      </w:r>
      <w:r w:rsidR="00A57356" w:rsidRPr="00A57356">
        <w:rPr>
          <w:iCs/>
        </w:rPr>
        <w:t xml:space="preserve"> paid</w:t>
      </w:r>
      <w:r w:rsidR="00F65CD5">
        <w:rPr>
          <w:iCs/>
        </w:rPr>
        <w:t xml:space="preserve"> </w:t>
      </w:r>
      <w:r w:rsidR="00A57356" w:rsidRPr="00A57356">
        <w:rPr>
          <w:iCs/>
        </w:rPr>
        <w:t xml:space="preserve">the fees reasonably believing that </w:t>
      </w:r>
      <w:r w:rsidR="003B25E5">
        <w:rPr>
          <w:iCs/>
        </w:rPr>
        <w:t>he</w:t>
      </w:r>
      <w:r w:rsidR="00A57356" w:rsidRPr="00A57356">
        <w:rPr>
          <w:iCs/>
        </w:rPr>
        <w:t xml:space="preserve"> was entitled to practice law</w:t>
      </w:r>
      <w:r w:rsidR="003C280C">
        <w:rPr>
          <w:iCs/>
        </w:rPr>
        <w:t xml:space="preserve"> (count s</w:t>
      </w:r>
      <w:r w:rsidR="003B25E5">
        <w:rPr>
          <w:iCs/>
        </w:rPr>
        <w:t>even)</w:t>
      </w:r>
      <w:r w:rsidR="00F109C2">
        <w:rPr>
          <w:iCs/>
        </w:rPr>
        <w:t>;</w:t>
      </w:r>
      <w:r w:rsidR="00451901">
        <w:rPr>
          <w:iCs/>
        </w:rPr>
        <w:t xml:space="preserve"> </w:t>
      </w:r>
      <w:r w:rsidR="00872CB7">
        <w:rPr>
          <w:iCs/>
        </w:rPr>
        <w:t>(2)</w:t>
      </w:r>
      <w:r w:rsidR="003C280C">
        <w:rPr>
          <w:iCs/>
        </w:rPr>
        <w:t> </w:t>
      </w:r>
      <w:r w:rsidR="00F5529C">
        <w:rPr>
          <w:iCs/>
        </w:rPr>
        <w:t>he</w:t>
      </w:r>
      <w:r w:rsidR="003B25E5" w:rsidRPr="00A57356">
        <w:rPr>
          <w:iCs/>
        </w:rPr>
        <w:t xml:space="preserve"> willfully violated rule</w:t>
      </w:r>
      <w:r w:rsidR="003C280C">
        <w:rPr>
          <w:iCs/>
        </w:rPr>
        <w:t> </w:t>
      </w:r>
      <w:r w:rsidR="003B25E5">
        <w:rPr>
          <w:iCs/>
        </w:rPr>
        <w:t>3-110</w:t>
      </w:r>
      <w:r w:rsidR="003B25E5" w:rsidRPr="00A57356">
        <w:rPr>
          <w:iCs/>
        </w:rPr>
        <w:t xml:space="preserve">(A) </w:t>
      </w:r>
      <w:r w:rsidR="003B25E5">
        <w:rPr>
          <w:iCs/>
        </w:rPr>
        <w:t xml:space="preserve">by </w:t>
      </w:r>
      <w:r w:rsidR="0042692F" w:rsidRPr="0042692F">
        <w:rPr>
          <w:iCs/>
        </w:rPr>
        <w:t>failing to perform any services he</w:t>
      </w:r>
      <w:r w:rsidR="0042692F">
        <w:rPr>
          <w:iCs/>
        </w:rPr>
        <w:t xml:space="preserve"> </w:t>
      </w:r>
      <w:r w:rsidR="0042692F" w:rsidRPr="0042692F">
        <w:rPr>
          <w:iCs/>
        </w:rPr>
        <w:t>had agreed to p</w:t>
      </w:r>
      <w:r w:rsidR="00487501">
        <w:rPr>
          <w:iCs/>
        </w:rPr>
        <w:t>rovide</w:t>
      </w:r>
      <w:r w:rsidR="0042692F" w:rsidRPr="0042692F">
        <w:rPr>
          <w:iCs/>
        </w:rPr>
        <w:t xml:space="preserve"> Castillo</w:t>
      </w:r>
      <w:r w:rsidR="003B25E5">
        <w:rPr>
          <w:iCs/>
        </w:rPr>
        <w:t xml:space="preserve"> (</w:t>
      </w:r>
      <w:r w:rsidR="003C280C">
        <w:rPr>
          <w:iCs/>
        </w:rPr>
        <w:t>c</w:t>
      </w:r>
      <w:r w:rsidR="003B25E5">
        <w:rPr>
          <w:iCs/>
        </w:rPr>
        <w:t xml:space="preserve">ount </w:t>
      </w:r>
      <w:r w:rsidR="003C280C">
        <w:rPr>
          <w:iCs/>
        </w:rPr>
        <w:t>e</w:t>
      </w:r>
      <w:r w:rsidR="00F109C2">
        <w:rPr>
          <w:iCs/>
        </w:rPr>
        <w:t>ight)</w:t>
      </w:r>
      <w:r w:rsidR="00451901">
        <w:rPr>
          <w:iCs/>
        </w:rPr>
        <w:t xml:space="preserve">; </w:t>
      </w:r>
      <w:r w:rsidR="00872CB7">
        <w:rPr>
          <w:iCs/>
        </w:rPr>
        <w:t>(3)</w:t>
      </w:r>
      <w:r w:rsidR="003C280C">
        <w:rPr>
          <w:iCs/>
        </w:rPr>
        <w:t> </w:t>
      </w:r>
      <w:r w:rsidR="00F5529C">
        <w:rPr>
          <w:iCs/>
        </w:rPr>
        <w:t>he</w:t>
      </w:r>
      <w:r w:rsidR="003B25E5">
        <w:rPr>
          <w:iCs/>
        </w:rPr>
        <w:t xml:space="preserve"> willfully violated </w:t>
      </w:r>
      <w:r w:rsidR="003B25E5" w:rsidRPr="00A57356">
        <w:rPr>
          <w:iCs/>
        </w:rPr>
        <w:t>rule</w:t>
      </w:r>
      <w:r w:rsidR="003C280C">
        <w:rPr>
          <w:iCs/>
        </w:rPr>
        <w:t> </w:t>
      </w:r>
      <w:r w:rsidR="003B25E5" w:rsidRPr="00A57356">
        <w:rPr>
          <w:iCs/>
        </w:rPr>
        <w:t>4-100(B</w:t>
      </w:r>
      <w:r w:rsidR="003B25E5">
        <w:rPr>
          <w:iCs/>
        </w:rPr>
        <w:t>)(</w:t>
      </w:r>
      <w:r w:rsidR="003B25E5" w:rsidRPr="00A57356">
        <w:rPr>
          <w:iCs/>
        </w:rPr>
        <w:t>3)</w:t>
      </w:r>
      <w:r w:rsidR="003B25E5">
        <w:rPr>
          <w:iCs/>
        </w:rPr>
        <w:t xml:space="preserve"> by failing to render appropriate accountings to Castillo (</w:t>
      </w:r>
      <w:r w:rsidR="003C280C">
        <w:rPr>
          <w:iCs/>
        </w:rPr>
        <w:t>c</w:t>
      </w:r>
      <w:r w:rsidR="003B25E5">
        <w:rPr>
          <w:iCs/>
        </w:rPr>
        <w:t>ount</w:t>
      </w:r>
      <w:r w:rsidR="003C280C">
        <w:rPr>
          <w:iCs/>
        </w:rPr>
        <w:t> 10</w:t>
      </w:r>
      <w:r w:rsidR="003B25E5">
        <w:rPr>
          <w:iCs/>
        </w:rPr>
        <w:t>)</w:t>
      </w:r>
      <w:r w:rsidR="00F109C2">
        <w:rPr>
          <w:iCs/>
        </w:rPr>
        <w:t>; and (4)</w:t>
      </w:r>
      <w:r w:rsidR="003C280C">
        <w:rPr>
          <w:iCs/>
        </w:rPr>
        <w:t> </w:t>
      </w:r>
      <w:r w:rsidR="00F5529C">
        <w:rPr>
          <w:iCs/>
        </w:rPr>
        <w:t>he</w:t>
      </w:r>
      <w:r w:rsidR="003B25E5" w:rsidRPr="003B25E5">
        <w:rPr>
          <w:iCs/>
        </w:rPr>
        <w:t xml:space="preserve"> </w:t>
      </w:r>
      <w:r w:rsidR="003B25E5" w:rsidRPr="00A57356">
        <w:rPr>
          <w:iCs/>
        </w:rPr>
        <w:t>willful</w:t>
      </w:r>
      <w:r w:rsidR="0024671D">
        <w:rPr>
          <w:iCs/>
        </w:rPr>
        <w:t>ly</w:t>
      </w:r>
      <w:r w:rsidR="003B25E5" w:rsidRPr="00A57356">
        <w:rPr>
          <w:iCs/>
        </w:rPr>
        <w:t xml:space="preserve"> violat</w:t>
      </w:r>
      <w:r w:rsidR="0024671D">
        <w:rPr>
          <w:iCs/>
        </w:rPr>
        <w:t>ed</w:t>
      </w:r>
      <w:r w:rsidR="003B25E5" w:rsidRPr="00A57356">
        <w:rPr>
          <w:iCs/>
        </w:rPr>
        <w:t xml:space="preserve"> rule</w:t>
      </w:r>
      <w:r w:rsidR="003C280C">
        <w:rPr>
          <w:iCs/>
        </w:rPr>
        <w:t> </w:t>
      </w:r>
      <w:r w:rsidR="003B25E5" w:rsidRPr="00A57356">
        <w:rPr>
          <w:iCs/>
        </w:rPr>
        <w:t>3-700(D</w:t>
      </w:r>
      <w:r w:rsidR="003B25E5">
        <w:rPr>
          <w:iCs/>
        </w:rPr>
        <w:t>)(</w:t>
      </w:r>
      <w:r w:rsidR="003B25E5" w:rsidRPr="00A57356">
        <w:rPr>
          <w:iCs/>
        </w:rPr>
        <w:t>2)</w:t>
      </w:r>
      <w:r w:rsidR="0024671D">
        <w:rPr>
          <w:iCs/>
        </w:rPr>
        <w:t xml:space="preserve"> </w:t>
      </w:r>
      <w:r w:rsidR="003B25E5">
        <w:rPr>
          <w:iCs/>
        </w:rPr>
        <w:t xml:space="preserve">by failing to </w:t>
      </w:r>
      <w:r w:rsidR="00A57356" w:rsidRPr="00A57356">
        <w:rPr>
          <w:iCs/>
        </w:rPr>
        <w:t>refund any of the unearned $6,000 attorney fees</w:t>
      </w:r>
      <w:r w:rsidR="003B25E5">
        <w:rPr>
          <w:iCs/>
        </w:rPr>
        <w:t xml:space="preserve"> (</w:t>
      </w:r>
      <w:r w:rsidR="003C280C">
        <w:rPr>
          <w:iCs/>
        </w:rPr>
        <w:t>c</w:t>
      </w:r>
      <w:r w:rsidR="003B25E5">
        <w:rPr>
          <w:iCs/>
        </w:rPr>
        <w:t>ount</w:t>
      </w:r>
      <w:r w:rsidR="003C280C">
        <w:rPr>
          <w:iCs/>
        </w:rPr>
        <w:t> 11</w:t>
      </w:r>
      <w:r w:rsidR="003B25E5">
        <w:rPr>
          <w:iCs/>
        </w:rPr>
        <w:t>).</w:t>
      </w:r>
    </w:p>
    <w:p w14:paraId="12FDCDB1" w14:textId="52FB66FC" w:rsidR="00A57356" w:rsidRPr="00F11875" w:rsidRDefault="006F50E7" w:rsidP="00A57356">
      <w:pPr>
        <w:spacing w:line="480" w:lineRule="auto"/>
        <w:rPr>
          <w:b/>
          <w:bCs/>
          <w:iCs/>
        </w:rPr>
      </w:pPr>
      <w:r>
        <w:rPr>
          <w:b/>
          <w:bCs/>
          <w:iCs/>
        </w:rPr>
        <w:tab/>
        <w:t>3.  The Garcia Matter (</w:t>
      </w:r>
      <w:r w:rsidR="00A57356" w:rsidRPr="00F11875">
        <w:rPr>
          <w:b/>
          <w:bCs/>
          <w:iCs/>
        </w:rPr>
        <w:t>Case No. 12-</w:t>
      </w:r>
      <w:r w:rsidR="00734046">
        <w:rPr>
          <w:b/>
          <w:bCs/>
          <w:iCs/>
        </w:rPr>
        <w:t>O</w:t>
      </w:r>
      <w:r w:rsidR="00A57356" w:rsidRPr="00F11875">
        <w:rPr>
          <w:b/>
          <w:bCs/>
          <w:iCs/>
        </w:rPr>
        <w:t>-12759</w:t>
      </w:r>
      <w:r>
        <w:rPr>
          <w:b/>
          <w:bCs/>
          <w:iCs/>
        </w:rPr>
        <w:t xml:space="preserve">) [Counts </w:t>
      </w:r>
      <w:r w:rsidR="00FA58CE">
        <w:rPr>
          <w:b/>
          <w:bCs/>
          <w:iCs/>
        </w:rPr>
        <w:t>13</w:t>
      </w:r>
      <w:r>
        <w:rPr>
          <w:b/>
          <w:bCs/>
          <w:iCs/>
        </w:rPr>
        <w:t xml:space="preserve"> and </w:t>
      </w:r>
      <w:r w:rsidR="00FA58CE">
        <w:rPr>
          <w:b/>
          <w:bCs/>
          <w:iCs/>
        </w:rPr>
        <w:t>14</w:t>
      </w:r>
      <w:r>
        <w:rPr>
          <w:b/>
          <w:bCs/>
          <w:iCs/>
        </w:rPr>
        <w:t>]</w:t>
      </w:r>
    </w:p>
    <w:p w14:paraId="5CE0F9C5" w14:textId="694D1AFB" w:rsidR="00A57356" w:rsidRPr="00A57356" w:rsidRDefault="00A57356" w:rsidP="00D47273">
      <w:pPr>
        <w:spacing w:line="480" w:lineRule="auto"/>
        <w:ind w:firstLine="720"/>
        <w:rPr>
          <w:iCs/>
        </w:rPr>
      </w:pPr>
      <w:r w:rsidRPr="00A57356">
        <w:rPr>
          <w:iCs/>
        </w:rPr>
        <w:t>On January</w:t>
      </w:r>
      <w:r w:rsidR="00275ADB">
        <w:rPr>
          <w:iCs/>
        </w:rPr>
        <w:t> </w:t>
      </w:r>
      <w:r w:rsidRPr="00A57356">
        <w:rPr>
          <w:iCs/>
        </w:rPr>
        <w:t>16,</w:t>
      </w:r>
      <w:r w:rsidR="00F11875">
        <w:rPr>
          <w:iCs/>
        </w:rPr>
        <w:t xml:space="preserve"> </w:t>
      </w:r>
      <w:r w:rsidRPr="00A57356">
        <w:rPr>
          <w:iCs/>
        </w:rPr>
        <w:t>2012, Robert Garcia</w:t>
      </w:r>
      <w:r w:rsidR="006F50E7">
        <w:rPr>
          <w:iCs/>
        </w:rPr>
        <w:t xml:space="preserve"> </w:t>
      </w:r>
      <w:r w:rsidRPr="00A57356">
        <w:rPr>
          <w:iCs/>
        </w:rPr>
        <w:t xml:space="preserve">consulted with </w:t>
      </w:r>
      <w:r w:rsidR="00BF58ED">
        <w:rPr>
          <w:iCs/>
        </w:rPr>
        <w:t>Gonzalez</w:t>
      </w:r>
      <w:r w:rsidRPr="00A57356">
        <w:rPr>
          <w:iCs/>
        </w:rPr>
        <w:t xml:space="preserve"> about</w:t>
      </w:r>
      <w:r w:rsidR="00D47273">
        <w:rPr>
          <w:iCs/>
        </w:rPr>
        <w:t xml:space="preserve"> </w:t>
      </w:r>
      <w:r w:rsidR="006F50E7">
        <w:rPr>
          <w:iCs/>
        </w:rPr>
        <w:t>his</w:t>
      </w:r>
      <w:r w:rsidRPr="00A57356">
        <w:rPr>
          <w:iCs/>
        </w:rPr>
        <w:t xml:space="preserve"> incarcerated son, Michael Garcia.</w:t>
      </w:r>
      <w:r w:rsidR="00D47273">
        <w:rPr>
          <w:rStyle w:val="FootnoteReference"/>
          <w:iCs/>
        </w:rPr>
        <w:footnoteReference w:id="7"/>
      </w:r>
      <w:r w:rsidRPr="00A57356">
        <w:rPr>
          <w:iCs/>
        </w:rPr>
        <w:t xml:space="preserve"> </w:t>
      </w:r>
      <w:r w:rsidR="00734046">
        <w:rPr>
          <w:iCs/>
        </w:rPr>
        <w:t xml:space="preserve"> Michael</w:t>
      </w:r>
      <w:r w:rsidRPr="00A57356">
        <w:rPr>
          <w:iCs/>
        </w:rPr>
        <w:t xml:space="preserve"> was represented by a public</w:t>
      </w:r>
      <w:r w:rsidR="00D47273">
        <w:rPr>
          <w:iCs/>
        </w:rPr>
        <w:t xml:space="preserve"> </w:t>
      </w:r>
      <w:r w:rsidRPr="00A57356">
        <w:rPr>
          <w:iCs/>
        </w:rPr>
        <w:t>defender, had entered a plea</w:t>
      </w:r>
      <w:r w:rsidR="00640A0F">
        <w:rPr>
          <w:iCs/>
        </w:rPr>
        <w:t>,</w:t>
      </w:r>
      <w:r w:rsidRPr="00A57356">
        <w:rPr>
          <w:iCs/>
        </w:rPr>
        <w:t xml:space="preserve"> and was awaiting sentencing.</w:t>
      </w:r>
      <w:r w:rsidR="005453E8">
        <w:rPr>
          <w:rStyle w:val="FootnoteReference"/>
          <w:iCs/>
        </w:rPr>
        <w:footnoteReference w:id="8"/>
      </w:r>
      <w:r w:rsidRPr="00A57356">
        <w:rPr>
          <w:iCs/>
        </w:rPr>
        <w:t xml:space="preserve"> </w:t>
      </w:r>
      <w:r w:rsidR="00734046">
        <w:rPr>
          <w:iCs/>
        </w:rPr>
        <w:t xml:space="preserve"> </w:t>
      </w:r>
      <w:r w:rsidRPr="00A57356">
        <w:rPr>
          <w:iCs/>
        </w:rPr>
        <w:t>On</w:t>
      </w:r>
      <w:r w:rsidR="00866B2E">
        <w:rPr>
          <w:iCs/>
        </w:rPr>
        <w:t xml:space="preserve"> </w:t>
      </w:r>
      <w:r w:rsidRPr="00A57356">
        <w:rPr>
          <w:iCs/>
        </w:rPr>
        <w:t>January</w:t>
      </w:r>
      <w:r w:rsidR="00275ADB">
        <w:rPr>
          <w:iCs/>
        </w:rPr>
        <w:t> </w:t>
      </w:r>
      <w:r w:rsidRPr="00A57356">
        <w:rPr>
          <w:iCs/>
        </w:rPr>
        <w:t>30,</w:t>
      </w:r>
      <w:r w:rsidR="000C7212">
        <w:rPr>
          <w:iCs/>
        </w:rPr>
        <w:t xml:space="preserve"> </w:t>
      </w:r>
      <w:r w:rsidRPr="00A57356">
        <w:rPr>
          <w:iCs/>
        </w:rPr>
        <w:t xml:space="preserve">the day of </w:t>
      </w:r>
      <w:r w:rsidR="00734046">
        <w:rPr>
          <w:iCs/>
        </w:rPr>
        <w:t>Michael’s</w:t>
      </w:r>
      <w:r w:rsidRPr="00A57356">
        <w:rPr>
          <w:iCs/>
        </w:rPr>
        <w:t xml:space="preserve"> sentencing hearing, Robert </w:t>
      </w:r>
      <w:r w:rsidR="00640A0F">
        <w:rPr>
          <w:iCs/>
        </w:rPr>
        <w:t>hired Gonzalez</w:t>
      </w:r>
      <w:r w:rsidRPr="00A57356">
        <w:rPr>
          <w:iCs/>
        </w:rPr>
        <w:t xml:space="preserve"> and paid </w:t>
      </w:r>
      <w:r w:rsidR="00640A0F">
        <w:rPr>
          <w:iCs/>
        </w:rPr>
        <w:t>him</w:t>
      </w:r>
      <w:r w:rsidR="00866B2E">
        <w:rPr>
          <w:iCs/>
        </w:rPr>
        <w:t xml:space="preserve"> </w:t>
      </w:r>
      <w:r w:rsidRPr="00A57356">
        <w:rPr>
          <w:iCs/>
        </w:rPr>
        <w:t xml:space="preserve">$2,000 in legal fees to represent </w:t>
      </w:r>
      <w:r w:rsidR="00734046">
        <w:rPr>
          <w:iCs/>
        </w:rPr>
        <w:t>Michael</w:t>
      </w:r>
      <w:r w:rsidRPr="00A57356">
        <w:rPr>
          <w:iCs/>
        </w:rPr>
        <w:t>.</w:t>
      </w:r>
      <w:r w:rsidR="00D47273">
        <w:rPr>
          <w:iCs/>
        </w:rPr>
        <w:t xml:space="preserve">  </w:t>
      </w:r>
      <w:r w:rsidR="00BF58ED">
        <w:rPr>
          <w:iCs/>
        </w:rPr>
        <w:t>Gonzalez</w:t>
      </w:r>
      <w:r w:rsidRPr="00A57356">
        <w:rPr>
          <w:iCs/>
        </w:rPr>
        <w:t xml:space="preserve"> appeared at </w:t>
      </w:r>
      <w:r w:rsidR="001F7DDD">
        <w:rPr>
          <w:iCs/>
        </w:rPr>
        <w:t xml:space="preserve">the </w:t>
      </w:r>
      <w:r w:rsidRPr="00A57356">
        <w:rPr>
          <w:iCs/>
        </w:rPr>
        <w:lastRenderedPageBreak/>
        <w:t>hearing</w:t>
      </w:r>
      <w:r w:rsidRPr="00A57356">
        <w:rPr>
          <w:rFonts w:ascii="Arial" w:hAnsi="Arial" w:cs="Arial"/>
          <w:sz w:val="20"/>
          <w:szCs w:val="20"/>
        </w:rPr>
        <w:t xml:space="preserve"> </w:t>
      </w:r>
      <w:r w:rsidR="004B46FD">
        <w:rPr>
          <w:iCs/>
        </w:rPr>
        <w:t xml:space="preserve">and informed </w:t>
      </w:r>
      <w:r w:rsidRPr="00A57356">
        <w:rPr>
          <w:iCs/>
        </w:rPr>
        <w:t>t</w:t>
      </w:r>
      <w:r w:rsidR="005B10AA">
        <w:rPr>
          <w:iCs/>
        </w:rPr>
        <w:t xml:space="preserve">he court that he </w:t>
      </w:r>
      <w:r w:rsidRPr="00A57356">
        <w:rPr>
          <w:iCs/>
        </w:rPr>
        <w:t xml:space="preserve">was </w:t>
      </w:r>
      <w:r w:rsidR="00734046" w:rsidRPr="00A57356">
        <w:rPr>
          <w:iCs/>
        </w:rPr>
        <w:t>substituting</w:t>
      </w:r>
      <w:r w:rsidRPr="00A57356">
        <w:rPr>
          <w:iCs/>
        </w:rPr>
        <w:t xml:space="preserve"> in as </w:t>
      </w:r>
      <w:r w:rsidR="00734046">
        <w:rPr>
          <w:iCs/>
        </w:rPr>
        <w:t>Michael’s</w:t>
      </w:r>
      <w:r w:rsidRPr="00A57356">
        <w:rPr>
          <w:iCs/>
        </w:rPr>
        <w:t xml:space="preserve"> attorney.</w:t>
      </w:r>
      <w:r w:rsidR="00734046">
        <w:rPr>
          <w:iCs/>
        </w:rPr>
        <w:t xml:space="preserve"> </w:t>
      </w:r>
      <w:r w:rsidRPr="00A57356">
        <w:rPr>
          <w:iCs/>
        </w:rPr>
        <w:t xml:space="preserve"> </w:t>
      </w:r>
      <w:r w:rsidR="00BF58ED">
        <w:rPr>
          <w:iCs/>
        </w:rPr>
        <w:t>Gonzalez</w:t>
      </w:r>
      <w:r w:rsidRPr="00A57356">
        <w:rPr>
          <w:iCs/>
        </w:rPr>
        <w:t xml:space="preserve"> requested a</w:t>
      </w:r>
      <w:r w:rsidR="00D47273">
        <w:rPr>
          <w:iCs/>
        </w:rPr>
        <w:t xml:space="preserve"> continuance, which was granted until</w:t>
      </w:r>
      <w:r w:rsidRPr="00A57356">
        <w:rPr>
          <w:iCs/>
        </w:rPr>
        <w:t xml:space="preserve"> February</w:t>
      </w:r>
      <w:r w:rsidR="00275ADB">
        <w:rPr>
          <w:iCs/>
        </w:rPr>
        <w:t> </w:t>
      </w:r>
      <w:r w:rsidRPr="00A57356">
        <w:rPr>
          <w:iCs/>
        </w:rPr>
        <w:t>16,</w:t>
      </w:r>
      <w:r w:rsidR="00734046">
        <w:rPr>
          <w:iCs/>
        </w:rPr>
        <w:t xml:space="preserve"> </w:t>
      </w:r>
      <w:r w:rsidRPr="00A57356">
        <w:rPr>
          <w:iCs/>
        </w:rPr>
        <w:t>2012.</w:t>
      </w:r>
    </w:p>
    <w:p w14:paraId="7CFD4C2A" w14:textId="12EFCE90" w:rsidR="00A57356" w:rsidRPr="00A57356" w:rsidRDefault="00A57356" w:rsidP="00346997">
      <w:pPr>
        <w:spacing w:line="480" w:lineRule="auto"/>
        <w:ind w:firstLine="720"/>
        <w:rPr>
          <w:iCs/>
        </w:rPr>
      </w:pPr>
      <w:r w:rsidRPr="00A57356">
        <w:rPr>
          <w:iCs/>
        </w:rPr>
        <w:t>On February</w:t>
      </w:r>
      <w:r w:rsidR="00275ADB">
        <w:rPr>
          <w:iCs/>
        </w:rPr>
        <w:t> </w:t>
      </w:r>
      <w:r w:rsidRPr="00A57356">
        <w:rPr>
          <w:iCs/>
        </w:rPr>
        <w:t>6,</w:t>
      </w:r>
      <w:r w:rsidR="00734046">
        <w:rPr>
          <w:iCs/>
        </w:rPr>
        <w:t xml:space="preserve"> </w:t>
      </w:r>
      <w:r w:rsidR="00970CD8">
        <w:rPr>
          <w:iCs/>
        </w:rPr>
        <w:t xml:space="preserve">2012, </w:t>
      </w:r>
      <w:r w:rsidR="00BF58ED">
        <w:rPr>
          <w:iCs/>
        </w:rPr>
        <w:t>Gonzalez</w:t>
      </w:r>
      <w:r w:rsidR="00EA32D0">
        <w:rPr>
          <w:iCs/>
        </w:rPr>
        <w:t xml:space="preserve"> </w:t>
      </w:r>
      <w:r w:rsidRPr="00A57356">
        <w:rPr>
          <w:iCs/>
        </w:rPr>
        <w:t xml:space="preserve">was </w:t>
      </w:r>
      <w:r w:rsidR="007D0F6C">
        <w:rPr>
          <w:iCs/>
        </w:rPr>
        <w:t>suspended and</w:t>
      </w:r>
      <w:r w:rsidR="00EA32D0">
        <w:rPr>
          <w:iCs/>
        </w:rPr>
        <w:t xml:space="preserve"> </w:t>
      </w:r>
      <w:r w:rsidRPr="00A57356">
        <w:rPr>
          <w:iCs/>
        </w:rPr>
        <w:t xml:space="preserve">not entitled to practice law. </w:t>
      </w:r>
      <w:r w:rsidR="003D64DC">
        <w:rPr>
          <w:iCs/>
        </w:rPr>
        <w:t xml:space="preserve"> </w:t>
      </w:r>
      <w:r w:rsidR="002D12DD">
        <w:rPr>
          <w:iCs/>
        </w:rPr>
        <w:t>He</w:t>
      </w:r>
      <w:r w:rsidRPr="00A57356">
        <w:rPr>
          <w:iCs/>
        </w:rPr>
        <w:t xml:space="preserve"> </w:t>
      </w:r>
      <w:r w:rsidR="00970CD8">
        <w:rPr>
          <w:iCs/>
        </w:rPr>
        <w:t xml:space="preserve">failed to </w:t>
      </w:r>
      <w:r w:rsidRPr="00A57356">
        <w:rPr>
          <w:iCs/>
        </w:rPr>
        <w:t xml:space="preserve">inform Robert </w:t>
      </w:r>
      <w:r w:rsidR="00D47273">
        <w:rPr>
          <w:iCs/>
        </w:rPr>
        <w:t xml:space="preserve">that </w:t>
      </w:r>
      <w:r w:rsidR="00631302">
        <w:rPr>
          <w:iCs/>
        </w:rPr>
        <w:t xml:space="preserve">he </w:t>
      </w:r>
      <w:r w:rsidR="00D47273">
        <w:rPr>
          <w:iCs/>
        </w:rPr>
        <w:t xml:space="preserve">could not </w:t>
      </w:r>
      <w:r w:rsidRPr="00A57356">
        <w:rPr>
          <w:iCs/>
        </w:rPr>
        <w:t xml:space="preserve">represent </w:t>
      </w:r>
      <w:r w:rsidR="00734046">
        <w:rPr>
          <w:iCs/>
        </w:rPr>
        <w:t>Michael</w:t>
      </w:r>
      <w:r w:rsidRPr="00A57356">
        <w:rPr>
          <w:iCs/>
        </w:rPr>
        <w:t xml:space="preserve">. </w:t>
      </w:r>
      <w:r w:rsidR="00EA32D0">
        <w:rPr>
          <w:iCs/>
        </w:rPr>
        <w:t xml:space="preserve"> </w:t>
      </w:r>
      <w:r w:rsidRPr="00A57356">
        <w:rPr>
          <w:iCs/>
        </w:rPr>
        <w:t>Robert discovered</w:t>
      </w:r>
      <w:r w:rsidR="00346997">
        <w:rPr>
          <w:iCs/>
        </w:rPr>
        <w:t xml:space="preserve"> </w:t>
      </w:r>
      <w:r w:rsidR="005936B1">
        <w:rPr>
          <w:iCs/>
        </w:rPr>
        <w:t>Gonzalez’s status on his own</w:t>
      </w:r>
      <w:r w:rsidR="001F7DDD">
        <w:rPr>
          <w:iCs/>
        </w:rPr>
        <w:t xml:space="preserve">, </w:t>
      </w:r>
      <w:r w:rsidR="005936B1">
        <w:rPr>
          <w:iCs/>
        </w:rPr>
        <w:t xml:space="preserve">and on </w:t>
      </w:r>
      <w:r w:rsidRPr="00A57356">
        <w:rPr>
          <w:iCs/>
        </w:rPr>
        <w:t>February</w:t>
      </w:r>
      <w:r w:rsidR="00275ADB">
        <w:rPr>
          <w:iCs/>
        </w:rPr>
        <w:t> </w:t>
      </w:r>
      <w:r w:rsidRPr="00A57356">
        <w:rPr>
          <w:iCs/>
        </w:rPr>
        <w:t>11,</w:t>
      </w:r>
      <w:r w:rsidR="00970CD8">
        <w:rPr>
          <w:iCs/>
        </w:rPr>
        <w:t xml:space="preserve"> </w:t>
      </w:r>
      <w:r w:rsidR="005936B1">
        <w:rPr>
          <w:iCs/>
        </w:rPr>
        <w:t xml:space="preserve">requested an </w:t>
      </w:r>
      <w:r w:rsidRPr="00A57356">
        <w:rPr>
          <w:iCs/>
        </w:rPr>
        <w:t xml:space="preserve">accounting and refund of the advance fees. </w:t>
      </w:r>
      <w:r w:rsidR="00734046">
        <w:rPr>
          <w:iCs/>
        </w:rPr>
        <w:t xml:space="preserve"> </w:t>
      </w:r>
      <w:r w:rsidR="00BF58ED">
        <w:rPr>
          <w:iCs/>
        </w:rPr>
        <w:t>Gonzalez</w:t>
      </w:r>
      <w:r w:rsidRPr="00A57356">
        <w:rPr>
          <w:iCs/>
        </w:rPr>
        <w:t xml:space="preserve"> </w:t>
      </w:r>
      <w:r w:rsidR="00970CD8">
        <w:rPr>
          <w:iCs/>
        </w:rPr>
        <w:t xml:space="preserve">did not </w:t>
      </w:r>
      <w:r w:rsidRPr="00A57356">
        <w:rPr>
          <w:iCs/>
        </w:rPr>
        <w:t xml:space="preserve">provide </w:t>
      </w:r>
      <w:r w:rsidR="00640A0F">
        <w:rPr>
          <w:iCs/>
        </w:rPr>
        <w:t xml:space="preserve">either to </w:t>
      </w:r>
      <w:r w:rsidRPr="00A57356">
        <w:rPr>
          <w:iCs/>
        </w:rPr>
        <w:t>Robert</w:t>
      </w:r>
      <w:r w:rsidR="00970CD8">
        <w:rPr>
          <w:iCs/>
        </w:rPr>
        <w:t xml:space="preserve">, nor did he </w:t>
      </w:r>
      <w:r w:rsidR="003D64DC">
        <w:rPr>
          <w:iCs/>
        </w:rPr>
        <w:t>appear at Michael’s February</w:t>
      </w:r>
      <w:r w:rsidR="00275ADB">
        <w:rPr>
          <w:iCs/>
        </w:rPr>
        <w:t> </w:t>
      </w:r>
      <w:r w:rsidR="003D64DC">
        <w:rPr>
          <w:iCs/>
        </w:rPr>
        <w:t>16</w:t>
      </w:r>
      <w:r w:rsidR="00970CD8">
        <w:rPr>
          <w:iCs/>
        </w:rPr>
        <w:t xml:space="preserve">, 2012 </w:t>
      </w:r>
      <w:r w:rsidR="003D64DC">
        <w:rPr>
          <w:iCs/>
        </w:rPr>
        <w:t xml:space="preserve">hearing.  </w:t>
      </w:r>
    </w:p>
    <w:p w14:paraId="6DD42B9D" w14:textId="3D7437FE" w:rsidR="00F8179C" w:rsidRDefault="00D22AB0" w:rsidP="000D6D91">
      <w:pPr>
        <w:spacing w:line="480" w:lineRule="auto"/>
        <w:rPr>
          <w:iCs/>
        </w:rPr>
      </w:pPr>
      <w:r>
        <w:rPr>
          <w:iCs/>
        </w:rPr>
        <w:tab/>
      </w:r>
      <w:r w:rsidR="00334331">
        <w:rPr>
          <w:iCs/>
        </w:rPr>
        <w:t>Gonzalez</w:t>
      </w:r>
      <w:r w:rsidR="00334331" w:rsidRPr="00A57356">
        <w:rPr>
          <w:iCs/>
        </w:rPr>
        <w:t xml:space="preserve"> </w:t>
      </w:r>
      <w:r w:rsidR="00334331">
        <w:rPr>
          <w:iCs/>
        </w:rPr>
        <w:t>committed two ethical violations:</w:t>
      </w:r>
      <w:r w:rsidR="00F109C2">
        <w:rPr>
          <w:iCs/>
        </w:rPr>
        <w:t xml:space="preserve"> </w:t>
      </w:r>
      <w:r w:rsidR="00872CB7">
        <w:rPr>
          <w:iCs/>
        </w:rPr>
        <w:t>(1)</w:t>
      </w:r>
      <w:r w:rsidR="00275ADB">
        <w:rPr>
          <w:iCs/>
        </w:rPr>
        <w:t> h</w:t>
      </w:r>
      <w:r w:rsidR="00334331">
        <w:rPr>
          <w:iCs/>
        </w:rPr>
        <w:t>e</w:t>
      </w:r>
      <w:r w:rsidR="005936B1">
        <w:rPr>
          <w:iCs/>
        </w:rPr>
        <w:t xml:space="preserve"> willfully violated </w:t>
      </w:r>
      <w:r w:rsidR="005936B1" w:rsidRPr="00A57356">
        <w:rPr>
          <w:iCs/>
        </w:rPr>
        <w:t>rule</w:t>
      </w:r>
      <w:r w:rsidR="00275ADB">
        <w:rPr>
          <w:iCs/>
        </w:rPr>
        <w:t> </w:t>
      </w:r>
      <w:r w:rsidR="005936B1" w:rsidRPr="00A57356">
        <w:rPr>
          <w:iCs/>
        </w:rPr>
        <w:t>4-100(</w:t>
      </w:r>
      <w:r w:rsidR="000C2159">
        <w:rPr>
          <w:iCs/>
        </w:rPr>
        <w:t>B</w:t>
      </w:r>
      <w:r w:rsidR="005936B1" w:rsidRPr="00A57356">
        <w:rPr>
          <w:iCs/>
        </w:rPr>
        <w:t>)(3)</w:t>
      </w:r>
      <w:r w:rsidR="005936B1">
        <w:rPr>
          <w:iCs/>
        </w:rPr>
        <w:t xml:space="preserve"> by f</w:t>
      </w:r>
      <w:r w:rsidR="00640A0F">
        <w:rPr>
          <w:iCs/>
        </w:rPr>
        <w:t>a</w:t>
      </w:r>
      <w:r w:rsidR="005936B1">
        <w:rPr>
          <w:iCs/>
        </w:rPr>
        <w:t xml:space="preserve">iling to </w:t>
      </w:r>
      <w:r w:rsidR="00A57356" w:rsidRPr="00A57356">
        <w:rPr>
          <w:iCs/>
        </w:rPr>
        <w:t xml:space="preserve">provide Robert with an accounting </w:t>
      </w:r>
      <w:r w:rsidR="002254D1">
        <w:rPr>
          <w:iCs/>
        </w:rPr>
        <w:t>for</w:t>
      </w:r>
      <w:r w:rsidR="00A57356" w:rsidRPr="00A57356">
        <w:rPr>
          <w:iCs/>
        </w:rPr>
        <w:t xml:space="preserve"> the $2,000 fee</w:t>
      </w:r>
      <w:r w:rsidR="00275ADB">
        <w:rPr>
          <w:iCs/>
        </w:rPr>
        <w:t xml:space="preserve"> (c</w:t>
      </w:r>
      <w:r w:rsidR="005936B1">
        <w:rPr>
          <w:iCs/>
        </w:rPr>
        <w:t xml:space="preserve">ount </w:t>
      </w:r>
      <w:r w:rsidR="00275ADB">
        <w:rPr>
          <w:iCs/>
        </w:rPr>
        <w:t>13</w:t>
      </w:r>
      <w:r w:rsidR="00883932">
        <w:rPr>
          <w:iCs/>
        </w:rPr>
        <w:t>)</w:t>
      </w:r>
      <w:r w:rsidR="00F109C2">
        <w:rPr>
          <w:iCs/>
        </w:rPr>
        <w:t xml:space="preserve">; and </w:t>
      </w:r>
      <w:r w:rsidR="00872CB7">
        <w:rPr>
          <w:iCs/>
        </w:rPr>
        <w:t>(2)</w:t>
      </w:r>
      <w:r w:rsidR="00275ADB">
        <w:rPr>
          <w:iCs/>
        </w:rPr>
        <w:t> </w:t>
      </w:r>
      <w:r w:rsidR="003D64DC">
        <w:rPr>
          <w:iCs/>
        </w:rPr>
        <w:t>he</w:t>
      </w:r>
      <w:r w:rsidR="005936B1">
        <w:rPr>
          <w:iCs/>
        </w:rPr>
        <w:t xml:space="preserve"> willfully violated </w:t>
      </w:r>
      <w:r w:rsidR="005936B1" w:rsidRPr="00A57356">
        <w:rPr>
          <w:iCs/>
        </w:rPr>
        <w:t>rule</w:t>
      </w:r>
      <w:r w:rsidR="00275ADB">
        <w:rPr>
          <w:iCs/>
        </w:rPr>
        <w:t> </w:t>
      </w:r>
      <w:r w:rsidR="005936B1" w:rsidRPr="00A57356">
        <w:rPr>
          <w:iCs/>
        </w:rPr>
        <w:t>3-700(D</w:t>
      </w:r>
      <w:r w:rsidR="005936B1">
        <w:rPr>
          <w:iCs/>
        </w:rPr>
        <w:t>)(</w:t>
      </w:r>
      <w:r w:rsidR="005936B1" w:rsidRPr="00A57356">
        <w:rPr>
          <w:iCs/>
        </w:rPr>
        <w:t>2)</w:t>
      </w:r>
      <w:r w:rsidR="005936B1">
        <w:rPr>
          <w:iCs/>
        </w:rPr>
        <w:t xml:space="preserve"> by failing to refund </w:t>
      </w:r>
      <w:r w:rsidR="00A57356" w:rsidRPr="00A57356">
        <w:rPr>
          <w:iCs/>
        </w:rPr>
        <w:t xml:space="preserve">the unearned $2,000 </w:t>
      </w:r>
      <w:r w:rsidR="002254D1">
        <w:rPr>
          <w:iCs/>
        </w:rPr>
        <w:t xml:space="preserve">advance </w:t>
      </w:r>
      <w:r w:rsidR="00A57356" w:rsidRPr="00A57356">
        <w:rPr>
          <w:iCs/>
        </w:rPr>
        <w:t>fee</w:t>
      </w:r>
      <w:r w:rsidR="005936B1">
        <w:rPr>
          <w:iCs/>
        </w:rPr>
        <w:t xml:space="preserve"> (</w:t>
      </w:r>
      <w:r w:rsidR="00275ADB">
        <w:rPr>
          <w:iCs/>
        </w:rPr>
        <w:t>c</w:t>
      </w:r>
      <w:r w:rsidR="005936B1">
        <w:rPr>
          <w:iCs/>
        </w:rPr>
        <w:t>ount</w:t>
      </w:r>
      <w:r w:rsidR="00883932">
        <w:rPr>
          <w:iCs/>
        </w:rPr>
        <w:t xml:space="preserve"> </w:t>
      </w:r>
      <w:r w:rsidR="00275ADB">
        <w:rPr>
          <w:iCs/>
        </w:rPr>
        <w:t>14</w:t>
      </w:r>
      <w:r w:rsidR="000D2B5D">
        <w:rPr>
          <w:iCs/>
        </w:rPr>
        <w:t>).</w:t>
      </w:r>
    </w:p>
    <w:p w14:paraId="0DCF20C2" w14:textId="70DE4E67" w:rsidR="00A57356" w:rsidRDefault="00FF261C" w:rsidP="000D6D91">
      <w:pPr>
        <w:spacing w:line="480" w:lineRule="auto"/>
        <w:rPr>
          <w:b/>
          <w:bCs/>
          <w:iCs/>
        </w:rPr>
      </w:pPr>
      <w:r>
        <w:rPr>
          <w:b/>
          <w:bCs/>
          <w:iCs/>
        </w:rPr>
        <w:tab/>
        <w:t xml:space="preserve">4.  </w:t>
      </w:r>
      <w:r w:rsidR="005936B1" w:rsidRPr="00734046">
        <w:rPr>
          <w:b/>
          <w:bCs/>
          <w:iCs/>
        </w:rPr>
        <w:t>The Jordan-Borceguin Matter</w:t>
      </w:r>
      <w:r>
        <w:rPr>
          <w:b/>
          <w:bCs/>
          <w:iCs/>
        </w:rPr>
        <w:t xml:space="preserve"> (Case </w:t>
      </w:r>
      <w:r w:rsidR="00A57356" w:rsidRPr="00734046">
        <w:rPr>
          <w:b/>
          <w:bCs/>
          <w:iCs/>
        </w:rPr>
        <w:t>No. 12-</w:t>
      </w:r>
      <w:r w:rsidR="00970CD8">
        <w:rPr>
          <w:b/>
          <w:bCs/>
          <w:iCs/>
        </w:rPr>
        <w:t>O</w:t>
      </w:r>
      <w:r w:rsidR="00A57356" w:rsidRPr="00734046">
        <w:rPr>
          <w:b/>
          <w:bCs/>
          <w:iCs/>
        </w:rPr>
        <w:t>-12410</w:t>
      </w:r>
      <w:r>
        <w:rPr>
          <w:b/>
          <w:bCs/>
          <w:iCs/>
        </w:rPr>
        <w:t>) [</w:t>
      </w:r>
      <w:r w:rsidR="005936B1">
        <w:rPr>
          <w:b/>
          <w:bCs/>
          <w:iCs/>
        </w:rPr>
        <w:t xml:space="preserve">Counts </w:t>
      </w:r>
      <w:r w:rsidR="00FA58CE">
        <w:rPr>
          <w:b/>
          <w:bCs/>
          <w:iCs/>
        </w:rPr>
        <w:t>15</w:t>
      </w:r>
      <w:r w:rsidR="009C2101">
        <w:rPr>
          <w:b/>
          <w:bCs/>
          <w:iCs/>
        </w:rPr>
        <w:t xml:space="preserve"> through </w:t>
      </w:r>
      <w:r w:rsidR="00FA58CE">
        <w:rPr>
          <w:b/>
          <w:bCs/>
          <w:iCs/>
        </w:rPr>
        <w:t>19</w:t>
      </w:r>
      <w:r>
        <w:rPr>
          <w:b/>
          <w:bCs/>
          <w:iCs/>
        </w:rPr>
        <w:t>]</w:t>
      </w:r>
    </w:p>
    <w:p w14:paraId="0501F04C" w14:textId="355CC25F" w:rsidR="00A57356" w:rsidRPr="00A57356" w:rsidRDefault="00A57356" w:rsidP="000D6D91">
      <w:pPr>
        <w:spacing w:line="480" w:lineRule="auto"/>
        <w:ind w:firstLine="720"/>
        <w:rPr>
          <w:iCs/>
        </w:rPr>
      </w:pPr>
      <w:r w:rsidRPr="00A57356">
        <w:rPr>
          <w:iCs/>
        </w:rPr>
        <w:t>On September</w:t>
      </w:r>
      <w:r w:rsidR="00275ADB">
        <w:rPr>
          <w:iCs/>
        </w:rPr>
        <w:t> </w:t>
      </w:r>
      <w:r w:rsidRPr="00A57356">
        <w:rPr>
          <w:iCs/>
        </w:rPr>
        <w:t>27,</w:t>
      </w:r>
      <w:r w:rsidR="00F8395A">
        <w:rPr>
          <w:iCs/>
        </w:rPr>
        <w:t xml:space="preserve"> </w:t>
      </w:r>
      <w:r w:rsidRPr="00A57356">
        <w:rPr>
          <w:iCs/>
        </w:rPr>
        <w:t>20</w:t>
      </w:r>
      <w:r w:rsidR="00F8395A">
        <w:rPr>
          <w:iCs/>
        </w:rPr>
        <w:t>1</w:t>
      </w:r>
      <w:r w:rsidRPr="00A57356">
        <w:rPr>
          <w:iCs/>
        </w:rPr>
        <w:t>0, Margarita Jordan-Borceguin employed</w:t>
      </w:r>
      <w:r w:rsidR="00FF261C">
        <w:rPr>
          <w:iCs/>
        </w:rPr>
        <w:t xml:space="preserve"> G</w:t>
      </w:r>
      <w:r w:rsidR="00BF58ED">
        <w:rPr>
          <w:iCs/>
        </w:rPr>
        <w:t>onzalez</w:t>
      </w:r>
      <w:r w:rsidRPr="00A57356">
        <w:rPr>
          <w:iCs/>
        </w:rPr>
        <w:t xml:space="preserve"> to represent her in an immigration proceeding. </w:t>
      </w:r>
      <w:r w:rsidR="00F9283B">
        <w:rPr>
          <w:iCs/>
        </w:rPr>
        <w:t xml:space="preserve"> </w:t>
      </w:r>
      <w:r w:rsidR="00BF58ED">
        <w:rPr>
          <w:iCs/>
        </w:rPr>
        <w:t>Gonzalez</w:t>
      </w:r>
      <w:r w:rsidRPr="00A57356">
        <w:rPr>
          <w:iCs/>
        </w:rPr>
        <w:t xml:space="preserve"> agreed to perform all</w:t>
      </w:r>
      <w:r w:rsidR="00CF399E">
        <w:rPr>
          <w:iCs/>
        </w:rPr>
        <w:t xml:space="preserve"> </w:t>
      </w:r>
      <w:r w:rsidRPr="00A57356">
        <w:rPr>
          <w:iCs/>
        </w:rPr>
        <w:t>legal services related to the proceeding, including investigation, analysis, document</w:t>
      </w:r>
      <w:r w:rsidR="00FF261C">
        <w:rPr>
          <w:iCs/>
        </w:rPr>
        <w:t xml:space="preserve"> p</w:t>
      </w:r>
      <w:r w:rsidRPr="00A57356">
        <w:rPr>
          <w:iCs/>
        </w:rPr>
        <w:t>reparation, and</w:t>
      </w:r>
      <w:r w:rsidR="00167C8E">
        <w:rPr>
          <w:iCs/>
        </w:rPr>
        <w:t xml:space="preserve"> </w:t>
      </w:r>
      <w:r w:rsidRPr="00A57356">
        <w:rPr>
          <w:iCs/>
        </w:rPr>
        <w:t xml:space="preserve">appearances. </w:t>
      </w:r>
      <w:r w:rsidR="00F9283B">
        <w:rPr>
          <w:iCs/>
        </w:rPr>
        <w:t xml:space="preserve"> </w:t>
      </w:r>
      <w:r w:rsidRPr="00A57356">
        <w:rPr>
          <w:iCs/>
        </w:rPr>
        <w:t>Between September</w:t>
      </w:r>
      <w:r w:rsidR="00275ADB">
        <w:rPr>
          <w:iCs/>
        </w:rPr>
        <w:t> </w:t>
      </w:r>
      <w:r w:rsidRPr="00A57356">
        <w:rPr>
          <w:iCs/>
        </w:rPr>
        <w:t>27</w:t>
      </w:r>
      <w:r w:rsidR="00F9283B">
        <w:rPr>
          <w:iCs/>
        </w:rPr>
        <w:t xml:space="preserve">, </w:t>
      </w:r>
      <w:r w:rsidRPr="00A57356">
        <w:rPr>
          <w:iCs/>
        </w:rPr>
        <w:t>2010</w:t>
      </w:r>
      <w:r w:rsidR="00275ADB">
        <w:rPr>
          <w:iCs/>
        </w:rPr>
        <w:t>,</w:t>
      </w:r>
      <w:r w:rsidRPr="00A57356">
        <w:rPr>
          <w:iCs/>
        </w:rPr>
        <w:t xml:space="preserve"> and May</w:t>
      </w:r>
      <w:r w:rsidR="00275ADB">
        <w:rPr>
          <w:iCs/>
        </w:rPr>
        <w:t> </w:t>
      </w:r>
      <w:r w:rsidRPr="00A57356">
        <w:rPr>
          <w:iCs/>
        </w:rPr>
        <w:t>9,</w:t>
      </w:r>
      <w:r w:rsidR="00F9283B">
        <w:rPr>
          <w:iCs/>
        </w:rPr>
        <w:t xml:space="preserve"> </w:t>
      </w:r>
      <w:r w:rsidRPr="00A57356">
        <w:rPr>
          <w:iCs/>
        </w:rPr>
        <w:t>2011, Jordan-Borceguin</w:t>
      </w:r>
      <w:r w:rsidR="00167C8E">
        <w:rPr>
          <w:iCs/>
        </w:rPr>
        <w:t xml:space="preserve"> </w:t>
      </w:r>
      <w:r w:rsidRPr="00A57356">
        <w:rPr>
          <w:iCs/>
        </w:rPr>
        <w:t xml:space="preserve">paid </w:t>
      </w:r>
      <w:r w:rsidR="00BF58ED">
        <w:rPr>
          <w:iCs/>
        </w:rPr>
        <w:t>Gonzalez</w:t>
      </w:r>
      <w:r w:rsidRPr="00A57356">
        <w:rPr>
          <w:iCs/>
        </w:rPr>
        <w:t xml:space="preserve"> </w:t>
      </w:r>
      <w:r w:rsidR="00167C8E">
        <w:rPr>
          <w:iCs/>
        </w:rPr>
        <w:t xml:space="preserve">several installments of </w:t>
      </w:r>
      <w:r w:rsidR="00FF261C">
        <w:rPr>
          <w:iCs/>
        </w:rPr>
        <w:t xml:space="preserve">advance </w:t>
      </w:r>
      <w:r w:rsidRPr="00A57356">
        <w:rPr>
          <w:iCs/>
        </w:rPr>
        <w:t>attorney fees totaling $4,000.</w:t>
      </w:r>
    </w:p>
    <w:p w14:paraId="2F5407D8" w14:textId="75AD98B5" w:rsidR="00A57356" w:rsidRPr="00A57356" w:rsidRDefault="00A57356" w:rsidP="00275ADB">
      <w:pPr>
        <w:spacing w:line="480" w:lineRule="auto"/>
        <w:ind w:firstLine="720"/>
        <w:rPr>
          <w:iCs/>
        </w:rPr>
      </w:pPr>
      <w:r w:rsidRPr="00A57356">
        <w:rPr>
          <w:iCs/>
        </w:rPr>
        <w:t>Between September</w:t>
      </w:r>
      <w:r w:rsidR="00275ADB">
        <w:rPr>
          <w:iCs/>
        </w:rPr>
        <w:t> </w:t>
      </w:r>
      <w:r w:rsidRPr="00A57356">
        <w:rPr>
          <w:iCs/>
        </w:rPr>
        <w:t>27,</w:t>
      </w:r>
      <w:r w:rsidR="00F9283B">
        <w:rPr>
          <w:iCs/>
        </w:rPr>
        <w:t xml:space="preserve"> </w:t>
      </w:r>
      <w:r w:rsidRPr="00A57356">
        <w:rPr>
          <w:iCs/>
        </w:rPr>
        <w:t>2010</w:t>
      </w:r>
      <w:r w:rsidR="00275ADB">
        <w:rPr>
          <w:iCs/>
        </w:rPr>
        <w:t>,</w:t>
      </w:r>
      <w:r w:rsidRPr="00A57356">
        <w:rPr>
          <w:iCs/>
        </w:rPr>
        <w:t xml:space="preserve"> and July</w:t>
      </w:r>
      <w:r w:rsidR="00275ADB">
        <w:rPr>
          <w:iCs/>
        </w:rPr>
        <w:t> </w:t>
      </w:r>
      <w:r w:rsidRPr="00A57356">
        <w:rPr>
          <w:iCs/>
        </w:rPr>
        <w:t>7,</w:t>
      </w:r>
      <w:r w:rsidR="00F9283B">
        <w:rPr>
          <w:iCs/>
        </w:rPr>
        <w:t xml:space="preserve"> </w:t>
      </w:r>
      <w:r w:rsidRPr="00A57356">
        <w:rPr>
          <w:iCs/>
        </w:rPr>
        <w:t xml:space="preserve">2011, </w:t>
      </w:r>
      <w:r w:rsidR="00BF58ED">
        <w:rPr>
          <w:iCs/>
        </w:rPr>
        <w:t>Gonzalez</w:t>
      </w:r>
      <w:r w:rsidRPr="00A57356">
        <w:rPr>
          <w:iCs/>
        </w:rPr>
        <w:t xml:space="preserve"> did not communicate with</w:t>
      </w:r>
      <w:r w:rsidR="00275ADB">
        <w:rPr>
          <w:iCs/>
        </w:rPr>
        <w:t xml:space="preserve"> </w:t>
      </w:r>
      <w:r w:rsidRPr="00A57356">
        <w:rPr>
          <w:iCs/>
        </w:rPr>
        <w:t>Jordan-Borceguin.</w:t>
      </w:r>
      <w:r w:rsidR="00F9283B">
        <w:rPr>
          <w:iCs/>
        </w:rPr>
        <w:t xml:space="preserve"> </w:t>
      </w:r>
      <w:r w:rsidRPr="00A57356">
        <w:rPr>
          <w:iCs/>
        </w:rPr>
        <w:t xml:space="preserve"> On May</w:t>
      </w:r>
      <w:r w:rsidR="00275ADB">
        <w:rPr>
          <w:iCs/>
        </w:rPr>
        <w:t> </w:t>
      </w:r>
      <w:r w:rsidRPr="00A57356">
        <w:rPr>
          <w:iCs/>
        </w:rPr>
        <w:t>27,</w:t>
      </w:r>
      <w:r w:rsidR="00F9283B">
        <w:rPr>
          <w:iCs/>
        </w:rPr>
        <w:t xml:space="preserve"> </w:t>
      </w:r>
      <w:r w:rsidRPr="00A57356">
        <w:rPr>
          <w:iCs/>
        </w:rPr>
        <w:t xml:space="preserve">2011, </w:t>
      </w:r>
      <w:r w:rsidR="00FF261C">
        <w:rPr>
          <w:iCs/>
        </w:rPr>
        <w:t>he</w:t>
      </w:r>
      <w:r w:rsidRPr="00A57356">
        <w:rPr>
          <w:iCs/>
        </w:rPr>
        <w:t xml:space="preserve"> was suspended from the practice of law for 60</w:t>
      </w:r>
      <w:r w:rsidR="00275ADB">
        <w:rPr>
          <w:iCs/>
        </w:rPr>
        <w:t xml:space="preserve"> </w:t>
      </w:r>
      <w:r w:rsidR="00404839">
        <w:rPr>
          <w:iCs/>
        </w:rPr>
        <w:t>d</w:t>
      </w:r>
      <w:r w:rsidRPr="00A57356">
        <w:rPr>
          <w:iCs/>
        </w:rPr>
        <w:t>ays</w:t>
      </w:r>
      <w:r w:rsidR="00167C8E">
        <w:rPr>
          <w:iCs/>
        </w:rPr>
        <w:t>,</w:t>
      </w:r>
      <w:r w:rsidR="00241C36">
        <w:rPr>
          <w:iCs/>
        </w:rPr>
        <w:t xml:space="preserve"> but did not inform</w:t>
      </w:r>
      <w:r w:rsidRPr="00A57356">
        <w:rPr>
          <w:iCs/>
        </w:rPr>
        <w:t xml:space="preserve"> </w:t>
      </w:r>
      <w:r w:rsidR="00761168">
        <w:rPr>
          <w:iCs/>
        </w:rPr>
        <w:t>her</w:t>
      </w:r>
      <w:r w:rsidRPr="00A57356">
        <w:rPr>
          <w:iCs/>
        </w:rPr>
        <w:t>.</w:t>
      </w:r>
    </w:p>
    <w:p w14:paraId="2D368209" w14:textId="40BF44B0" w:rsidR="00A57356" w:rsidRPr="00A57356" w:rsidRDefault="00A57356" w:rsidP="00513FCB">
      <w:pPr>
        <w:spacing w:line="480" w:lineRule="auto"/>
        <w:ind w:right="-144" w:firstLine="720"/>
        <w:rPr>
          <w:iCs/>
        </w:rPr>
      </w:pPr>
      <w:r w:rsidRPr="00A57356">
        <w:rPr>
          <w:iCs/>
        </w:rPr>
        <w:t>On June</w:t>
      </w:r>
      <w:r w:rsidR="00275ADB">
        <w:rPr>
          <w:iCs/>
        </w:rPr>
        <w:t> </w:t>
      </w:r>
      <w:r w:rsidRPr="00A57356">
        <w:rPr>
          <w:iCs/>
        </w:rPr>
        <w:t>28,</w:t>
      </w:r>
      <w:r w:rsidR="00975D06">
        <w:rPr>
          <w:iCs/>
        </w:rPr>
        <w:t xml:space="preserve"> </w:t>
      </w:r>
      <w:r w:rsidRPr="00A57356">
        <w:rPr>
          <w:iCs/>
        </w:rPr>
        <w:t>201</w:t>
      </w:r>
      <w:r w:rsidR="00FA58CE">
        <w:rPr>
          <w:iCs/>
        </w:rPr>
        <w:t>1</w:t>
      </w:r>
      <w:r w:rsidRPr="00A57356">
        <w:rPr>
          <w:iCs/>
        </w:rPr>
        <w:t>,</w:t>
      </w:r>
      <w:r w:rsidR="0053563C" w:rsidRPr="0053563C">
        <w:rPr>
          <w:iCs/>
        </w:rPr>
        <w:t xml:space="preserve"> </w:t>
      </w:r>
      <w:r w:rsidR="00BF58ED">
        <w:rPr>
          <w:iCs/>
        </w:rPr>
        <w:t>Gonzalez</w:t>
      </w:r>
      <w:r w:rsidR="00275ADB">
        <w:rPr>
          <w:iCs/>
        </w:rPr>
        <w:t xml:space="preserve"> received a </w:t>
      </w:r>
      <w:r w:rsidRPr="00A57356">
        <w:rPr>
          <w:iCs/>
        </w:rPr>
        <w:t>Notice of</w:t>
      </w:r>
      <w:r w:rsidR="00275ADB">
        <w:rPr>
          <w:iCs/>
        </w:rPr>
        <w:t xml:space="preserve"> Hearing in Removal Proceedings </w:t>
      </w:r>
      <w:r w:rsidR="00EE2932">
        <w:rPr>
          <w:iCs/>
        </w:rPr>
        <w:t xml:space="preserve">(Notice of Hearing) </w:t>
      </w:r>
      <w:r w:rsidRPr="00A57356">
        <w:rPr>
          <w:iCs/>
        </w:rPr>
        <w:t xml:space="preserve">from the </w:t>
      </w:r>
      <w:r w:rsidR="000C2159">
        <w:rPr>
          <w:iCs/>
        </w:rPr>
        <w:t>i</w:t>
      </w:r>
      <w:r w:rsidRPr="00A57356">
        <w:rPr>
          <w:iCs/>
        </w:rPr>
        <w:t>mmigr</w:t>
      </w:r>
      <w:r w:rsidR="00086C14">
        <w:rPr>
          <w:iCs/>
        </w:rPr>
        <w:t xml:space="preserve">ation </w:t>
      </w:r>
      <w:r w:rsidR="000C2159">
        <w:rPr>
          <w:iCs/>
        </w:rPr>
        <w:t>c</w:t>
      </w:r>
      <w:r w:rsidR="00086C14">
        <w:rPr>
          <w:iCs/>
        </w:rPr>
        <w:t>ourt informing him</w:t>
      </w:r>
      <w:r w:rsidR="00CF399E">
        <w:rPr>
          <w:iCs/>
        </w:rPr>
        <w:t xml:space="preserve"> </w:t>
      </w:r>
      <w:r w:rsidRPr="00A57356">
        <w:rPr>
          <w:iCs/>
        </w:rPr>
        <w:t xml:space="preserve">that </w:t>
      </w:r>
      <w:r w:rsidR="000C477C">
        <w:rPr>
          <w:iCs/>
        </w:rPr>
        <w:t>Jordan-Borceguin’s</w:t>
      </w:r>
      <w:r w:rsidRPr="00A57356">
        <w:rPr>
          <w:iCs/>
        </w:rPr>
        <w:t xml:space="preserve"> hearing would be</w:t>
      </w:r>
      <w:r w:rsidR="00FA58CE">
        <w:rPr>
          <w:iCs/>
        </w:rPr>
        <w:t xml:space="preserve"> held</w:t>
      </w:r>
      <w:r w:rsidRPr="00A57356">
        <w:rPr>
          <w:iCs/>
        </w:rPr>
        <w:t xml:space="preserve"> on February</w:t>
      </w:r>
      <w:r w:rsidR="00275ADB">
        <w:rPr>
          <w:iCs/>
        </w:rPr>
        <w:t> </w:t>
      </w:r>
      <w:r w:rsidRPr="00A57356">
        <w:rPr>
          <w:iCs/>
        </w:rPr>
        <w:t>27,</w:t>
      </w:r>
      <w:r w:rsidR="00DB1DF8">
        <w:rPr>
          <w:iCs/>
        </w:rPr>
        <w:t xml:space="preserve"> </w:t>
      </w:r>
      <w:r w:rsidRPr="00A57356">
        <w:rPr>
          <w:iCs/>
        </w:rPr>
        <w:t>2012.</w:t>
      </w:r>
      <w:r w:rsidR="007966A2">
        <w:rPr>
          <w:iCs/>
        </w:rPr>
        <w:t xml:space="preserve">  </w:t>
      </w:r>
      <w:r w:rsidRPr="00A57356">
        <w:rPr>
          <w:iCs/>
        </w:rPr>
        <w:t>On July</w:t>
      </w:r>
      <w:r w:rsidR="00275ADB">
        <w:rPr>
          <w:iCs/>
        </w:rPr>
        <w:t> </w:t>
      </w:r>
      <w:r w:rsidRPr="00A57356">
        <w:rPr>
          <w:iCs/>
        </w:rPr>
        <w:t>7,</w:t>
      </w:r>
      <w:r w:rsidR="00DB1DF8">
        <w:rPr>
          <w:iCs/>
        </w:rPr>
        <w:t xml:space="preserve"> </w:t>
      </w:r>
      <w:r w:rsidRPr="00A57356">
        <w:rPr>
          <w:iCs/>
        </w:rPr>
        <w:t>2011, while</w:t>
      </w:r>
      <w:r w:rsidR="00CF399E">
        <w:rPr>
          <w:iCs/>
        </w:rPr>
        <w:t xml:space="preserve"> </w:t>
      </w:r>
      <w:r w:rsidR="00BF58ED">
        <w:rPr>
          <w:iCs/>
        </w:rPr>
        <w:t>Gonzalez</w:t>
      </w:r>
      <w:r w:rsidRPr="00A57356">
        <w:rPr>
          <w:iCs/>
        </w:rPr>
        <w:t xml:space="preserve"> was suspended, a letter issued from his law office</w:t>
      </w:r>
      <w:r w:rsidR="007966A2">
        <w:rPr>
          <w:iCs/>
        </w:rPr>
        <w:t xml:space="preserve"> </w:t>
      </w:r>
      <w:r w:rsidRPr="00A57356">
        <w:rPr>
          <w:iCs/>
        </w:rPr>
        <w:t xml:space="preserve">to Jordan-Borceguin </w:t>
      </w:r>
      <w:r w:rsidR="00B4132D">
        <w:rPr>
          <w:iCs/>
        </w:rPr>
        <w:t xml:space="preserve">stating that the </w:t>
      </w:r>
      <w:r w:rsidR="000C2159">
        <w:rPr>
          <w:iCs/>
        </w:rPr>
        <w:t>i</w:t>
      </w:r>
      <w:r w:rsidRPr="00A57356">
        <w:rPr>
          <w:iCs/>
        </w:rPr>
        <w:t xml:space="preserve">mmigration </w:t>
      </w:r>
      <w:r w:rsidR="000C2159">
        <w:rPr>
          <w:iCs/>
        </w:rPr>
        <w:t>c</w:t>
      </w:r>
      <w:r w:rsidRPr="00A57356">
        <w:rPr>
          <w:iCs/>
        </w:rPr>
        <w:t>ourt had changed he</w:t>
      </w:r>
      <w:r w:rsidR="00FA58CE">
        <w:rPr>
          <w:iCs/>
        </w:rPr>
        <w:t>r</w:t>
      </w:r>
      <w:r w:rsidRPr="00A57356">
        <w:rPr>
          <w:iCs/>
        </w:rPr>
        <w:t xml:space="preserve"> </w:t>
      </w:r>
      <w:r w:rsidR="00FA58CE">
        <w:rPr>
          <w:iCs/>
        </w:rPr>
        <w:t xml:space="preserve">hearing </w:t>
      </w:r>
      <w:r w:rsidRPr="00A57356">
        <w:rPr>
          <w:iCs/>
        </w:rPr>
        <w:t>date to</w:t>
      </w:r>
      <w:r w:rsidR="007966A2">
        <w:rPr>
          <w:iCs/>
        </w:rPr>
        <w:t xml:space="preserve"> </w:t>
      </w:r>
      <w:r w:rsidRPr="00A57356">
        <w:rPr>
          <w:iCs/>
        </w:rPr>
        <w:t>February</w:t>
      </w:r>
      <w:r w:rsidR="00275ADB">
        <w:rPr>
          <w:iCs/>
        </w:rPr>
        <w:t> </w:t>
      </w:r>
      <w:r w:rsidRPr="00A57356">
        <w:rPr>
          <w:iCs/>
        </w:rPr>
        <w:t>27,</w:t>
      </w:r>
      <w:r w:rsidR="00DB1DF8">
        <w:rPr>
          <w:iCs/>
        </w:rPr>
        <w:t xml:space="preserve"> </w:t>
      </w:r>
      <w:r w:rsidRPr="00A57356">
        <w:rPr>
          <w:iCs/>
        </w:rPr>
        <w:t xml:space="preserve">2012. </w:t>
      </w:r>
      <w:r w:rsidR="00DB1DF8">
        <w:rPr>
          <w:iCs/>
        </w:rPr>
        <w:t xml:space="preserve"> </w:t>
      </w:r>
      <w:r w:rsidRPr="00A57356">
        <w:rPr>
          <w:iCs/>
        </w:rPr>
        <w:t xml:space="preserve">This letter was </w:t>
      </w:r>
      <w:r w:rsidR="00FE4907">
        <w:rPr>
          <w:iCs/>
        </w:rPr>
        <w:t xml:space="preserve">from </w:t>
      </w:r>
      <w:r w:rsidR="00BF58ED">
        <w:rPr>
          <w:iCs/>
        </w:rPr>
        <w:t>Gonzalez</w:t>
      </w:r>
      <w:r w:rsidR="00761168">
        <w:rPr>
          <w:iCs/>
        </w:rPr>
        <w:t>’</w:t>
      </w:r>
      <w:r w:rsidRPr="00A57356">
        <w:rPr>
          <w:iCs/>
        </w:rPr>
        <w:t>s assistant, but contained letterhead</w:t>
      </w:r>
      <w:r w:rsidR="007966A2">
        <w:rPr>
          <w:iCs/>
        </w:rPr>
        <w:t xml:space="preserve"> </w:t>
      </w:r>
      <w:r w:rsidR="00513FCB">
        <w:rPr>
          <w:iCs/>
        </w:rPr>
        <w:t>listing “</w:t>
      </w:r>
      <w:r w:rsidRPr="00A57356">
        <w:rPr>
          <w:iCs/>
        </w:rPr>
        <w:t xml:space="preserve">Manuel A. </w:t>
      </w:r>
      <w:r w:rsidR="00CF399E" w:rsidRPr="00A57356">
        <w:rPr>
          <w:iCs/>
        </w:rPr>
        <w:t>Gonzalez</w:t>
      </w:r>
      <w:r w:rsidR="00FE4907">
        <w:rPr>
          <w:iCs/>
        </w:rPr>
        <w:t>,</w:t>
      </w:r>
      <w:r w:rsidR="00CF399E" w:rsidRPr="00A57356">
        <w:rPr>
          <w:iCs/>
        </w:rPr>
        <w:t xml:space="preserve"> Law</w:t>
      </w:r>
      <w:r w:rsidR="00CF399E">
        <w:rPr>
          <w:iCs/>
        </w:rPr>
        <w:t xml:space="preserve"> </w:t>
      </w:r>
      <w:r w:rsidR="00513FCB">
        <w:rPr>
          <w:iCs/>
        </w:rPr>
        <w:t>Group”</w:t>
      </w:r>
      <w:r w:rsidRPr="00A57356">
        <w:rPr>
          <w:iCs/>
        </w:rPr>
        <w:t xml:space="preserve"> and included an email address of</w:t>
      </w:r>
      <w:r w:rsidR="007966A2">
        <w:rPr>
          <w:iCs/>
        </w:rPr>
        <w:t xml:space="preserve"> </w:t>
      </w:r>
      <w:r w:rsidRPr="00A57356">
        <w:rPr>
          <w:iCs/>
        </w:rPr>
        <w:t>attygonzalez@yahoo.com.</w:t>
      </w:r>
      <w:r w:rsidR="007966A2">
        <w:rPr>
          <w:iCs/>
        </w:rPr>
        <w:t xml:space="preserve"> </w:t>
      </w:r>
      <w:r w:rsidRPr="00A57356">
        <w:rPr>
          <w:iCs/>
        </w:rPr>
        <w:t xml:space="preserve"> </w:t>
      </w:r>
    </w:p>
    <w:p w14:paraId="1C140DCE" w14:textId="1BF3E68A" w:rsidR="00A57356" w:rsidRPr="00A57356" w:rsidRDefault="009355BD" w:rsidP="00C67989">
      <w:pPr>
        <w:spacing w:line="480" w:lineRule="auto"/>
        <w:rPr>
          <w:iCs/>
        </w:rPr>
      </w:pPr>
      <w:r>
        <w:rPr>
          <w:iCs/>
        </w:rPr>
        <w:lastRenderedPageBreak/>
        <w:tab/>
      </w:r>
      <w:r w:rsidR="00A57356" w:rsidRPr="00A57356">
        <w:rPr>
          <w:iCs/>
        </w:rPr>
        <w:t>On July</w:t>
      </w:r>
      <w:r w:rsidR="00275ADB">
        <w:rPr>
          <w:iCs/>
        </w:rPr>
        <w:t> </w:t>
      </w:r>
      <w:r w:rsidR="00A57356" w:rsidRPr="00A57356">
        <w:rPr>
          <w:iCs/>
        </w:rPr>
        <w:t xml:space="preserve">14, 2011, </w:t>
      </w:r>
      <w:r w:rsidR="00BF58ED">
        <w:rPr>
          <w:iCs/>
        </w:rPr>
        <w:t>Gonzalez</w:t>
      </w:r>
      <w:r w:rsidR="00275ADB">
        <w:rPr>
          <w:iCs/>
        </w:rPr>
        <w:t xml:space="preserve"> received a</w:t>
      </w:r>
      <w:r w:rsidR="000C477C">
        <w:rPr>
          <w:iCs/>
        </w:rPr>
        <w:t>nother</w:t>
      </w:r>
      <w:r w:rsidR="00275ADB">
        <w:rPr>
          <w:iCs/>
        </w:rPr>
        <w:t xml:space="preserve"> </w:t>
      </w:r>
      <w:r w:rsidR="00A57356" w:rsidRPr="00A57356">
        <w:rPr>
          <w:iCs/>
        </w:rPr>
        <w:t xml:space="preserve">Notice of Hearing from the </w:t>
      </w:r>
      <w:r w:rsidR="000C2159">
        <w:rPr>
          <w:iCs/>
        </w:rPr>
        <w:t>i</w:t>
      </w:r>
      <w:r w:rsidR="00A57356" w:rsidRPr="00A57356">
        <w:rPr>
          <w:iCs/>
        </w:rPr>
        <w:t xml:space="preserve">mmigration </w:t>
      </w:r>
      <w:r w:rsidR="000C2159">
        <w:rPr>
          <w:iCs/>
        </w:rPr>
        <w:t>c</w:t>
      </w:r>
      <w:r w:rsidR="00A57356" w:rsidRPr="00A57356">
        <w:rPr>
          <w:iCs/>
        </w:rPr>
        <w:t>ourt</w:t>
      </w:r>
      <w:r w:rsidR="000C477C">
        <w:rPr>
          <w:iCs/>
        </w:rPr>
        <w:t>, this time</w:t>
      </w:r>
      <w:r w:rsidR="00A57356" w:rsidRPr="00A57356">
        <w:rPr>
          <w:iCs/>
        </w:rPr>
        <w:t xml:space="preserve"> informing him that </w:t>
      </w:r>
      <w:r w:rsidR="000C477C">
        <w:rPr>
          <w:iCs/>
        </w:rPr>
        <w:t>the</w:t>
      </w:r>
      <w:r w:rsidR="00A57356" w:rsidRPr="00A57356">
        <w:rPr>
          <w:iCs/>
        </w:rPr>
        <w:t xml:space="preserve"> hearing date</w:t>
      </w:r>
      <w:r w:rsidR="00241C36">
        <w:rPr>
          <w:iCs/>
        </w:rPr>
        <w:t xml:space="preserve"> </w:t>
      </w:r>
      <w:r w:rsidR="00A57356" w:rsidRPr="00A57356">
        <w:rPr>
          <w:iCs/>
        </w:rPr>
        <w:t>was</w:t>
      </w:r>
      <w:r w:rsidR="00404839">
        <w:rPr>
          <w:iCs/>
        </w:rPr>
        <w:t xml:space="preserve"> changed to</w:t>
      </w:r>
      <w:r w:rsidR="00B4132D">
        <w:rPr>
          <w:iCs/>
        </w:rPr>
        <w:t xml:space="preserve"> </w:t>
      </w:r>
      <w:r w:rsidR="00A57356" w:rsidRPr="00A57356">
        <w:rPr>
          <w:iCs/>
        </w:rPr>
        <w:t>February</w:t>
      </w:r>
      <w:r w:rsidR="00275ADB">
        <w:rPr>
          <w:iCs/>
        </w:rPr>
        <w:t> </w:t>
      </w:r>
      <w:r w:rsidR="00A57356" w:rsidRPr="00A57356">
        <w:rPr>
          <w:iCs/>
        </w:rPr>
        <w:t>6,</w:t>
      </w:r>
      <w:r w:rsidR="00EC788C">
        <w:rPr>
          <w:iCs/>
        </w:rPr>
        <w:t xml:space="preserve"> </w:t>
      </w:r>
      <w:r w:rsidR="00A57356" w:rsidRPr="00A57356">
        <w:rPr>
          <w:iCs/>
        </w:rPr>
        <w:t>2012</w:t>
      </w:r>
      <w:r w:rsidR="00B4132D">
        <w:rPr>
          <w:iCs/>
        </w:rPr>
        <w:t>, the date</w:t>
      </w:r>
      <w:r w:rsidR="00A57356" w:rsidRPr="00A57356">
        <w:rPr>
          <w:iCs/>
        </w:rPr>
        <w:t xml:space="preserve"> </w:t>
      </w:r>
      <w:r w:rsidR="00BF58ED">
        <w:rPr>
          <w:iCs/>
        </w:rPr>
        <w:t>Gonzalez</w:t>
      </w:r>
      <w:r w:rsidR="00A57356" w:rsidRPr="00A57356">
        <w:rPr>
          <w:iCs/>
        </w:rPr>
        <w:t xml:space="preserve"> </w:t>
      </w:r>
      <w:r w:rsidR="00404839">
        <w:rPr>
          <w:iCs/>
        </w:rPr>
        <w:t xml:space="preserve">would be </w:t>
      </w:r>
      <w:r w:rsidR="0053563C">
        <w:rPr>
          <w:iCs/>
        </w:rPr>
        <w:t>suspended</w:t>
      </w:r>
      <w:r w:rsidR="00A57356" w:rsidRPr="00A57356">
        <w:rPr>
          <w:iCs/>
        </w:rPr>
        <w:t xml:space="preserve">. </w:t>
      </w:r>
      <w:r w:rsidR="00EC788C">
        <w:rPr>
          <w:iCs/>
        </w:rPr>
        <w:t xml:space="preserve"> </w:t>
      </w:r>
      <w:r w:rsidR="00B4132D">
        <w:rPr>
          <w:iCs/>
        </w:rPr>
        <w:t>N</w:t>
      </w:r>
      <w:r w:rsidR="00A57356" w:rsidRPr="00A57356">
        <w:rPr>
          <w:iCs/>
        </w:rPr>
        <w:t xml:space="preserve">either </w:t>
      </w:r>
      <w:r w:rsidR="00BF58ED">
        <w:rPr>
          <w:iCs/>
        </w:rPr>
        <w:t>Gonzalez</w:t>
      </w:r>
      <w:r w:rsidR="00A57356" w:rsidRPr="00A57356">
        <w:rPr>
          <w:iCs/>
        </w:rPr>
        <w:t xml:space="preserve"> nor Jordan-Borceguin appeared in </w:t>
      </w:r>
      <w:r w:rsidR="00E6131B">
        <w:rPr>
          <w:iCs/>
        </w:rPr>
        <w:t>court</w:t>
      </w:r>
      <w:r w:rsidR="00A57356" w:rsidRPr="00A57356">
        <w:rPr>
          <w:iCs/>
        </w:rPr>
        <w:t xml:space="preserve"> </w:t>
      </w:r>
      <w:r w:rsidR="00E6131B">
        <w:rPr>
          <w:iCs/>
        </w:rPr>
        <w:t xml:space="preserve">on </w:t>
      </w:r>
      <w:r w:rsidR="001E2C05">
        <w:rPr>
          <w:iCs/>
        </w:rPr>
        <w:t>that da</w:t>
      </w:r>
      <w:r w:rsidR="00E6131B">
        <w:rPr>
          <w:iCs/>
        </w:rPr>
        <w:t>te</w:t>
      </w:r>
      <w:r w:rsidR="001E2C05">
        <w:rPr>
          <w:iCs/>
        </w:rPr>
        <w:t xml:space="preserve">.  </w:t>
      </w:r>
      <w:r w:rsidR="0053563C">
        <w:rPr>
          <w:iCs/>
        </w:rPr>
        <w:t>As a result, Jordan-Borceguin’s immigration proceedings were terminated and she was ordered for deportation</w:t>
      </w:r>
      <w:r w:rsidR="00EE2932">
        <w:rPr>
          <w:iCs/>
        </w:rPr>
        <w:t xml:space="preserve">, but hired </w:t>
      </w:r>
      <w:r w:rsidR="0053563C">
        <w:rPr>
          <w:iCs/>
        </w:rPr>
        <w:t xml:space="preserve">new counsel.  </w:t>
      </w:r>
      <w:r w:rsidR="00F05BC8">
        <w:rPr>
          <w:iCs/>
        </w:rPr>
        <w:t>Between September 2010 and February 2012, Gonzalez did not perform any services</w:t>
      </w:r>
      <w:r w:rsidR="0053563C">
        <w:rPr>
          <w:iCs/>
        </w:rPr>
        <w:t xml:space="preserve"> of value</w:t>
      </w:r>
      <w:r w:rsidR="00E429E7">
        <w:rPr>
          <w:iCs/>
        </w:rPr>
        <w:t xml:space="preserve">, and did not </w:t>
      </w:r>
      <w:r w:rsidR="00C67989">
        <w:rPr>
          <w:iCs/>
        </w:rPr>
        <w:t xml:space="preserve">provide an accounting or refund </w:t>
      </w:r>
      <w:r w:rsidR="004A07BD">
        <w:rPr>
          <w:iCs/>
        </w:rPr>
        <w:t>any</w:t>
      </w:r>
      <w:r w:rsidR="00C67989" w:rsidRPr="00A57356">
        <w:rPr>
          <w:iCs/>
        </w:rPr>
        <w:t xml:space="preserve"> </w:t>
      </w:r>
      <w:r w:rsidR="004A07BD">
        <w:rPr>
          <w:iCs/>
        </w:rPr>
        <w:t xml:space="preserve">advance </w:t>
      </w:r>
      <w:r w:rsidR="00C67989" w:rsidRPr="00A57356">
        <w:rPr>
          <w:iCs/>
        </w:rPr>
        <w:t>fees.</w:t>
      </w:r>
      <w:r w:rsidR="00E6131B">
        <w:rPr>
          <w:iCs/>
        </w:rPr>
        <w:t xml:space="preserve"> </w:t>
      </w:r>
      <w:r w:rsidR="00C67989" w:rsidRPr="00A57356">
        <w:rPr>
          <w:rFonts w:ascii="Arial" w:hAnsi="Arial" w:cs="Arial"/>
          <w:sz w:val="22"/>
          <w:szCs w:val="22"/>
        </w:rPr>
        <w:t xml:space="preserve"> </w:t>
      </w:r>
      <w:r w:rsidR="00F05BC8">
        <w:rPr>
          <w:iCs/>
        </w:rPr>
        <w:t>On March</w:t>
      </w:r>
      <w:r w:rsidR="00275ADB">
        <w:rPr>
          <w:iCs/>
        </w:rPr>
        <w:t> </w:t>
      </w:r>
      <w:r w:rsidR="00F05BC8">
        <w:rPr>
          <w:iCs/>
        </w:rPr>
        <w:t>3, 2012, Jordan-Borceguin filed a State Bar</w:t>
      </w:r>
      <w:r w:rsidR="000C2159">
        <w:rPr>
          <w:iCs/>
        </w:rPr>
        <w:t xml:space="preserve"> c</w:t>
      </w:r>
      <w:r w:rsidR="00F05BC8">
        <w:rPr>
          <w:iCs/>
        </w:rPr>
        <w:t>omplaint.</w:t>
      </w:r>
    </w:p>
    <w:p w14:paraId="0B851FB6" w14:textId="63D3EBF6" w:rsidR="00A57356" w:rsidRDefault="00465448" w:rsidP="004416A9">
      <w:pPr>
        <w:spacing w:line="480" w:lineRule="auto"/>
        <w:ind w:right="-144"/>
        <w:rPr>
          <w:iCs/>
        </w:rPr>
      </w:pPr>
      <w:r>
        <w:rPr>
          <w:rFonts w:ascii="Arial" w:hAnsi="Arial" w:cs="Arial"/>
          <w:sz w:val="22"/>
          <w:szCs w:val="22"/>
        </w:rPr>
        <w:tab/>
      </w:r>
      <w:r w:rsidR="00FD2931">
        <w:rPr>
          <w:iCs/>
        </w:rPr>
        <w:t>Gonzalez</w:t>
      </w:r>
      <w:r w:rsidR="00FD2931" w:rsidRPr="00A57356">
        <w:rPr>
          <w:iCs/>
        </w:rPr>
        <w:t xml:space="preserve"> </w:t>
      </w:r>
      <w:r w:rsidR="00192221">
        <w:rPr>
          <w:iCs/>
        </w:rPr>
        <w:t>committed five</w:t>
      </w:r>
      <w:r w:rsidR="00783B73">
        <w:rPr>
          <w:iCs/>
        </w:rPr>
        <w:t xml:space="preserve"> ethical </w:t>
      </w:r>
      <w:r w:rsidR="00192221">
        <w:rPr>
          <w:iCs/>
        </w:rPr>
        <w:t>violations:</w:t>
      </w:r>
      <w:r w:rsidR="00F109C2">
        <w:rPr>
          <w:iCs/>
        </w:rPr>
        <w:t xml:space="preserve"> </w:t>
      </w:r>
      <w:r w:rsidR="00872CB7">
        <w:rPr>
          <w:iCs/>
        </w:rPr>
        <w:t>(1)</w:t>
      </w:r>
      <w:r w:rsidR="00275ADB">
        <w:rPr>
          <w:iCs/>
        </w:rPr>
        <w:t> h</w:t>
      </w:r>
      <w:r w:rsidR="00192221">
        <w:rPr>
          <w:iCs/>
        </w:rPr>
        <w:t xml:space="preserve">e </w:t>
      </w:r>
      <w:r w:rsidR="00FD2931" w:rsidRPr="00A57356">
        <w:rPr>
          <w:iCs/>
        </w:rPr>
        <w:t>willfully violated rule</w:t>
      </w:r>
      <w:r w:rsidR="00275ADB">
        <w:rPr>
          <w:iCs/>
        </w:rPr>
        <w:t> </w:t>
      </w:r>
      <w:r w:rsidR="00FD2931" w:rsidRPr="00A57356">
        <w:rPr>
          <w:iCs/>
        </w:rPr>
        <w:t>3-700(A)(2)</w:t>
      </w:r>
      <w:r w:rsidR="00FD2931">
        <w:rPr>
          <w:iCs/>
        </w:rPr>
        <w:t xml:space="preserve"> by</w:t>
      </w:r>
      <w:r w:rsidR="00D01B4E">
        <w:rPr>
          <w:iCs/>
        </w:rPr>
        <w:t xml:space="preserve"> constructively withdra</w:t>
      </w:r>
      <w:r w:rsidR="00A57356" w:rsidRPr="00A57356">
        <w:rPr>
          <w:iCs/>
        </w:rPr>
        <w:t>w</w:t>
      </w:r>
      <w:r w:rsidR="00D01B4E">
        <w:rPr>
          <w:iCs/>
        </w:rPr>
        <w:t>ing</w:t>
      </w:r>
      <w:r w:rsidR="00094070">
        <w:rPr>
          <w:iCs/>
        </w:rPr>
        <w:t xml:space="preserve"> </w:t>
      </w:r>
      <w:r w:rsidR="00A57356" w:rsidRPr="00A57356">
        <w:rPr>
          <w:iCs/>
        </w:rPr>
        <w:t>from employment</w:t>
      </w:r>
      <w:r w:rsidR="00D01B4E">
        <w:rPr>
          <w:iCs/>
        </w:rPr>
        <w:t xml:space="preserve"> without notice</w:t>
      </w:r>
      <w:r w:rsidR="00A57356" w:rsidRPr="00A57356">
        <w:rPr>
          <w:iCs/>
        </w:rPr>
        <w:t xml:space="preserve"> </w:t>
      </w:r>
      <w:r w:rsidR="0053563C">
        <w:rPr>
          <w:iCs/>
        </w:rPr>
        <w:t xml:space="preserve">or avoiding reasonably foreseeable prejudice to his client and </w:t>
      </w:r>
      <w:r w:rsidR="004A07BD">
        <w:rPr>
          <w:iCs/>
        </w:rPr>
        <w:t xml:space="preserve">by </w:t>
      </w:r>
      <w:r w:rsidR="00A57356" w:rsidRPr="00A57356">
        <w:rPr>
          <w:iCs/>
        </w:rPr>
        <w:t xml:space="preserve">failing to perform any services for Jordan-Borceguin over </w:t>
      </w:r>
      <w:r w:rsidR="00FD2931">
        <w:rPr>
          <w:iCs/>
        </w:rPr>
        <w:t>a</w:t>
      </w:r>
      <w:r w:rsidR="0053563C">
        <w:rPr>
          <w:iCs/>
        </w:rPr>
        <w:t>n 18</w:t>
      </w:r>
      <w:r w:rsidR="00A57356" w:rsidRPr="00A57356">
        <w:rPr>
          <w:iCs/>
        </w:rPr>
        <w:t>-month period</w:t>
      </w:r>
      <w:r w:rsidR="00D01B4E">
        <w:rPr>
          <w:iCs/>
        </w:rPr>
        <w:t xml:space="preserve"> (</w:t>
      </w:r>
      <w:r w:rsidR="00275ADB">
        <w:rPr>
          <w:iCs/>
        </w:rPr>
        <w:t>c</w:t>
      </w:r>
      <w:r w:rsidR="00D01B4E">
        <w:rPr>
          <w:iCs/>
        </w:rPr>
        <w:t>ount</w:t>
      </w:r>
      <w:r w:rsidR="00275ADB">
        <w:rPr>
          <w:iCs/>
        </w:rPr>
        <w:t> 15</w:t>
      </w:r>
      <w:r w:rsidR="00D01B4E">
        <w:rPr>
          <w:iCs/>
        </w:rPr>
        <w:t>)</w:t>
      </w:r>
      <w:r w:rsidR="00F109C2">
        <w:rPr>
          <w:iCs/>
        </w:rPr>
        <w:t>;</w:t>
      </w:r>
      <w:r w:rsidR="00A33C8E">
        <w:rPr>
          <w:iCs/>
        </w:rPr>
        <w:t xml:space="preserve"> </w:t>
      </w:r>
      <w:r w:rsidR="00872CB7" w:rsidRPr="00E01D91">
        <w:t>(</w:t>
      </w:r>
      <w:r w:rsidR="00E01D91" w:rsidRPr="00E01D91">
        <w:t>2</w:t>
      </w:r>
      <w:r w:rsidR="00872CB7" w:rsidRPr="00E01D91">
        <w:t>)</w:t>
      </w:r>
      <w:r w:rsidR="00275ADB">
        <w:t> </w:t>
      </w:r>
      <w:r w:rsidR="00C67989">
        <w:t>h</w:t>
      </w:r>
      <w:r w:rsidR="00192221">
        <w:rPr>
          <w:iCs/>
        </w:rPr>
        <w:t>e c</w:t>
      </w:r>
      <w:r w:rsidR="00FD2931" w:rsidRPr="00A57356">
        <w:rPr>
          <w:iCs/>
        </w:rPr>
        <w:t xml:space="preserve">ommitted an act involving moral turpitude, </w:t>
      </w:r>
      <w:r w:rsidR="004A07BD">
        <w:rPr>
          <w:iCs/>
        </w:rPr>
        <w:t xml:space="preserve">dishonesty, or corruption, in </w:t>
      </w:r>
      <w:r w:rsidR="00FD2931" w:rsidRPr="00A57356">
        <w:rPr>
          <w:iCs/>
        </w:rPr>
        <w:t>willful violation of section</w:t>
      </w:r>
      <w:r w:rsidR="00275ADB">
        <w:rPr>
          <w:iCs/>
        </w:rPr>
        <w:t> </w:t>
      </w:r>
      <w:r w:rsidR="00FD2931" w:rsidRPr="00A57356">
        <w:rPr>
          <w:iCs/>
        </w:rPr>
        <w:t>6106</w:t>
      </w:r>
      <w:r w:rsidR="00761168">
        <w:rPr>
          <w:iCs/>
        </w:rPr>
        <w:t>,</w:t>
      </w:r>
      <w:r w:rsidR="00FD2931">
        <w:rPr>
          <w:iCs/>
        </w:rPr>
        <w:t xml:space="preserve"> b</w:t>
      </w:r>
      <w:r w:rsidR="00A57356" w:rsidRPr="00A57356">
        <w:rPr>
          <w:iCs/>
        </w:rPr>
        <w:t>y</w:t>
      </w:r>
      <w:r w:rsidR="004D15F8">
        <w:rPr>
          <w:iCs/>
        </w:rPr>
        <w:t xml:space="preserve"> not informing his client that he was not entitled to practice law at a time he purportedly represented her and provided legal services (</w:t>
      </w:r>
      <w:r w:rsidR="00275ADB">
        <w:rPr>
          <w:iCs/>
        </w:rPr>
        <w:t>c</w:t>
      </w:r>
      <w:r w:rsidR="00D01B4E">
        <w:rPr>
          <w:iCs/>
        </w:rPr>
        <w:t xml:space="preserve">ount </w:t>
      </w:r>
      <w:r w:rsidR="00275ADB">
        <w:rPr>
          <w:iCs/>
        </w:rPr>
        <w:t>16</w:t>
      </w:r>
      <w:r w:rsidR="00D94167">
        <w:rPr>
          <w:iCs/>
        </w:rPr>
        <w:t>)</w:t>
      </w:r>
      <w:r w:rsidR="00F109C2">
        <w:rPr>
          <w:iCs/>
        </w:rPr>
        <w:t>;</w:t>
      </w:r>
      <w:r w:rsidR="00A33C8E">
        <w:rPr>
          <w:rStyle w:val="FootnoteReference"/>
          <w:iCs/>
        </w:rPr>
        <w:footnoteReference w:id="9"/>
      </w:r>
      <w:r w:rsidR="00A33C8E">
        <w:rPr>
          <w:iCs/>
        </w:rPr>
        <w:t xml:space="preserve"> </w:t>
      </w:r>
      <w:r w:rsidR="0024671D">
        <w:rPr>
          <w:iCs/>
        </w:rPr>
        <w:t>(3)</w:t>
      </w:r>
      <w:r w:rsidR="00275ADB">
        <w:rPr>
          <w:iCs/>
        </w:rPr>
        <w:t> </w:t>
      </w:r>
      <w:r w:rsidR="00C67989">
        <w:rPr>
          <w:iCs/>
        </w:rPr>
        <w:t>h</w:t>
      </w:r>
      <w:r w:rsidR="000F56B8">
        <w:rPr>
          <w:iCs/>
        </w:rPr>
        <w:t xml:space="preserve">e </w:t>
      </w:r>
      <w:r w:rsidR="00275ADB">
        <w:rPr>
          <w:iCs/>
        </w:rPr>
        <w:t>willfully violated section </w:t>
      </w:r>
      <w:r w:rsidR="000F56B8" w:rsidRPr="00A57356">
        <w:rPr>
          <w:iCs/>
        </w:rPr>
        <w:t xml:space="preserve">6126 </w:t>
      </w:r>
      <w:r w:rsidR="004416A9">
        <w:rPr>
          <w:iCs/>
        </w:rPr>
        <w:t xml:space="preserve">by not informing her of his suspension and by permitting his staff to correspond with her </w:t>
      </w:r>
      <w:r w:rsidR="004416A9" w:rsidRPr="00C133D9">
        <w:rPr>
          <w:iCs/>
        </w:rPr>
        <w:t xml:space="preserve">using letterhead indicating </w:t>
      </w:r>
      <w:r w:rsidR="00C133D9" w:rsidRPr="00C133D9">
        <w:rPr>
          <w:iCs/>
        </w:rPr>
        <w:t>he was entitled to practice law</w:t>
      </w:r>
      <w:r w:rsidR="004416A9">
        <w:rPr>
          <w:iCs/>
        </w:rPr>
        <w:t xml:space="preserve">, </w:t>
      </w:r>
      <w:r w:rsidR="000F56B8" w:rsidRPr="00A57356">
        <w:rPr>
          <w:iCs/>
        </w:rPr>
        <w:t xml:space="preserve">and </w:t>
      </w:r>
      <w:r w:rsidR="004416A9">
        <w:rPr>
          <w:iCs/>
        </w:rPr>
        <w:t>thereby f</w:t>
      </w:r>
      <w:r w:rsidR="000F56B8" w:rsidRPr="00A57356">
        <w:rPr>
          <w:iCs/>
        </w:rPr>
        <w:t>ailed to support the laws of the State of California, in willful violation of section</w:t>
      </w:r>
      <w:r w:rsidR="00275ADB">
        <w:rPr>
          <w:iCs/>
        </w:rPr>
        <w:t> </w:t>
      </w:r>
      <w:r w:rsidR="000F56B8" w:rsidRPr="00A57356">
        <w:rPr>
          <w:iCs/>
        </w:rPr>
        <w:t>6068,</w:t>
      </w:r>
      <w:r w:rsidR="000F56B8">
        <w:rPr>
          <w:iCs/>
        </w:rPr>
        <w:t xml:space="preserve"> </w:t>
      </w:r>
      <w:r w:rsidR="000F56B8" w:rsidRPr="00A57356">
        <w:rPr>
          <w:iCs/>
        </w:rPr>
        <w:t>subdivision</w:t>
      </w:r>
      <w:r w:rsidR="00275ADB">
        <w:rPr>
          <w:iCs/>
        </w:rPr>
        <w:t> </w:t>
      </w:r>
      <w:r w:rsidR="000F56B8" w:rsidRPr="00A57356">
        <w:rPr>
          <w:iCs/>
        </w:rPr>
        <w:t>(a)</w:t>
      </w:r>
      <w:r w:rsidR="000F56B8">
        <w:rPr>
          <w:iCs/>
        </w:rPr>
        <w:t xml:space="preserve">, by holding himself out </w:t>
      </w:r>
      <w:r w:rsidR="000F56B8" w:rsidRPr="00A57356">
        <w:rPr>
          <w:iCs/>
        </w:rPr>
        <w:t>as entitled to practice law when he was not an active member of the</w:t>
      </w:r>
      <w:r w:rsidR="004416A9">
        <w:rPr>
          <w:iCs/>
        </w:rPr>
        <w:t xml:space="preserve"> Bar</w:t>
      </w:r>
      <w:r w:rsidR="00872CB7">
        <w:rPr>
          <w:iCs/>
        </w:rPr>
        <w:t xml:space="preserve"> </w:t>
      </w:r>
      <w:r w:rsidR="000F56B8">
        <w:rPr>
          <w:iCs/>
        </w:rPr>
        <w:t>(</w:t>
      </w:r>
      <w:r w:rsidR="00B81AAE">
        <w:rPr>
          <w:iCs/>
        </w:rPr>
        <w:t>c</w:t>
      </w:r>
      <w:r w:rsidR="000F56B8">
        <w:rPr>
          <w:iCs/>
        </w:rPr>
        <w:t>ount</w:t>
      </w:r>
      <w:r w:rsidR="00B81AAE">
        <w:rPr>
          <w:iCs/>
        </w:rPr>
        <w:t> 17</w:t>
      </w:r>
      <w:r w:rsidR="000F56B8">
        <w:rPr>
          <w:iCs/>
        </w:rPr>
        <w:t>)</w:t>
      </w:r>
      <w:r w:rsidR="00F109C2">
        <w:rPr>
          <w:iCs/>
        </w:rPr>
        <w:t xml:space="preserve">; </w:t>
      </w:r>
      <w:r w:rsidR="00872CB7">
        <w:rPr>
          <w:iCs/>
        </w:rPr>
        <w:t>(</w:t>
      </w:r>
      <w:r w:rsidR="000F56B8">
        <w:rPr>
          <w:iCs/>
        </w:rPr>
        <w:t>4</w:t>
      </w:r>
      <w:r w:rsidR="00872CB7">
        <w:rPr>
          <w:iCs/>
        </w:rPr>
        <w:t>)</w:t>
      </w:r>
      <w:r w:rsidR="00B81AAE">
        <w:rPr>
          <w:iCs/>
        </w:rPr>
        <w:t> </w:t>
      </w:r>
      <w:r w:rsidR="00C67989">
        <w:rPr>
          <w:iCs/>
        </w:rPr>
        <w:t>h</w:t>
      </w:r>
      <w:r w:rsidR="00192221">
        <w:rPr>
          <w:iCs/>
        </w:rPr>
        <w:t xml:space="preserve">e willfully violated </w:t>
      </w:r>
      <w:r w:rsidR="00192221" w:rsidRPr="00A57356">
        <w:rPr>
          <w:iCs/>
        </w:rPr>
        <w:t>rule</w:t>
      </w:r>
      <w:r w:rsidR="00B81AAE">
        <w:rPr>
          <w:iCs/>
        </w:rPr>
        <w:t> </w:t>
      </w:r>
      <w:r w:rsidR="00192221" w:rsidRPr="00A57356">
        <w:rPr>
          <w:iCs/>
        </w:rPr>
        <w:t>3-700(D</w:t>
      </w:r>
      <w:r w:rsidR="00192221">
        <w:rPr>
          <w:iCs/>
        </w:rPr>
        <w:t>)(</w:t>
      </w:r>
      <w:r w:rsidR="00192221" w:rsidRPr="00A57356">
        <w:rPr>
          <w:iCs/>
        </w:rPr>
        <w:t>2)</w:t>
      </w:r>
      <w:r w:rsidR="00192221">
        <w:rPr>
          <w:iCs/>
        </w:rPr>
        <w:t xml:space="preserve"> by not refunding any </w:t>
      </w:r>
      <w:r w:rsidR="00A57356" w:rsidRPr="00A57356">
        <w:rPr>
          <w:iCs/>
        </w:rPr>
        <w:t>of the unearned $4,000 fee</w:t>
      </w:r>
      <w:r w:rsidR="00086C14">
        <w:rPr>
          <w:iCs/>
        </w:rPr>
        <w:t>s he received</w:t>
      </w:r>
      <w:r w:rsidR="00D94167">
        <w:rPr>
          <w:iCs/>
        </w:rPr>
        <w:t xml:space="preserve"> (</w:t>
      </w:r>
      <w:r w:rsidR="00B81AAE">
        <w:rPr>
          <w:iCs/>
        </w:rPr>
        <w:t>c</w:t>
      </w:r>
      <w:r w:rsidR="00D94167">
        <w:rPr>
          <w:iCs/>
        </w:rPr>
        <w:t xml:space="preserve">ount </w:t>
      </w:r>
      <w:r w:rsidR="00B81AAE">
        <w:rPr>
          <w:iCs/>
        </w:rPr>
        <w:t>18</w:t>
      </w:r>
      <w:r w:rsidR="00D94167">
        <w:rPr>
          <w:iCs/>
        </w:rPr>
        <w:t>)</w:t>
      </w:r>
      <w:r w:rsidR="00F109C2">
        <w:rPr>
          <w:iCs/>
        </w:rPr>
        <w:t xml:space="preserve">; and </w:t>
      </w:r>
      <w:r w:rsidR="000F56B8">
        <w:rPr>
          <w:iCs/>
        </w:rPr>
        <w:t>(5)</w:t>
      </w:r>
      <w:r w:rsidR="00B81AAE">
        <w:rPr>
          <w:iCs/>
        </w:rPr>
        <w:t> </w:t>
      </w:r>
      <w:r w:rsidR="00C67989">
        <w:rPr>
          <w:iCs/>
        </w:rPr>
        <w:t>h</w:t>
      </w:r>
      <w:r w:rsidR="00192221">
        <w:rPr>
          <w:iCs/>
        </w:rPr>
        <w:t xml:space="preserve">e willfully violated </w:t>
      </w:r>
      <w:r w:rsidR="00192221" w:rsidRPr="00A57356">
        <w:rPr>
          <w:iCs/>
        </w:rPr>
        <w:t>rule</w:t>
      </w:r>
      <w:r w:rsidR="00B81AAE">
        <w:rPr>
          <w:iCs/>
        </w:rPr>
        <w:t> </w:t>
      </w:r>
      <w:r w:rsidR="00192221" w:rsidRPr="00A57356">
        <w:rPr>
          <w:iCs/>
        </w:rPr>
        <w:t>4-100(B)(3)</w:t>
      </w:r>
      <w:r w:rsidR="00192221">
        <w:rPr>
          <w:iCs/>
        </w:rPr>
        <w:t xml:space="preserve"> by</w:t>
      </w:r>
      <w:r w:rsidR="00A57356" w:rsidRPr="00A57356">
        <w:rPr>
          <w:iCs/>
        </w:rPr>
        <w:t xml:space="preserve"> failing to provide Jordan-Borceguin with an accounting of the $4,000 </w:t>
      </w:r>
      <w:r w:rsidR="00EE54C2">
        <w:rPr>
          <w:iCs/>
        </w:rPr>
        <w:t xml:space="preserve">in </w:t>
      </w:r>
      <w:r w:rsidR="00A57356" w:rsidRPr="00A57356">
        <w:rPr>
          <w:iCs/>
        </w:rPr>
        <w:t>advance</w:t>
      </w:r>
      <w:r w:rsidR="00D01B4E">
        <w:rPr>
          <w:iCs/>
        </w:rPr>
        <w:t xml:space="preserve"> </w:t>
      </w:r>
      <w:r w:rsidR="00A57356" w:rsidRPr="00A57356">
        <w:rPr>
          <w:iCs/>
        </w:rPr>
        <w:t>fee</w:t>
      </w:r>
      <w:r w:rsidR="00C51347">
        <w:rPr>
          <w:iCs/>
        </w:rPr>
        <w:t>s</w:t>
      </w:r>
      <w:r w:rsidR="00A57356" w:rsidRPr="00A57356">
        <w:rPr>
          <w:iCs/>
        </w:rPr>
        <w:t xml:space="preserve"> </w:t>
      </w:r>
      <w:r w:rsidR="00B81AAE">
        <w:rPr>
          <w:iCs/>
        </w:rPr>
        <w:t>(c</w:t>
      </w:r>
      <w:r w:rsidR="00D01B4E">
        <w:rPr>
          <w:iCs/>
        </w:rPr>
        <w:t>ount</w:t>
      </w:r>
      <w:r w:rsidR="00B81AAE">
        <w:rPr>
          <w:iCs/>
        </w:rPr>
        <w:t> 19</w:t>
      </w:r>
      <w:r w:rsidR="00D01B4E">
        <w:rPr>
          <w:iCs/>
        </w:rPr>
        <w:t>)</w:t>
      </w:r>
      <w:r w:rsidR="00A57356" w:rsidRPr="00A57356">
        <w:rPr>
          <w:iCs/>
        </w:rPr>
        <w:t>.</w:t>
      </w:r>
    </w:p>
    <w:p w14:paraId="0D1E47C3" w14:textId="5A92B523" w:rsidR="00A57356" w:rsidRDefault="00192221" w:rsidP="0024671D">
      <w:pPr>
        <w:ind w:right="-144"/>
        <w:rPr>
          <w:b/>
          <w:bCs/>
          <w:iCs/>
        </w:rPr>
      </w:pPr>
      <w:r>
        <w:rPr>
          <w:b/>
          <w:bCs/>
          <w:iCs/>
        </w:rPr>
        <w:lastRenderedPageBreak/>
        <w:tab/>
        <w:t>5.  The Sebastian Matter (</w:t>
      </w:r>
      <w:r w:rsidR="00A57356" w:rsidRPr="001207FA">
        <w:rPr>
          <w:b/>
          <w:bCs/>
          <w:iCs/>
        </w:rPr>
        <w:t>Case No. 12-</w:t>
      </w:r>
      <w:r w:rsidR="00AE7F21">
        <w:rPr>
          <w:b/>
          <w:bCs/>
          <w:iCs/>
        </w:rPr>
        <w:t>O</w:t>
      </w:r>
      <w:r w:rsidR="00A57356" w:rsidRPr="001207FA">
        <w:rPr>
          <w:b/>
          <w:bCs/>
          <w:iCs/>
        </w:rPr>
        <w:t>-13128</w:t>
      </w:r>
      <w:r>
        <w:rPr>
          <w:b/>
          <w:bCs/>
          <w:iCs/>
        </w:rPr>
        <w:t>) [</w:t>
      </w:r>
      <w:r w:rsidR="009C2101">
        <w:rPr>
          <w:b/>
          <w:bCs/>
          <w:iCs/>
        </w:rPr>
        <w:t>C</w:t>
      </w:r>
      <w:r>
        <w:rPr>
          <w:b/>
          <w:bCs/>
          <w:iCs/>
        </w:rPr>
        <w:t xml:space="preserve">ounts </w:t>
      </w:r>
      <w:r w:rsidR="00095AEB">
        <w:rPr>
          <w:b/>
          <w:bCs/>
          <w:iCs/>
        </w:rPr>
        <w:t>20</w:t>
      </w:r>
      <w:r w:rsidR="009C2101">
        <w:rPr>
          <w:b/>
          <w:bCs/>
          <w:iCs/>
        </w:rPr>
        <w:t xml:space="preserve"> </w:t>
      </w:r>
      <w:r>
        <w:rPr>
          <w:b/>
          <w:bCs/>
          <w:iCs/>
        </w:rPr>
        <w:t xml:space="preserve">through </w:t>
      </w:r>
      <w:r w:rsidR="00095AEB">
        <w:rPr>
          <w:b/>
          <w:bCs/>
          <w:iCs/>
        </w:rPr>
        <w:t>24</w:t>
      </w:r>
      <w:r>
        <w:rPr>
          <w:b/>
          <w:bCs/>
          <w:iCs/>
        </w:rPr>
        <w:t>]</w:t>
      </w:r>
    </w:p>
    <w:p w14:paraId="303FB498" w14:textId="77777777" w:rsidR="0024671D" w:rsidRPr="001207FA" w:rsidRDefault="0024671D" w:rsidP="0024671D">
      <w:pPr>
        <w:ind w:right="-144"/>
        <w:rPr>
          <w:b/>
          <w:bCs/>
          <w:iCs/>
        </w:rPr>
      </w:pPr>
    </w:p>
    <w:p w14:paraId="1640934A" w14:textId="0EA1A304" w:rsidR="00A57356" w:rsidRPr="00A57356" w:rsidRDefault="00B81AAE" w:rsidP="004A07BD">
      <w:pPr>
        <w:spacing w:line="480" w:lineRule="auto"/>
        <w:ind w:firstLine="720"/>
        <w:rPr>
          <w:iCs/>
        </w:rPr>
      </w:pPr>
      <w:r>
        <w:rPr>
          <w:iCs/>
        </w:rPr>
        <w:t>On February </w:t>
      </w:r>
      <w:r w:rsidR="00A57356" w:rsidRPr="00A57356">
        <w:rPr>
          <w:iCs/>
        </w:rPr>
        <w:t>11,</w:t>
      </w:r>
      <w:r w:rsidR="001207FA">
        <w:rPr>
          <w:iCs/>
        </w:rPr>
        <w:t xml:space="preserve"> </w:t>
      </w:r>
      <w:r w:rsidR="00A57356" w:rsidRPr="00A57356">
        <w:rPr>
          <w:iCs/>
        </w:rPr>
        <w:t xml:space="preserve">2010, Catalina Aquino Sebastian employed </w:t>
      </w:r>
      <w:r w:rsidR="00BF58ED">
        <w:rPr>
          <w:iCs/>
        </w:rPr>
        <w:t>Gonzalez</w:t>
      </w:r>
      <w:r w:rsidR="00A57356" w:rsidRPr="00A57356">
        <w:rPr>
          <w:iCs/>
        </w:rPr>
        <w:t xml:space="preserve"> to</w:t>
      </w:r>
      <w:r w:rsidR="004A07BD">
        <w:rPr>
          <w:iCs/>
        </w:rPr>
        <w:t xml:space="preserve"> </w:t>
      </w:r>
      <w:r w:rsidR="00A57356" w:rsidRPr="00A57356">
        <w:rPr>
          <w:iCs/>
        </w:rPr>
        <w:t xml:space="preserve">represent her in immigration proceedings </w:t>
      </w:r>
      <w:r w:rsidR="00761C91">
        <w:rPr>
          <w:iCs/>
        </w:rPr>
        <w:t xml:space="preserve">to </w:t>
      </w:r>
      <w:r w:rsidR="00A57356" w:rsidRPr="00A57356">
        <w:rPr>
          <w:iCs/>
        </w:rPr>
        <w:t>obtain legal residency in</w:t>
      </w:r>
      <w:r w:rsidR="004A07BD">
        <w:rPr>
          <w:iCs/>
        </w:rPr>
        <w:t xml:space="preserve"> </w:t>
      </w:r>
      <w:r w:rsidR="00A57356" w:rsidRPr="00A57356">
        <w:rPr>
          <w:iCs/>
        </w:rPr>
        <w:t xml:space="preserve">the United States. </w:t>
      </w:r>
      <w:r w:rsidR="0064476C">
        <w:rPr>
          <w:iCs/>
        </w:rPr>
        <w:t xml:space="preserve"> </w:t>
      </w:r>
      <w:r w:rsidR="00BF58ED">
        <w:rPr>
          <w:iCs/>
        </w:rPr>
        <w:t>Gonzalez</w:t>
      </w:r>
      <w:r w:rsidR="00A57356" w:rsidRPr="00A57356">
        <w:rPr>
          <w:iCs/>
        </w:rPr>
        <w:t xml:space="preserve"> agreed to perform all legal services related to the immigration</w:t>
      </w:r>
      <w:r w:rsidR="004A07BD">
        <w:rPr>
          <w:iCs/>
        </w:rPr>
        <w:t xml:space="preserve"> </w:t>
      </w:r>
      <w:r w:rsidR="00A57356" w:rsidRPr="00A57356">
        <w:rPr>
          <w:iCs/>
        </w:rPr>
        <w:t>proceeding, including</w:t>
      </w:r>
      <w:r w:rsidR="004A07BD">
        <w:rPr>
          <w:iCs/>
        </w:rPr>
        <w:t xml:space="preserve"> </w:t>
      </w:r>
      <w:r w:rsidR="00A57356" w:rsidRPr="00A57356">
        <w:rPr>
          <w:iCs/>
        </w:rPr>
        <w:t xml:space="preserve">investigation, analysis, document preparation, and appearances. </w:t>
      </w:r>
      <w:r w:rsidR="0064476C">
        <w:rPr>
          <w:iCs/>
        </w:rPr>
        <w:t xml:space="preserve"> </w:t>
      </w:r>
      <w:r w:rsidR="00A57356" w:rsidRPr="00A57356">
        <w:rPr>
          <w:iCs/>
        </w:rPr>
        <w:t>Between</w:t>
      </w:r>
      <w:r w:rsidR="004A07BD">
        <w:rPr>
          <w:iCs/>
        </w:rPr>
        <w:t xml:space="preserve"> </w:t>
      </w:r>
      <w:r w:rsidR="00A57356" w:rsidRPr="00A57356">
        <w:rPr>
          <w:iCs/>
        </w:rPr>
        <w:t>February</w:t>
      </w:r>
      <w:r>
        <w:rPr>
          <w:iCs/>
        </w:rPr>
        <w:t> </w:t>
      </w:r>
      <w:r w:rsidR="0064476C">
        <w:rPr>
          <w:iCs/>
        </w:rPr>
        <w:t>1</w:t>
      </w:r>
      <w:r w:rsidR="00D33F53">
        <w:rPr>
          <w:iCs/>
        </w:rPr>
        <w:t>0</w:t>
      </w:r>
      <w:r w:rsidR="00A57356" w:rsidRPr="00A57356">
        <w:rPr>
          <w:iCs/>
        </w:rPr>
        <w:t xml:space="preserve"> an</w:t>
      </w:r>
      <w:r w:rsidR="00BD222C">
        <w:rPr>
          <w:iCs/>
        </w:rPr>
        <w:t>d</w:t>
      </w:r>
      <w:r>
        <w:rPr>
          <w:iCs/>
        </w:rPr>
        <w:t xml:space="preserve"> </w:t>
      </w:r>
      <w:r w:rsidR="00BD222C">
        <w:rPr>
          <w:iCs/>
        </w:rPr>
        <w:t>June</w:t>
      </w:r>
      <w:r>
        <w:rPr>
          <w:iCs/>
        </w:rPr>
        <w:t> </w:t>
      </w:r>
      <w:r w:rsidR="00BD222C">
        <w:rPr>
          <w:iCs/>
        </w:rPr>
        <w:t xml:space="preserve">17, 2010, Sebastian paid installments of </w:t>
      </w:r>
      <w:r w:rsidR="00A57356" w:rsidRPr="00A57356">
        <w:rPr>
          <w:iCs/>
        </w:rPr>
        <w:t>advance</w:t>
      </w:r>
      <w:r w:rsidR="00067AA6">
        <w:rPr>
          <w:iCs/>
        </w:rPr>
        <w:t xml:space="preserve"> </w:t>
      </w:r>
      <w:r w:rsidR="00A57356" w:rsidRPr="00A57356">
        <w:rPr>
          <w:iCs/>
        </w:rPr>
        <w:t>attorney fees totaling $2,400.</w:t>
      </w:r>
    </w:p>
    <w:p w14:paraId="4D4423E0" w14:textId="0B72C589" w:rsidR="00D33F53" w:rsidRDefault="00A57356" w:rsidP="001E2C05">
      <w:pPr>
        <w:spacing w:line="480" w:lineRule="auto"/>
        <w:ind w:firstLine="720"/>
        <w:rPr>
          <w:iCs/>
        </w:rPr>
      </w:pPr>
      <w:r w:rsidRPr="00A57356">
        <w:rPr>
          <w:iCs/>
        </w:rPr>
        <w:t>On May</w:t>
      </w:r>
      <w:r w:rsidR="00B81AAE">
        <w:rPr>
          <w:iCs/>
        </w:rPr>
        <w:t> </w:t>
      </w:r>
      <w:r w:rsidRPr="00A57356">
        <w:rPr>
          <w:iCs/>
        </w:rPr>
        <w:t>27,</w:t>
      </w:r>
      <w:r w:rsidR="0064476C">
        <w:rPr>
          <w:iCs/>
        </w:rPr>
        <w:t xml:space="preserve"> </w:t>
      </w:r>
      <w:r w:rsidRPr="00A57356">
        <w:rPr>
          <w:iCs/>
        </w:rPr>
        <w:t>201</w:t>
      </w:r>
      <w:r w:rsidR="00420311">
        <w:rPr>
          <w:iCs/>
        </w:rPr>
        <w:t>1</w:t>
      </w:r>
      <w:r w:rsidRPr="00A57356">
        <w:rPr>
          <w:iCs/>
        </w:rPr>
        <w:t xml:space="preserve">, </w:t>
      </w:r>
      <w:r w:rsidR="00BF58ED">
        <w:rPr>
          <w:iCs/>
        </w:rPr>
        <w:t>Gonzalez</w:t>
      </w:r>
      <w:r w:rsidRPr="00A57356">
        <w:rPr>
          <w:iCs/>
        </w:rPr>
        <w:t xml:space="preserve"> was suspended for 60 days</w:t>
      </w:r>
      <w:r w:rsidR="004A07BD">
        <w:rPr>
          <w:iCs/>
        </w:rPr>
        <w:t xml:space="preserve">, but did not </w:t>
      </w:r>
      <w:r w:rsidRPr="00A57356">
        <w:rPr>
          <w:iCs/>
        </w:rPr>
        <w:t>notif</w:t>
      </w:r>
      <w:r w:rsidR="0064476C">
        <w:rPr>
          <w:iCs/>
        </w:rPr>
        <w:t>y</w:t>
      </w:r>
      <w:r w:rsidRPr="00A57356">
        <w:rPr>
          <w:iCs/>
        </w:rPr>
        <w:t xml:space="preserve"> </w:t>
      </w:r>
      <w:r w:rsidR="00C51347">
        <w:rPr>
          <w:iCs/>
        </w:rPr>
        <w:t>Sebastian</w:t>
      </w:r>
      <w:r w:rsidR="00761C91">
        <w:rPr>
          <w:iCs/>
        </w:rPr>
        <w:t xml:space="preserve">.  </w:t>
      </w:r>
      <w:r w:rsidRPr="00A57356">
        <w:rPr>
          <w:iCs/>
        </w:rPr>
        <w:t xml:space="preserve">Between February 2010 and November 2011, </w:t>
      </w:r>
      <w:r w:rsidR="00C51347">
        <w:rPr>
          <w:iCs/>
        </w:rPr>
        <w:t>she</w:t>
      </w:r>
      <w:r w:rsidRPr="00A57356">
        <w:rPr>
          <w:iCs/>
        </w:rPr>
        <w:t xml:space="preserve"> telephoned </w:t>
      </w:r>
      <w:r w:rsidR="00BF58ED">
        <w:rPr>
          <w:iCs/>
        </w:rPr>
        <w:t>Gonzalez</w:t>
      </w:r>
      <w:r w:rsidR="00A84475">
        <w:rPr>
          <w:iCs/>
        </w:rPr>
        <w:t xml:space="preserve"> </w:t>
      </w:r>
      <w:r w:rsidRPr="00A57356">
        <w:rPr>
          <w:iCs/>
        </w:rPr>
        <w:t xml:space="preserve">repeatedly and asked about the status of her immigration matter. </w:t>
      </w:r>
      <w:r w:rsidR="00303092">
        <w:rPr>
          <w:iCs/>
        </w:rPr>
        <w:t xml:space="preserve"> </w:t>
      </w:r>
      <w:r w:rsidR="00BF58ED">
        <w:rPr>
          <w:iCs/>
        </w:rPr>
        <w:t>Gonzalez</w:t>
      </w:r>
      <w:r w:rsidRPr="00A57356">
        <w:rPr>
          <w:iCs/>
        </w:rPr>
        <w:t xml:space="preserve"> did not respond.</w:t>
      </w:r>
      <w:r w:rsidR="00D33F53">
        <w:rPr>
          <w:iCs/>
        </w:rPr>
        <w:t xml:space="preserve">  </w:t>
      </w:r>
      <w:r w:rsidR="00C51347">
        <w:rPr>
          <w:iCs/>
        </w:rPr>
        <w:t>When Sebastian called Gonzalez i</w:t>
      </w:r>
      <w:r w:rsidRPr="00A57356">
        <w:rPr>
          <w:iCs/>
        </w:rPr>
        <w:t>n November 201</w:t>
      </w:r>
      <w:r w:rsidR="00B81AAE">
        <w:rPr>
          <w:iCs/>
        </w:rPr>
        <w:t>1</w:t>
      </w:r>
      <w:r w:rsidRPr="00A57356">
        <w:rPr>
          <w:iCs/>
        </w:rPr>
        <w:t xml:space="preserve">, </w:t>
      </w:r>
      <w:r w:rsidR="00C51347">
        <w:rPr>
          <w:iCs/>
        </w:rPr>
        <w:t>she</w:t>
      </w:r>
      <w:r w:rsidRPr="00A57356">
        <w:rPr>
          <w:iCs/>
        </w:rPr>
        <w:t xml:space="preserve"> learned that </w:t>
      </w:r>
      <w:r w:rsidR="00D33F53">
        <w:rPr>
          <w:iCs/>
        </w:rPr>
        <w:t xml:space="preserve">his telephone had been disconnected and he </w:t>
      </w:r>
      <w:r w:rsidR="00C51347">
        <w:rPr>
          <w:iCs/>
        </w:rPr>
        <w:t xml:space="preserve">had </w:t>
      </w:r>
      <w:r w:rsidRPr="00A57356">
        <w:rPr>
          <w:iCs/>
        </w:rPr>
        <w:t xml:space="preserve">moved out of his office. </w:t>
      </w:r>
      <w:r w:rsidR="00303092">
        <w:rPr>
          <w:iCs/>
        </w:rPr>
        <w:t xml:space="preserve"> </w:t>
      </w:r>
      <w:r w:rsidR="00BF58ED">
        <w:rPr>
          <w:iCs/>
        </w:rPr>
        <w:t>Gonzalez</w:t>
      </w:r>
      <w:r w:rsidRPr="00A57356">
        <w:rPr>
          <w:iCs/>
        </w:rPr>
        <w:t xml:space="preserve"> did not inform </w:t>
      </w:r>
      <w:r w:rsidR="00C51347">
        <w:rPr>
          <w:iCs/>
        </w:rPr>
        <w:t>Sebastian</w:t>
      </w:r>
      <w:r w:rsidR="00D33F53">
        <w:rPr>
          <w:iCs/>
        </w:rPr>
        <w:t xml:space="preserve"> </w:t>
      </w:r>
      <w:r w:rsidRPr="00A57356">
        <w:rPr>
          <w:iCs/>
        </w:rPr>
        <w:t>that he was</w:t>
      </w:r>
      <w:r w:rsidR="00A84475">
        <w:rPr>
          <w:iCs/>
        </w:rPr>
        <w:t xml:space="preserve"> </w:t>
      </w:r>
      <w:r w:rsidRPr="00A57356">
        <w:rPr>
          <w:iCs/>
        </w:rPr>
        <w:t>relocating</w:t>
      </w:r>
      <w:r w:rsidR="00761C91">
        <w:rPr>
          <w:iCs/>
        </w:rPr>
        <w:t xml:space="preserve">, </w:t>
      </w:r>
      <w:r w:rsidR="00095AEB">
        <w:rPr>
          <w:iCs/>
        </w:rPr>
        <w:t>n</w:t>
      </w:r>
      <w:r w:rsidR="00761C91">
        <w:rPr>
          <w:iCs/>
        </w:rPr>
        <w:t>or</w:t>
      </w:r>
      <w:r w:rsidR="00095AEB">
        <w:rPr>
          <w:iCs/>
        </w:rPr>
        <w:t xml:space="preserve"> did he</w:t>
      </w:r>
      <w:r w:rsidR="00761C91">
        <w:rPr>
          <w:iCs/>
        </w:rPr>
        <w:t xml:space="preserve"> </w:t>
      </w:r>
      <w:r w:rsidRPr="00A57356">
        <w:rPr>
          <w:iCs/>
        </w:rPr>
        <w:t>provide her with his new address or telephone</w:t>
      </w:r>
      <w:r w:rsidR="00A84475">
        <w:rPr>
          <w:iCs/>
        </w:rPr>
        <w:t xml:space="preserve"> </w:t>
      </w:r>
      <w:r w:rsidRPr="00A57356">
        <w:rPr>
          <w:iCs/>
        </w:rPr>
        <w:t>number.</w:t>
      </w:r>
      <w:r w:rsidR="00A84475">
        <w:rPr>
          <w:iCs/>
        </w:rPr>
        <w:t xml:space="preserve">  </w:t>
      </w:r>
    </w:p>
    <w:p w14:paraId="07963A1E" w14:textId="161581AB" w:rsidR="00BD222C" w:rsidRDefault="00B81AAE" w:rsidP="001E2C05">
      <w:pPr>
        <w:spacing w:line="480" w:lineRule="auto"/>
        <w:ind w:firstLine="720"/>
        <w:rPr>
          <w:iCs/>
        </w:rPr>
      </w:pPr>
      <w:r>
        <w:rPr>
          <w:iCs/>
        </w:rPr>
        <w:t>In December 2011</w:t>
      </w:r>
      <w:r w:rsidR="00A57356" w:rsidRPr="00A57356">
        <w:rPr>
          <w:iCs/>
        </w:rPr>
        <w:t xml:space="preserve">, Sebastian discovered new contact information for </w:t>
      </w:r>
      <w:r w:rsidR="00BF58ED">
        <w:rPr>
          <w:iCs/>
        </w:rPr>
        <w:t>Gonzalez</w:t>
      </w:r>
      <w:r w:rsidR="00A57356" w:rsidRPr="00A57356">
        <w:rPr>
          <w:iCs/>
        </w:rPr>
        <w:t xml:space="preserve">. </w:t>
      </w:r>
      <w:r w:rsidR="00303092">
        <w:rPr>
          <w:iCs/>
        </w:rPr>
        <w:t xml:space="preserve"> </w:t>
      </w:r>
      <w:r w:rsidR="00A57356" w:rsidRPr="00A57356">
        <w:rPr>
          <w:iCs/>
        </w:rPr>
        <w:t>She</w:t>
      </w:r>
      <w:r w:rsidR="00A84475">
        <w:rPr>
          <w:iCs/>
        </w:rPr>
        <w:t xml:space="preserve"> </w:t>
      </w:r>
      <w:r w:rsidR="00761C91">
        <w:rPr>
          <w:iCs/>
        </w:rPr>
        <w:t xml:space="preserve">called </w:t>
      </w:r>
      <w:r w:rsidR="00945C20">
        <w:rPr>
          <w:iCs/>
        </w:rPr>
        <w:t>him, and</w:t>
      </w:r>
      <w:r w:rsidR="00A57356" w:rsidRPr="00A57356">
        <w:rPr>
          <w:iCs/>
        </w:rPr>
        <w:t xml:space="preserve"> they scheduled a meeting.</w:t>
      </w:r>
      <w:r w:rsidR="00303092">
        <w:rPr>
          <w:iCs/>
        </w:rPr>
        <w:t xml:space="preserve"> </w:t>
      </w:r>
      <w:r w:rsidR="00A84475">
        <w:rPr>
          <w:iCs/>
        </w:rPr>
        <w:t xml:space="preserve"> </w:t>
      </w:r>
      <w:r w:rsidR="00BF58ED">
        <w:rPr>
          <w:iCs/>
        </w:rPr>
        <w:t>Gonzalez</w:t>
      </w:r>
      <w:r w:rsidR="00687623">
        <w:rPr>
          <w:iCs/>
        </w:rPr>
        <w:t xml:space="preserve"> did not </w:t>
      </w:r>
      <w:r w:rsidR="00945C20">
        <w:rPr>
          <w:iCs/>
        </w:rPr>
        <w:t>appear</w:t>
      </w:r>
      <w:r w:rsidR="00A57356" w:rsidRPr="00A57356">
        <w:rPr>
          <w:iCs/>
        </w:rPr>
        <w:t xml:space="preserve"> at the </w:t>
      </w:r>
      <w:r w:rsidR="0068562B">
        <w:rPr>
          <w:iCs/>
        </w:rPr>
        <w:t>appointed</w:t>
      </w:r>
      <w:r w:rsidR="00A57356" w:rsidRPr="00A57356">
        <w:rPr>
          <w:iCs/>
        </w:rPr>
        <w:t xml:space="preserve"> time and place, and did</w:t>
      </w:r>
      <w:r w:rsidR="00A84475">
        <w:rPr>
          <w:iCs/>
        </w:rPr>
        <w:t xml:space="preserve"> </w:t>
      </w:r>
      <w:r w:rsidR="00A57356" w:rsidRPr="00A57356">
        <w:rPr>
          <w:iCs/>
        </w:rPr>
        <w:t xml:space="preserve">not communicate with </w:t>
      </w:r>
      <w:r w:rsidR="00687623">
        <w:rPr>
          <w:iCs/>
        </w:rPr>
        <w:t>her</w:t>
      </w:r>
      <w:r w:rsidR="00A57356" w:rsidRPr="00A57356">
        <w:rPr>
          <w:iCs/>
        </w:rPr>
        <w:t xml:space="preserve"> thereafter.</w:t>
      </w:r>
      <w:r w:rsidR="00BD222C">
        <w:rPr>
          <w:iCs/>
        </w:rPr>
        <w:t xml:space="preserve">  </w:t>
      </w:r>
      <w:r w:rsidR="00A57356" w:rsidRPr="00A57356">
        <w:rPr>
          <w:iCs/>
        </w:rPr>
        <w:t xml:space="preserve">In February 2012, Sebastian located </w:t>
      </w:r>
      <w:r w:rsidR="00BF58ED">
        <w:rPr>
          <w:iCs/>
        </w:rPr>
        <w:t>Gonzalez</w:t>
      </w:r>
      <w:r w:rsidR="00945C20">
        <w:rPr>
          <w:iCs/>
        </w:rPr>
        <w:t>’</w:t>
      </w:r>
      <w:r w:rsidR="00A57356" w:rsidRPr="00A57356">
        <w:rPr>
          <w:iCs/>
        </w:rPr>
        <w:t xml:space="preserve">s new office in San Diego. </w:t>
      </w:r>
      <w:r w:rsidR="005F7D62">
        <w:rPr>
          <w:iCs/>
        </w:rPr>
        <w:t xml:space="preserve"> </w:t>
      </w:r>
      <w:r w:rsidR="00A57356" w:rsidRPr="00A57356">
        <w:rPr>
          <w:iCs/>
        </w:rPr>
        <w:t>She went t</w:t>
      </w:r>
      <w:r w:rsidR="00945C20">
        <w:rPr>
          <w:iCs/>
        </w:rPr>
        <w:t>here</w:t>
      </w:r>
      <w:r w:rsidR="00A57356" w:rsidRPr="00A57356">
        <w:rPr>
          <w:iCs/>
        </w:rPr>
        <w:t xml:space="preserve"> to meet with </w:t>
      </w:r>
      <w:r w:rsidR="00687623">
        <w:rPr>
          <w:iCs/>
        </w:rPr>
        <w:t>him</w:t>
      </w:r>
      <w:r w:rsidR="00A57356" w:rsidRPr="00A57356">
        <w:rPr>
          <w:iCs/>
        </w:rPr>
        <w:t>, but was told by staff that he was no longer eligible to</w:t>
      </w:r>
      <w:r w:rsidR="001E2C05">
        <w:rPr>
          <w:iCs/>
        </w:rPr>
        <w:t xml:space="preserve"> </w:t>
      </w:r>
      <w:r w:rsidR="00A57356" w:rsidRPr="00A57356">
        <w:rPr>
          <w:iCs/>
        </w:rPr>
        <w:t>practice law.</w:t>
      </w:r>
      <w:r w:rsidR="005F7D62">
        <w:rPr>
          <w:iCs/>
        </w:rPr>
        <w:t xml:space="preserve">  </w:t>
      </w:r>
    </w:p>
    <w:p w14:paraId="596A7507" w14:textId="33D7671A" w:rsidR="00A57356" w:rsidRDefault="00BD222C" w:rsidP="00A57356">
      <w:pPr>
        <w:spacing w:line="480" w:lineRule="auto"/>
        <w:rPr>
          <w:iCs/>
        </w:rPr>
      </w:pPr>
      <w:r>
        <w:rPr>
          <w:iCs/>
        </w:rPr>
        <w:tab/>
      </w:r>
      <w:r w:rsidR="00A57356" w:rsidRPr="00A57356">
        <w:rPr>
          <w:iCs/>
        </w:rPr>
        <w:t xml:space="preserve">Between February 2010 and February 2012, </w:t>
      </w:r>
      <w:r w:rsidR="00BF58ED">
        <w:rPr>
          <w:iCs/>
        </w:rPr>
        <w:t>Gonzalez</w:t>
      </w:r>
      <w:r w:rsidR="00A57356" w:rsidRPr="00A57356">
        <w:rPr>
          <w:iCs/>
        </w:rPr>
        <w:t xml:space="preserve"> did not perform any services for</w:t>
      </w:r>
      <w:r w:rsidR="005F7D62">
        <w:rPr>
          <w:iCs/>
        </w:rPr>
        <w:t xml:space="preserve"> </w:t>
      </w:r>
      <w:r w:rsidR="00A57356" w:rsidRPr="00A57356">
        <w:rPr>
          <w:iCs/>
        </w:rPr>
        <w:t>Sebastian</w:t>
      </w:r>
      <w:r>
        <w:rPr>
          <w:iCs/>
        </w:rPr>
        <w:t xml:space="preserve">.  He did not </w:t>
      </w:r>
      <w:r w:rsidR="00783B73">
        <w:rPr>
          <w:iCs/>
        </w:rPr>
        <w:t xml:space="preserve">earn </w:t>
      </w:r>
      <w:r w:rsidR="00A57356" w:rsidRPr="00A57356">
        <w:rPr>
          <w:iCs/>
        </w:rPr>
        <w:t xml:space="preserve">any fees </w:t>
      </w:r>
      <w:r w:rsidR="00783B73">
        <w:rPr>
          <w:iCs/>
        </w:rPr>
        <w:t xml:space="preserve">she advanced, and did not provide </w:t>
      </w:r>
      <w:r>
        <w:rPr>
          <w:iCs/>
        </w:rPr>
        <w:t xml:space="preserve">an </w:t>
      </w:r>
      <w:r w:rsidR="00D85EC4">
        <w:rPr>
          <w:iCs/>
        </w:rPr>
        <w:t>accounting</w:t>
      </w:r>
      <w:r>
        <w:rPr>
          <w:iCs/>
        </w:rPr>
        <w:t xml:space="preserve"> or </w:t>
      </w:r>
      <w:r w:rsidR="00783B73">
        <w:rPr>
          <w:iCs/>
        </w:rPr>
        <w:t>refund</w:t>
      </w:r>
      <w:r w:rsidR="00A57356" w:rsidRPr="00A57356">
        <w:rPr>
          <w:iCs/>
        </w:rPr>
        <w:t>.</w:t>
      </w:r>
      <w:r w:rsidR="00D85EC4">
        <w:rPr>
          <w:iCs/>
        </w:rPr>
        <w:t xml:space="preserve">  On April</w:t>
      </w:r>
      <w:r w:rsidR="00B81AAE">
        <w:rPr>
          <w:iCs/>
        </w:rPr>
        <w:t> </w:t>
      </w:r>
      <w:r w:rsidR="00D85EC4">
        <w:rPr>
          <w:iCs/>
        </w:rPr>
        <w:t xml:space="preserve">16, 2012, Sebastian filed a State Bar </w:t>
      </w:r>
      <w:r w:rsidR="00833D3F">
        <w:rPr>
          <w:iCs/>
        </w:rPr>
        <w:t>c</w:t>
      </w:r>
      <w:r w:rsidR="00D85EC4">
        <w:rPr>
          <w:iCs/>
        </w:rPr>
        <w:t>omplaint.</w:t>
      </w:r>
    </w:p>
    <w:p w14:paraId="11053348" w14:textId="558A29B1" w:rsidR="00A57356" w:rsidRPr="00A57356" w:rsidRDefault="00783B73" w:rsidP="00C756EB">
      <w:pPr>
        <w:spacing w:line="480" w:lineRule="auto"/>
        <w:ind w:right="-144"/>
        <w:rPr>
          <w:iCs/>
        </w:rPr>
      </w:pPr>
      <w:r>
        <w:rPr>
          <w:iCs/>
        </w:rPr>
        <w:tab/>
        <w:t>Gonzalez committed five ethical violations:</w:t>
      </w:r>
      <w:r w:rsidR="00F109C2">
        <w:rPr>
          <w:iCs/>
        </w:rPr>
        <w:t xml:space="preserve"> </w:t>
      </w:r>
      <w:r w:rsidR="000F56B8">
        <w:rPr>
          <w:iCs/>
        </w:rPr>
        <w:t>(1)</w:t>
      </w:r>
      <w:r w:rsidR="00B81AAE">
        <w:rPr>
          <w:iCs/>
        </w:rPr>
        <w:t> h</w:t>
      </w:r>
      <w:r w:rsidR="007A554A">
        <w:rPr>
          <w:iCs/>
        </w:rPr>
        <w:t>e</w:t>
      </w:r>
      <w:r w:rsidRPr="00A57356">
        <w:rPr>
          <w:iCs/>
        </w:rPr>
        <w:t xml:space="preserve"> willfully violated rule</w:t>
      </w:r>
      <w:r w:rsidR="00B81AAE">
        <w:rPr>
          <w:iCs/>
        </w:rPr>
        <w:t> </w:t>
      </w:r>
      <w:r w:rsidRPr="00A57356">
        <w:rPr>
          <w:iCs/>
        </w:rPr>
        <w:t xml:space="preserve">3-110(A) </w:t>
      </w:r>
      <w:r>
        <w:rPr>
          <w:iCs/>
        </w:rPr>
        <w:t>by</w:t>
      </w:r>
      <w:r w:rsidR="008C730E" w:rsidRPr="008C730E">
        <w:rPr>
          <w:iCs/>
        </w:rPr>
        <w:t xml:space="preserve"> failing to perform any of the services he had agreed to </w:t>
      </w:r>
      <w:r w:rsidR="00FE309F">
        <w:rPr>
          <w:iCs/>
        </w:rPr>
        <w:t>provide</w:t>
      </w:r>
      <w:r w:rsidR="00A57356" w:rsidRPr="00A57356">
        <w:rPr>
          <w:iCs/>
        </w:rPr>
        <w:t xml:space="preserve"> </w:t>
      </w:r>
      <w:r w:rsidR="008C730E">
        <w:rPr>
          <w:iCs/>
        </w:rPr>
        <w:t>(</w:t>
      </w:r>
      <w:r w:rsidR="00B81AAE">
        <w:rPr>
          <w:iCs/>
        </w:rPr>
        <w:t>c</w:t>
      </w:r>
      <w:r w:rsidR="008C730E">
        <w:rPr>
          <w:iCs/>
        </w:rPr>
        <w:t>ount</w:t>
      </w:r>
      <w:r w:rsidR="009C2101">
        <w:rPr>
          <w:iCs/>
        </w:rPr>
        <w:t xml:space="preserve"> </w:t>
      </w:r>
      <w:r w:rsidR="00B81AAE">
        <w:rPr>
          <w:iCs/>
        </w:rPr>
        <w:t>20</w:t>
      </w:r>
      <w:r w:rsidR="008C730E">
        <w:rPr>
          <w:iCs/>
        </w:rPr>
        <w:t>)</w:t>
      </w:r>
      <w:r w:rsidR="00F109C2">
        <w:rPr>
          <w:iCs/>
        </w:rPr>
        <w:t>;</w:t>
      </w:r>
      <w:r w:rsidR="008C730E">
        <w:rPr>
          <w:iCs/>
        </w:rPr>
        <w:t xml:space="preserve"> </w:t>
      </w:r>
      <w:r w:rsidR="000F56B8">
        <w:rPr>
          <w:iCs/>
        </w:rPr>
        <w:t>(2)</w:t>
      </w:r>
      <w:r w:rsidR="00B81AAE">
        <w:rPr>
          <w:iCs/>
        </w:rPr>
        <w:t> </w:t>
      </w:r>
      <w:r w:rsidR="00D85EC4">
        <w:rPr>
          <w:iCs/>
        </w:rPr>
        <w:t>h</w:t>
      </w:r>
      <w:r w:rsidR="007A554A">
        <w:rPr>
          <w:iCs/>
        </w:rPr>
        <w:t>e</w:t>
      </w:r>
      <w:r w:rsidRPr="00A57356">
        <w:rPr>
          <w:iCs/>
        </w:rPr>
        <w:t xml:space="preserve"> willfully violated section</w:t>
      </w:r>
      <w:r w:rsidR="00B81AAE">
        <w:rPr>
          <w:iCs/>
        </w:rPr>
        <w:t> </w:t>
      </w:r>
      <w:r w:rsidRPr="00A57356">
        <w:rPr>
          <w:iCs/>
        </w:rPr>
        <w:t>6068, subdivision</w:t>
      </w:r>
      <w:r w:rsidR="00B81AAE">
        <w:rPr>
          <w:iCs/>
        </w:rPr>
        <w:t> </w:t>
      </w:r>
      <w:r w:rsidRPr="00A57356">
        <w:rPr>
          <w:iCs/>
        </w:rPr>
        <w:t>(m)</w:t>
      </w:r>
      <w:r w:rsidR="00B81AAE">
        <w:rPr>
          <w:iCs/>
        </w:rPr>
        <w:t>,</w:t>
      </w:r>
      <w:r>
        <w:rPr>
          <w:iCs/>
        </w:rPr>
        <w:t xml:space="preserve"> </w:t>
      </w:r>
      <w:r w:rsidR="007A554A">
        <w:rPr>
          <w:iCs/>
        </w:rPr>
        <w:t>by</w:t>
      </w:r>
      <w:r w:rsidR="00A57356" w:rsidRPr="00A57356">
        <w:rPr>
          <w:iCs/>
        </w:rPr>
        <w:t xml:space="preserve"> failing to respond to </w:t>
      </w:r>
      <w:r w:rsidR="00C756EB">
        <w:rPr>
          <w:iCs/>
        </w:rPr>
        <w:t xml:space="preserve">his </w:t>
      </w:r>
      <w:r w:rsidR="00D33F53">
        <w:rPr>
          <w:iCs/>
        </w:rPr>
        <w:t>client</w:t>
      </w:r>
      <w:r w:rsidR="00C756EB">
        <w:rPr>
          <w:iCs/>
        </w:rPr>
        <w:t>’s</w:t>
      </w:r>
      <w:r w:rsidR="00A57356" w:rsidRPr="00A57356">
        <w:rPr>
          <w:iCs/>
        </w:rPr>
        <w:t xml:space="preserve"> telephone calls seeking a status update</w:t>
      </w:r>
      <w:r w:rsidR="008C730E">
        <w:rPr>
          <w:iCs/>
        </w:rPr>
        <w:t xml:space="preserve"> (</w:t>
      </w:r>
      <w:r w:rsidR="00B81AAE">
        <w:rPr>
          <w:iCs/>
        </w:rPr>
        <w:t>c</w:t>
      </w:r>
      <w:r w:rsidR="008C730E">
        <w:rPr>
          <w:iCs/>
        </w:rPr>
        <w:t>ount</w:t>
      </w:r>
      <w:r w:rsidR="00B81AAE">
        <w:rPr>
          <w:iCs/>
        </w:rPr>
        <w:t> 21</w:t>
      </w:r>
      <w:r w:rsidR="008C730E">
        <w:rPr>
          <w:iCs/>
        </w:rPr>
        <w:t>)</w:t>
      </w:r>
      <w:r w:rsidR="00F109C2">
        <w:rPr>
          <w:iCs/>
        </w:rPr>
        <w:t xml:space="preserve">; </w:t>
      </w:r>
      <w:r w:rsidR="00B81AAE">
        <w:rPr>
          <w:iCs/>
        </w:rPr>
        <w:t>(3) </w:t>
      </w:r>
      <w:r w:rsidR="00D85EC4">
        <w:rPr>
          <w:iCs/>
        </w:rPr>
        <w:t>h</w:t>
      </w:r>
      <w:r w:rsidR="007A554A">
        <w:rPr>
          <w:iCs/>
        </w:rPr>
        <w:t>e</w:t>
      </w:r>
      <w:r w:rsidR="007A554A" w:rsidRPr="00A57356">
        <w:rPr>
          <w:iCs/>
        </w:rPr>
        <w:t xml:space="preserve"> willfully violated rule</w:t>
      </w:r>
      <w:r w:rsidR="00B81AAE">
        <w:rPr>
          <w:iCs/>
        </w:rPr>
        <w:t> </w:t>
      </w:r>
      <w:r w:rsidR="007A554A" w:rsidRPr="00A57356">
        <w:rPr>
          <w:iCs/>
        </w:rPr>
        <w:t xml:space="preserve">3-700(A)(2) </w:t>
      </w:r>
      <w:r w:rsidR="007A554A">
        <w:rPr>
          <w:iCs/>
        </w:rPr>
        <w:t>by</w:t>
      </w:r>
      <w:r w:rsidR="00A57356" w:rsidRPr="00A57356">
        <w:rPr>
          <w:iCs/>
        </w:rPr>
        <w:t xml:space="preserve"> constructively withdr</w:t>
      </w:r>
      <w:r w:rsidR="008C730E">
        <w:rPr>
          <w:iCs/>
        </w:rPr>
        <w:t xml:space="preserve">awing </w:t>
      </w:r>
      <w:r w:rsidR="00A57356" w:rsidRPr="00A57356">
        <w:rPr>
          <w:iCs/>
        </w:rPr>
        <w:t xml:space="preserve">from </w:t>
      </w:r>
      <w:r w:rsidR="00A57356" w:rsidRPr="00A57356">
        <w:rPr>
          <w:iCs/>
        </w:rPr>
        <w:lastRenderedPageBreak/>
        <w:t>employment</w:t>
      </w:r>
      <w:r w:rsidR="00687623">
        <w:rPr>
          <w:iCs/>
        </w:rPr>
        <w:t>,</w:t>
      </w:r>
      <w:r w:rsidR="00A57356" w:rsidRPr="00A57356">
        <w:rPr>
          <w:iCs/>
        </w:rPr>
        <w:t xml:space="preserve"> failing to perform any services over a two-year period, failing to provide her with status updates, moving his offices without notice</w:t>
      </w:r>
      <w:r w:rsidR="00D33F53">
        <w:rPr>
          <w:iCs/>
        </w:rPr>
        <w:t>, and not taking steps to avoid reasonably foreseeable prejudice to his client</w:t>
      </w:r>
      <w:r w:rsidR="00A57356" w:rsidRPr="00A57356">
        <w:rPr>
          <w:iCs/>
        </w:rPr>
        <w:t xml:space="preserve"> </w:t>
      </w:r>
      <w:r w:rsidR="00E8631A">
        <w:rPr>
          <w:iCs/>
        </w:rPr>
        <w:t>(</w:t>
      </w:r>
      <w:r w:rsidR="00B81AAE">
        <w:rPr>
          <w:iCs/>
        </w:rPr>
        <w:t>c</w:t>
      </w:r>
      <w:r w:rsidR="00E8631A">
        <w:rPr>
          <w:iCs/>
        </w:rPr>
        <w:t>ount</w:t>
      </w:r>
      <w:r w:rsidR="00B81AAE">
        <w:rPr>
          <w:iCs/>
        </w:rPr>
        <w:t> 22</w:t>
      </w:r>
      <w:r w:rsidR="00E8631A">
        <w:rPr>
          <w:iCs/>
        </w:rPr>
        <w:t>)</w:t>
      </w:r>
      <w:r w:rsidR="00F109C2">
        <w:rPr>
          <w:iCs/>
        </w:rPr>
        <w:t xml:space="preserve">; </w:t>
      </w:r>
      <w:r w:rsidR="000F56B8">
        <w:rPr>
          <w:iCs/>
        </w:rPr>
        <w:t>(4)</w:t>
      </w:r>
      <w:r w:rsidR="00B81AAE">
        <w:rPr>
          <w:iCs/>
        </w:rPr>
        <w:t> </w:t>
      </w:r>
      <w:r w:rsidR="00D85EC4">
        <w:rPr>
          <w:iCs/>
        </w:rPr>
        <w:t>h</w:t>
      </w:r>
      <w:r w:rsidR="007A554A">
        <w:rPr>
          <w:iCs/>
        </w:rPr>
        <w:t xml:space="preserve">e </w:t>
      </w:r>
      <w:r w:rsidR="007A554A" w:rsidRPr="00A57356">
        <w:rPr>
          <w:iCs/>
        </w:rPr>
        <w:t>willful</w:t>
      </w:r>
      <w:r w:rsidR="00E01D91">
        <w:rPr>
          <w:iCs/>
        </w:rPr>
        <w:t>ly</w:t>
      </w:r>
      <w:r w:rsidR="007A554A" w:rsidRPr="00A57356">
        <w:rPr>
          <w:iCs/>
        </w:rPr>
        <w:t xml:space="preserve"> violat</w:t>
      </w:r>
      <w:r w:rsidR="00E01D91">
        <w:rPr>
          <w:iCs/>
        </w:rPr>
        <w:t>ed</w:t>
      </w:r>
      <w:r w:rsidR="007A554A" w:rsidRPr="00A57356">
        <w:rPr>
          <w:iCs/>
        </w:rPr>
        <w:t xml:space="preserve"> rule</w:t>
      </w:r>
      <w:r w:rsidR="00B81AAE">
        <w:rPr>
          <w:iCs/>
        </w:rPr>
        <w:t> </w:t>
      </w:r>
      <w:r w:rsidR="007A554A" w:rsidRPr="00A57356">
        <w:rPr>
          <w:iCs/>
        </w:rPr>
        <w:t>4-100(B</w:t>
      </w:r>
      <w:r w:rsidR="007A554A">
        <w:rPr>
          <w:iCs/>
        </w:rPr>
        <w:t>)(</w:t>
      </w:r>
      <w:r w:rsidR="007A554A" w:rsidRPr="00A57356">
        <w:rPr>
          <w:iCs/>
        </w:rPr>
        <w:t>3)</w:t>
      </w:r>
      <w:r w:rsidR="007A554A">
        <w:rPr>
          <w:iCs/>
        </w:rPr>
        <w:t xml:space="preserve"> by</w:t>
      </w:r>
      <w:r w:rsidR="00A57356" w:rsidRPr="00A57356">
        <w:rPr>
          <w:iCs/>
        </w:rPr>
        <w:t xml:space="preserve"> failing to provide an accoun</w:t>
      </w:r>
      <w:r w:rsidR="00B81AAE">
        <w:rPr>
          <w:iCs/>
        </w:rPr>
        <w:t xml:space="preserve">ting </w:t>
      </w:r>
      <w:r w:rsidR="00945C20">
        <w:rPr>
          <w:iCs/>
        </w:rPr>
        <w:t>o</w:t>
      </w:r>
      <w:r w:rsidR="00B81AAE">
        <w:rPr>
          <w:iCs/>
        </w:rPr>
        <w:t xml:space="preserve">f the $2,400 advance </w:t>
      </w:r>
      <w:r w:rsidR="00A57356" w:rsidRPr="00A57356">
        <w:rPr>
          <w:iCs/>
        </w:rPr>
        <w:t>fee</w:t>
      </w:r>
      <w:r w:rsidR="007A554A">
        <w:rPr>
          <w:iCs/>
        </w:rPr>
        <w:t xml:space="preserve"> and failing to </w:t>
      </w:r>
      <w:r w:rsidR="00A57356" w:rsidRPr="00A57356">
        <w:rPr>
          <w:iCs/>
        </w:rPr>
        <w:t xml:space="preserve">render </w:t>
      </w:r>
      <w:r w:rsidR="007A554A">
        <w:rPr>
          <w:iCs/>
        </w:rPr>
        <w:t xml:space="preserve">an </w:t>
      </w:r>
      <w:r w:rsidR="00A57356" w:rsidRPr="00A57356">
        <w:rPr>
          <w:iCs/>
        </w:rPr>
        <w:t>appropriate account</w:t>
      </w:r>
      <w:r w:rsidR="007A554A">
        <w:rPr>
          <w:iCs/>
        </w:rPr>
        <w:t>ing</w:t>
      </w:r>
      <w:r w:rsidR="00A57356" w:rsidRPr="00A57356">
        <w:rPr>
          <w:iCs/>
        </w:rPr>
        <w:t xml:space="preserve"> </w:t>
      </w:r>
      <w:r w:rsidR="007A554A">
        <w:rPr>
          <w:iCs/>
        </w:rPr>
        <w:t>(</w:t>
      </w:r>
      <w:r w:rsidR="00B81AAE">
        <w:rPr>
          <w:iCs/>
        </w:rPr>
        <w:t>c</w:t>
      </w:r>
      <w:r w:rsidR="007A554A">
        <w:rPr>
          <w:iCs/>
        </w:rPr>
        <w:t>o</w:t>
      </w:r>
      <w:r w:rsidR="00E8631A">
        <w:rPr>
          <w:iCs/>
        </w:rPr>
        <w:t>unt</w:t>
      </w:r>
      <w:r w:rsidR="00B81AAE">
        <w:rPr>
          <w:iCs/>
        </w:rPr>
        <w:t> 23</w:t>
      </w:r>
      <w:r w:rsidR="00E8631A">
        <w:rPr>
          <w:iCs/>
        </w:rPr>
        <w:t>)</w:t>
      </w:r>
      <w:r w:rsidR="00F109C2">
        <w:rPr>
          <w:iCs/>
        </w:rPr>
        <w:t xml:space="preserve">; and </w:t>
      </w:r>
      <w:r w:rsidR="000F56B8">
        <w:rPr>
          <w:iCs/>
        </w:rPr>
        <w:t>(5)</w:t>
      </w:r>
      <w:r w:rsidR="00B81AAE">
        <w:rPr>
          <w:iCs/>
        </w:rPr>
        <w:t> </w:t>
      </w:r>
      <w:r w:rsidR="00D85EC4">
        <w:rPr>
          <w:iCs/>
        </w:rPr>
        <w:t>h</w:t>
      </w:r>
      <w:r w:rsidR="007A554A">
        <w:rPr>
          <w:iCs/>
        </w:rPr>
        <w:t xml:space="preserve">e </w:t>
      </w:r>
      <w:r w:rsidR="007A554A" w:rsidRPr="00A57356">
        <w:rPr>
          <w:iCs/>
        </w:rPr>
        <w:t>will</w:t>
      </w:r>
      <w:r w:rsidR="007A554A">
        <w:rPr>
          <w:iCs/>
        </w:rPr>
        <w:t>f</w:t>
      </w:r>
      <w:r w:rsidR="007A554A" w:rsidRPr="00A57356">
        <w:rPr>
          <w:iCs/>
        </w:rPr>
        <w:t>ul</w:t>
      </w:r>
      <w:r w:rsidR="007A554A">
        <w:rPr>
          <w:iCs/>
        </w:rPr>
        <w:t xml:space="preserve">ly </w:t>
      </w:r>
      <w:r w:rsidR="007A554A" w:rsidRPr="00A57356">
        <w:rPr>
          <w:iCs/>
        </w:rPr>
        <w:t>violat</w:t>
      </w:r>
      <w:r w:rsidR="00E01D91">
        <w:rPr>
          <w:iCs/>
        </w:rPr>
        <w:t>ed</w:t>
      </w:r>
      <w:r w:rsidR="007A554A" w:rsidRPr="00A57356">
        <w:rPr>
          <w:iCs/>
        </w:rPr>
        <w:t xml:space="preserve"> rule</w:t>
      </w:r>
      <w:r w:rsidR="00B81AAE">
        <w:rPr>
          <w:iCs/>
        </w:rPr>
        <w:t> </w:t>
      </w:r>
      <w:r w:rsidR="007A554A" w:rsidRPr="00A57356">
        <w:rPr>
          <w:iCs/>
        </w:rPr>
        <w:t>3-700(D</w:t>
      </w:r>
      <w:r w:rsidR="007A554A">
        <w:rPr>
          <w:iCs/>
        </w:rPr>
        <w:t>)(</w:t>
      </w:r>
      <w:r w:rsidR="007A554A" w:rsidRPr="00A57356">
        <w:rPr>
          <w:iCs/>
        </w:rPr>
        <w:t>2)</w:t>
      </w:r>
      <w:r w:rsidR="007A554A">
        <w:rPr>
          <w:iCs/>
        </w:rPr>
        <w:t xml:space="preserve"> by failing to refund </w:t>
      </w:r>
      <w:r w:rsidR="00A57356" w:rsidRPr="00A57356">
        <w:rPr>
          <w:iCs/>
        </w:rPr>
        <w:t xml:space="preserve">any of the unearned $2,400 </w:t>
      </w:r>
      <w:r w:rsidR="00B81AAE">
        <w:rPr>
          <w:iCs/>
        </w:rPr>
        <w:t>(c</w:t>
      </w:r>
      <w:r w:rsidR="006D3441">
        <w:rPr>
          <w:iCs/>
        </w:rPr>
        <w:t>ount</w:t>
      </w:r>
      <w:r w:rsidR="00B81AAE">
        <w:rPr>
          <w:iCs/>
        </w:rPr>
        <w:t> 24</w:t>
      </w:r>
      <w:r w:rsidR="00E8631A">
        <w:rPr>
          <w:iCs/>
        </w:rPr>
        <w:t>)</w:t>
      </w:r>
      <w:r w:rsidR="00A57356" w:rsidRPr="00A57356">
        <w:rPr>
          <w:iCs/>
        </w:rPr>
        <w:t>.</w:t>
      </w:r>
    </w:p>
    <w:p w14:paraId="0F8D108D" w14:textId="693BEE09" w:rsidR="00A57356" w:rsidRDefault="006D79EA" w:rsidP="00FF2EB4">
      <w:pPr>
        <w:rPr>
          <w:b/>
          <w:bCs/>
          <w:iCs/>
        </w:rPr>
      </w:pPr>
      <w:r>
        <w:rPr>
          <w:b/>
          <w:bCs/>
          <w:iCs/>
        </w:rPr>
        <w:t>C</w:t>
      </w:r>
      <w:r w:rsidR="004C14E1">
        <w:rPr>
          <w:b/>
          <w:bCs/>
          <w:iCs/>
        </w:rPr>
        <w:t>.</w:t>
      </w:r>
      <w:r>
        <w:rPr>
          <w:b/>
          <w:bCs/>
          <w:iCs/>
        </w:rPr>
        <w:tab/>
      </w:r>
      <w:r w:rsidR="00FF2EB4" w:rsidRPr="00BF41DF">
        <w:rPr>
          <w:b/>
          <w:bCs/>
          <w:iCs/>
        </w:rPr>
        <w:t>STATE BAR INVESTIGATION</w:t>
      </w:r>
      <w:r w:rsidR="00FF2EB4">
        <w:rPr>
          <w:b/>
          <w:bCs/>
          <w:iCs/>
        </w:rPr>
        <w:t xml:space="preserve"> MATTER (</w:t>
      </w:r>
      <w:r w:rsidR="00FF2EB4" w:rsidRPr="00BF41DF">
        <w:rPr>
          <w:b/>
          <w:bCs/>
          <w:iCs/>
        </w:rPr>
        <w:t>CASE NOS. 12-</w:t>
      </w:r>
      <w:r w:rsidR="00FF2EB4">
        <w:rPr>
          <w:b/>
          <w:bCs/>
          <w:iCs/>
        </w:rPr>
        <w:t>O</w:t>
      </w:r>
      <w:r w:rsidR="00FF2EB4" w:rsidRPr="00BF41DF">
        <w:rPr>
          <w:b/>
          <w:bCs/>
          <w:iCs/>
        </w:rPr>
        <w:t>-12410;</w:t>
      </w:r>
      <w:r w:rsidR="00FF2EB4">
        <w:rPr>
          <w:b/>
          <w:bCs/>
          <w:iCs/>
        </w:rPr>
        <w:t xml:space="preserve"> </w:t>
      </w:r>
      <w:r w:rsidR="00FF2EB4" w:rsidRPr="00BF41DF">
        <w:rPr>
          <w:b/>
          <w:bCs/>
          <w:iCs/>
        </w:rPr>
        <w:t>12-</w:t>
      </w:r>
      <w:r w:rsidR="00FF2EB4">
        <w:rPr>
          <w:b/>
          <w:bCs/>
          <w:iCs/>
        </w:rPr>
        <w:t>O</w:t>
      </w:r>
      <w:r w:rsidR="00FF2EB4" w:rsidRPr="00BF41DF">
        <w:rPr>
          <w:b/>
          <w:bCs/>
          <w:iCs/>
        </w:rPr>
        <w:t xml:space="preserve">-12507; </w:t>
      </w:r>
      <w:r w:rsidR="00FF2EB4">
        <w:rPr>
          <w:b/>
          <w:bCs/>
          <w:iCs/>
        </w:rPr>
        <w:tab/>
      </w:r>
      <w:r w:rsidR="00FF2EB4" w:rsidRPr="00BF41DF">
        <w:rPr>
          <w:b/>
          <w:bCs/>
          <w:iCs/>
        </w:rPr>
        <w:t>12-</w:t>
      </w:r>
      <w:r w:rsidR="00FF2EB4">
        <w:rPr>
          <w:b/>
          <w:bCs/>
          <w:iCs/>
        </w:rPr>
        <w:t>O</w:t>
      </w:r>
      <w:r w:rsidR="00FF2EB4" w:rsidRPr="00BF41DF">
        <w:rPr>
          <w:b/>
          <w:bCs/>
          <w:iCs/>
        </w:rPr>
        <w:t xml:space="preserve">-13128 </w:t>
      </w:r>
      <w:r w:rsidR="00FF2EB4">
        <w:rPr>
          <w:b/>
          <w:bCs/>
          <w:iCs/>
        </w:rPr>
        <w:t>[COUNT 25]</w:t>
      </w:r>
    </w:p>
    <w:p w14:paraId="3B27B0C0" w14:textId="77777777" w:rsidR="00FF2EB4" w:rsidRPr="00FF2EB4" w:rsidRDefault="00FF2EB4" w:rsidP="00FF2EB4">
      <w:pPr>
        <w:rPr>
          <w:bCs/>
          <w:iCs/>
        </w:rPr>
      </w:pPr>
    </w:p>
    <w:p w14:paraId="1119A0FC" w14:textId="51FF207E" w:rsidR="00114FBA" w:rsidRPr="00A57356" w:rsidRDefault="00DD2E77" w:rsidP="009355BD">
      <w:pPr>
        <w:spacing w:line="480" w:lineRule="auto"/>
        <w:ind w:firstLine="720"/>
        <w:rPr>
          <w:iCs/>
        </w:rPr>
      </w:pPr>
      <w:r>
        <w:rPr>
          <w:iCs/>
        </w:rPr>
        <w:t xml:space="preserve">Jordan-Borceguin, </w:t>
      </w:r>
      <w:r w:rsidR="00114FBA">
        <w:rPr>
          <w:iCs/>
        </w:rPr>
        <w:t>Castillo,</w:t>
      </w:r>
      <w:r>
        <w:rPr>
          <w:iCs/>
        </w:rPr>
        <w:t xml:space="preserve"> and </w:t>
      </w:r>
      <w:r w:rsidR="00114FBA">
        <w:rPr>
          <w:iCs/>
        </w:rPr>
        <w:t>Sebastian filed</w:t>
      </w:r>
      <w:r w:rsidR="00FA4F4F">
        <w:rPr>
          <w:iCs/>
        </w:rPr>
        <w:t xml:space="preserve"> State Bar </w:t>
      </w:r>
      <w:r w:rsidR="00114FBA">
        <w:rPr>
          <w:iCs/>
        </w:rPr>
        <w:t xml:space="preserve">complaints against Gonzalez on </w:t>
      </w:r>
      <w:r w:rsidR="00114FBA" w:rsidRPr="00A57356">
        <w:rPr>
          <w:iCs/>
        </w:rPr>
        <w:t>March</w:t>
      </w:r>
      <w:r w:rsidR="004B401A">
        <w:rPr>
          <w:iCs/>
        </w:rPr>
        <w:t> </w:t>
      </w:r>
      <w:r>
        <w:rPr>
          <w:iCs/>
        </w:rPr>
        <w:t>3</w:t>
      </w:r>
      <w:r w:rsidR="00114FBA" w:rsidRPr="00A57356">
        <w:rPr>
          <w:iCs/>
        </w:rPr>
        <w:t>,</w:t>
      </w:r>
      <w:r w:rsidR="00114FBA">
        <w:rPr>
          <w:iCs/>
        </w:rPr>
        <w:t xml:space="preserve"> March</w:t>
      </w:r>
      <w:r w:rsidR="004B401A">
        <w:rPr>
          <w:iCs/>
        </w:rPr>
        <w:t> </w:t>
      </w:r>
      <w:r>
        <w:rPr>
          <w:iCs/>
        </w:rPr>
        <w:t>21</w:t>
      </w:r>
      <w:r w:rsidR="00114FBA">
        <w:rPr>
          <w:iCs/>
        </w:rPr>
        <w:t>, and April</w:t>
      </w:r>
      <w:r w:rsidR="004B401A">
        <w:rPr>
          <w:iCs/>
        </w:rPr>
        <w:t> </w:t>
      </w:r>
      <w:r w:rsidR="00114FBA">
        <w:rPr>
          <w:iCs/>
        </w:rPr>
        <w:t>16, 2012, respectively.  Shortl</w:t>
      </w:r>
      <w:r w:rsidR="00D73D16">
        <w:rPr>
          <w:iCs/>
        </w:rPr>
        <w:t>y thereafter,</w:t>
      </w:r>
      <w:r w:rsidR="00AB5C0C">
        <w:rPr>
          <w:iCs/>
        </w:rPr>
        <w:t xml:space="preserve"> </w:t>
      </w:r>
      <w:r w:rsidR="00114FBA">
        <w:rPr>
          <w:iCs/>
        </w:rPr>
        <w:t>a State Bar investigator sent letters to Gonzale</w:t>
      </w:r>
      <w:r w:rsidR="00AB5C0C">
        <w:rPr>
          <w:iCs/>
        </w:rPr>
        <w:t xml:space="preserve">z requesting, among other things, his written response to the allegations of </w:t>
      </w:r>
      <w:r w:rsidR="00114FBA">
        <w:rPr>
          <w:iCs/>
        </w:rPr>
        <w:t xml:space="preserve">misconduct and </w:t>
      </w:r>
      <w:r w:rsidR="00AB5C0C">
        <w:rPr>
          <w:iCs/>
        </w:rPr>
        <w:t xml:space="preserve">an </w:t>
      </w:r>
      <w:r w:rsidR="00114FBA" w:rsidRPr="00A57356">
        <w:rPr>
          <w:iCs/>
        </w:rPr>
        <w:t>accounting of time spent on</w:t>
      </w:r>
      <w:r w:rsidR="00114FBA">
        <w:rPr>
          <w:iCs/>
        </w:rPr>
        <w:t xml:space="preserve"> </w:t>
      </w:r>
      <w:r w:rsidR="00AB5C0C">
        <w:rPr>
          <w:iCs/>
        </w:rPr>
        <w:t xml:space="preserve">the </w:t>
      </w:r>
      <w:r w:rsidR="00114FBA" w:rsidRPr="00A57356">
        <w:rPr>
          <w:iCs/>
        </w:rPr>
        <w:t>case</w:t>
      </w:r>
      <w:r w:rsidR="00114FBA">
        <w:rPr>
          <w:iCs/>
        </w:rPr>
        <w:t>s</w:t>
      </w:r>
      <w:r w:rsidR="00114FBA" w:rsidRPr="00A57356">
        <w:rPr>
          <w:iCs/>
        </w:rPr>
        <w:t xml:space="preserve">. </w:t>
      </w:r>
      <w:r w:rsidR="00114FBA">
        <w:rPr>
          <w:iCs/>
        </w:rPr>
        <w:t xml:space="preserve"> Gonzalez</w:t>
      </w:r>
      <w:r w:rsidR="00114FBA" w:rsidRPr="00A57356">
        <w:rPr>
          <w:iCs/>
        </w:rPr>
        <w:t xml:space="preserve"> received the letters but did not reply.</w:t>
      </w:r>
      <w:r w:rsidR="00114FBA" w:rsidRPr="00330870">
        <w:rPr>
          <w:iCs/>
        </w:rPr>
        <w:t xml:space="preserve"> </w:t>
      </w:r>
      <w:r w:rsidR="00114FBA">
        <w:rPr>
          <w:iCs/>
        </w:rPr>
        <w:t xml:space="preserve"> On </w:t>
      </w:r>
      <w:r w:rsidR="00114FBA" w:rsidRPr="00A57356">
        <w:rPr>
          <w:iCs/>
        </w:rPr>
        <w:t>June</w:t>
      </w:r>
      <w:r w:rsidR="004B401A">
        <w:rPr>
          <w:iCs/>
        </w:rPr>
        <w:t> </w:t>
      </w:r>
      <w:r w:rsidR="00114FBA" w:rsidRPr="00A57356">
        <w:rPr>
          <w:iCs/>
        </w:rPr>
        <w:t>1,</w:t>
      </w:r>
      <w:r w:rsidR="00EC76B4">
        <w:rPr>
          <w:iCs/>
        </w:rPr>
        <w:t xml:space="preserve"> </w:t>
      </w:r>
      <w:r w:rsidR="00114FBA">
        <w:rPr>
          <w:iCs/>
        </w:rPr>
        <w:t>the</w:t>
      </w:r>
      <w:r w:rsidR="00114FBA" w:rsidRPr="00A57356">
        <w:rPr>
          <w:iCs/>
        </w:rPr>
        <w:t xml:space="preserve"> investigator sent </w:t>
      </w:r>
      <w:r w:rsidR="00114FBA">
        <w:rPr>
          <w:iCs/>
        </w:rPr>
        <w:t>three</w:t>
      </w:r>
      <w:r w:rsidR="00114FBA" w:rsidRPr="00A57356">
        <w:rPr>
          <w:iCs/>
        </w:rPr>
        <w:t xml:space="preserve"> email</w:t>
      </w:r>
      <w:r w:rsidR="00114FBA">
        <w:rPr>
          <w:iCs/>
        </w:rPr>
        <w:t>s</w:t>
      </w:r>
      <w:r w:rsidR="00114FBA" w:rsidRPr="00A57356">
        <w:rPr>
          <w:iCs/>
        </w:rPr>
        <w:t xml:space="preserve"> to </w:t>
      </w:r>
      <w:r w:rsidR="00114FBA">
        <w:rPr>
          <w:iCs/>
        </w:rPr>
        <w:t>Gonzalez</w:t>
      </w:r>
      <w:r w:rsidR="009355BD">
        <w:rPr>
          <w:iCs/>
        </w:rPr>
        <w:t>, one for each complain</w:t>
      </w:r>
      <w:r w:rsidR="00466B96">
        <w:rPr>
          <w:iCs/>
        </w:rPr>
        <w:t>an</w:t>
      </w:r>
      <w:r w:rsidR="009355BD">
        <w:rPr>
          <w:iCs/>
        </w:rPr>
        <w:t xml:space="preserve">t, </w:t>
      </w:r>
      <w:r w:rsidR="00114FBA">
        <w:rPr>
          <w:iCs/>
        </w:rPr>
        <w:t>repeating the</w:t>
      </w:r>
      <w:r w:rsidR="009355BD">
        <w:rPr>
          <w:iCs/>
        </w:rPr>
        <w:t xml:space="preserve"> request</w:t>
      </w:r>
      <w:r w:rsidR="00D66A1C">
        <w:rPr>
          <w:iCs/>
        </w:rPr>
        <w:t>s</w:t>
      </w:r>
      <w:r w:rsidR="00114FBA" w:rsidRPr="00A57356">
        <w:rPr>
          <w:iCs/>
        </w:rPr>
        <w:t xml:space="preserve">. </w:t>
      </w:r>
      <w:r w:rsidR="00114FBA">
        <w:rPr>
          <w:iCs/>
        </w:rPr>
        <w:t xml:space="preserve"> Gonzalez</w:t>
      </w:r>
      <w:r w:rsidR="00114FBA" w:rsidRPr="00A57356">
        <w:rPr>
          <w:iCs/>
        </w:rPr>
        <w:t xml:space="preserve"> received the email</w:t>
      </w:r>
      <w:r w:rsidR="00114FBA">
        <w:rPr>
          <w:iCs/>
        </w:rPr>
        <w:t>s</w:t>
      </w:r>
      <w:r w:rsidR="00114FBA" w:rsidRPr="00A57356">
        <w:rPr>
          <w:iCs/>
        </w:rPr>
        <w:t xml:space="preserve"> but did not re</w:t>
      </w:r>
      <w:r w:rsidR="00D66A1C">
        <w:rPr>
          <w:iCs/>
        </w:rPr>
        <w:t>spond</w:t>
      </w:r>
      <w:r w:rsidR="00114FBA" w:rsidRPr="00A57356">
        <w:rPr>
          <w:iCs/>
        </w:rPr>
        <w:t>.</w:t>
      </w:r>
    </w:p>
    <w:p w14:paraId="58AAA02C" w14:textId="3A2B6BF6" w:rsidR="00A57356" w:rsidRPr="00A57356" w:rsidRDefault="00257A5B" w:rsidP="00114FBA">
      <w:pPr>
        <w:spacing w:line="480" w:lineRule="auto"/>
        <w:ind w:firstLine="720"/>
        <w:rPr>
          <w:iCs/>
        </w:rPr>
      </w:pPr>
      <w:r>
        <w:rPr>
          <w:iCs/>
        </w:rPr>
        <w:t>Gonzalez</w:t>
      </w:r>
      <w:r w:rsidR="003E794E">
        <w:rPr>
          <w:iCs/>
        </w:rPr>
        <w:t xml:space="preserve"> stipulated to culpability </w:t>
      </w:r>
      <w:r>
        <w:rPr>
          <w:iCs/>
        </w:rPr>
        <w:t>for violating</w:t>
      </w:r>
      <w:r w:rsidRPr="00257A5B">
        <w:rPr>
          <w:iCs/>
        </w:rPr>
        <w:t xml:space="preserve"> </w:t>
      </w:r>
      <w:r>
        <w:rPr>
          <w:iCs/>
        </w:rPr>
        <w:t>section</w:t>
      </w:r>
      <w:r w:rsidR="004B401A">
        <w:rPr>
          <w:iCs/>
        </w:rPr>
        <w:t> </w:t>
      </w:r>
      <w:r>
        <w:rPr>
          <w:iCs/>
        </w:rPr>
        <w:t>6068, subdivision</w:t>
      </w:r>
      <w:r w:rsidR="004B401A">
        <w:rPr>
          <w:iCs/>
        </w:rPr>
        <w:t> </w:t>
      </w:r>
      <w:r>
        <w:rPr>
          <w:iCs/>
        </w:rPr>
        <w:t>(i)</w:t>
      </w:r>
      <w:r w:rsidR="00D66A1C">
        <w:rPr>
          <w:iCs/>
        </w:rPr>
        <w:t>,</w:t>
      </w:r>
      <w:r>
        <w:rPr>
          <w:iCs/>
        </w:rPr>
        <w:t xml:space="preserve"> by not providing a written response to the </w:t>
      </w:r>
      <w:r w:rsidR="00466B96">
        <w:rPr>
          <w:iCs/>
        </w:rPr>
        <w:t>i</w:t>
      </w:r>
      <w:r>
        <w:rPr>
          <w:iCs/>
        </w:rPr>
        <w:t xml:space="preserve">nvestigator’s letters and email, and by failing to otherwise cooperate in the </w:t>
      </w:r>
      <w:r w:rsidR="00114FBA">
        <w:rPr>
          <w:iCs/>
        </w:rPr>
        <w:t xml:space="preserve">State Bar </w:t>
      </w:r>
      <w:r>
        <w:rPr>
          <w:iCs/>
        </w:rPr>
        <w:t>investigation of</w:t>
      </w:r>
      <w:r w:rsidR="00466B96">
        <w:rPr>
          <w:iCs/>
        </w:rPr>
        <w:t xml:space="preserve"> the </w:t>
      </w:r>
      <w:r>
        <w:rPr>
          <w:iCs/>
        </w:rPr>
        <w:t>complaints</w:t>
      </w:r>
      <w:r w:rsidRPr="00BF58ED">
        <w:rPr>
          <w:iCs/>
        </w:rPr>
        <w:t>.</w:t>
      </w:r>
      <w:r>
        <w:rPr>
          <w:iCs/>
        </w:rPr>
        <w:t xml:space="preserve"> </w:t>
      </w:r>
      <w:r w:rsidR="00672B9B">
        <w:rPr>
          <w:iCs/>
        </w:rPr>
        <w:t xml:space="preserve"> </w:t>
      </w:r>
      <w:r w:rsidR="00672B9B">
        <w:t>(</w:t>
      </w:r>
      <w:r w:rsidR="00672B9B">
        <w:rPr>
          <w:i/>
        </w:rPr>
        <w:t xml:space="preserve">Bach v. State </w:t>
      </w:r>
      <w:r w:rsidR="00672B9B" w:rsidRPr="00154345">
        <w:rPr>
          <w:i/>
        </w:rPr>
        <w:t>Bar</w:t>
      </w:r>
      <w:r w:rsidR="00672B9B">
        <w:t xml:space="preserve"> (1991) 52 Cal.3d 1201, 1208 [duty to cooperate breached </w:t>
      </w:r>
      <w:r w:rsidR="00D33F53">
        <w:t xml:space="preserve">where </w:t>
      </w:r>
      <w:r w:rsidR="00AB5C0C">
        <w:t xml:space="preserve">no response to </w:t>
      </w:r>
      <w:r w:rsidR="00672B9B">
        <w:t>two investigation letters].)</w:t>
      </w:r>
    </w:p>
    <w:p w14:paraId="5F2A5702" w14:textId="77777777" w:rsidR="00B0406D" w:rsidRDefault="00E01D91" w:rsidP="00B0406D">
      <w:pPr>
        <w:pStyle w:val="ListParagraph"/>
        <w:spacing w:line="480" w:lineRule="auto"/>
        <w:ind w:left="0"/>
        <w:jc w:val="center"/>
        <w:rPr>
          <w:b/>
          <w:iCs/>
        </w:rPr>
      </w:pPr>
      <w:r>
        <w:rPr>
          <w:b/>
          <w:iCs/>
        </w:rPr>
        <w:t xml:space="preserve">III.  </w:t>
      </w:r>
      <w:r w:rsidR="00DC35F6" w:rsidRPr="00DC35F6">
        <w:rPr>
          <w:b/>
          <w:iCs/>
        </w:rPr>
        <w:t xml:space="preserve">AGGRAVATION </w:t>
      </w:r>
      <w:r w:rsidR="00C17063">
        <w:rPr>
          <w:b/>
          <w:iCs/>
        </w:rPr>
        <w:t xml:space="preserve">OUTWEIGHS </w:t>
      </w:r>
      <w:r w:rsidR="00DC35F6" w:rsidRPr="00DC35F6">
        <w:rPr>
          <w:b/>
          <w:iCs/>
        </w:rPr>
        <w:t>MITIGATION</w:t>
      </w:r>
    </w:p>
    <w:p w14:paraId="3FEABDB2" w14:textId="77777777" w:rsidR="000C2159" w:rsidRDefault="00114FBA" w:rsidP="00B0406D">
      <w:pPr>
        <w:pStyle w:val="ListParagraph"/>
        <w:spacing w:line="480" w:lineRule="auto"/>
        <w:ind w:left="0"/>
        <w:rPr>
          <w:iCs/>
        </w:rPr>
      </w:pPr>
      <w:r>
        <w:rPr>
          <w:iCs/>
        </w:rPr>
        <w:tab/>
      </w:r>
      <w:r w:rsidR="00DC35F6" w:rsidRPr="00DC35F6">
        <w:rPr>
          <w:iCs/>
        </w:rPr>
        <w:t>Standard</w:t>
      </w:r>
      <w:r w:rsidR="004B401A">
        <w:rPr>
          <w:iCs/>
        </w:rPr>
        <w:t> </w:t>
      </w:r>
      <w:r w:rsidR="00DC35F6" w:rsidRPr="00DC35F6">
        <w:rPr>
          <w:iCs/>
        </w:rPr>
        <w:t>1.5 requires that OCTC must prove aggravating factors by clear and convincing evidence.</w:t>
      </w:r>
      <w:r w:rsidR="00451901">
        <w:rPr>
          <w:iCs/>
        </w:rPr>
        <w:t xml:space="preserve">  </w:t>
      </w:r>
      <w:r w:rsidR="00451901" w:rsidRPr="00751F1E">
        <w:t>(</w:t>
      </w:r>
      <w:r w:rsidR="00451901" w:rsidRPr="006F6DFC">
        <w:rPr>
          <w:i/>
        </w:rPr>
        <w:t>Conservatorship of Wendland</w:t>
      </w:r>
      <w:r w:rsidR="00451901" w:rsidRPr="00751F1E">
        <w:t xml:space="preserve"> (2001) 26</w:t>
      </w:r>
      <w:r w:rsidR="004B401A">
        <w:t> </w:t>
      </w:r>
      <w:r w:rsidR="00451901" w:rsidRPr="00751F1E">
        <w:t>Cal.4th 519, 552</w:t>
      </w:r>
      <w:r w:rsidR="00451901">
        <w:t xml:space="preserve"> [evidence that</w:t>
      </w:r>
      <w:r w:rsidR="00451901" w:rsidRPr="00451901">
        <w:t xml:space="preserve"> </w:t>
      </w:r>
      <w:r w:rsidR="00451901" w:rsidRPr="00751F1E">
        <w:t>leaves no substantial doubt and is sufficiently strong to command unhesitating assent of every reasonable mind</w:t>
      </w:r>
      <w:r w:rsidR="00B0406D">
        <w:t xml:space="preserve">].)  </w:t>
      </w:r>
      <w:r w:rsidR="00DC35F6" w:rsidRPr="00DC35F6">
        <w:rPr>
          <w:iCs/>
        </w:rPr>
        <w:t>Standard</w:t>
      </w:r>
      <w:r w:rsidR="004B401A">
        <w:rPr>
          <w:iCs/>
        </w:rPr>
        <w:t> </w:t>
      </w:r>
      <w:r w:rsidR="00DC35F6" w:rsidRPr="00DC35F6">
        <w:rPr>
          <w:iCs/>
        </w:rPr>
        <w:t xml:space="preserve">1.6 requires Gonzalez to meet the same burden to prove mitigation. </w:t>
      </w:r>
    </w:p>
    <w:p w14:paraId="5ABD401A" w14:textId="77777777" w:rsidR="00194928" w:rsidRDefault="00194928" w:rsidP="00B0406D">
      <w:pPr>
        <w:pStyle w:val="ListParagraph"/>
        <w:spacing w:line="480" w:lineRule="auto"/>
        <w:ind w:left="0"/>
        <w:rPr>
          <w:iCs/>
        </w:rPr>
      </w:pPr>
    </w:p>
    <w:p w14:paraId="29511EAE" w14:textId="77777777" w:rsidR="00194928" w:rsidRDefault="00194928" w:rsidP="00B0406D">
      <w:pPr>
        <w:pStyle w:val="ListParagraph"/>
        <w:spacing w:line="480" w:lineRule="auto"/>
        <w:ind w:left="0"/>
        <w:rPr>
          <w:iCs/>
        </w:rPr>
      </w:pPr>
    </w:p>
    <w:p w14:paraId="1CD56BC0" w14:textId="37C430B5" w:rsidR="00DC35F6" w:rsidRPr="00DC35F6" w:rsidRDefault="008465AA" w:rsidP="00AB5C0C">
      <w:pPr>
        <w:pStyle w:val="ListParagraph"/>
        <w:spacing w:line="480" w:lineRule="auto"/>
        <w:ind w:left="0"/>
        <w:rPr>
          <w:b/>
          <w:iCs/>
        </w:rPr>
      </w:pPr>
      <w:r>
        <w:rPr>
          <w:b/>
          <w:iCs/>
        </w:rPr>
        <w:lastRenderedPageBreak/>
        <w:t>A.</w:t>
      </w:r>
      <w:r w:rsidR="00E01D91">
        <w:rPr>
          <w:b/>
          <w:iCs/>
        </w:rPr>
        <w:tab/>
      </w:r>
      <w:r w:rsidR="00FF2EB4" w:rsidRPr="00DC35F6">
        <w:rPr>
          <w:b/>
          <w:iCs/>
        </w:rPr>
        <w:t>AGGRAVATION</w:t>
      </w:r>
    </w:p>
    <w:p w14:paraId="23CF9DA6" w14:textId="7A364529" w:rsidR="008465AA" w:rsidRPr="008465AA" w:rsidRDefault="008465AA" w:rsidP="008465AA">
      <w:pPr>
        <w:tabs>
          <w:tab w:val="left" w:pos="720"/>
        </w:tabs>
        <w:autoSpaceDE w:val="0"/>
        <w:autoSpaceDN w:val="0"/>
        <w:adjustRightInd w:val="0"/>
        <w:spacing w:line="480" w:lineRule="auto"/>
        <w:ind w:firstLine="720"/>
        <w:rPr>
          <w:rFonts w:eastAsia="Calibri"/>
          <w:b/>
          <w:i/>
        </w:rPr>
      </w:pPr>
      <w:r w:rsidRPr="008465AA">
        <w:rPr>
          <w:rFonts w:eastAsia="Calibri"/>
          <w:b/>
        </w:rPr>
        <w:t>1.  Prior Record of Discipline</w:t>
      </w:r>
      <w:r w:rsidR="00426618">
        <w:rPr>
          <w:rFonts w:eastAsia="Calibri"/>
          <w:b/>
        </w:rPr>
        <w:t xml:space="preserve"> (Std. 1.5(a))</w:t>
      </w:r>
    </w:p>
    <w:p w14:paraId="7186767D" w14:textId="5998D92F" w:rsidR="000E7C27" w:rsidRDefault="00426618" w:rsidP="009A2F9F">
      <w:pPr>
        <w:tabs>
          <w:tab w:val="left" w:pos="720"/>
        </w:tabs>
        <w:autoSpaceDE w:val="0"/>
        <w:autoSpaceDN w:val="0"/>
        <w:adjustRightInd w:val="0"/>
        <w:spacing w:line="480" w:lineRule="auto"/>
        <w:ind w:firstLine="720"/>
        <w:rPr>
          <w:rFonts w:eastAsia="Calibri"/>
        </w:rPr>
      </w:pPr>
      <w:r>
        <w:rPr>
          <w:rFonts w:eastAsia="Calibri"/>
        </w:rPr>
        <w:t>Gonzalez has two prior records of discipline</w:t>
      </w:r>
      <w:r w:rsidR="005D16B5">
        <w:rPr>
          <w:rFonts w:eastAsia="Calibri"/>
        </w:rPr>
        <w:t>.</w:t>
      </w:r>
    </w:p>
    <w:p w14:paraId="5B28CBFE" w14:textId="163379C0" w:rsidR="00982325" w:rsidRDefault="00A14A38" w:rsidP="00982325">
      <w:pPr>
        <w:tabs>
          <w:tab w:val="left" w:pos="720"/>
        </w:tabs>
        <w:autoSpaceDE w:val="0"/>
        <w:autoSpaceDN w:val="0"/>
        <w:adjustRightInd w:val="0"/>
        <w:spacing w:line="480" w:lineRule="auto"/>
        <w:ind w:firstLine="720"/>
        <w:rPr>
          <w:rFonts w:eastAsia="Calibri"/>
        </w:rPr>
      </w:pPr>
      <w:r w:rsidRPr="00FD4849">
        <w:rPr>
          <w:rFonts w:eastAsia="Calibri"/>
          <w:b/>
          <w:i/>
        </w:rPr>
        <w:t>Gonz</w:t>
      </w:r>
      <w:r w:rsidR="009671B9" w:rsidRPr="00FD4849">
        <w:rPr>
          <w:rFonts w:eastAsia="Calibri"/>
          <w:b/>
          <w:i/>
        </w:rPr>
        <w:t>alez I.</w:t>
      </w:r>
      <w:r w:rsidR="001E2C0E" w:rsidRPr="00AB5C0C">
        <w:rPr>
          <w:rStyle w:val="FootnoteReference"/>
          <w:rFonts w:eastAsia="Calibri"/>
        </w:rPr>
        <w:footnoteReference w:id="10"/>
      </w:r>
      <w:r w:rsidR="0009514A">
        <w:t xml:space="preserve"> </w:t>
      </w:r>
      <w:r w:rsidR="00333B80" w:rsidRPr="004F746D">
        <w:t xml:space="preserve"> </w:t>
      </w:r>
      <w:r w:rsidR="00F50ECC">
        <w:t>Beginning in 200</w:t>
      </w:r>
      <w:r w:rsidR="009863DF">
        <w:t>5</w:t>
      </w:r>
      <w:r w:rsidR="00F50ECC">
        <w:t xml:space="preserve">, </w:t>
      </w:r>
      <w:r w:rsidR="009863DF">
        <w:t xml:space="preserve">three </w:t>
      </w:r>
      <w:r w:rsidR="00F50ECC">
        <w:t xml:space="preserve">years after his </w:t>
      </w:r>
      <w:r w:rsidR="006D79EA">
        <w:t xml:space="preserve">April 29, </w:t>
      </w:r>
      <w:r w:rsidR="00727839">
        <w:t xml:space="preserve">2002 </w:t>
      </w:r>
      <w:r w:rsidR="008465AA" w:rsidRPr="008465AA">
        <w:t xml:space="preserve">admission to the </w:t>
      </w:r>
      <w:r w:rsidR="0052142D">
        <w:t xml:space="preserve">California </w:t>
      </w:r>
      <w:r w:rsidR="008465AA" w:rsidRPr="008465AA">
        <w:t>State Bar</w:t>
      </w:r>
      <w:r w:rsidR="00F50ECC">
        <w:t>,</w:t>
      </w:r>
      <w:r w:rsidR="00B8479E">
        <w:rPr>
          <w:rFonts w:eastAsia="Calibri"/>
        </w:rPr>
        <w:t xml:space="preserve"> </w:t>
      </w:r>
      <w:r w:rsidR="00FA4F4F">
        <w:rPr>
          <w:rFonts w:eastAsia="Calibri"/>
        </w:rPr>
        <w:t xml:space="preserve">Gonzalez </w:t>
      </w:r>
      <w:r w:rsidR="00B8479E">
        <w:rPr>
          <w:rFonts w:eastAsia="Calibri"/>
        </w:rPr>
        <w:t xml:space="preserve">was hired to perform work in five </w:t>
      </w:r>
      <w:r w:rsidR="00193E46">
        <w:rPr>
          <w:rFonts w:eastAsia="Calibri"/>
        </w:rPr>
        <w:t xml:space="preserve">immigration </w:t>
      </w:r>
      <w:r w:rsidR="00B8479E">
        <w:rPr>
          <w:rFonts w:eastAsia="Calibri"/>
        </w:rPr>
        <w:t>and two criminal law matters</w:t>
      </w:r>
      <w:r w:rsidR="00466B96">
        <w:rPr>
          <w:rFonts w:eastAsia="Calibri"/>
        </w:rPr>
        <w:t>, and</w:t>
      </w:r>
      <w:r w:rsidR="00B8479E">
        <w:rPr>
          <w:rFonts w:eastAsia="Calibri"/>
        </w:rPr>
        <w:t xml:space="preserve"> was paid a total of</w:t>
      </w:r>
      <w:r w:rsidR="008605D6">
        <w:rPr>
          <w:rFonts w:eastAsia="Calibri"/>
        </w:rPr>
        <w:t xml:space="preserve"> </w:t>
      </w:r>
      <w:r w:rsidR="00FD58E3">
        <w:rPr>
          <w:rFonts w:eastAsia="Calibri"/>
        </w:rPr>
        <w:t xml:space="preserve">$14,775. </w:t>
      </w:r>
      <w:r w:rsidR="00FA4F4F">
        <w:rPr>
          <w:rFonts w:eastAsia="Calibri"/>
        </w:rPr>
        <w:t xml:space="preserve"> </w:t>
      </w:r>
      <w:r w:rsidR="009863DF">
        <w:rPr>
          <w:rFonts w:eastAsia="Calibri"/>
        </w:rPr>
        <w:t>Over several years, he</w:t>
      </w:r>
      <w:r w:rsidR="00B60B7E">
        <w:rPr>
          <w:rFonts w:eastAsia="Calibri"/>
        </w:rPr>
        <w:t xml:space="preserve"> failed </w:t>
      </w:r>
      <w:r w:rsidR="008E13C2">
        <w:rPr>
          <w:rFonts w:eastAsia="Calibri"/>
        </w:rPr>
        <w:t xml:space="preserve">to </w:t>
      </w:r>
      <w:r w:rsidR="005A57C3">
        <w:rPr>
          <w:rFonts w:eastAsia="Calibri"/>
        </w:rPr>
        <w:t xml:space="preserve">perform competently, inform clients of significant developments, respond to client inquiries, </w:t>
      </w:r>
      <w:r w:rsidR="00FF2EB4">
        <w:rPr>
          <w:rFonts w:eastAsia="Calibri"/>
        </w:rPr>
        <w:t>provide</w:t>
      </w:r>
      <w:r w:rsidR="00B60B7E">
        <w:rPr>
          <w:rFonts w:eastAsia="Calibri"/>
        </w:rPr>
        <w:t xml:space="preserve"> </w:t>
      </w:r>
      <w:r w:rsidR="005A57C3">
        <w:rPr>
          <w:rFonts w:eastAsia="Calibri"/>
        </w:rPr>
        <w:t>account</w:t>
      </w:r>
      <w:r w:rsidR="00FF2EB4">
        <w:rPr>
          <w:rFonts w:eastAsia="Calibri"/>
        </w:rPr>
        <w:t>ings</w:t>
      </w:r>
      <w:r w:rsidR="005A57C3">
        <w:rPr>
          <w:rFonts w:eastAsia="Calibri"/>
        </w:rPr>
        <w:t xml:space="preserve">, </w:t>
      </w:r>
      <w:r w:rsidR="00FA4F4F">
        <w:rPr>
          <w:rFonts w:eastAsia="Calibri"/>
        </w:rPr>
        <w:t xml:space="preserve">return </w:t>
      </w:r>
      <w:r w:rsidR="005A57C3">
        <w:rPr>
          <w:rFonts w:eastAsia="Calibri"/>
        </w:rPr>
        <w:t>file</w:t>
      </w:r>
      <w:r w:rsidR="00997CB6">
        <w:rPr>
          <w:rFonts w:eastAsia="Calibri"/>
        </w:rPr>
        <w:t>s</w:t>
      </w:r>
      <w:r w:rsidR="005A57C3">
        <w:rPr>
          <w:rFonts w:eastAsia="Calibri"/>
        </w:rPr>
        <w:t xml:space="preserve"> upon request, and refund unearned fees to five clients</w:t>
      </w:r>
      <w:r w:rsidR="0011409E">
        <w:rPr>
          <w:rFonts w:eastAsia="Calibri"/>
        </w:rPr>
        <w:t xml:space="preserve">.  </w:t>
      </w:r>
    </w:p>
    <w:p w14:paraId="258517F4" w14:textId="28C72E5D" w:rsidR="002F683D" w:rsidRDefault="00982325" w:rsidP="002F683D">
      <w:pPr>
        <w:tabs>
          <w:tab w:val="left" w:pos="720"/>
        </w:tabs>
        <w:autoSpaceDE w:val="0"/>
        <w:autoSpaceDN w:val="0"/>
        <w:adjustRightInd w:val="0"/>
        <w:spacing w:line="480" w:lineRule="auto"/>
        <w:ind w:firstLine="720"/>
        <w:rPr>
          <w:rFonts w:eastAsia="Calibri"/>
        </w:rPr>
      </w:pPr>
      <w:r>
        <w:t>On November</w:t>
      </w:r>
      <w:r w:rsidR="004B401A">
        <w:t> </w:t>
      </w:r>
      <w:r>
        <w:t xml:space="preserve">16, 2010, </w:t>
      </w:r>
      <w:r w:rsidR="004D3FB7">
        <w:t xml:space="preserve">Gonzalez </w:t>
      </w:r>
      <w:r>
        <w:t xml:space="preserve">signed </w:t>
      </w:r>
      <w:r w:rsidR="00911AA3">
        <w:t>a s</w:t>
      </w:r>
      <w:r w:rsidRPr="008465AA">
        <w:rPr>
          <w:rFonts w:eastAsia="Calibri"/>
        </w:rPr>
        <w:t xml:space="preserve">tipulation </w:t>
      </w:r>
      <w:r w:rsidR="006C7C42">
        <w:rPr>
          <w:rFonts w:eastAsia="Calibri"/>
        </w:rPr>
        <w:t xml:space="preserve">as </w:t>
      </w:r>
      <w:r w:rsidRPr="008465AA">
        <w:rPr>
          <w:rFonts w:eastAsia="Calibri"/>
        </w:rPr>
        <w:t>to facts, culpability, mitigation, aggravation</w:t>
      </w:r>
      <w:r>
        <w:rPr>
          <w:rFonts w:eastAsia="Calibri"/>
        </w:rPr>
        <w:t xml:space="preserve">, and discipline. </w:t>
      </w:r>
      <w:r w:rsidR="002F683D">
        <w:rPr>
          <w:rFonts w:eastAsia="Calibri"/>
        </w:rPr>
        <w:t xml:space="preserve"> Multiple acts of wrongdoing and harm to clients were aggravating factors.  Candor and cooperation for the </w:t>
      </w:r>
      <w:r w:rsidR="00911AA3">
        <w:rPr>
          <w:rFonts w:eastAsia="Calibri"/>
        </w:rPr>
        <w:t>s</w:t>
      </w:r>
      <w:r w:rsidR="002F683D">
        <w:rPr>
          <w:rFonts w:eastAsia="Calibri"/>
        </w:rPr>
        <w:t xml:space="preserve">tipulation and remorse for his </w:t>
      </w:r>
      <w:r w:rsidR="00F01964">
        <w:rPr>
          <w:rFonts w:eastAsia="Calibri"/>
        </w:rPr>
        <w:t>misconduct and statement that he intended to pay</w:t>
      </w:r>
      <w:r w:rsidR="002F683D">
        <w:rPr>
          <w:rFonts w:eastAsia="Calibri"/>
        </w:rPr>
        <w:t xml:space="preserve"> restitution as ordered</w:t>
      </w:r>
      <w:r w:rsidR="00B73447">
        <w:rPr>
          <w:rFonts w:eastAsia="Calibri"/>
        </w:rPr>
        <w:t xml:space="preserve"> </w:t>
      </w:r>
      <w:r w:rsidR="002F683D">
        <w:rPr>
          <w:rFonts w:eastAsia="Calibri"/>
        </w:rPr>
        <w:t xml:space="preserve">were mitigating factors.  </w:t>
      </w:r>
    </w:p>
    <w:p w14:paraId="1BB62065" w14:textId="6F897968" w:rsidR="007164BB" w:rsidRDefault="00A93F9A" w:rsidP="00982325">
      <w:pPr>
        <w:tabs>
          <w:tab w:val="left" w:pos="720"/>
        </w:tabs>
        <w:autoSpaceDE w:val="0"/>
        <w:autoSpaceDN w:val="0"/>
        <w:adjustRightInd w:val="0"/>
        <w:spacing w:line="480" w:lineRule="auto"/>
        <w:ind w:firstLine="720"/>
        <w:rPr>
          <w:rFonts w:eastAsia="Calibri"/>
        </w:rPr>
      </w:pPr>
      <w:r>
        <w:rPr>
          <w:rFonts w:eastAsia="Calibri"/>
        </w:rPr>
        <w:t xml:space="preserve">The parties agreed to </w:t>
      </w:r>
      <w:r w:rsidR="008C0C8D">
        <w:rPr>
          <w:rFonts w:eastAsia="Calibri"/>
        </w:rPr>
        <w:t>two</w:t>
      </w:r>
      <w:r w:rsidR="002F683D">
        <w:rPr>
          <w:rFonts w:eastAsia="Calibri"/>
        </w:rPr>
        <w:t xml:space="preserve"> </w:t>
      </w:r>
      <w:r w:rsidR="008C0C8D">
        <w:rPr>
          <w:rFonts w:eastAsia="Calibri"/>
        </w:rPr>
        <w:t>year</w:t>
      </w:r>
      <w:r w:rsidR="002F683D">
        <w:rPr>
          <w:rFonts w:eastAsia="Calibri"/>
        </w:rPr>
        <w:t>s’</w:t>
      </w:r>
      <w:r w:rsidR="008C0C8D">
        <w:rPr>
          <w:rFonts w:eastAsia="Calibri"/>
        </w:rPr>
        <w:t xml:space="preserve"> suspension, stayed</w:t>
      </w:r>
      <w:r w:rsidR="00AF0DED">
        <w:rPr>
          <w:rFonts w:eastAsia="Calibri"/>
        </w:rPr>
        <w:t>,</w:t>
      </w:r>
      <w:r w:rsidR="008C0C8D">
        <w:rPr>
          <w:rFonts w:eastAsia="Calibri"/>
        </w:rPr>
        <w:t xml:space="preserve"> with </w:t>
      </w:r>
      <w:r w:rsidR="005B0595">
        <w:rPr>
          <w:rFonts w:eastAsia="Calibri"/>
        </w:rPr>
        <w:t xml:space="preserve">two </w:t>
      </w:r>
      <w:r w:rsidR="008C0C8D">
        <w:rPr>
          <w:rFonts w:eastAsia="Calibri"/>
        </w:rPr>
        <w:t>years’ probation</w:t>
      </w:r>
      <w:r w:rsidR="005B0595">
        <w:rPr>
          <w:rFonts w:eastAsia="Calibri"/>
        </w:rPr>
        <w:t xml:space="preserve">, </w:t>
      </w:r>
      <w:r w:rsidR="008C0C8D">
        <w:rPr>
          <w:rFonts w:eastAsia="Calibri"/>
        </w:rPr>
        <w:t>including a 60-day actual suspension</w:t>
      </w:r>
      <w:r w:rsidR="006B42DA">
        <w:rPr>
          <w:rFonts w:eastAsia="Calibri"/>
        </w:rPr>
        <w:t>, and</w:t>
      </w:r>
      <w:r>
        <w:rPr>
          <w:rFonts w:eastAsia="Calibri"/>
        </w:rPr>
        <w:t xml:space="preserve"> a payment plan of $110 per month to each of the five clients</w:t>
      </w:r>
      <w:r w:rsidR="00F01964">
        <w:rPr>
          <w:rFonts w:eastAsia="Calibri"/>
        </w:rPr>
        <w:t xml:space="preserve"> until the $14,775 was paid in full</w:t>
      </w:r>
      <w:r w:rsidR="008C089F">
        <w:rPr>
          <w:rFonts w:eastAsia="Calibri"/>
        </w:rPr>
        <w:t>.</w:t>
      </w:r>
      <w:r>
        <w:rPr>
          <w:rFonts w:eastAsia="Calibri"/>
        </w:rPr>
        <w:t xml:space="preserve">  </w:t>
      </w:r>
      <w:r w:rsidR="002F683D">
        <w:rPr>
          <w:rFonts w:eastAsia="Calibri"/>
        </w:rPr>
        <w:t xml:space="preserve">The Hearing Department approved the </w:t>
      </w:r>
      <w:r w:rsidR="00911AA3">
        <w:rPr>
          <w:rFonts w:eastAsia="Calibri"/>
        </w:rPr>
        <w:t>s</w:t>
      </w:r>
      <w:r>
        <w:rPr>
          <w:rFonts w:eastAsia="Calibri"/>
        </w:rPr>
        <w:t>tipulation</w:t>
      </w:r>
      <w:r w:rsidR="002F683D">
        <w:rPr>
          <w:rFonts w:eastAsia="Calibri"/>
        </w:rPr>
        <w:t xml:space="preserve">, which was </w:t>
      </w:r>
      <w:r>
        <w:rPr>
          <w:rFonts w:eastAsia="Calibri"/>
        </w:rPr>
        <w:t>filed on December</w:t>
      </w:r>
      <w:r w:rsidR="004B401A">
        <w:rPr>
          <w:rFonts w:eastAsia="Calibri"/>
        </w:rPr>
        <w:t> </w:t>
      </w:r>
      <w:r>
        <w:rPr>
          <w:rFonts w:eastAsia="Calibri"/>
        </w:rPr>
        <w:t xml:space="preserve">7, 2010. </w:t>
      </w:r>
      <w:r w:rsidR="000F6757">
        <w:rPr>
          <w:rFonts w:eastAsia="Calibri"/>
        </w:rPr>
        <w:t xml:space="preserve"> </w:t>
      </w:r>
      <w:r w:rsidR="008C0C8D">
        <w:rPr>
          <w:rFonts w:eastAsia="Calibri"/>
        </w:rPr>
        <w:t xml:space="preserve">On </w:t>
      </w:r>
      <w:r w:rsidR="009B04A9">
        <w:rPr>
          <w:rFonts w:eastAsia="Calibri"/>
        </w:rPr>
        <w:t>April</w:t>
      </w:r>
      <w:r w:rsidR="004B401A">
        <w:rPr>
          <w:rFonts w:eastAsia="Calibri"/>
        </w:rPr>
        <w:t> </w:t>
      </w:r>
      <w:r w:rsidR="009B04A9">
        <w:rPr>
          <w:rFonts w:eastAsia="Calibri"/>
        </w:rPr>
        <w:t>27, 2011</w:t>
      </w:r>
      <w:r w:rsidR="008C0C8D">
        <w:rPr>
          <w:rFonts w:eastAsia="Calibri"/>
        </w:rPr>
        <w:t xml:space="preserve">, the Supreme </w:t>
      </w:r>
      <w:r w:rsidR="005B0595">
        <w:rPr>
          <w:rFonts w:eastAsia="Calibri"/>
        </w:rPr>
        <w:t xml:space="preserve">Court </w:t>
      </w:r>
      <w:r w:rsidR="007B0F17">
        <w:rPr>
          <w:rFonts w:eastAsia="Calibri"/>
        </w:rPr>
        <w:t xml:space="preserve">ordered the stipulated discipline, </w:t>
      </w:r>
      <w:r w:rsidR="005B0595">
        <w:rPr>
          <w:rFonts w:eastAsia="Calibri"/>
        </w:rPr>
        <w:t>which</w:t>
      </w:r>
      <w:r w:rsidR="007164BB">
        <w:rPr>
          <w:rFonts w:eastAsia="Calibri"/>
        </w:rPr>
        <w:t xml:space="preserve"> became effective </w:t>
      </w:r>
      <w:r w:rsidR="00FD58E3">
        <w:rPr>
          <w:rFonts w:eastAsia="Calibri"/>
        </w:rPr>
        <w:t>on</w:t>
      </w:r>
      <w:r w:rsidR="00DA5874">
        <w:rPr>
          <w:rFonts w:eastAsia="Calibri"/>
        </w:rPr>
        <w:t xml:space="preserve"> May</w:t>
      </w:r>
      <w:r w:rsidR="004B401A">
        <w:rPr>
          <w:rFonts w:eastAsia="Calibri"/>
        </w:rPr>
        <w:t> </w:t>
      </w:r>
      <w:r w:rsidR="00DA5874">
        <w:rPr>
          <w:rFonts w:eastAsia="Calibri"/>
        </w:rPr>
        <w:t>27, 2011.</w:t>
      </w:r>
      <w:r w:rsidR="007164BB">
        <w:rPr>
          <w:rFonts w:eastAsia="Calibri"/>
        </w:rPr>
        <w:t xml:space="preserve">  </w:t>
      </w:r>
    </w:p>
    <w:p w14:paraId="6AF88B70" w14:textId="6209F15B" w:rsidR="00426618" w:rsidRDefault="004F746D" w:rsidP="00426618">
      <w:pPr>
        <w:spacing w:line="480" w:lineRule="auto"/>
        <w:ind w:firstLine="720"/>
        <w:contextualSpacing/>
        <w:rPr>
          <w:rFonts w:eastAsia="Calibri"/>
        </w:rPr>
      </w:pPr>
      <w:r w:rsidRPr="00FD4849">
        <w:rPr>
          <w:rFonts w:eastAsia="Calibri"/>
          <w:b/>
          <w:i/>
        </w:rPr>
        <w:t>Gonzalez I</w:t>
      </w:r>
      <w:r w:rsidRPr="00FD4849">
        <w:rPr>
          <w:b/>
          <w:i/>
        </w:rPr>
        <w:t>I</w:t>
      </w:r>
      <w:r w:rsidRPr="00FD4849">
        <w:rPr>
          <w:b/>
        </w:rPr>
        <w:t>.</w:t>
      </w:r>
      <w:r w:rsidR="001E2C0E" w:rsidRPr="00AB5C0C">
        <w:rPr>
          <w:rStyle w:val="FootnoteReference"/>
        </w:rPr>
        <w:footnoteReference w:id="11"/>
      </w:r>
      <w:r w:rsidR="008C0C8D" w:rsidRPr="004F746D">
        <w:rPr>
          <w:rFonts w:eastAsia="Calibri"/>
        </w:rPr>
        <w:t xml:space="preserve"> </w:t>
      </w:r>
      <w:r w:rsidRPr="004F746D">
        <w:rPr>
          <w:rFonts w:eastAsia="Calibri"/>
        </w:rPr>
        <w:t xml:space="preserve"> </w:t>
      </w:r>
      <w:r w:rsidR="00BC5F88">
        <w:rPr>
          <w:rFonts w:eastAsia="Calibri"/>
        </w:rPr>
        <w:t>On</w:t>
      </w:r>
      <w:r w:rsidR="009355BD">
        <w:rPr>
          <w:rFonts w:eastAsia="Calibri"/>
        </w:rPr>
        <w:t xml:space="preserve"> November</w:t>
      </w:r>
      <w:r w:rsidR="004B401A">
        <w:rPr>
          <w:rFonts w:eastAsia="Calibri"/>
        </w:rPr>
        <w:t> </w:t>
      </w:r>
      <w:r w:rsidR="009355BD">
        <w:rPr>
          <w:rFonts w:eastAsia="Calibri"/>
        </w:rPr>
        <w:t xml:space="preserve">15, 2011, the </w:t>
      </w:r>
      <w:r w:rsidR="005C39BB">
        <w:rPr>
          <w:rFonts w:eastAsia="Calibri"/>
        </w:rPr>
        <w:t>Stat</w:t>
      </w:r>
      <w:r w:rsidR="006B42DA">
        <w:rPr>
          <w:rFonts w:eastAsia="Calibri"/>
        </w:rPr>
        <w:t>e</w:t>
      </w:r>
      <w:r w:rsidR="005C39BB">
        <w:rPr>
          <w:rFonts w:eastAsia="Calibri"/>
        </w:rPr>
        <w:t xml:space="preserve"> Bar’s Office </w:t>
      </w:r>
      <w:r w:rsidR="006B42DA">
        <w:rPr>
          <w:rFonts w:eastAsia="Calibri"/>
        </w:rPr>
        <w:t>of Probation (Probation) filed a motio</w:t>
      </w:r>
      <w:r w:rsidR="00F12973">
        <w:rPr>
          <w:rFonts w:eastAsia="Calibri"/>
        </w:rPr>
        <w:t xml:space="preserve">n </w:t>
      </w:r>
      <w:r w:rsidR="00F82E1E">
        <w:rPr>
          <w:rFonts w:eastAsia="Calibri"/>
        </w:rPr>
        <w:t xml:space="preserve">to revoke probation </w:t>
      </w:r>
      <w:r w:rsidR="009355BD" w:rsidRPr="00EE372B">
        <w:rPr>
          <w:rFonts w:eastAsia="Calibri"/>
        </w:rPr>
        <w:t xml:space="preserve">in </w:t>
      </w:r>
      <w:r w:rsidR="000E2587" w:rsidRPr="00EE372B">
        <w:rPr>
          <w:rFonts w:eastAsia="Calibri"/>
          <w:i/>
        </w:rPr>
        <w:t>Gonzalez I</w:t>
      </w:r>
      <w:r w:rsidR="009355BD" w:rsidRPr="00EE372B">
        <w:rPr>
          <w:rFonts w:eastAsia="Calibri"/>
        </w:rPr>
        <w:t xml:space="preserve"> </w:t>
      </w:r>
      <w:r w:rsidR="007B0F17">
        <w:rPr>
          <w:rFonts w:eastAsia="Calibri"/>
        </w:rPr>
        <w:t>because Gonzalez</w:t>
      </w:r>
      <w:r w:rsidR="009355BD">
        <w:rPr>
          <w:rFonts w:eastAsia="Calibri"/>
        </w:rPr>
        <w:t xml:space="preserve"> failed to </w:t>
      </w:r>
      <w:r w:rsidR="007B0F17">
        <w:rPr>
          <w:rFonts w:eastAsia="Calibri"/>
        </w:rPr>
        <w:t xml:space="preserve">pay </w:t>
      </w:r>
      <w:r w:rsidR="00F920FC">
        <w:rPr>
          <w:rFonts w:eastAsia="Calibri"/>
        </w:rPr>
        <w:t>restitution</w:t>
      </w:r>
      <w:r w:rsidR="006B42DA">
        <w:rPr>
          <w:rFonts w:eastAsia="Calibri"/>
        </w:rPr>
        <w:t xml:space="preserve">. </w:t>
      </w:r>
      <w:r w:rsidR="00BC5F88">
        <w:rPr>
          <w:rFonts w:eastAsia="Calibri"/>
        </w:rPr>
        <w:t xml:space="preserve"> </w:t>
      </w:r>
      <w:r w:rsidR="00AF0DED">
        <w:rPr>
          <w:rFonts w:eastAsia="Calibri"/>
        </w:rPr>
        <w:t>O</w:t>
      </w:r>
      <w:r w:rsidR="00031E69">
        <w:rPr>
          <w:rFonts w:eastAsia="Calibri"/>
        </w:rPr>
        <w:t>n February </w:t>
      </w:r>
      <w:r w:rsidR="006B42DA">
        <w:rPr>
          <w:rFonts w:eastAsia="Calibri"/>
        </w:rPr>
        <w:t xml:space="preserve">3, 2012, </w:t>
      </w:r>
      <w:r w:rsidR="00BC5F88">
        <w:rPr>
          <w:rFonts w:eastAsia="Calibri"/>
        </w:rPr>
        <w:t xml:space="preserve">a hearing judge </w:t>
      </w:r>
      <w:r w:rsidR="00F82E1E">
        <w:rPr>
          <w:rFonts w:eastAsia="Calibri"/>
        </w:rPr>
        <w:t xml:space="preserve">found </w:t>
      </w:r>
      <w:r w:rsidR="00EC7C54">
        <w:rPr>
          <w:rFonts w:eastAsia="Calibri"/>
        </w:rPr>
        <w:t xml:space="preserve">that </w:t>
      </w:r>
      <w:r w:rsidR="00F82E1E">
        <w:rPr>
          <w:rFonts w:eastAsia="Calibri"/>
        </w:rPr>
        <w:t xml:space="preserve">Gonzalez </w:t>
      </w:r>
      <w:r w:rsidR="00090FBD">
        <w:rPr>
          <w:rFonts w:eastAsia="Calibri"/>
        </w:rPr>
        <w:t>had not made any</w:t>
      </w:r>
      <w:r w:rsidR="00A21C6E">
        <w:rPr>
          <w:rFonts w:eastAsia="Calibri"/>
        </w:rPr>
        <w:t xml:space="preserve"> restitution payments to the five clients</w:t>
      </w:r>
      <w:r w:rsidR="005C6C5B">
        <w:rPr>
          <w:rFonts w:eastAsia="Calibri"/>
        </w:rPr>
        <w:t xml:space="preserve"> from July to October 2011</w:t>
      </w:r>
      <w:r w:rsidR="00F12973">
        <w:rPr>
          <w:rFonts w:eastAsia="Calibri"/>
        </w:rPr>
        <w:t>.</w:t>
      </w:r>
      <w:r w:rsidR="00DE6056">
        <w:rPr>
          <w:rFonts w:eastAsia="Calibri"/>
        </w:rPr>
        <w:t xml:space="preserve">  In aggravation, </w:t>
      </w:r>
      <w:r w:rsidR="00EE372B">
        <w:rPr>
          <w:rFonts w:eastAsia="Calibri"/>
        </w:rPr>
        <w:t>Gonzalez</w:t>
      </w:r>
      <w:r w:rsidR="00DE6056">
        <w:rPr>
          <w:rFonts w:eastAsia="Calibri"/>
        </w:rPr>
        <w:t xml:space="preserve"> had a prior record of discipline, committed multiple acts of misconduct</w:t>
      </w:r>
      <w:r w:rsidR="00BC5F88">
        <w:rPr>
          <w:rFonts w:eastAsia="Calibri"/>
        </w:rPr>
        <w:t>,</w:t>
      </w:r>
      <w:r w:rsidR="00DE6056">
        <w:rPr>
          <w:rFonts w:eastAsia="Calibri"/>
        </w:rPr>
        <w:t xml:space="preserve"> and demonstrated indifference because he </w:t>
      </w:r>
      <w:r w:rsidR="00991BF6">
        <w:rPr>
          <w:rFonts w:eastAsia="Calibri"/>
        </w:rPr>
        <w:t xml:space="preserve">did </w:t>
      </w:r>
      <w:r w:rsidR="00991BF6">
        <w:rPr>
          <w:rFonts w:eastAsia="Calibri"/>
        </w:rPr>
        <w:lastRenderedPageBreak/>
        <w:t>not comply with his probation terms</w:t>
      </w:r>
      <w:r w:rsidR="00DE6056">
        <w:rPr>
          <w:rFonts w:eastAsia="Calibri"/>
        </w:rPr>
        <w:t xml:space="preserve"> </w:t>
      </w:r>
      <w:r w:rsidR="00090FBD">
        <w:rPr>
          <w:rFonts w:eastAsia="Calibri"/>
        </w:rPr>
        <w:t xml:space="preserve">even </w:t>
      </w:r>
      <w:r w:rsidR="00DE6056">
        <w:rPr>
          <w:rFonts w:eastAsia="Calibri"/>
        </w:rPr>
        <w:t xml:space="preserve">after </w:t>
      </w:r>
      <w:r w:rsidR="008C089F">
        <w:rPr>
          <w:rFonts w:eastAsia="Calibri"/>
        </w:rPr>
        <w:t xml:space="preserve">Probation sent </w:t>
      </w:r>
      <w:r w:rsidR="00AF0DED">
        <w:rPr>
          <w:rFonts w:eastAsia="Calibri"/>
        </w:rPr>
        <w:t xml:space="preserve">him </w:t>
      </w:r>
      <w:r w:rsidR="008C089F">
        <w:rPr>
          <w:rFonts w:eastAsia="Calibri"/>
        </w:rPr>
        <w:t xml:space="preserve">a reminder.  </w:t>
      </w:r>
      <w:r w:rsidR="000E2587">
        <w:rPr>
          <w:rFonts w:eastAsia="Calibri"/>
        </w:rPr>
        <w:t xml:space="preserve">There </w:t>
      </w:r>
      <w:r w:rsidR="008C089F">
        <w:rPr>
          <w:rFonts w:eastAsia="Calibri"/>
        </w:rPr>
        <w:t>were no mitigating factors</w:t>
      </w:r>
      <w:r w:rsidR="000E2587">
        <w:rPr>
          <w:rFonts w:eastAsia="Calibri"/>
        </w:rPr>
        <w:t xml:space="preserve">.  The judge </w:t>
      </w:r>
      <w:r w:rsidR="003504AC">
        <w:rPr>
          <w:rFonts w:eastAsia="Calibri"/>
        </w:rPr>
        <w:t>recommended</w:t>
      </w:r>
      <w:r w:rsidR="000E2587">
        <w:rPr>
          <w:rFonts w:eastAsia="Calibri"/>
        </w:rPr>
        <w:t xml:space="preserve"> that </w:t>
      </w:r>
      <w:r w:rsidR="00FD58E3">
        <w:rPr>
          <w:rFonts w:eastAsia="Calibri"/>
        </w:rPr>
        <w:t>probation be revoked</w:t>
      </w:r>
      <w:r w:rsidR="00E54BE9">
        <w:rPr>
          <w:rFonts w:eastAsia="Calibri"/>
        </w:rPr>
        <w:t xml:space="preserve">, </w:t>
      </w:r>
      <w:r w:rsidR="006617E8">
        <w:rPr>
          <w:rFonts w:eastAsia="Calibri"/>
        </w:rPr>
        <w:t xml:space="preserve">and </w:t>
      </w:r>
      <w:r w:rsidR="005C6C5B">
        <w:rPr>
          <w:rFonts w:eastAsia="Calibri"/>
        </w:rPr>
        <w:t xml:space="preserve">that </w:t>
      </w:r>
      <w:r w:rsidR="009C4F19">
        <w:rPr>
          <w:rFonts w:eastAsia="Calibri"/>
        </w:rPr>
        <w:t xml:space="preserve">Gonzalez serve </w:t>
      </w:r>
      <w:r w:rsidR="006617E8">
        <w:rPr>
          <w:rFonts w:eastAsia="Calibri"/>
        </w:rPr>
        <w:t>the</w:t>
      </w:r>
      <w:r w:rsidR="009C4F19">
        <w:rPr>
          <w:rFonts w:eastAsia="Calibri"/>
        </w:rPr>
        <w:t xml:space="preserve"> two-year stayed suspension, two</w:t>
      </w:r>
      <w:r w:rsidR="00031E69">
        <w:rPr>
          <w:rFonts w:eastAsia="Calibri"/>
        </w:rPr>
        <w:t xml:space="preserve"> </w:t>
      </w:r>
      <w:r w:rsidR="009C4F19">
        <w:rPr>
          <w:rFonts w:eastAsia="Calibri"/>
        </w:rPr>
        <w:t>year</w:t>
      </w:r>
      <w:r w:rsidR="00031E69">
        <w:rPr>
          <w:rFonts w:eastAsia="Calibri"/>
        </w:rPr>
        <w:t>s’</w:t>
      </w:r>
      <w:r w:rsidR="009C4F19">
        <w:rPr>
          <w:rFonts w:eastAsia="Calibri"/>
        </w:rPr>
        <w:t xml:space="preserve"> probation, and an actual suspension of one</w:t>
      </w:r>
      <w:r w:rsidR="00031E69">
        <w:rPr>
          <w:rFonts w:eastAsia="Calibri"/>
        </w:rPr>
        <w:t xml:space="preserve"> </w:t>
      </w:r>
      <w:r w:rsidR="00734070">
        <w:rPr>
          <w:rFonts w:eastAsia="Calibri"/>
        </w:rPr>
        <w:t>year</w:t>
      </w:r>
      <w:r w:rsidR="004D3FB7">
        <w:rPr>
          <w:rFonts w:eastAsia="Calibri"/>
        </w:rPr>
        <w:t xml:space="preserve">.  The actual </w:t>
      </w:r>
      <w:r w:rsidR="009C4F19">
        <w:rPr>
          <w:rFonts w:eastAsia="Calibri"/>
        </w:rPr>
        <w:t xml:space="preserve">suspension would continue until </w:t>
      </w:r>
      <w:r w:rsidR="004D3FB7">
        <w:rPr>
          <w:rFonts w:eastAsia="Calibri"/>
        </w:rPr>
        <w:t>Gonzalez</w:t>
      </w:r>
      <w:r w:rsidR="009C4F19">
        <w:rPr>
          <w:rFonts w:eastAsia="Calibri"/>
        </w:rPr>
        <w:t xml:space="preserve"> </w:t>
      </w:r>
      <w:r w:rsidR="00031E69">
        <w:rPr>
          <w:rFonts w:eastAsia="Calibri"/>
        </w:rPr>
        <w:t>(1) </w:t>
      </w:r>
      <w:r w:rsidR="009C4F19">
        <w:rPr>
          <w:rFonts w:eastAsia="Calibri"/>
        </w:rPr>
        <w:t xml:space="preserve">paid restitution according to the payment plan in </w:t>
      </w:r>
      <w:r w:rsidR="009C4F19" w:rsidRPr="009C4F19">
        <w:rPr>
          <w:rFonts w:eastAsia="Calibri"/>
          <w:i/>
        </w:rPr>
        <w:t>Gonzalez I</w:t>
      </w:r>
      <w:r w:rsidR="00E600CD">
        <w:rPr>
          <w:rFonts w:eastAsia="Calibri"/>
        </w:rPr>
        <w:t>, and (2)</w:t>
      </w:r>
      <w:r w:rsidR="00031E69">
        <w:rPr>
          <w:rFonts w:eastAsia="Calibri"/>
        </w:rPr>
        <w:t> </w:t>
      </w:r>
      <w:r w:rsidR="009C4F19">
        <w:rPr>
          <w:rFonts w:eastAsia="Calibri"/>
        </w:rPr>
        <w:t>prov</w:t>
      </w:r>
      <w:r w:rsidR="00E600CD">
        <w:rPr>
          <w:rFonts w:eastAsia="Calibri"/>
        </w:rPr>
        <w:t>ed</w:t>
      </w:r>
      <w:r w:rsidR="009C4F19">
        <w:rPr>
          <w:rFonts w:eastAsia="Calibri"/>
        </w:rPr>
        <w:t xml:space="preserve"> </w:t>
      </w:r>
      <w:r w:rsidR="00E600CD">
        <w:rPr>
          <w:rFonts w:eastAsia="Calibri"/>
        </w:rPr>
        <w:t xml:space="preserve">his </w:t>
      </w:r>
      <w:r w:rsidR="00EB131D">
        <w:rPr>
          <w:rFonts w:eastAsia="Calibri"/>
        </w:rPr>
        <w:t>rehabilitation</w:t>
      </w:r>
      <w:r w:rsidR="00BC5F88" w:rsidRPr="00EE372B">
        <w:rPr>
          <w:rFonts w:eastAsia="Calibri"/>
        </w:rPr>
        <w:t>.</w:t>
      </w:r>
      <w:r w:rsidR="003504AC">
        <w:rPr>
          <w:rFonts w:eastAsia="Calibri"/>
        </w:rPr>
        <w:t xml:space="preserve"> </w:t>
      </w:r>
      <w:r w:rsidR="00E54BE9">
        <w:rPr>
          <w:rFonts w:eastAsia="Calibri"/>
        </w:rPr>
        <w:t xml:space="preserve"> </w:t>
      </w:r>
      <w:r w:rsidR="00DE6056">
        <w:rPr>
          <w:rFonts w:eastAsia="Calibri"/>
        </w:rPr>
        <w:t>On May</w:t>
      </w:r>
      <w:r w:rsidR="004B401A">
        <w:rPr>
          <w:rFonts w:eastAsia="Calibri"/>
        </w:rPr>
        <w:t> </w:t>
      </w:r>
      <w:r w:rsidR="00DE6056">
        <w:rPr>
          <w:rFonts w:eastAsia="Calibri"/>
        </w:rPr>
        <w:t>8, 2012,</w:t>
      </w:r>
      <w:r w:rsidR="00333B80">
        <w:rPr>
          <w:rFonts w:eastAsia="Calibri"/>
        </w:rPr>
        <w:t xml:space="preserve"> </w:t>
      </w:r>
      <w:r w:rsidR="008C089F">
        <w:rPr>
          <w:rFonts w:eastAsia="Calibri"/>
        </w:rPr>
        <w:t xml:space="preserve">the </w:t>
      </w:r>
      <w:r w:rsidR="008465AA" w:rsidRPr="008465AA">
        <w:rPr>
          <w:rFonts w:eastAsia="Calibri"/>
        </w:rPr>
        <w:t xml:space="preserve">Supreme Court </w:t>
      </w:r>
      <w:r w:rsidR="009A2F9F">
        <w:rPr>
          <w:rFonts w:eastAsia="Calibri"/>
        </w:rPr>
        <w:t xml:space="preserve">ordered </w:t>
      </w:r>
      <w:r w:rsidR="008C089F">
        <w:rPr>
          <w:rFonts w:eastAsia="Calibri"/>
        </w:rPr>
        <w:t xml:space="preserve">the recommended </w:t>
      </w:r>
      <w:r w:rsidR="000E2587">
        <w:rPr>
          <w:rFonts w:eastAsia="Calibri"/>
        </w:rPr>
        <w:t xml:space="preserve">discipline </w:t>
      </w:r>
      <w:r w:rsidR="00973C8D">
        <w:rPr>
          <w:rFonts w:eastAsia="Calibri"/>
        </w:rPr>
        <w:t xml:space="preserve">and </w:t>
      </w:r>
      <w:r w:rsidR="008C089F">
        <w:rPr>
          <w:rFonts w:eastAsia="Calibri"/>
        </w:rPr>
        <w:t>includ</w:t>
      </w:r>
      <w:r w:rsidR="00AF0DED">
        <w:rPr>
          <w:rFonts w:eastAsia="Calibri"/>
        </w:rPr>
        <w:t>ed</w:t>
      </w:r>
      <w:r w:rsidR="008C089F">
        <w:rPr>
          <w:rFonts w:eastAsia="Calibri"/>
        </w:rPr>
        <w:t xml:space="preserve"> that</w:t>
      </w:r>
      <w:r w:rsidR="00973C8D">
        <w:rPr>
          <w:rFonts w:eastAsia="Calibri"/>
        </w:rPr>
        <w:t xml:space="preserve"> </w:t>
      </w:r>
      <w:r w:rsidR="00F37791">
        <w:rPr>
          <w:rFonts w:eastAsia="Calibri"/>
        </w:rPr>
        <w:t xml:space="preserve">Gonzalez </w:t>
      </w:r>
      <w:r w:rsidR="00EB131D">
        <w:rPr>
          <w:rFonts w:eastAsia="Calibri"/>
        </w:rPr>
        <w:t xml:space="preserve">comply with </w:t>
      </w:r>
      <w:r w:rsidR="00973C8D">
        <w:rPr>
          <w:rFonts w:eastAsia="Calibri"/>
        </w:rPr>
        <w:t>rule</w:t>
      </w:r>
      <w:r w:rsidR="004B401A">
        <w:rPr>
          <w:rFonts w:eastAsia="Calibri"/>
        </w:rPr>
        <w:t> </w:t>
      </w:r>
      <w:r w:rsidR="00973C8D">
        <w:rPr>
          <w:rFonts w:eastAsia="Calibri"/>
        </w:rPr>
        <w:t xml:space="preserve">9.20 of the </w:t>
      </w:r>
      <w:r w:rsidR="00F37791">
        <w:rPr>
          <w:rFonts w:eastAsia="Calibri"/>
        </w:rPr>
        <w:t>California Rule</w:t>
      </w:r>
      <w:r w:rsidR="00973C8D">
        <w:rPr>
          <w:rFonts w:eastAsia="Calibri"/>
        </w:rPr>
        <w:t>s</w:t>
      </w:r>
      <w:r w:rsidR="00F37791">
        <w:rPr>
          <w:rFonts w:eastAsia="Calibri"/>
        </w:rPr>
        <w:t xml:space="preserve"> of Court</w:t>
      </w:r>
      <w:r w:rsidR="00973C8D">
        <w:rPr>
          <w:rFonts w:eastAsia="Calibri"/>
        </w:rPr>
        <w:t xml:space="preserve">.  </w:t>
      </w:r>
      <w:r w:rsidR="00F37791">
        <w:rPr>
          <w:rFonts w:eastAsia="Calibri"/>
        </w:rPr>
        <w:t xml:space="preserve">The order became effective on </w:t>
      </w:r>
      <w:r w:rsidR="00991BF6">
        <w:rPr>
          <w:rFonts w:eastAsia="Calibri"/>
        </w:rPr>
        <w:t>June</w:t>
      </w:r>
      <w:r w:rsidR="004B401A">
        <w:rPr>
          <w:rFonts w:eastAsia="Calibri"/>
        </w:rPr>
        <w:t> </w:t>
      </w:r>
      <w:r w:rsidR="00991BF6">
        <w:rPr>
          <w:rFonts w:eastAsia="Calibri"/>
        </w:rPr>
        <w:t>7, 2012.</w:t>
      </w:r>
      <w:r w:rsidR="009E6C77">
        <w:rPr>
          <w:rStyle w:val="FootnoteReference"/>
          <w:rFonts w:eastAsia="Calibri"/>
        </w:rPr>
        <w:footnoteReference w:id="12"/>
      </w:r>
    </w:p>
    <w:p w14:paraId="1C1D6773" w14:textId="23995F91" w:rsidR="00CE4F3A" w:rsidRDefault="005D16B5" w:rsidP="00D465FA">
      <w:pPr>
        <w:spacing w:line="480" w:lineRule="auto"/>
        <w:ind w:firstLine="720"/>
        <w:rPr>
          <w:iCs/>
        </w:rPr>
      </w:pPr>
      <w:r>
        <w:rPr>
          <w:iCs/>
        </w:rPr>
        <w:t xml:space="preserve">The </w:t>
      </w:r>
      <w:r w:rsidR="00D465FA" w:rsidRPr="00DC35F6">
        <w:rPr>
          <w:iCs/>
        </w:rPr>
        <w:t>hearing judge</w:t>
      </w:r>
      <w:r w:rsidR="00973C8D">
        <w:rPr>
          <w:iCs/>
        </w:rPr>
        <w:t xml:space="preserve"> </w:t>
      </w:r>
      <w:r w:rsidR="0065347A">
        <w:rPr>
          <w:iCs/>
        </w:rPr>
        <w:t xml:space="preserve">assigned </w:t>
      </w:r>
      <w:r w:rsidR="00D465FA" w:rsidRPr="00DC35F6">
        <w:rPr>
          <w:iCs/>
        </w:rPr>
        <w:t xml:space="preserve">significant weight </w:t>
      </w:r>
      <w:r w:rsidR="000E2587">
        <w:rPr>
          <w:iCs/>
        </w:rPr>
        <w:t xml:space="preserve">to </w:t>
      </w:r>
      <w:r w:rsidR="00D465FA" w:rsidRPr="00DC35F6">
        <w:rPr>
          <w:iCs/>
        </w:rPr>
        <w:t xml:space="preserve">Gonzalez’s </w:t>
      </w:r>
      <w:r w:rsidR="000C2159">
        <w:rPr>
          <w:iCs/>
        </w:rPr>
        <w:t xml:space="preserve">overall </w:t>
      </w:r>
      <w:r w:rsidR="00D465FA" w:rsidRPr="00DC35F6">
        <w:rPr>
          <w:iCs/>
        </w:rPr>
        <w:t>prior record</w:t>
      </w:r>
      <w:r w:rsidR="000E2587">
        <w:rPr>
          <w:iCs/>
        </w:rPr>
        <w:t>,</w:t>
      </w:r>
      <w:r w:rsidR="00D465FA">
        <w:rPr>
          <w:iCs/>
        </w:rPr>
        <w:t xml:space="preserve"> </w:t>
      </w:r>
      <w:r>
        <w:rPr>
          <w:iCs/>
        </w:rPr>
        <w:t xml:space="preserve">but </w:t>
      </w:r>
      <w:r w:rsidR="00A21C6E">
        <w:rPr>
          <w:iCs/>
        </w:rPr>
        <w:t>she</w:t>
      </w:r>
      <w:r w:rsidR="0065347A">
        <w:rPr>
          <w:iCs/>
        </w:rPr>
        <w:t xml:space="preserve"> </w:t>
      </w:r>
      <w:r w:rsidR="00D465FA" w:rsidRPr="00DC35F6">
        <w:rPr>
          <w:iCs/>
        </w:rPr>
        <w:t xml:space="preserve">diminished </w:t>
      </w:r>
      <w:r w:rsidR="00D465FA">
        <w:rPr>
          <w:iCs/>
        </w:rPr>
        <w:t xml:space="preserve">it </w:t>
      </w:r>
      <w:r w:rsidR="00A21C6E">
        <w:rPr>
          <w:iCs/>
        </w:rPr>
        <w:t>“</w:t>
      </w:r>
      <w:r w:rsidR="000E2587">
        <w:rPr>
          <w:iCs/>
        </w:rPr>
        <w:t>somewhat</w:t>
      </w:r>
      <w:r w:rsidR="00254835">
        <w:rPr>
          <w:iCs/>
        </w:rPr>
        <w:t>,</w:t>
      </w:r>
      <w:r w:rsidR="00A21C6E">
        <w:rPr>
          <w:iCs/>
        </w:rPr>
        <w:t>”</w:t>
      </w:r>
      <w:r w:rsidR="000E2587">
        <w:rPr>
          <w:iCs/>
        </w:rPr>
        <w:t xml:space="preserve"> </w:t>
      </w:r>
      <w:r>
        <w:rPr>
          <w:iCs/>
        </w:rPr>
        <w:t xml:space="preserve">finding that </w:t>
      </w:r>
      <w:r w:rsidR="00254835">
        <w:rPr>
          <w:iCs/>
        </w:rPr>
        <w:t xml:space="preserve">his </w:t>
      </w:r>
      <w:r w:rsidR="000E2587">
        <w:rPr>
          <w:iCs/>
        </w:rPr>
        <w:t xml:space="preserve">misconduct in </w:t>
      </w:r>
      <w:r w:rsidR="000E2587" w:rsidRPr="00EE372B">
        <w:rPr>
          <w:i/>
          <w:iCs/>
        </w:rPr>
        <w:t>Gonzalez II</w:t>
      </w:r>
      <w:r w:rsidR="000E2587">
        <w:rPr>
          <w:iCs/>
        </w:rPr>
        <w:t xml:space="preserve"> </w:t>
      </w:r>
      <w:r w:rsidR="00902813">
        <w:rPr>
          <w:iCs/>
        </w:rPr>
        <w:t>“</w:t>
      </w:r>
      <w:r w:rsidR="00D465FA" w:rsidRPr="00DC35F6">
        <w:rPr>
          <w:iCs/>
        </w:rPr>
        <w:t xml:space="preserve">occurred </w:t>
      </w:r>
      <w:r w:rsidR="00902813">
        <w:rPr>
          <w:iCs/>
        </w:rPr>
        <w:t xml:space="preserve">after much of </w:t>
      </w:r>
      <w:r w:rsidR="00D465FA">
        <w:rPr>
          <w:iCs/>
        </w:rPr>
        <w:t>the present misconduct.”</w:t>
      </w:r>
      <w:r w:rsidR="00D465FA" w:rsidRPr="00DC35F6">
        <w:rPr>
          <w:iCs/>
        </w:rPr>
        <w:t xml:space="preserve"> </w:t>
      </w:r>
      <w:r w:rsidR="0048420D">
        <w:rPr>
          <w:iCs/>
        </w:rPr>
        <w:t xml:space="preserve"> The </w:t>
      </w:r>
      <w:r w:rsidR="00516EC9">
        <w:rPr>
          <w:iCs/>
        </w:rPr>
        <w:t>record does not support this finding.</w:t>
      </w:r>
    </w:p>
    <w:p w14:paraId="661BBACF" w14:textId="0E442C05" w:rsidR="00AC4271" w:rsidRDefault="006D79EA" w:rsidP="000B143D">
      <w:pPr>
        <w:spacing w:line="480" w:lineRule="auto"/>
        <w:ind w:firstLine="720"/>
        <w:rPr>
          <w:iCs/>
        </w:rPr>
      </w:pPr>
      <w:r>
        <w:t>Gonzalez committed most of his present misconduct in 2011 and 2012, when he knew of both prior discipline cases.  (</w:t>
      </w:r>
      <w:r w:rsidRPr="00DC35F6">
        <w:rPr>
          <w:i/>
          <w:iCs/>
        </w:rPr>
        <w:t xml:space="preserve">In the Matter of Sklar </w:t>
      </w:r>
      <w:r>
        <w:rPr>
          <w:iCs/>
        </w:rPr>
        <w:t>(Review Dept. 1993) 2 </w:t>
      </w:r>
      <w:r w:rsidRPr="00DC35F6">
        <w:rPr>
          <w:iCs/>
        </w:rPr>
        <w:t>Cal. State Bar Ct. Rptr. 602, 619 [weight of aggravation for prior discipline record depends on whether attorney had opportunity to heed import of prior proceeding before com</w:t>
      </w:r>
      <w:r>
        <w:rPr>
          <w:iCs/>
        </w:rPr>
        <w:t xml:space="preserve">mitting misconduct at issue].)  </w:t>
      </w:r>
      <w:r w:rsidR="00C868B5">
        <w:rPr>
          <w:iCs/>
        </w:rPr>
        <w:t xml:space="preserve">The operative dates to mark </w:t>
      </w:r>
      <w:r>
        <w:rPr>
          <w:iCs/>
        </w:rPr>
        <w:t>his</w:t>
      </w:r>
      <w:r w:rsidR="00C868B5">
        <w:rPr>
          <w:iCs/>
        </w:rPr>
        <w:t xml:space="preserve"> </w:t>
      </w:r>
      <w:r w:rsidR="004D3FB7">
        <w:rPr>
          <w:iCs/>
        </w:rPr>
        <w:t xml:space="preserve">notice of </w:t>
      </w:r>
      <w:r w:rsidR="00C868B5">
        <w:rPr>
          <w:iCs/>
        </w:rPr>
        <w:t xml:space="preserve">his past wrongdoing are November 2010, when he </w:t>
      </w:r>
      <w:r w:rsidR="00426618">
        <w:rPr>
          <w:iCs/>
        </w:rPr>
        <w:t>signed the stipulation</w:t>
      </w:r>
      <w:r w:rsidR="006122BB" w:rsidRPr="006122BB">
        <w:rPr>
          <w:iCs/>
        </w:rPr>
        <w:t xml:space="preserve"> </w:t>
      </w:r>
      <w:r w:rsidR="006122BB">
        <w:rPr>
          <w:iCs/>
        </w:rPr>
        <w:t xml:space="preserve">in </w:t>
      </w:r>
      <w:r w:rsidR="006122BB" w:rsidRPr="00AC6CFF">
        <w:rPr>
          <w:i/>
          <w:iCs/>
        </w:rPr>
        <w:t>Gon</w:t>
      </w:r>
      <w:r w:rsidR="00254835">
        <w:rPr>
          <w:i/>
          <w:iCs/>
        </w:rPr>
        <w:t>z</w:t>
      </w:r>
      <w:r w:rsidR="006122BB" w:rsidRPr="00AC6CFF">
        <w:rPr>
          <w:i/>
          <w:iCs/>
        </w:rPr>
        <w:t>alez I</w:t>
      </w:r>
      <w:r w:rsidR="00C868B5">
        <w:rPr>
          <w:i/>
          <w:iCs/>
        </w:rPr>
        <w:t xml:space="preserve">, </w:t>
      </w:r>
      <w:r w:rsidR="00C868B5" w:rsidRPr="00C868B5">
        <w:rPr>
          <w:iCs/>
        </w:rPr>
        <w:t>and</w:t>
      </w:r>
      <w:r w:rsidR="004B401A">
        <w:rPr>
          <w:iCs/>
        </w:rPr>
        <w:t xml:space="preserve"> November </w:t>
      </w:r>
      <w:r w:rsidR="00831204">
        <w:rPr>
          <w:iCs/>
        </w:rPr>
        <w:t xml:space="preserve">15, 2011, </w:t>
      </w:r>
      <w:r w:rsidR="00C868B5">
        <w:rPr>
          <w:iCs/>
        </w:rPr>
        <w:t xml:space="preserve">when </w:t>
      </w:r>
      <w:r w:rsidR="000168A1">
        <w:rPr>
          <w:iCs/>
        </w:rPr>
        <w:t>Probation filed its motion to revoke probation</w:t>
      </w:r>
      <w:r w:rsidR="00831204">
        <w:rPr>
          <w:iCs/>
        </w:rPr>
        <w:t xml:space="preserve"> in </w:t>
      </w:r>
      <w:r w:rsidR="00831204" w:rsidRPr="00831204">
        <w:rPr>
          <w:i/>
          <w:iCs/>
        </w:rPr>
        <w:t>Gonzalez II</w:t>
      </w:r>
      <w:r w:rsidR="00831204">
        <w:rPr>
          <w:iCs/>
        </w:rPr>
        <w:t>.</w:t>
      </w:r>
      <w:r w:rsidR="0042474E">
        <w:rPr>
          <w:iCs/>
        </w:rPr>
        <w:t xml:space="preserve">  </w:t>
      </w:r>
    </w:p>
    <w:p w14:paraId="262C3C54" w14:textId="7A7100BB" w:rsidR="00015ABF" w:rsidRDefault="00AC4271" w:rsidP="000B143D">
      <w:pPr>
        <w:spacing w:line="480" w:lineRule="auto"/>
        <w:ind w:firstLine="720"/>
      </w:pPr>
      <w:r>
        <w:rPr>
          <w:iCs/>
        </w:rPr>
        <w:t>To illustrate, the</w:t>
      </w:r>
      <w:r w:rsidR="00354D52">
        <w:rPr>
          <w:iCs/>
        </w:rPr>
        <w:t xml:space="preserve"> </w:t>
      </w:r>
      <w:r>
        <w:rPr>
          <w:iCs/>
        </w:rPr>
        <w:t>following</w:t>
      </w:r>
      <w:r w:rsidR="00902813">
        <w:rPr>
          <w:iCs/>
        </w:rPr>
        <w:t xml:space="preserve"> </w:t>
      </w:r>
      <w:r>
        <w:rPr>
          <w:iCs/>
        </w:rPr>
        <w:t>misconduct</w:t>
      </w:r>
      <w:r w:rsidR="00902813">
        <w:rPr>
          <w:iCs/>
        </w:rPr>
        <w:t xml:space="preserve"> in the present case</w:t>
      </w:r>
      <w:r w:rsidR="00031E69">
        <w:rPr>
          <w:iCs/>
        </w:rPr>
        <w:t xml:space="preserve">, among </w:t>
      </w:r>
      <w:r w:rsidR="004D3FB7">
        <w:rPr>
          <w:iCs/>
        </w:rPr>
        <w:t>other instances</w:t>
      </w:r>
      <w:r w:rsidR="00031E69">
        <w:rPr>
          <w:iCs/>
        </w:rPr>
        <w:t>,</w:t>
      </w:r>
      <w:r>
        <w:rPr>
          <w:iCs/>
        </w:rPr>
        <w:t xml:space="preserve"> occurred after November 2010 </w:t>
      </w:r>
      <w:r w:rsidR="007B3BCD">
        <w:rPr>
          <w:iCs/>
        </w:rPr>
        <w:t>(</w:t>
      </w:r>
      <w:r w:rsidR="007B3BCD">
        <w:rPr>
          <w:i/>
          <w:iCs/>
        </w:rPr>
        <w:t>Gonzalez </w:t>
      </w:r>
      <w:r w:rsidR="007B3BCD" w:rsidRPr="007B3BCD">
        <w:rPr>
          <w:i/>
          <w:iCs/>
        </w:rPr>
        <w:t>I</w:t>
      </w:r>
      <w:r w:rsidR="007B3BCD">
        <w:rPr>
          <w:iCs/>
        </w:rPr>
        <w:t xml:space="preserve">) </w:t>
      </w:r>
      <w:r w:rsidR="001213EC">
        <w:rPr>
          <w:iCs/>
        </w:rPr>
        <w:t>and/</w:t>
      </w:r>
      <w:r w:rsidRPr="007B3BCD">
        <w:rPr>
          <w:iCs/>
        </w:rPr>
        <w:t xml:space="preserve">or </w:t>
      </w:r>
      <w:r>
        <w:rPr>
          <w:iCs/>
        </w:rPr>
        <w:t>November 2011</w:t>
      </w:r>
      <w:r w:rsidR="007B3BCD">
        <w:rPr>
          <w:iCs/>
        </w:rPr>
        <w:t xml:space="preserve"> (</w:t>
      </w:r>
      <w:r w:rsidR="007B3BCD">
        <w:rPr>
          <w:i/>
          <w:iCs/>
        </w:rPr>
        <w:t>Gonzalez II</w:t>
      </w:r>
      <w:r w:rsidR="007B3BCD">
        <w:rPr>
          <w:iCs/>
        </w:rPr>
        <w:t>)</w:t>
      </w:r>
      <w:r w:rsidR="00C868B5">
        <w:rPr>
          <w:iCs/>
        </w:rPr>
        <w:t>:</w:t>
      </w:r>
      <w:r w:rsidR="00F93CEA">
        <w:rPr>
          <w:iCs/>
        </w:rPr>
        <w:t xml:space="preserve"> </w:t>
      </w:r>
      <w:r w:rsidR="005B6F1A">
        <w:rPr>
          <w:iCs/>
        </w:rPr>
        <w:t>(1)</w:t>
      </w:r>
      <w:r w:rsidR="004B401A">
        <w:rPr>
          <w:iCs/>
        </w:rPr>
        <w:t> i</w:t>
      </w:r>
      <w:r w:rsidR="006122BB">
        <w:rPr>
          <w:iCs/>
        </w:rPr>
        <w:t xml:space="preserve">n </w:t>
      </w:r>
      <w:r w:rsidR="00BC7DAC">
        <w:rPr>
          <w:iCs/>
        </w:rPr>
        <w:t>the Rivera</w:t>
      </w:r>
      <w:r>
        <w:rPr>
          <w:iCs/>
        </w:rPr>
        <w:t xml:space="preserve"> </w:t>
      </w:r>
      <w:r w:rsidR="00BC7DAC">
        <w:rPr>
          <w:iCs/>
        </w:rPr>
        <w:t>matter</w:t>
      </w:r>
      <w:r>
        <w:rPr>
          <w:iCs/>
        </w:rPr>
        <w:t>,</w:t>
      </w:r>
      <w:r w:rsidR="00BC7DAC">
        <w:rPr>
          <w:iCs/>
        </w:rPr>
        <w:t xml:space="preserve"> in </w:t>
      </w:r>
      <w:r w:rsidR="004C659D">
        <w:rPr>
          <w:iCs/>
        </w:rPr>
        <w:t xml:space="preserve">early 2012, </w:t>
      </w:r>
      <w:r w:rsidR="00445B9B">
        <w:rPr>
          <w:iCs/>
        </w:rPr>
        <w:t xml:space="preserve">Gonzalez’s services were </w:t>
      </w:r>
      <w:r w:rsidR="005B6F1A">
        <w:rPr>
          <w:iCs/>
        </w:rPr>
        <w:t xml:space="preserve">terminated </w:t>
      </w:r>
      <w:r w:rsidR="00445B9B">
        <w:rPr>
          <w:iCs/>
        </w:rPr>
        <w:t>and a refund requested, but he provided none</w:t>
      </w:r>
      <w:r w:rsidR="005B6F1A">
        <w:rPr>
          <w:iCs/>
        </w:rPr>
        <w:t>; (2)</w:t>
      </w:r>
      <w:r w:rsidR="004B401A">
        <w:rPr>
          <w:iCs/>
        </w:rPr>
        <w:t> </w:t>
      </w:r>
      <w:r w:rsidR="002A4529">
        <w:rPr>
          <w:iCs/>
        </w:rPr>
        <w:t>in</w:t>
      </w:r>
      <w:r w:rsidR="00BC7DAC">
        <w:rPr>
          <w:iCs/>
        </w:rPr>
        <w:t xml:space="preserve"> the Castillo matter, </w:t>
      </w:r>
      <w:r w:rsidR="002A4529">
        <w:rPr>
          <w:iCs/>
        </w:rPr>
        <w:t xml:space="preserve">when </w:t>
      </w:r>
      <w:r w:rsidR="007B3BCD">
        <w:rPr>
          <w:iCs/>
        </w:rPr>
        <w:t>t</w:t>
      </w:r>
      <w:r w:rsidR="00943B22">
        <w:rPr>
          <w:iCs/>
        </w:rPr>
        <w:t>he</w:t>
      </w:r>
      <w:r w:rsidR="007B3BCD">
        <w:rPr>
          <w:iCs/>
        </w:rPr>
        <w:t xml:space="preserve"> client</w:t>
      </w:r>
      <w:r w:rsidR="00B96EBA">
        <w:rPr>
          <w:iCs/>
        </w:rPr>
        <w:t xml:space="preserve"> </w:t>
      </w:r>
      <w:r w:rsidR="004514B4">
        <w:rPr>
          <w:iCs/>
        </w:rPr>
        <w:t xml:space="preserve">terminated </w:t>
      </w:r>
      <w:r w:rsidR="002A4529">
        <w:rPr>
          <w:iCs/>
        </w:rPr>
        <w:t xml:space="preserve">his </w:t>
      </w:r>
      <w:r w:rsidR="004514B4">
        <w:rPr>
          <w:iCs/>
        </w:rPr>
        <w:t xml:space="preserve">services in early 2012 and requested a refund, </w:t>
      </w:r>
      <w:r w:rsidR="002A4529">
        <w:rPr>
          <w:iCs/>
        </w:rPr>
        <w:t xml:space="preserve">Gonzalez </w:t>
      </w:r>
      <w:r w:rsidR="004514B4">
        <w:rPr>
          <w:iCs/>
        </w:rPr>
        <w:t>did not respond;</w:t>
      </w:r>
      <w:r w:rsidR="00B12B1D">
        <w:rPr>
          <w:iCs/>
        </w:rPr>
        <w:t xml:space="preserve"> (3) i</w:t>
      </w:r>
      <w:r w:rsidR="002A4529">
        <w:rPr>
          <w:iCs/>
        </w:rPr>
        <w:t xml:space="preserve">n the Garcia matter, </w:t>
      </w:r>
      <w:r w:rsidR="00975D06">
        <w:rPr>
          <w:iCs/>
        </w:rPr>
        <w:t xml:space="preserve">Gonzalez </w:t>
      </w:r>
      <w:r w:rsidR="002A4529">
        <w:rPr>
          <w:iCs/>
        </w:rPr>
        <w:t xml:space="preserve">was hired </w:t>
      </w:r>
      <w:r w:rsidR="00975D06">
        <w:rPr>
          <w:iCs/>
        </w:rPr>
        <w:lastRenderedPageBreak/>
        <w:t xml:space="preserve">to represent </w:t>
      </w:r>
      <w:r w:rsidR="002A4529">
        <w:rPr>
          <w:iCs/>
        </w:rPr>
        <w:t xml:space="preserve">Garcia’s </w:t>
      </w:r>
      <w:r w:rsidR="00975D06">
        <w:rPr>
          <w:iCs/>
        </w:rPr>
        <w:t>incarcerated son in January 2012</w:t>
      </w:r>
      <w:r w:rsidR="00226D62">
        <w:rPr>
          <w:iCs/>
        </w:rPr>
        <w:t xml:space="preserve">, </w:t>
      </w:r>
      <w:r w:rsidR="00445B9B">
        <w:rPr>
          <w:iCs/>
        </w:rPr>
        <w:t xml:space="preserve">and </w:t>
      </w:r>
      <w:r w:rsidR="002A4529">
        <w:rPr>
          <w:iCs/>
        </w:rPr>
        <w:t xml:space="preserve">failed to </w:t>
      </w:r>
      <w:r w:rsidR="00975D06">
        <w:rPr>
          <w:iCs/>
        </w:rPr>
        <w:t xml:space="preserve">appear for </w:t>
      </w:r>
      <w:r w:rsidR="002A4529">
        <w:rPr>
          <w:iCs/>
        </w:rPr>
        <w:t xml:space="preserve">the </w:t>
      </w:r>
      <w:r w:rsidR="00975D06">
        <w:rPr>
          <w:iCs/>
        </w:rPr>
        <w:t>sentencing hearing in February 2012; (</w:t>
      </w:r>
      <w:r w:rsidR="004C659D">
        <w:rPr>
          <w:iCs/>
        </w:rPr>
        <w:t>4</w:t>
      </w:r>
      <w:r w:rsidR="00B12B1D">
        <w:rPr>
          <w:iCs/>
        </w:rPr>
        <w:t>) i</w:t>
      </w:r>
      <w:r w:rsidR="002A4529">
        <w:rPr>
          <w:iCs/>
        </w:rPr>
        <w:t xml:space="preserve">n the </w:t>
      </w:r>
      <w:r w:rsidR="004C659D">
        <w:rPr>
          <w:iCs/>
        </w:rPr>
        <w:t xml:space="preserve">Jordan-Borceguin </w:t>
      </w:r>
      <w:r w:rsidR="002A4529">
        <w:rPr>
          <w:iCs/>
        </w:rPr>
        <w:t xml:space="preserve">matter, </w:t>
      </w:r>
      <w:r w:rsidR="0027557A">
        <w:rPr>
          <w:iCs/>
        </w:rPr>
        <w:t xml:space="preserve">in February 2012, </w:t>
      </w:r>
      <w:r w:rsidR="00975D06">
        <w:rPr>
          <w:iCs/>
        </w:rPr>
        <w:t xml:space="preserve">Gonzalez did not appear for </w:t>
      </w:r>
      <w:r w:rsidR="00254835">
        <w:rPr>
          <w:iCs/>
        </w:rPr>
        <w:t>her</w:t>
      </w:r>
      <w:r w:rsidR="002A4529">
        <w:rPr>
          <w:iCs/>
        </w:rPr>
        <w:t xml:space="preserve"> </w:t>
      </w:r>
      <w:r w:rsidR="00975D06">
        <w:rPr>
          <w:iCs/>
        </w:rPr>
        <w:t>immigration hearing</w:t>
      </w:r>
      <w:r w:rsidR="00497477">
        <w:rPr>
          <w:iCs/>
        </w:rPr>
        <w:t>; (</w:t>
      </w:r>
      <w:r w:rsidR="004C659D">
        <w:rPr>
          <w:iCs/>
        </w:rPr>
        <w:t>5</w:t>
      </w:r>
      <w:r w:rsidR="00497477">
        <w:rPr>
          <w:iCs/>
        </w:rPr>
        <w:t>)</w:t>
      </w:r>
      <w:r w:rsidR="00B12B1D">
        <w:rPr>
          <w:iCs/>
        </w:rPr>
        <w:t> i</w:t>
      </w:r>
      <w:r w:rsidR="002A4529">
        <w:rPr>
          <w:iCs/>
        </w:rPr>
        <w:t xml:space="preserve">n the Sebastian matter, from </w:t>
      </w:r>
      <w:r w:rsidR="0027557A">
        <w:rPr>
          <w:iCs/>
        </w:rPr>
        <w:t xml:space="preserve">February 2010 </w:t>
      </w:r>
      <w:r w:rsidR="002A4529">
        <w:rPr>
          <w:iCs/>
        </w:rPr>
        <w:t xml:space="preserve">to </w:t>
      </w:r>
      <w:r w:rsidR="0027557A">
        <w:rPr>
          <w:iCs/>
        </w:rPr>
        <w:t xml:space="preserve">November 2011, Gonzalez did not respond to </w:t>
      </w:r>
      <w:r w:rsidR="00445B9B">
        <w:rPr>
          <w:iCs/>
        </w:rPr>
        <w:t>his client’s calls</w:t>
      </w:r>
      <w:r w:rsidR="001A78EA">
        <w:rPr>
          <w:iCs/>
        </w:rPr>
        <w:t xml:space="preserve"> </w:t>
      </w:r>
      <w:r w:rsidR="001213EC">
        <w:rPr>
          <w:iCs/>
        </w:rPr>
        <w:t>after disconnecting</w:t>
      </w:r>
      <w:r w:rsidR="0027557A">
        <w:rPr>
          <w:iCs/>
        </w:rPr>
        <w:t xml:space="preserve"> his phone and </w:t>
      </w:r>
      <w:r w:rsidR="001213EC">
        <w:rPr>
          <w:iCs/>
        </w:rPr>
        <w:t>moving</w:t>
      </w:r>
      <w:r w:rsidR="0027557A">
        <w:rPr>
          <w:iCs/>
        </w:rPr>
        <w:t xml:space="preserve"> his office</w:t>
      </w:r>
      <w:r w:rsidR="00EC76B4">
        <w:rPr>
          <w:iCs/>
        </w:rPr>
        <w:t>, and did not appear for a scheduled meeting with his client in December 2011</w:t>
      </w:r>
      <w:r w:rsidR="001A78EA">
        <w:rPr>
          <w:iCs/>
        </w:rPr>
        <w:t xml:space="preserve">; </w:t>
      </w:r>
      <w:r w:rsidR="002161F7">
        <w:rPr>
          <w:iCs/>
        </w:rPr>
        <w:t>and (6</w:t>
      </w:r>
      <w:r w:rsidR="00497477">
        <w:rPr>
          <w:iCs/>
        </w:rPr>
        <w:t>)</w:t>
      </w:r>
      <w:r w:rsidR="00B12B1D">
        <w:rPr>
          <w:iCs/>
        </w:rPr>
        <w:t> </w:t>
      </w:r>
      <w:r w:rsidR="00226D62">
        <w:rPr>
          <w:iCs/>
        </w:rPr>
        <w:t xml:space="preserve">from </w:t>
      </w:r>
      <w:r w:rsidR="00497477">
        <w:rPr>
          <w:iCs/>
        </w:rPr>
        <w:t xml:space="preserve">March through June 2012, Gonzalez failed to respond to the State Bar investigator about the Castillo, Jordan-Borceguin, and Sebastian </w:t>
      </w:r>
      <w:r w:rsidR="001213EC">
        <w:rPr>
          <w:iCs/>
        </w:rPr>
        <w:t>complaints</w:t>
      </w:r>
      <w:r w:rsidR="00497477">
        <w:rPr>
          <w:iCs/>
        </w:rPr>
        <w:t xml:space="preserve">. </w:t>
      </w:r>
      <w:r w:rsidR="002759D0">
        <w:rPr>
          <w:iCs/>
        </w:rPr>
        <w:t xml:space="preserve"> </w:t>
      </w:r>
    </w:p>
    <w:p w14:paraId="73B28A24" w14:textId="0D4B698F" w:rsidR="000B143D" w:rsidRPr="008465AA" w:rsidRDefault="008A4688" w:rsidP="000B143D">
      <w:pPr>
        <w:spacing w:line="480" w:lineRule="auto"/>
        <w:ind w:firstLine="720"/>
        <w:rPr>
          <w:rFonts w:eastAsia="Calibri"/>
        </w:rPr>
      </w:pPr>
      <w:r>
        <w:t xml:space="preserve">After </w:t>
      </w:r>
      <w:r w:rsidR="00902813">
        <w:t xml:space="preserve">Gonzalez was disciplined in </w:t>
      </w:r>
      <w:r w:rsidRPr="00AA0FAE">
        <w:rPr>
          <w:i/>
        </w:rPr>
        <w:t>Gonzalez I</w:t>
      </w:r>
      <w:r w:rsidR="00734070">
        <w:t xml:space="preserve">, we find it </w:t>
      </w:r>
      <w:r>
        <w:t xml:space="preserve">inconceivable that </w:t>
      </w:r>
      <w:r w:rsidR="00902813">
        <w:t>he</w:t>
      </w:r>
      <w:r>
        <w:t xml:space="preserve"> did not know it was unethical to collect fees from clients, perform no work, and fail to communicate, provide accountings</w:t>
      </w:r>
      <w:r w:rsidR="00902813">
        <w:t>,</w:t>
      </w:r>
      <w:r>
        <w:t xml:space="preserve"> or refund unearned fees.  </w:t>
      </w:r>
      <w:r w:rsidR="002029CE">
        <w:rPr>
          <w:iCs/>
        </w:rPr>
        <w:t xml:space="preserve">The similarity of Gonzalez’s past </w:t>
      </w:r>
      <w:r w:rsidR="002029CE">
        <w:t xml:space="preserve">misconduct to his present wrongdoing demonstrates that he is a recidivist offender.  </w:t>
      </w:r>
      <w:r w:rsidR="00734070">
        <w:t>Accordingly, we</w:t>
      </w:r>
      <w:r>
        <w:t xml:space="preserve"> </w:t>
      </w:r>
      <w:r w:rsidR="00EE1C99">
        <w:t>assign</w:t>
      </w:r>
      <w:r w:rsidR="004242FC">
        <w:t xml:space="preserve"> full</w:t>
      </w:r>
      <w:r w:rsidR="00EE1C99">
        <w:t xml:space="preserve"> significant aggravation to his prior record of discipline</w:t>
      </w:r>
      <w:r w:rsidR="00DC2F80">
        <w:t>.</w:t>
      </w:r>
      <w:r w:rsidR="000E7C27">
        <w:t xml:space="preserve">  </w:t>
      </w:r>
      <w:r w:rsidR="002029CE">
        <w:t>(</w:t>
      </w:r>
      <w:r w:rsidR="002029CE">
        <w:rPr>
          <w:i/>
        </w:rPr>
        <w:t>In the Matter of Gadda</w:t>
      </w:r>
      <w:r w:rsidR="002029CE">
        <w:t xml:space="preserve"> (Review Dept. 2002) 4 Cal. State Bar Ct. Rptr. 416, 443</w:t>
      </w:r>
      <w:r w:rsidR="007255AA">
        <w:t>–</w:t>
      </w:r>
      <w:r w:rsidR="002029CE">
        <w:t>444 [similarities between prior and current misconduct render p</w:t>
      </w:r>
      <w:r w:rsidR="007255AA">
        <w:t>revious discipline more serious</w:t>
      </w:r>
      <w:r w:rsidR="002029CE">
        <w:t xml:space="preserve"> as they indicate prior discipline did not rehabilitate]; </w:t>
      </w:r>
      <w:r w:rsidR="002029CE" w:rsidRPr="00D61F8C">
        <w:rPr>
          <w:i/>
        </w:rPr>
        <w:t>In the Matter of Shalant</w:t>
      </w:r>
      <w:r w:rsidR="002029CE" w:rsidRPr="00D61F8C">
        <w:t xml:space="preserve"> (Review Dept. 2005) 4</w:t>
      </w:r>
      <w:r w:rsidR="002029CE">
        <w:t> </w:t>
      </w:r>
      <w:r w:rsidR="002029CE" w:rsidRPr="00D61F8C">
        <w:t>Cal. State Bar Ct. Rptr. 829, 841 [great weight placed on common thread among attorney’s past and present misconduct].</w:t>
      </w:r>
      <w:r w:rsidR="002029CE">
        <w:t xml:space="preserve">)  </w:t>
      </w:r>
    </w:p>
    <w:p w14:paraId="7696D1EC" w14:textId="3725086D" w:rsidR="00DC35F6" w:rsidRPr="00DC35F6" w:rsidRDefault="001E1A7E" w:rsidP="00E759E4">
      <w:pPr>
        <w:spacing w:line="480" w:lineRule="auto"/>
        <w:ind w:left="720"/>
        <w:rPr>
          <w:b/>
          <w:iCs/>
        </w:rPr>
      </w:pPr>
      <w:r>
        <w:rPr>
          <w:b/>
          <w:iCs/>
        </w:rPr>
        <w:t xml:space="preserve">2.  </w:t>
      </w:r>
      <w:r w:rsidR="008546CD">
        <w:rPr>
          <w:b/>
          <w:iCs/>
        </w:rPr>
        <w:t>Multiple Acts of W</w:t>
      </w:r>
      <w:r w:rsidR="00DC35F6" w:rsidRPr="00DC35F6">
        <w:rPr>
          <w:b/>
          <w:iCs/>
        </w:rPr>
        <w:t>rongdoing (Std. 1.5(b))</w:t>
      </w:r>
    </w:p>
    <w:p w14:paraId="4B089C53" w14:textId="2243C7EA" w:rsidR="0035536A" w:rsidRDefault="00650A1F" w:rsidP="00DC35F6">
      <w:pPr>
        <w:spacing w:line="480" w:lineRule="auto"/>
        <w:ind w:firstLine="720"/>
        <w:rPr>
          <w:iCs/>
        </w:rPr>
      </w:pPr>
      <w:r>
        <w:t>The hearing judge assigned significant aggravating weight to</w:t>
      </w:r>
      <w:r w:rsidR="00C072A7">
        <w:t xml:space="preserve"> 21 acts </w:t>
      </w:r>
      <w:r>
        <w:t xml:space="preserve">of </w:t>
      </w:r>
      <w:r w:rsidR="006C7D3D">
        <w:t>wrongdoing</w:t>
      </w:r>
      <w:r>
        <w:t xml:space="preserve">.  We agree.  </w:t>
      </w:r>
      <w:r w:rsidR="00DC35F6" w:rsidRPr="00DC35F6">
        <w:rPr>
          <w:iCs/>
        </w:rPr>
        <w:t>(</w:t>
      </w:r>
      <w:r w:rsidR="00DC35F6" w:rsidRPr="00DC35F6">
        <w:rPr>
          <w:i/>
          <w:iCs/>
        </w:rPr>
        <w:t xml:space="preserve">In the Matter of Bach </w:t>
      </w:r>
      <w:r w:rsidR="00B12B1D">
        <w:rPr>
          <w:iCs/>
        </w:rPr>
        <w:t>(Review Dept. 1991) 1 </w:t>
      </w:r>
      <w:r w:rsidR="00DC35F6" w:rsidRPr="00DC35F6">
        <w:rPr>
          <w:iCs/>
        </w:rPr>
        <w:t>Cal. State Bar Ct. Rptr. 631, 646</w:t>
      </w:r>
      <w:r w:rsidR="00C9192B">
        <w:t>–</w:t>
      </w:r>
      <w:r w:rsidR="00DC35F6" w:rsidRPr="00DC35F6">
        <w:rPr>
          <w:iCs/>
        </w:rPr>
        <w:t>647 [three instances of misconduct considered multiple acts].)</w:t>
      </w:r>
    </w:p>
    <w:p w14:paraId="0C05B96C" w14:textId="66B07176" w:rsidR="00DC35F6" w:rsidRPr="00DC35F6" w:rsidRDefault="001E1A7E" w:rsidP="001E1A7E">
      <w:pPr>
        <w:spacing w:line="480" w:lineRule="auto"/>
        <w:ind w:left="720"/>
        <w:rPr>
          <w:b/>
          <w:iCs/>
        </w:rPr>
      </w:pPr>
      <w:r>
        <w:rPr>
          <w:b/>
          <w:iCs/>
        </w:rPr>
        <w:t xml:space="preserve">3.  </w:t>
      </w:r>
      <w:r w:rsidR="00DC35F6" w:rsidRPr="00DC35F6">
        <w:rPr>
          <w:b/>
          <w:iCs/>
        </w:rPr>
        <w:t xml:space="preserve">Significant </w:t>
      </w:r>
      <w:r w:rsidR="008546CD">
        <w:rPr>
          <w:b/>
          <w:iCs/>
        </w:rPr>
        <w:t>Harm to C</w:t>
      </w:r>
      <w:r w:rsidR="00DC35F6" w:rsidRPr="00DC35F6">
        <w:rPr>
          <w:b/>
          <w:iCs/>
        </w:rPr>
        <w:t>lient/</w:t>
      </w:r>
      <w:r w:rsidR="008546CD">
        <w:rPr>
          <w:b/>
          <w:iCs/>
        </w:rPr>
        <w:t>P</w:t>
      </w:r>
      <w:r w:rsidR="00DC35F6" w:rsidRPr="00DC35F6">
        <w:rPr>
          <w:b/>
          <w:iCs/>
        </w:rPr>
        <w:t>ublic/</w:t>
      </w:r>
      <w:r w:rsidR="008546CD">
        <w:rPr>
          <w:b/>
          <w:iCs/>
        </w:rPr>
        <w:t>Administration of J</w:t>
      </w:r>
      <w:r w:rsidR="00DC35F6" w:rsidRPr="00DC35F6">
        <w:rPr>
          <w:b/>
          <w:iCs/>
        </w:rPr>
        <w:t>ustice (Std. 1.5(j))</w:t>
      </w:r>
    </w:p>
    <w:p w14:paraId="52A71F6D" w14:textId="59B01942" w:rsidR="00DC35F6" w:rsidRDefault="00650A1F" w:rsidP="00DC35F6">
      <w:pPr>
        <w:spacing w:line="480" w:lineRule="auto"/>
        <w:ind w:firstLine="720"/>
        <w:rPr>
          <w:iCs/>
        </w:rPr>
      </w:pPr>
      <w:r>
        <w:rPr>
          <w:iCs/>
        </w:rPr>
        <w:t xml:space="preserve">The hearing judge </w:t>
      </w:r>
      <w:r w:rsidR="00667327">
        <w:rPr>
          <w:iCs/>
        </w:rPr>
        <w:t xml:space="preserve">found that </w:t>
      </w:r>
      <w:r w:rsidR="006D05CB">
        <w:rPr>
          <w:iCs/>
        </w:rPr>
        <w:t xml:space="preserve">the harm </w:t>
      </w:r>
      <w:r w:rsidR="00516EC9">
        <w:rPr>
          <w:iCs/>
        </w:rPr>
        <w:t>Gonzalez</w:t>
      </w:r>
      <w:r w:rsidR="00667327">
        <w:rPr>
          <w:iCs/>
        </w:rPr>
        <w:t xml:space="preserve"> caused </w:t>
      </w:r>
      <w:r w:rsidR="00516EC9">
        <w:rPr>
          <w:iCs/>
        </w:rPr>
        <w:t xml:space="preserve">his clients </w:t>
      </w:r>
      <w:r w:rsidR="00667327">
        <w:rPr>
          <w:iCs/>
        </w:rPr>
        <w:t>merited substantial consideration in aggravation.  We agree</w:t>
      </w:r>
      <w:r w:rsidR="00516EC9">
        <w:rPr>
          <w:iCs/>
        </w:rPr>
        <w:t xml:space="preserve">.  </w:t>
      </w:r>
      <w:r w:rsidR="004D110E">
        <w:rPr>
          <w:iCs/>
        </w:rPr>
        <w:t xml:space="preserve">His </w:t>
      </w:r>
      <w:r w:rsidR="00542E73">
        <w:rPr>
          <w:iCs/>
        </w:rPr>
        <w:t xml:space="preserve">misconduct </w:t>
      </w:r>
      <w:r>
        <w:rPr>
          <w:iCs/>
        </w:rPr>
        <w:t xml:space="preserve">delayed </w:t>
      </w:r>
      <w:r w:rsidR="004D110E">
        <w:rPr>
          <w:iCs/>
        </w:rPr>
        <w:t>his</w:t>
      </w:r>
      <w:r w:rsidR="00516EC9">
        <w:rPr>
          <w:iCs/>
        </w:rPr>
        <w:t xml:space="preserve"> clients’ </w:t>
      </w:r>
      <w:r>
        <w:rPr>
          <w:iCs/>
        </w:rPr>
        <w:t>proceedings</w:t>
      </w:r>
      <w:r w:rsidR="0035536A">
        <w:rPr>
          <w:iCs/>
        </w:rPr>
        <w:t>,</w:t>
      </w:r>
      <w:r>
        <w:rPr>
          <w:iCs/>
        </w:rPr>
        <w:t xml:space="preserve"> and deprived them of money paid as advance fees for services </w:t>
      </w:r>
      <w:r w:rsidR="00516EC9">
        <w:rPr>
          <w:iCs/>
        </w:rPr>
        <w:t>Gonzalez</w:t>
      </w:r>
      <w:r>
        <w:rPr>
          <w:iCs/>
        </w:rPr>
        <w:t xml:space="preserve"> </w:t>
      </w:r>
      <w:r w:rsidR="005541EF">
        <w:rPr>
          <w:iCs/>
        </w:rPr>
        <w:t>did not provide</w:t>
      </w:r>
      <w:r w:rsidR="00542E73">
        <w:rPr>
          <w:iCs/>
        </w:rPr>
        <w:t>.</w:t>
      </w:r>
    </w:p>
    <w:p w14:paraId="706D8577" w14:textId="6E9EE20B" w:rsidR="00DC35F6" w:rsidRPr="00DC35F6" w:rsidRDefault="001E1A7E" w:rsidP="001E1A7E">
      <w:pPr>
        <w:spacing w:line="480" w:lineRule="auto"/>
        <w:ind w:left="720"/>
        <w:rPr>
          <w:b/>
          <w:iCs/>
        </w:rPr>
      </w:pPr>
      <w:r>
        <w:rPr>
          <w:b/>
          <w:iCs/>
        </w:rPr>
        <w:lastRenderedPageBreak/>
        <w:t xml:space="preserve">4.  </w:t>
      </w:r>
      <w:r w:rsidR="008546CD">
        <w:rPr>
          <w:b/>
          <w:iCs/>
        </w:rPr>
        <w:t>Failure to Make R</w:t>
      </w:r>
      <w:r w:rsidR="00DC35F6" w:rsidRPr="00DC35F6">
        <w:rPr>
          <w:b/>
          <w:iCs/>
        </w:rPr>
        <w:t>estitution (Std. 1.5(m))</w:t>
      </w:r>
    </w:p>
    <w:p w14:paraId="64AD270A" w14:textId="22A1B71E" w:rsidR="00DC35F6" w:rsidRPr="00DC35F6" w:rsidRDefault="00542E73" w:rsidP="00DC35F6">
      <w:pPr>
        <w:spacing w:line="480" w:lineRule="auto"/>
        <w:ind w:firstLine="720"/>
        <w:rPr>
          <w:iCs/>
        </w:rPr>
      </w:pPr>
      <w:r>
        <w:rPr>
          <w:iCs/>
        </w:rPr>
        <w:t xml:space="preserve">The hearing judge </w:t>
      </w:r>
      <w:r w:rsidR="00C133D9">
        <w:rPr>
          <w:iCs/>
        </w:rPr>
        <w:t xml:space="preserve">assigned </w:t>
      </w:r>
      <w:r>
        <w:rPr>
          <w:iCs/>
        </w:rPr>
        <w:t>Gonzalez’s failure to refund</w:t>
      </w:r>
      <w:r w:rsidR="001C7DF9">
        <w:rPr>
          <w:iCs/>
        </w:rPr>
        <w:t xml:space="preserve"> $14,400</w:t>
      </w:r>
      <w:r>
        <w:rPr>
          <w:iCs/>
        </w:rPr>
        <w:t xml:space="preserve"> in unearned fees significant consideration in aggravation.  We agree.  </w:t>
      </w:r>
      <w:r w:rsidR="00DC35F6" w:rsidRPr="00DC35F6">
        <w:rPr>
          <w:iCs/>
        </w:rPr>
        <w:t>(</w:t>
      </w:r>
      <w:r w:rsidR="00DC35F6" w:rsidRPr="00DC35F6">
        <w:rPr>
          <w:i/>
          <w:iCs/>
        </w:rPr>
        <w:t xml:space="preserve">In the Matter of DeClue </w:t>
      </w:r>
      <w:r w:rsidR="00DC35F6" w:rsidRPr="00DC35F6">
        <w:rPr>
          <w:iCs/>
        </w:rPr>
        <w:t>(Review Dept. 2016) 5</w:t>
      </w:r>
      <w:r w:rsidR="00B12B1D">
        <w:rPr>
          <w:iCs/>
        </w:rPr>
        <w:t> </w:t>
      </w:r>
      <w:r w:rsidR="00DC35F6" w:rsidRPr="00DC35F6">
        <w:rPr>
          <w:iCs/>
        </w:rPr>
        <w:t>Cal. State Bar Ct. Rptr. 437, 445 [failure to pay $10,000 in restitution is significantly aggravating].)</w:t>
      </w:r>
      <w:r w:rsidR="00801820" w:rsidRPr="00801820">
        <w:rPr>
          <w:iCs/>
        </w:rPr>
        <w:t xml:space="preserve"> </w:t>
      </w:r>
      <w:r w:rsidR="00801820">
        <w:rPr>
          <w:iCs/>
        </w:rPr>
        <w:t xml:space="preserve"> </w:t>
      </w:r>
    </w:p>
    <w:p w14:paraId="61BF8B4A" w14:textId="34AD90AA" w:rsidR="00DC35F6" w:rsidRPr="00DC35F6" w:rsidRDefault="001E1A7E" w:rsidP="001E1A7E">
      <w:pPr>
        <w:spacing w:line="480" w:lineRule="auto"/>
        <w:ind w:left="720"/>
        <w:rPr>
          <w:b/>
          <w:iCs/>
        </w:rPr>
      </w:pPr>
      <w:r>
        <w:rPr>
          <w:b/>
          <w:iCs/>
        </w:rPr>
        <w:t xml:space="preserve">5.  </w:t>
      </w:r>
      <w:r w:rsidR="001B244D">
        <w:rPr>
          <w:b/>
          <w:iCs/>
        </w:rPr>
        <w:t xml:space="preserve">Highly </w:t>
      </w:r>
      <w:r w:rsidR="008546CD">
        <w:rPr>
          <w:b/>
          <w:iCs/>
        </w:rPr>
        <w:t>Vulnerable V</w:t>
      </w:r>
      <w:r w:rsidR="00DC35F6" w:rsidRPr="00DC35F6">
        <w:rPr>
          <w:b/>
          <w:iCs/>
        </w:rPr>
        <w:t>ictim</w:t>
      </w:r>
      <w:r w:rsidR="008546CD">
        <w:rPr>
          <w:b/>
          <w:iCs/>
        </w:rPr>
        <w:t>s</w:t>
      </w:r>
      <w:r w:rsidR="00DC35F6" w:rsidRPr="00DC35F6">
        <w:rPr>
          <w:b/>
          <w:iCs/>
        </w:rPr>
        <w:t xml:space="preserve"> (Std. 1.5(n))</w:t>
      </w:r>
    </w:p>
    <w:p w14:paraId="64DC92B5" w14:textId="211D3CB0" w:rsidR="0073119A" w:rsidRDefault="00C76C5B" w:rsidP="006A36AD">
      <w:pPr>
        <w:spacing w:line="480" w:lineRule="auto"/>
        <w:ind w:firstLine="720"/>
        <w:rPr>
          <w:iCs/>
        </w:rPr>
      </w:pPr>
      <w:r>
        <w:rPr>
          <w:iCs/>
        </w:rPr>
        <w:t>Though the hearing judge did not</w:t>
      </w:r>
      <w:r w:rsidR="002715DD">
        <w:rPr>
          <w:iCs/>
        </w:rPr>
        <w:t xml:space="preserve"> find this factor, OCTC </w:t>
      </w:r>
      <w:r w:rsidR="006C7D3D">
        <w:rPr>
          <w:iCs/>
        </w:rPr>
        <w:t>requests</w:t>
      </w:r>
      <w:r w:rsidR="0035536A">
        <w:rPr>
          <w:iCs/>
        </w:rPr>
        <w:t xml:space="preserve"> that</w:t>
      </w:r>
      <w:r w:rsidR="006C7D3D">
        <w:rPr>
          <w:iCs/>
        </w:rPr>
        <w:t xml:space="preserve"> </w:t>
      </w:r>
      <w:r w:rsidR="00CE7BBA">
        <w:rPr>
          <w:iCs/>
        </w:rPr>
        <w:t xml:space="preserve">we do so.  </w:t>
      </w:r>
      <w:r w:rsidR="00EE1C99">
        <w:rPr>
          <w:iCs/>
        </w:rPr>
        <w:t xml:space="preserve">We find that all </w:t>
      </w:r>
      <w:r w:rsidR="0035536A">
        <w:rPr>
          <w:iCs/>
        </w:rPr>
        <w:t>five clients were highly vulnerable victims</w:t>
      </w:r>
      <w:r w:rsidR="007255AA">
        <w:rPr>
          <w:iCs/>
        </w:rPr>
        <w:t>,</w:t>
      </w:r>
      <w:r w:rsidR="00EE1C99">
        <w:rPr>
          <w:iCs/>
        </w:rPr>
        <w:t xml:space="preserve"> and assign significant aggravation</w:t>
      </w:r>
      <w:r w:rsidR="0035536A">
        <w:rPr>
          <w:iCs/>
        </w:rPr>
        <w:t xml:space="preserve">.  </w:t>
      </w:r>
      <w:r w:rsidR="00015ABF">
        <w:rPr>
          <w:iCs/>
        </w:rPr>
        <w:t xml:space="preserve">Garcia, </w:t>
      </w:r>
      <w:r w:rsidR="006C1BEC">
        <w:rPr>
          <w:iCs/>
        </w:rPr>
        <w:t xml:space="preserve">an </w:t>
      </w:r>
      <w:r w:rsidR="006A36AD">
        <w:rPr>
          <w:iCs/>
        </w:rPr>
        <w:t>incarcerated</w:t>
      </w:r>
      <w:r w:rsidR="001B244D">
        <w:rPr>
          <w:iCs/>
        </w:rPr>
        <w:t xml:space="preserve"> </w:t>
      </w:r>
      <w:r w:rsidR="005438A5">
        <w:rPr>
          <w:iCs/>
        </w:rPr>
        <w:t>criminal defendant</w:t>
      </w:r>
      <w:r w:rsidR="001B244D">
        <w:rPr>
          <w:iCs/>
        </w:rPr>
        <w:t>, was vulnerable</w:t>
      </w:r>
      <w:r w:rsidR="00015ABF">
        <w:rPr>
          <w:iCs/>
        </w:rPr>
        <w:t xml:space="preserve"> </w:t>
      </w:r>
      <w:r w:rsidR="006C1BEC">
        <w:rPr>
          <w:iCs/>
        </w:rPr>
        <w:t xml:space="preserve">per se because </w:t>
      </w:r>
      <w:r w:rsidR="003A3B94">
        <w:rPr>
          <w:iCs/>
        </w:rPr>
        <w:t xml:space="preserve">he was </w:t>
      </w:r>
      <w:r w:rsidR="006C1BEC">
        <w:rPr>
          <w:iCs/>
        </w:rPr>
        <w:t xml:space="preserve">limited in </w:t>
      </w:r>
      <w:r w:rsidR="003A3B94">
        <w:rPr>
          <w:iCs/>
        </w:rPr>
        <w:t>his</w:t>
      </w:r>
      <w:r w:rsidR="006C1BEC">
        <w:rPr>
          <w:iCs/>
        </w:rPr>
        <w:t xml:space="preserve"> </w:t>
      </w:r>
      <w:r w:rsidR="0073119A">
        <w:rPr>
          <w:iCs/>
        </w:rPr>
        <w:t>freedom</w:t>
      </w:r>
      <w:r w:rsidR="006C1BEC">
        <w:rPr>
          <w:iCs/>
        </w:rPr>
        <w:t xml:space="preserve"> to assist</w:t>
      </w:r>
      <w:r w:rsidR="001C7DF9">
        <w:rPr>
          <w:iCs/>
        </w:rPr>
        <w:t xml:space="preserve"> Gonzalez or stay apprised of his attorney’s efforts</w:t>
      </w:r>
      <w:r w:rsidR="006C1BEC">
        <w:rPr>
          <w:iCs/>
        </w:rPr>
        <w:t>.</w:t>
      </w:r>
      <w:r w:rsidR="00DC35F6" w:rsidRPr="00DC35F6">
        <w:rPr>
          <w:iCs/>
        </w:rPr>
        <w:t xml:space="preserve">  (</w:t>
      </w:r>
      <w:r w:rsidR="005438A5" w:rsidRPr="00DC35F6">
        <w:rPr>
          <w:i/>
          <w:iCs/>
        </w:rPr>
        <w:t>In the Matter of Nees</w:t>
      </w:r>
      <w:r w:rsidR="005438A5">
        <w:rPr>
          <w:iCs/>
        </w:rPr>
        <w:t xml:space="preserve"> (</w:t>
      </w:r>
      <w:r w:rsidR="00B12B1D">
        <w:rPr>
          <w:iCs/>
        </w:rPr>
        <w:t>Review Dept. 1996) 3 </w:t>
      </w:r>
      <w:r w:rsidR="005438A5" w:rsidRPr="00DC35F6">
        <w:rPr>
          <w:iCs/>
        </w:rPr>
        <w:t>Cal. State Bar Ct. Rptr. 459, 462, 465</w:t>
      </w:r>
      <w:r w:rsidR="005438A5">
        <w:rPr>
          <w:iCs/>
        </w:rPr>
        <w:t xml:space="preserve">, citing </w:t>
      </w:r>
      <w:r w:rsidR="00DC35F6" w:rsidRPr="00DC35F6">
        <w:rPr>
          <w:i/>
          <w:iCs/>
        </w:rPr>
        <w:t xml:space="preserve">Borré v. State Bar </w:t>
      </w:r>
      <w:r w:rsidR="00DC35F6" w:rsidRPr="00DC35F6">
        <w:rPr>
          <w:iCs/>
        </w:rPr>
        <w:t>(1991) 52</w:t>
      </w:r>
      <w:r w:rsidR="00B12B1D">
        <w:rPr>
          <w:iCs/>
        </w:rPr>
        <w:t> </w:t>
      </w:r>
      <w:r w:rsidR="00DC35F6" w:rsidRPr="00DC35F6">
        <w:rPr>
          <w:iCs/>
        </w:rPr>
        <w:t>Cal.3d 1047, 1053.)</w:t>
      </w:r>
      <w:r w:rsidR="001B244D">
        <w:rPr>
          <w:iCs/>
        </w:rPr>
        <w:t xml:space="preserve">  </w:t>
      </w:r>
      <w:r w:rsidR="006C7D3D">
        <w:rPr>
          <w:iCs/>
        </w:rPr>
        <w:t xml:space="preserve">The </w:t>
      </w:r>
      <w:r w:rsidR="006C1BEC">
        <w:rPr>
          <w:iCs/>
        </w:rPr>
        <w:t xml:space="preserve">four </w:t>
      </w:r>
      <w:r w:rsidR="00734A61">
        <w:rPr>
          <w:iCs/>
        </w:rPr>
        <w:t xml:space="preserve">immigration </w:t>
      </w:r>
      <w:r w:rsidR="006C1BEC">
        <w:rPr>
          <w:iCs/>
        </w:rPr>
        <w:t xml:space="preserve">clients </w:t>
      </w:r>
      <w:r w:rsidR="006C7D3D">
        <w:rPr>
          <w:iCs/>
        </w:rPr>
        <w:t xml:space="preserve">were </w:t>
      </w:r>
      <w:r w:rsidR="003A3B94">
        <w:rPr>
          <w:iCs/>
        </w:rPr>
        <w:t xml:space="preserve">highly </w:t>
      </w:r>
      <w:r w:rsidR="00B032A3">
        <w:rPr>
          <w:iCs/>
        </w:rPr>
        <w:t xml:space="preserve">vulnerable because </w:t>
      </w:r>
      <w:r w:rsidR="00D937BE">
        <w:rPr>
          <w:iCs/>
        </w:rPr>
        <w:t>such</w:t>
      </w:r>
      <w:r w:rsidR="003A3B94">
        <w:rPr>
          <w:iCs/>
        </w:rPr>
        <w:t xml:space="preserve"> proceedings</w:t>
      </w:r>
      <w:r w:rsidR="00B032A3">
        <w:rPr>
          <w:iCs/>
        </w:rPr>
        <w:t xml:space="preserve"> can result in deportation.  (See </w:t>
      </w:r>
      <w:r w:rsidR="00B27977" w:rsidRPr="003A3B94">
        <w:rPr>
          <w:i/>
          <w:iCs/>
        </w:rPr>
        <w:t>In the Matter of Brockway</w:t>
      </w:r>
      <w:r w:rsidR="00B27977">
        <w:rPr>
          <w:iCs/>
        </w:rPr>
        <w:t xml:space="preserve"> (Review Dept. 2006) 4</w:t>
      </w:r>
      <w:r w:rsidR="00B12B1D">
        <w:rPr>
          <w:iCs/>
        </w:rPr>
        <w:t> </w:t>
      </w:r>
      <w:r w:rsidR="00B27977">
        <w:rPr>
          <w:iCs/>
        </w:rPr>
        <w:t>Cal.</w:t>
      </w:r>
      <w:r w:rsidR="003A3B94">
        <w:rPr>
          <w:iCs/>
        </w:rPr>
        <w:t xml:space="preserve"> </w:t>
      </w:r>
      <w:r w:rsidR="00B27977">
        <w:rPr>
          <w:iCs/>
        </w:rPr>
        <w:t>State Bar Ct. Rptr. 944, 950 [immigration client</w:t>
      </w:r>
      <w:r w:rsidR="00CD5D65">
        <w:rPr>
          <w:iCs/>
        </w:rPr>
        <w:t xml:space="preserve"> status is </w:t>
      </w:r>
      <w:r w:rsidR="00B27977">
        <w:rPr>
          <w:iCs/>
        </w:rPr>
        <w:t xml:space="preserve">precarious </w:t>
      </w:r>
      <w:r w:rsidR="00CD5D65">
        <w:rPr>
          <w:iCs/>
        </w:rPr>
        <w:t xml:space="preserve">with </w:t>
      </w:r>
      <w:r w:rsidR="00B27977">
        <w:rPr>
          <w:iCs/>
        </w:rPr>
        <w:t>potential for serious harm]</w:t>
      </w:r>
      <w:r w:rsidR="00734A61">
        <w:rPr>
          <w:iCs/>
        </w:rPr>
        <w:t>.)</w:t>
      </w:r>
    </w:p>
    <w:p w14:paraId="7AC8B30F" w14:textId="65390353" w:rsidR="00DC35F6" w:rsidRPr="00DC35F6" w:rsidRDefault="006C56E2" w:rsidP="00E759E4">
      <w:pPr>
        <w:spacing w:line="480" w:lineRule="auto"/>
        <w:rPr>
          <w:b/>
          <w:iCs/>
        </w:rPr>
      </w:pPr>
      <w:r>
        <w:rPr>
          <w:b/>
          <w:iCs/>
        </w:rPr>
        <w:t>B.</w:t>
      </w:r>
      <w:r w:rsidR="00E759E4">
        <w:rPr>
          <w:b/>
          <w:iCs/>
        </w:rPr>
        <w:tab/>
      </w:r>
      <w:r w:rsidR="00D82C64" w:rsidRPr="00DC35F6">
        <w:rPr>
          <w:b/>
          <w:iCs/>
        </w:rPr>
        <w:t>MITIGATION</w:t>
      </w:r>
    </w:p>
    <w:p w14:paraId="0A6F18B3" w14:textId="77777777" w:rsidR="00505DAB" w:rsidRDefault="001E1A7E" w:rsidP="00505DAB">
      <w:pPr>
        <w:spacing w:line="480" w:lineRule="auto"/>
        <w:ind w:left="720"/>
        <w:rPr>
          <w:b/>
          <w:iCs/>
        </w:rPr>
      </w:pPr>
      <w:r>
        <w:rPr>
          <w:b/>
          <w:iCs/>
        </w:rPr>
        <w:t xml:space="preserve">1.  </w:t>
      </w:r>
      <w:r w:rsidR="00DC35F6" w:rsidRPr="00DC35F6">
        <w:rPr>
          <w:b/>
          <w:iCs/>
        </w:rPr>
        <w:t>Cooperation with the State Bar (Std. 1.6(e))</w:t>
      </w:r>
    </w:p>
    <w:p w14:paraId="70463BA7" w14:textId="3547DB2E" w:rsidR="00505DAB" w:rsidRPr="00505DAB" w:rsidRDefault="00FC2E76" w:rsidP="00FC2E76">
      <w:pPr>
        <w:spacing w:line="480" w:lineRule="auto"/>
        <w:rPr>
          <w:b/>
          <w:iCs/>
        </w:rPr>
      </w:pPr>
      <w:r w:rsidRPr="00FC2E76">
        <w:rPr>
          <w:iCs/>
        </w:rPr>
        <w:tab/>
      </w:r>
      <w:r w:rsidR="00505DAB" w:rsidRPr="00FC2E76">
        <w:rPr>
          <w:iCs/>
        </w:rPr>
        <w:t xml:space="preserve">The hearing judge assigned significant mitigating </w:t>
      </w:r>
      <w:r w:rsidR="009863DF" w:rsidRPr="00FC2E76">
        <w:rPr>
          <w:iCs/>
        </w:rPr>
        <w:t>c</w:t>
      </w:r>
      <w:r w:rsidR="00D82C64">
        <w:rPr>
          <w:iCs/>
        </w:rPr>
        <w:t>redit for Gonzalez’s extensive</w:t>
      </w:r>
      <w:r w:rsidR="009863DF" w:rsidRPr="00FC2E76">
        <w:rPr>
          <w:iCs/>
        </w:rPr>
        <w:t xml:space="preserve"> </w:t>
      </w:r>
      <w:r w:rsidR="00505DAB" w:rsidRPr="00FC2E76">
        <w:rPr>
          <w:iCs/>
        </w:rPr>
        <w:t>Stipulation wherein he admitted to culpability on two counts and to several facts.  OCTC does not challenge this finding, and we agree with it.</w:t>
      </w:r>
      <w:r w:rsidR="00505DAB" w:rsidRPr="00FC2E76">
        <w:rPr>
          <w:rStyle w:val="FootnoteReference"/>
          <w:iCs/>
        </w:rPr>
        <w:footnoteReference w:id="13"/>
      </w:r>
      <w:r w:rsidR="00505DAB">
        <w:rPr>
          <w:iCs/>
        </w:rPr>
        <w:t xml:space="preserve"> </w:t>
      </w:r>
    </w:p>
    <w:p w14:paraId="7EC91727" w14:textId="06657015" w:rsidR="00B404AC" w:rsidRDefault="00B404AC" w:rsidP="00B404AC">
      <w:pPr>
        <w:tabs>
          <w:tab w:val="left" w:pos="720"/>
        </w:tabs>
        <w:spacing w:line="480" w:lineRule="auto"/>
      </w:pPr>
      <w:r>
        <w:rPr>
          <w:b/>
        </w:rPr>
        <w:tab/>
        <w:t>2.  Physical</w:t>
      </w:r>
      <w:r w:rsidR="0055646D">
        <w:rPr>
          <w:b/>
        </w:rPr>
        <w:t xml:space="preserve"> or</w:t>
      </w:r>
      <w:r w:rsidR="007E6F19">
        <w:rPr>
          <w:b/>
        </w:rPr>
        <w:t xml:space="preserve"> </w:t>
      </w:r>
      <w:r>
        <w:rPr>
          <w:b/>
        </w:rPr>
        <w:t>Mental Disabilities (Std. 1.6(d))</w:t>
      </w:r>
      <w:r>
        <w:t xml:space="preserve">  </w:t>
      </w:r>
    </w:p>
    <w:p w14:paraId="5B308133" w14:textId="7F389216" w:rsidR="00127D3B" w:rsidRDefault="00801820" w:rsidP="004A449B">
      <w:pPr>
        <w:tabs>
          <w:tab w:val="left" w:pos="720"/>
        </w:tabs>
        <w:spacing w:line="480" w:lineRule="auto"/>
      </w:pPr>
      <w:r>
        <w:tab/>
        <w:t xml:space="preserve">Mitigation is available for physical or mental disabilities if: (1) an attorney suffered from them at the time of his misconduct; (2) they are established by expert testimony as being directly </w:t>
      </w:r>
      <w:r>
        <w:lastRenderedPageBreak/>
        <w:t xml:space="preserve">responsible for the misconduct; and (3) the difficulties no longer pose a risk of future </w:t>
      </w:r>
      <w:r w:rsidR="004242FC">
        <w:t>m</w:t>
      </w:r>
      <w:r>
        <w:t xml:space="preserve">isconduct.  </w:t>
      </w:r>
      <w:r w:rsidR="00CD5D65">
        <w:t xml:space="preserve">The hearing judge assigned substantial </w:t>
      </w:r>
      <w:r w:rsidR="006F7E53">
        <w:t xml:space="preserve">mitigating </w:t>
      </w:r>
      <w:r w:rsidR="00CD5D65">
        <w:t xml:space="preserve">weight </w:t>
      </w:r>
      <w:r w:rsidR="00C9192B">
        <w:t>for</w:t>
      </w:r>
      <w:r w:rsidR="00CD5D65">
        <w:t xml:space="preserve"> </w:t>
      </w:r>
      <w:r w:rsidR="00335092">
        <w:t xml:space="preserve">Gonzalez’s physical difficulties subsequent to his </w:t>
      </w:r>
      <w:r w:rsidR="00CD5D65">
        <w:t>July</w:t>
      </w:r>
      <w:r w:rsidR="00B12B1D">
        <w:t> </w:t>
      </w:r>
      <w:r w:rsidR="00CD5D65">
        <w:t>21, 2012 stroke</w:t>
      </w:r>
      <w:r w:rsidR="005D5CD6">
        <w:t xml:space="preserve">; this mitigation applies only to his </w:t>
      </w:r>
      <w:r w:rsidR="00465C0A">
        <w:t xml:space="preserve">belated </w:t>
      </w:r>
      <w:r w:rsidR="00FA63AC">
        <w:t xml:space="preserve">California Rules of Court, </w:t>
      </w:r>
      <w:r w:rsidR="00465C0A">
        <w:t>rule</w:t>
      </w:r>
      <w:r w:rsidR="00B12B1D">
        <w:t> </w:t>
      </w:r>
      <w:r w:rsidR="00465C0A">
        <w:t>9.20 filing</w:t>
      </w:r>
      <w:r w:rsidR="00CD5D65">
        <w:t xml:space="preserve">.  </w:t>
      </w:r>
      <w:r w:rsidR="005D5CD6">
        <w:t xml:space="preserve">But the </w:t>
      </w:r>
      <w:r w:rsidR="00CD5D65">
        <w:t xml:space="preserve">judge </w:t>
      </w:r>
      <w:r w:rsidR="006F7E53">
        <w:t xml:space="preserve">concluded that </w:t>
      </w:r>
      <w:r w:rsidR="005D5CD6">
        <w:t>a</w:t>
      </w:r>
      <w:r w:rsidR="006F7E53">
        <w:t xml:space="preserve"> </w:t>
      </w:r>
      <w:r w:rsidR="00CD5D65">
        <w:t xml:space="preserve">nexus between </w:t>
      </w:r>
      <w:r w:rsidR="00734070">
        <w:t xml:space="preserve">any </w:t>
      </w:r>
      <w:r w:rsidR="00CD5D65">
        <w:t xml:space="preserve">mini-strokes </w:t>
      </w:r>
      <w:r w:rsidR="00465C0A">
        <w:t xml:space="preserve">and </w:t>
      </w:r>
      <w:r w:rsidR="005D5CD6">
        <w:t xml:space="preserve">Gonzalez’s present misconduct that occurred before the stroke was </w:t>
      </w:r>
      <w:r w:rsidR="00CD5D65">
        <w:t xml:space="preserve">“a little murkier.”  </w:t>
      </w:r>
      <w:r w:rsidR="005F48B2">
        <w:t>The</w:t>
      </w:r>
      <w:r w:rsidR="00465C0A">
        <w:t xml:space="preserve"> </w:t>
      </w:r>
      <w:r w:rsidR="00CD5D65">
        <w:t xml:space="preserve">judge assigned limited overall </w:t>
      </w:r>
      <w:r w:rsidR="005F48B2">
        <w:t xml:space="preserve">mitigating </w:t>
      </w:r>
      <w:r w:rsidR="00CD5D65">
        <w:t xml:space="preserve">weight for physical difficulties </w:t>
      </w:r>
      <w:r w:rsidR="00CD5D65" w:rsidRPr="0073119A">
        <w:rPr>
          <w:i/>
        </w:rPr>
        <w:t>before</w:t>
      </w:r>
      <w:r w:rsidR="00CD5D65">
        <w:t xml:space="preserve"> July 2012</w:t>
      </w:r>
      <w:r w:rsidR="006F7E53">
        <w:t xml:space="preserve">, reasoning </w:t>
      </w:r>
      <w:r w:rsidR="00E440EC">
        <w:t xml:space="preserve">that </w:t>
      </w:r>
      <w:r w:rsidR="00CD5D65">
        <w:t xml:space="preserve">Gonzalez committed “remarkably similar” misconduct in </w:t>
      </w:r>
      <w:r w:rsidR="00335092" w:rsidRPr="00335092">
        <w:rPr>
          <w:i/>
        </w:rPr>
        <w:t>Gonzalez I</w:t>
      </w:r>
      <w:r w:rsidR="00335092">
        <w:t xml:space="preserve"> in </w:t>
      </w:r>
      <w:r w:rsidR="00CD5D65">
        <w:t>2006, 2007, and 2008</w:t>
      </w:r>
      <w:r w:rsidR="00E440EC">
        <w:t xml:space="preserve"> (</w:t>
      </w:r>
      <w:r w:rsidR="006F7E53">
        <w:t xml:space="preserve">before </w:t>
      </w:r>
      <w:r w:rsidR="00CD5D65">
        <w:t>the mini-strokes</w:t>
      </w:r>
      <w:r w:rsidR="00E440EC">
        <w:t>)</w:t>
      </w:r>
      <w:r w:rsidR="00CD5D65">
        <w:t xml:space="preserve"> and was able to handle other high-</w:t>
      </w:r>
      <w:r w:rsidR="00FD4F81">
        <w:t xml:space="preserve">level cognitive </w:t>
      </w:r>
      <w:r w:rsidR="00CD5D65">
        <w:t xml:space="preserve">functions during the time of the present misconduct.  </w:t>
      </w:r>
      <w:r w:rsidR="00127D3B">
        <w:t>G</w:t>
      </w:r>
      <w:r w:rsidR="00CD5D65">
        <w:t>onzalez does not challenge the hearing judge’s finding</w:t>
      </w:r>
      <w:r w:rsidR="007E6F19">
        <w:t xml:space="preserve">.  Nonetheless, </w:t>
      </w:r>
      <w:r w:rsidR="005F48B2">
        <w:t>we review the record under our independent duty to do so</w:t>
      </w:r>
      <w:r w:rsidR="002D40B5">
        <w:t>,</w:t>
      </w:r>
      <w:r w:rsidR="00335092">
        <w:t xml:space="preserve"> and </w:t>
      </w:r>
      <w:r w:rsidR="005F48B2">
        <w:t>agree with the hearing judge</w:t>
      </w:r>
      <w:r w:rsidR="00FD4F81">
        <w:t xml:space="preserve">. </w:t>
      </w:r>
      <w:r w:rsidR="004A449B">
        <w:t xml:space="preserve"> </w:t>
      </w:r>
    </w:p>
    <w:p w14:paraId="67BE7D6F" w14:textId="77777777" w:rsidR="00915815" w:rsidRDefault="00127D3B" w:rsidP="009E0A3E">
      <w:pPr>
        <w:tabs>
          <w:tab w:val="left" w:pos="720"/>
        </w:tabs>
        <w:spacing w:line="480" w:lineRule="auto"/>
      </w:pPr>
      <w:r>
        <w:tab/>
        <w:t>Gonzalez</w:t>
      </w:r>
      <w:r w:rsidR="004A449B">
        <w:t xml:space="preserve"> testified that</w:t>
      </w:r>
      <w:r w:rsidR="005541EF">
        <w:t xml:space="preserve"> </w:t>
      </w:r>
      <w:r w:rsidR="004A449B">
        <w:t xml:space="preserve">mini-strokes </w:t>
      </w:r>
      <w:r w:rsidR="0043317A">
        <w:t>preceded his July 21, 2012 stroke</w:t>
      </w:r>
      <w:r w:rsidR="009E0A3E">
        <w:t>,</w:t>
      </w:r>
      <w:r w:rsidR="0043317A">
        <w:t xml:space="preserve"> and affected </w:t>
      </w:r>
      <w:r w:rsidR="004A449B">
        <w:t>his executive functioning</w:t>
      </w:r>
      <w:r w:rsidR="00335092">
        <w:t xml:space="preserve"> in that he could not </w:t>
      </w:r>
      <w:r w:rsidR="004A449B">
        <w:t>think or perform</w:t>
      </w:r>
      <w:r w:rsidR="00744DE3">
        <w:t xml:space="preserve"> properly.  </w:t>
      </w:r>
      <w:r w:rsidR="00613764">
        <w:t xml:space="preserve">In support, he </w:t>
      </w:r>
      <w:r w:rsidR="0043317A">
        <w:t xml:space="preserve">presented </w:t>
      </w:r>
      <w:r w:rsidR="00604FA8">
        <w:t xml:space="preserve">one expert, </w:t>
      </w:r>
      <w:r w:rsidR="004A449B">
        <w:t>Dr</w:t>
      </w:r>
      <w:r w:rsidR="005541EF">
        <w:t xml:space="preserve">. </w:t>
      </w:r>
      <w:r w:rsidR="004A449B">
        <w:t>Dominic</w:t>
      </w:r>
      <w:r w:rsidR="00E57CB7">
        <w:t>k</w:t>
      </w:r>
      <w:r w:rsidR="004A449B">
        <w:t xml:space="preserve"> Addario, a neuropsychiatrist</w:t>
      </w:r>
      <w:r w:rsidR="002D40B5">
        <w:t>,</w:t>
      </w:r>
      <w:r w:rsidR="0059699F">
        <w:t xml:space="preserve"> </w:t>
      </w:r>
      <w:r w:rsidR="0043317A">
        <w:t xml:space="preserve">who </w:t>
      </w:r>
      <w:r w:rsidR="0059699F">
        <w:t xml:space="preserve">examined him </w:t>
      </w:r>
      <w:r w:rsidR="00613764">
        <w:t xml:space="preserve">for the first time </w:t>
      </w:r>
      <w:r w:rsidR="00D112F3">
        <w:t xml:space="preserve">on November 4, 2016, </w:t>
      </w:r>
      <w:r w:rsidR="004A449B">
        <w:t xml:space="preserve">four years after </w:t>
      </w:r>
      <w:r w:rsidR="0043317A">
        <w:t>his stroke</w:t>
      </w:r>
      <w:r w:rsidR="004A449B">
        <w:t xml:space="preserve">.  </w:t>
      </w:r>
      <w:r w:rsidR="00D112F3">
        <w:t xml:space="preserve">Dr. Addario </w:t>
      </w:r>
      <w:r w:rsidR="00613764">
        <w:t>testified that</w:t>
      </w:r>
      <w:r w:rsidR="004A449B">
        <w:t>, within a reasonable medical probability</w:t>
      </w:r>
      <w:r w:rsidR="00D112F3">
        <w:t xml:space="preserve"> (</w:t>
      </w:r>
      <w:r w:rsidR="009E0A3E">
        <w:t xml:space="preserve">which is </w:t>
      </w:r>
      <w:r w:rsidR="00613764">
        <w:t>greater than 50%</w:t>
      </w:r>
      <w:r w:rsidR="00D112F3">
        <w:t>),</w:t>
      </w:r>
      <w:r w:rsidR="00613764">
        <w:t xml:space="preserve"> </w:t>
      </w:r>
      <w:r w:rsidR="00744DE3">
        <w:t>Gonzalez</w:t>
      </w:r>
      <w:r w:rsidR="004A449B">
        <w:t xml:space="preserve"> (1)</w:t>
      </w:r>
      <w:r w:rsidR="00C6002F">
        <w:t> </w:t>
      </w:r>
      <w:r w:rsidR="004A449B">
        <w:t xml:space="preserve">would have </w:t>
      </w:r>
      <w:r w:rsidR="009E0A3E">
        <w:t>suffered</w:t>
      </w:r>
      <w:r w:rsidR="004A449B">
        <w:t xml:space="preserve"> impairment of neurocognitive functions from late 2009 until July</w:t>
      </w:r>
      <w:r w:rsidR="00C6002F">
        <w:t> </w:t>
      </w:r>
      <w:r w:rsidR="004A449B">
        <w:t>21, 2012</w:t>
      </w:r>
      <w:r w:rsidR="005D5CD6">
        <w:t>,</w:t>
      </w:r>
      <w:r w:rsidR="004A449B">
        <w:t xml:space="preserve"> and (2)</w:t>
      </w:r>
      <w:r w:rsidR="00C6002F">
        <w:t> </w:t>
      </w:r>
      <w:r w:rsidR="004A449B">
        <w:t xml:space="preserve">was </w:t>
      </w:r>
      <w:r w:rsidR="00E440EC">
        <w:t xml:space="preserve">now </w:t>
      </w:r>
      <w:r w:rsidR="004A449B">
        <w:t xml:space="preserve">fit </w:t>
      </w:r>
      <w:r w:rsidR="007E6F19">
        <w:t>to resume the practice of law.</w:t>
      </w:r>
      <w:r w:rsidR="007E6F19">
        <w:rPr>
          <w:rStyle w:val="FootnoteReference"/>
        </w:rPr>
        <w:footnoteReference w:id="14"/>
      </w:r>
      <w:r w:rsidR="004A449B">
        <w:rPr>
          <w:iCs/>
        </w:rPr>
        <w:t xml:space="preserve"> </w:t>
      </w:r>
      <w:r w:rsidR="00915815">
        <w:rPr>
          <w:iCs/>
        </w:rPr>
        <w:t xml:space="preserve"> To reach t</w:t>
      </w:r>
      <w:r w:rsidR="00613764">
        <w:rPr>
          <w:iCs/>
        </w:rPr>
        <w:t>his conclusion, D</w:t>
      </w:r>
      <w:r w:rsidR="00613764">
        <w:t xml:space="preserve">r. Addario reviewed medical records, administered psychological tests, </w:t>
      </w:r>
      <w:r w:rsidR="00AE1051">
        <w:t xml:space="preserve">and </w:t>
      </w:r>
      <w:r w:rsidR="00613764">
        <w:t>conducted an interview and examination of Gonzalez</w:t>
      </w:r>
      <w:r w:rsidR="002D40B5">
        <w:t xml:space="preserve">, as detailed </w:t>
      </w:r>
      <w:r w:rsidR="005D5CD6">
        <w:t xml:space="preserve">in </w:t>
      </w:r>
    </w:p>
    <w:p w14:paraId="4AEDD469" w14:textId="11DEF49A" w:rsidR="00613764" w:rsidRDefault="005D5CD6" w:rsidP="009E0A3E">
      <w:pPr>
        <w:tabs>
          <w:tab w:val="left" w:pos="720"/>
        </w:tabs>
        <w:spacing w:line="480" w:lineRule="auto"/>
        <w:rPr>
          <w:iCs/>
        </w:rPr>
      </w:pPr>
      <w:r>
        <w:t>his report</w:t>
      </w:r>
      <w:r w:rsidR="00734070">
        <w:t>.</w:t>
      </w:r>
    </w:p>
    <w:p w14:paraId="2C4938BC" w14:textId="6533FC99" w:rsidR="004A449B" w:rsidRDefault="0059699F" w:rsidP="004A449B">
      <w:pPr>
        <w:tabs>
          <w:tab w:val="left" w:pos="720"/>
        </w:tabs>
        <w:spacing w:line="480" w:lineRule="auto"/>
        <w:rPr>
          <w:iCs/>
        </w:rPr>
      </w:pPr>
      <w:r>
        <w:rPr>
          <w:iCs/>
        </w:rPr>
        <w:tab/>
      </w:r>
      <w:r w:rsidR="00CB41F6">
        <w:rPr>
          <w:iCs/>
        </w:rPr>
        <w:t xml:space="preserve">Notably, </w:t>
      </w:r>
      <w:r w:rsidR="00D112F3">
        <w:rPr>
          <w:iCs/>
        </w:rPr>
        <w:t>Dr</w:t>
      </w:r>
      <w:r>
        <w:rPr>
          <w:iCs/>
        </w:rPr>
        <w:t>. Addario</w:t>
      </w:r>
      <w:r w:rsidR="00F30E68">
        <w:rPr>
          <w:iCs/>
        </w:rPr>
        <w:t xml:space="preserve">’s report </w:t>
      </w:r>
      <w:r w:rsidR="003A0FC5">
        <w:rPr>
          <w:iCs/>
        </w:rPr>
        <w:t>contains</w:t>
      </w:r>
      <w:r w:rsidR="00CB41F6">
        <w:rPr>
          <w:iCs/>
        </w:rPr>
        <w:t xml:space="preserve"> a summary from a report by</w:t>
      </w:r>
      <w:r w:rsidR="002C721C">
        <w:rPr>
          <w:iCs/>
        </w:rPr>
        <w:t xml:space="preserve"> </w:t>
      </w:r>
      <w:r w:rsidR="006E571B">
        <w:rPr>
          <w:iCs/>
        </w:rPr>
        <w:t>Delia M. Silva, Psy.D</w:t>
      </w:r>
      <w:r w:rsidR="00F30E68">
        <w:rPr>
          <w:iCs/>
        </w:rPr>
        <w:t>.</w:t>
      </w:r>
      <w:r w:rsidR="00B957F8">
        <w:rPr>
          <w:iCs/>
        </w:rPr>
        <w:t xml:space="preserve">, </w:t>
      </w:r>
      <w:r w:rsidR="002C721C">
        <w:rPr>
          <w:iCs/>
        </w:rPr>
        <w:t>a neuropsychologist</w:t>
      </w:r>
      <w:r w:rsidR="00734070">
        <w:rPr>
          <w:iCs/>
        </w:rPr>
        <w:t xml:space="preserve">.  </w:t>
      </w:r>
      <w:r w:rsidR="00B957F8">
        <w:rPr>
          <w:iCs/>
        </w:rPr>
        <w:t xml:space="preserve">Gonzalez consulted </w:t>
      </w:r>
      <w:r w:rsidR="00734070">
        <w:rPr>
          <w:iCs/>
        </w:rPr>
        <w:t xml:space="preserve">her </w:t>
      </w:r>
      <w:r w:rsidR="00B957F8">
        <w:rPr>
          <w:iCs/>
        </w:rPr>
        <w:t xml:space="preserve">months before he contacted Dr. Addario.  </w:t>
      </w:r>
      <w:r w:rsidR="002C721C">
        <w:rPr>
          <w:iCs/>
        </w:rPr>
        <w:lastRenderedPageBreak/>
        <w:t>Dr. Silva reported that</w:t>
      </w:r>
      <w:r w:rsidR="000D5871">
        <w:rPr>
          <w:iCs/>
        </w:rPr>
        <w:t xml:space="preserve"> </w:t>
      </w:r>
      <w:r w:rsidR="00AE1051">
        <w:rPr>
          <w:iCs/>
        </w:rPr>
        <w:t xml:space="preserve">Gonzalez </w:t>
      </w:r>
      <w:r w:rsidR="000D5871">
        <w:rPr>
          <w:iCs/>
        </w:rPr>
        <w:t xml:space="preserve">sought to </w:t>
      </w:r>
      <w:r w:rsidR="00AE1051">
        <w:rPr>
          <w:iCs/>
        </w:rPr>
        <w:t>persuade</w:t>
      </w:r>
      <w:r w:rsidR="009927E9">
        <w:rPr>
          <w:iCs/>
        </w:rPr>
        <w:t xml:space="preserve"> </w:t>
      </w:r>
      <w:r w:rsidR="00362500">
        <w:rPr>
          <w:iCs/>
        </w:rPr>
        <w:t>her</w:t>
      </w:r>
      <w:r w:rsidR="00F30E68">
        <w:rPr>
          <w:iCs/>
        </w:rPr>
        <w:t xml:space="preserve"> </w:t>
      </w:r>
      <w:r w:rsidR="00AE1051">
        <w:rPr>
          <w:iCs/>
        </w:rPr>
        <w:t xml:space="preserve">to </w:t>
      </w:r>
      <w:r w:rsidR="00362500">
        <w:rPr>
          <w:iCs/>
        </w:rPr>
        <w:t>report</w:t>
      </w:r>
      <w:r w:rsidR="00D112F3">
        <w:rPr>
          <w:iCs/>
        </w:rPr>
        <w:t xml:space="preserve"> that </w:t>
      </w:r>
      <w:r w:rsidR="00604FA8">
        <w:rPr>
          <w:iCs/>
        </w:rPr>
        <w:t>mini</w:t>
      </w:r>
      <w:r w:rsidR="003A0FC5">
        <w:rPr>
          <w:iCs/>
        </w:rPr>
        <w:t>-</w:t>
      </w:r>
      <w:r w:rsidR="00604FA8">
        <w:rPr>
          <w:iCs/>
        </w:rPr>
        <w:t xml:space="preserve">bleeds had likely caused </w:t>
      </w:r>
      <w:r w:rsidR="009927E9">
        <w:rPr>
          <w:iCs/>
        </w:rPr>
        <w:t xml:space="preserve">cognitive </w:t>
      </w:r>
      <w:r w:rsidR="00362500">
        <w:rPr>
          <w:iCs/>
        </w:rPr>
        <w:t>deficits</w:t>
      </w:r>
      <w:r w:rsidR="009927E9">
        <w:rPr>
          <w:iCs/>
        </w:rPr>
        <w:t xml:space="preserve"> </w:t>
      </w:r>
      <w:r w:rsidR="00604FA8">
        <w:rPr>
          <w:iCs/>
        </w:rPr>
        <w:t xml:space="preserve">before his major </w:t>
      </w:r>
      <w:r w:rsidR="009927E9">
        <w:rPr>
          <w:iCs/>
        </w:rPr>
        <w:t>stroke</w:t>
      </w:r>
      <w:r w:rsidR="003548B9">
        <w:rPr>
          <w:iCs/>
        </w:rPr>
        <w:t xml:space="preserve">.  </w:t>
      </w:r>
      <w:r w:rsidR="00F30E68">
        <w:rPr>
          <w:iCs/>
        </w:rPr>
        <w:t xml:space="preserve">Dr. Silva </w:t>
      </w:r>
      <w:r w:rsidR="00CB41F6">
        <w:rPr>
          <w:iCs/>
        </w:rPr>
        <w:t xml:space="preserve">told him she </w:t>
      </w:r>
      <w:r w:rsidR="009927E9">
        <w:rPr>
          <w:iCs/>
        </w:rPr>
        <w:t>could not ob</w:t>
      </w:r>
      <w:r w:rsidR="003548B9">
        <w:rPr>
          <w:iCs/>
        </w:rPr>
        <w:t xml:space="preserve">jectively </w:t>
      </w:r>
      <w:r w:rsidR="003A0FC5">
        <w:rPr>
          <w:iCs/>
        </w:rPr>
        <w:t>do so</w:t>
      </w:r>
      <w:r w:rsidR="000D5871">
        <w:rPr>
          <w:iCs/>
        </w:rPr>
        <w:t>.</w:t>
      </w:r>
      <w:r w:rsidR="00604FA8">
        <w:rPr>
          <w:iCs/>
        </w:rPr>
        <w:t xml:space="preserve">  </w:t>
      </w:r>
      <w:r w:rsidR="003A0FC5">
        <w:rPr>
          <w:iCs/>
        </w:rPr>
        <w:t>She</w:t>
      </w:r>
      <w:r w:rsidR="000D5871">
        <w:rPr>
          <w:iCs/>
        </w:rPr>
        <w:t xml:space="preserve"> </w:t>
      </w:r>
      <w:r w:rsidR="00D112F3">
        <w:rPr>
          <w:iCs/>
        </w:rPr>
        <w:t xml:space="preserve">described </w:t>
      </w:r>
      <w:r w:rsidR="003548B9">
        <w:rPr>
          <w:iCs/>
        </w:rPr>
        <w:t>Gonzalez</w:t>
      </w:r>
      <w:r w:rsidR="009927E9">
        <w:rPr>
          <w:iCs/>
        </w:rPr>
        <w:t xml:space="preserve"> </w:t>
      </w:r>
      <w:r w:rsidR="00D112F3">
        <w:rPr>
          <w:iCs/>
        </w:rPr>
        <w:t xml:space="preserve">as </w:t>
      </w:r>
      <w:r w:rsidR="009927E9">
        <w:rPr>
          <w:iCs/>
        </w:rPr>
        <w:t xml:space="preserve">pleasant, </w:t>
      </w:r>
      <w:r w:rsidR="00604FA8">
        <w:rPr>
          <w:iCs/>
        </w:rPr>
        <w:t xml:space="preserve">but </w:t>
      </w:r>
      <w:r w:rsidR="003A0FC5">
        <w:rPr>
          <w:iCs/>
        </w:rPr>
        <w:t xml:space="preserve">noted </w:t>
      </w:r>
      <w:r w:rsidR="00604FA8">
        <w:rPr>
          <w:iCs/>
        </w:rPr>
        <w:t xml:space="preserve">that he had </w:t>
      </w:r>
      <w:r w:rsidR="009927E9">
        <w:rPr>
          <w:iCs/>
        </w:rPr>
        <w:t xml:space="preserve">poor boundaries, </w:t>
      </w:r>
      <w:r w:rsidR="00604FA8">
        <w:rPr>
          <w:iCs/>
        </w:rPr>
        <w:t xml:space="preserve">was </w:t>
      </w:r>
      <w:r w:rsidR="009927E9">
        <w:rPr>
          <w:iCs/>
        </w:rPr>
        <w:t>impulsive</w:t>
      </w:r>
      <w:r w:rsidR="00604FA8">
        <w:rPr>
          <w:iCs/>
        </w:rPr>
        <w:t xml:space="preserve">, was not </w:t>
      </w:r>
      <w:r w:rsidR="009927E9">
        <w:rPr>
          <w:iCs/>
        </w:rPr>
        <w:t xml:space="preserve">forthcoming </w:t>
      </w:r>
      <w:r w:rsidR="003548B9">
        <w:rPr>
          <w:iCs/>
        </w:rPr>
        <w:t xml:space="preserve">with information, and </w:t>
      </w:r>
      <w:r w:rsidR="00604FA8">
        <w:rPr>
          <w:iCs/>
        </w:rPr>
        <w:t xml:space="preserve">was </w:t>
      </w:r>
      <w:r w:rsidR="008A6020">
        <w:rPr>
          <w:iCs/>
        </w:rPr>
        <w:t>“</w:t>
      </w:r>
      <w:r w:rsidR="003548B9">
        <w:rPr>
          <w:iCs/>
        </w:rPr>
        <w:t>perseverative</w:t>
      </w:r>
      <w:r w:rsidR="008A6020">
        <w:rPr>
          <w:iCs/>
        </w:rPr>
        <w:t>”</w:t>
      </w:r>
      <w:r w:rsidR="003548B9">
        <w:rPr>
          <w:iCs/>
        </w:rPr>
        <w:t xml:space="preserve"> about </w:t>
      </w:r>
      <w:r w:rsidR="009927E9">
        <w:rPr>
          <w:iCs/>
        </w:rPr>
        <w:t xml:space="preserve">his history of </w:t>
      </w:r>
      <w:r w:rsidR="00F30E68">
        <w:rPr>
          <w:iCs/>
        </w:rPr>
        <w:t xml:space="preserve">ischemic </w:t>
      </w:r>
      <w:r w:rsidR="009927E9">
        <w:rPr>
          <w:iCs/>
        </w:rPr>
        <w:t>attacks and the importan</w:t>
      </w:r>
      <w:r w:rsidR="0033042E">
        <w:rPr>
          <w:iCs/>
        </w:rPr>
        <w:t>ce</w:t>
      </w:r>
      <w:r w:rsidR="009927E9">
        <w:rPr>
          <w:iCs/>
        </w:rPr>
        <w:t xml:space="preserve"> of </w:t>
      </w:r>
      <w:r w:rsidR="0033042E">
        <w:rPr>
          <w:iCs/>
        </w:rPr>
        <w:t xml:space="preserve">documenting </w:t>
      </w:r>
      <w:r w:rsidR="00915815">
        <w:rPr>
          <w:iCs/>
        </w:rPr>
        <w:t xml:space="preserve">their </w:t>
      </w:r>
      <w:r w:rsidR="0033042E">
        <w:rPr>
          <w:iCs/>
        </w:rPr>
        <w:t>cognitive effects</w:t>
      </w:r>
      <w:r w:rsidR="00915815">
        <w:rPr>
          <w:iCs/>
        </w:rPr>
        <w:t>.</w:t>
      </w:r>
    </w:p>
    <w:p w14:paraId="54EC7A51" w14:textId="06B2F525" w:rsidR="007E0CAB" w:rsidRDefault="0059699F" w:rsidP="00087800">
      <w:pPr>
        <w:tabs>
          <w:tab w:val="left" w:pos="720"/>
        </w:tabs>
        <w:spacing w:line="480" w:lineRule="auto"/>
        <w:rPr>
          <w:iCs/>
        </w:rPr>
      </w:pPr>
      <w:r>
        <w:rPr>
          <w:iCs/>
        </w:rPr>
        <w:tab/>
      </w:r>
      <w:r w:rsidR="00FD4F81">
        <w:t xml:space="preserve">OCTC requests that no mitigation be afforded for </w:t>
      </w:r>
      <w:r w:rsidR="00AF7C09">
        <w:t xml:space="preserve">physical or mental disabilities except as to </w:t>
      </w:r>
      <w:r w:rsidR="00744DE3">
        <w:t>Gonzalez’s</w:t>
      </w:r>
      <w:r w:rsidR="00FD4F81">
        <w:t xml:space="preserve"> belated filing of the</w:t>
      </w:r>
      <w:r w:rsidR="00E440EC">
        <w:t xml:space="preserve"> </w:t>
      </w:r>
      <w:r w:rsidR="00BE0679">
        <w:t>California Rule</w:t>
      </w:r>
      <w:r w:rsidR="00913B4B">
        <w:t xml:space="preserve">s </w:t>
      </w:r>
      <w:r w:rsidR="00BE0679">
        <w:t xml:space="preserve">of Court, </w:t>
      </w:r>
      <w:r w:rsidR="00E440EC">
        <w:t>rule</w:t>
      </w:r>
      <w:r w:rsidR="00C6002F">
        <w:t> </w:t>
      </w:r>
      <w:r w:rsidR="00E440EC">
        <w:t xml:space="preserve">9.20 </w:t>
      </w:r>
      <w:r w:rsidR="00FD4F81">
        <w:t>declaration</w:t>
      </w:r>
      <w:r w:rsidR="00AF7C09">
        <w:t>, which occurred after the stroke</w:t>
      </w:r>
      <w:r w:rsidR="00FD4F81">
        <w:t xml:space="preserve">.  </w:t>
      </w:r>
      <w:r w:rsidR="004A449B">
        <w:t>We agree</w:t>
      </w:r>
      <w:r w:rsidR="00057FD4">
        <w:t xml:space="preserve">.  </w:t>
      </w:r>
      <w:r w:rsidR="00BF2530">
        <w:t xml:space="preserve">Dr. Addario’s testimony and opinion </w:t>
      </w:r>
      <w:r w:rsidR="00915815">
        <w:t>are</w:t>
      </w:r>
      <w:r w:rsidR="009B4EF1">
        <w:t xml:space="preserve"> not persuasive.  </w:t>
      </w:r>
      <w:r w:rsidR="00BA775D">
        <w:t>To begin</w:t>
      </w:r>
      <w:r w:rsidR="009B4EF1">
        <w:t xml:space="preserve">, </w:t>
      </w:r>
      <w:r w:rsidR="00915815">
        <w:t>they</w:t>
      </w:r>
      <w:r w:rsidR="009B4EF1">
        <w:t xml:space="preserve"> conflict with Dr. Silva’s report.  Moreover, </w:t>
      </w:r>
      <w:r w:rsidR="00B957F8">
        <w:t xml:space="preserve">as the hearing judge noted, </w:t>
      </w:r>
      <w:r w:rsidR="00CD57A7">
        <w:t xml:space="preserve">Gonzalez was able to focus well enough </w:t>
      </w:r>
      <w:r w:rsidR="009B4EF1">
        <w:t xml:space="preserve">to </w:t>
      </w:r>
      <w:r w:rsidR="004A6FE4">
        <w:t xml:space="preserve">perform </w:t>
      </w:r>
      <w:r w:rsidR="00116BD8">
        <w:t>various</w:t>
      </w:r>
      <w:r w:rsidR="004A6FE4">
        <w:t xml:space="preserve"> tasks </w:t>
      </w:r>
      <w:r w:rsidR="00B957F8">
        <w:t xml:space="preserve">during 2010 to 2012 </w:t>
      </w:r>
      <w:r w:rsidR="009B4EF1">
        <w:t xml:space="preserve">without </w:t>
      </w:r>
      <w:r w:rsidR="00087800">
        <w:t xml:space="preserve">signs of </w:t>
      </w:r>
      <w:r w:rsidR="009E6C77">
        <w:t>cognitive difficulties.  For</w:t>
      </w:r>
      <w:r w:rsidR="004A6FE4">
        <w:t xml:space="preserve"> example, he </w:t>
      </w:r>
      <w:r w:rsidR="009E6C77">
        <w:t xml:space="preserve">successfully </w:t>
      </w:r>
      <w:r w:rsidR="004A6FE4">
        <w:t>accepted</w:t>
      </w:r>
      <w:r w:rsidR="00CD57A7">
        <w:t xml:space="preserve"> thousands of dollars from </w:t>
      </w:r>
      <w:r w:rsidR="004A6FE4">
        <w:t xml:space="preserve">five </w:t>
      </w:r>
      <w:r w:rsidR="0055407B">
        <w:t xml:space="preserve">vulnerable </w:t>
      </w:r>
      <w:r w:rsidR="00CD57A7">
        <w:t>clients</w:t>
      </w:r>
      <w:r w:rsidR="00AC6B88">
        <w:t xml:space="preserve">, </w:t>
      </w:r>
      <w:r w:rsidR="0009451E">
        <w:t>deposited</w:t>
      </w:r>
      <w:r w:rsidR="00AC6B88">
        <w:t xml:space="preserve"> </w:t>
      </w:r>
      <w:r w:rsidR="0055407B">
        <w:t xml:space="preserve">numerous </w:t>
      </w:r>
      <w:r w:rsidR="004A6FE4">
        <w:t xml:space="preserve">installment payments </w:t>
      </w:r>
      <w:r w:rsidR="00BE0679">
        <w:t>of advance fees</w:t>
      </w:r>
      <w:r w:rsidR="0055407B">
        <w:t xml:space="preserve">, </w:t>
      </w:r>
      <w:r w:rsidR="00B957F8">
        <w:t xml:space="preserve">and </w:t>
      </w:r>
      <w:r w:rsidR="0009451E">
        <w:t>appeared in</w:t>
      </w:r>
      <w:r w:rsidR="0055407B">
        <w:t xml:space="preserve"> court in </w:t>
      </w:r>
      <w:r w:rsidR="00394391">
        <w:t xml:space="preserve">the Garcia </w:t>
      </w:r>
      <w:r w:rsidR="0055407B">
        <w:t xml:space="preserve">criminal </w:t>
      </w:r>
      <w:r w:rsidR="00AC6B88">
        <w:t>matter</w:t>
      </w:r>
      <w:r w:rsidR="009B4EF1">
        <w:t xml:space="preserve">.  He also </w:t>
      </w:r>
      <w:r w:rsidR="004A6FE4">
        <w:t xml:space="preserve">sent an email to Castillo </w:t>
      </w:r>
      <w:r w:rsidR="00087800">
        <w:t xml:space="preserve">in </w:t>
      </w:r>
      <w:r w:rsidR="004A6FE4">
        <w:rPr>
          <w:iCs/>
        </w:rPr>
        <w:t xml:space="preserve">February 2012, admitting he did not have </w:t>
      </w:r>
      <w:r w:rsidR="00087800">
        <w:rPr>
          <w:iCs/>
        </w:rPr>
        <w:t xml:space="preserve">her funds </w:t>
      </w:r>
      <w:r w:rsidR="004A6FE4">
        <w:rPr>
          <w:iCs/>
        </w:rPr>
        <w:t xml:space="preserve">and </w:t>
      </w:r>
      <w:r w:rsidR="009E6C77">
        <w:rPr>
          <w:iCs/>
        </w:rPr>
        <w:t xml:space="preserve">requesting </w:t>
      </w:r>
      <w:r w:rsidR="009B4EF1">
        <w:rPr>
          <w:iCs/>
        </w:rPr>
        <w:t xml:space="preserve">that </w:t>
      </w:r>
      <w:r w:rsidR="009E6C77">
        <w:rPr>
          <w:iCs/>
        </w:rPr>
        <w:t xml:space="preserve">she </w:t>
      </w:r>
      <w:r w:rsidR="004A6FE4">
        <w:rPr>
          <w:iCs/>
        </w:rPr>
        <w:t xml:space="preserve">consider </w:t>
      </w:r>
      <w:r w:rsidR="00087800">
        <w:rPr>
          <w:iCs/>
        </w:rPr>
        <w:t>a</w:t>
      </w:r>
      <w:r w:rsidR="0009451E">
        <w:rPr>
          <w:iCs/>
        </w:rPr>
        <w:t>n</w:t>
      </w:r>
      <w:r w:rsidR="00087800">
        <w:rPr>
          <w:iCs/>
        </w:rPr>
        <w:t xml:space="preserve"> </w:t>
      </w:r>
      <w:r w:rsidR="0009451E">
        <w:rPr>
          <w:iCs/>
        </w:rPr>
        <w:t>i</w:t>
      </w:r>
      <w:r w:rsidR="004A6FE4">
        <w:rPr>
          <w:iCs/>
        </w:rPr>
        <w:t xml:space="preserve">mmigration </w:t>
      </w:r>
      <w:r w:rsidR="0009451E">
        <w:rPr>
          <w:iCs/>
        </w:rPr>
        <w:t>s</w:t>
      </w:r>
      <w:r w:rsidR="004A6FE4">
        <w:rPr>
          <w:iCs/>
        </w:rPr>
        <w:t xml:space="preserve">pecialist </w:t>
      </w:r>
      <w:r w:rsidR="00087800">
        <w:rPr>
          <w:iCs/>
        </w:rPr>
        <w:t xml:space="preserve">he </w:t>
      </w:r>
      <w:r w:rsidR="0009451E">
        <w:rPr>
          <w:iCs/>
        </w:rPr>
        <w:t xml:space="preserve">had </w:t>
      </w:r>
      <w:r w:rsidR="004A6FE4">
        <w:rPr>
          <w:iCs/>
        </w:rPr>
        <w:t xml:space="preserve">located </w:t>
      </w:r>
      <w:r w:rsidR="009E6C77">
        <w:rPr>
          <w:iCs/>
        </w:rPr>
        <w:t xml:space="preserve">to </w:t>
      </w:r>
      <w:r w:rsidR="004A6FE4">
        <w:rPr>
          <w:iCs/>
        </w:rPr>
        <w:t xml:space="preserve">perform </w:t>
      </w:r>
      <w:r w:rsidR="00BE0679">
        <w:rPr>
          <w:iCs/>
        </w:rPr>
        <w:t xml:space="preserve">work </w:t>
      </w:r>
      <w:r w:rsidR="009E6C77">
        <w:rPr>
          <w:iCs/>
        </w:rPr>
        <w:t xml:space="preserve">for </w:t>
      </w:r>
      <w:r w:rsidR="004A6FE4">
        <w:rPr>
          <w:iCs/>
        </w:rPr>
        <w:t>no additional cost.</w:t>
      </w:r>
      <w:r w:rsidR="009E6C77">
        <w:rPr>
          <w:iCs/>
        </w:rPr>
        <w:t xml:space="preserve">  </w:t>
      </w:r>
    </w:p>
    <w:p w14:paraId="140CC6F7" w14:textId="6910F59B" w:rsidR="001E1A7E" w:rsidRPr="00CD57A7" w:rsidRDefault="007E0CAB" w:rsidP="00087800">
      <w:pPr>
        <w:tabs>
          <w:tab w:val="left" w:pos="720"/>
        </w:tabs>
        <w:spacing w:line="480" w:lineRule="auto"/>
      </w:pPr>
      <w:r>
        <w:rPr>
          <w:iCs/>
        </w:rPr>
        <w:tab/>
      </w:r>
      <w:r w:rsidR="009B4EF1">
        <w:rPr>
          <w:iCs/>
        </w:rPr>
        <w:t xml:space="preserve">Though Gonzalez suffered a </w:t>
      </w:r>
      <w:r w:rsidR="00CD57A7">
        <w:t xml:space="preserve">serious medical condition </w:t>
      </w:r>
      <w:r w:rsidR="009B4EF1">
        <w:t xml:space="preserve">beginning </w:t>
      </w:r>
      <w:r w:rsidR="00C6002F">
        <w:t>on July </w:t>
      </w:r>
      <w:r w:rsidR="00087800">
        <w:t xml:space="preserve">21, 2012, </w:t>
      </w:r>
      <w:r w:rsidR="00DD4123">
        <w:t xml:space="preserve">he </w:t>
      </w:r>
      <w:r w:rsidR="009E6C77">
        <w:t xml:space="preserve">did not prove </w:t>
      </w:r>
      <w:r w:rsidR="00BA775D">
        <w:t xml:space="preserve">that </w:t>
      </w:r>
      <w:r w:rsidR="00085ABA">
        <w:t xml:space="preserve">mini-strokes </w:t>
      </w:r>
      <w:r w:rsidR="00116BD8">
        <w:t xml:space="preserve">that </w:t>
      </w:r>
      <w:r w:rsidR="00BA775D">
        <w:t>occurr</w:t>
      </w:r>
      <w:r w:rsidR="00116BD8">
        <w:t>ed</w:t>
      </w:r>
      <w:r w:rsidR="00BA775D">
        <w:t xml:space="preserve"> </w:t>
      </w:r>
      <w:r w:rsidR="00116BD8">
        <w:t>during</w:t>
      </w:r>
      <w:r w:rsidR="00BA775D">
        <w:t xml:space="preserve"> the two years before the stroke </w:t>
      </w:r>
      <w:r w:rsidR="003A0FC5">
        <w:t xml:space="preserve">were </w:t>
      </w:r>
      <w:r w:rsidR="00085ABA">
        <w:t>“directly</w:t>
      </w:r>
      <w:r w:rsidR="003A0FC5">
        <w:t xml:space="preserve"> responsible for his misconduct</w:t>
      </w:r>
      <w:r w:rsidR="00734070">
        <w:t>,” as the standard requires.</w:t>
      </w:r>
      <w:r w:rsidR="00085ABA">
        <w:t xml:space="preserve"> </w:t>
      </w:r>
      <w:r w:rsidR="00BA775D">
        <w:t xml:space="preserve"> </w:t>
      </w:r>
      <w:r>
        <w:t>(</w:t>
      </w:r>
      <w:r w:rsidR="00085ABA">
        <w:t>Std. 1.6(d)</w:t>
      </w:r>
      <w:r w:rsidR="00DD4123">
        <w:t xml:space="preserve">; </w:t>
      </w:r>
      <w:r w:rsidR="00DD4123">
        <w:rPr>
          <w:i/>
          <w:iCs/>
        </w:rPr>
        <w:t>In the Matter of Elkins</w:t>
      </w:r>
      <w:r w:rsidR="00DD4123">
        <w:t xml:space="preserve"> (Review Dept. 2009) 5 Cal. State Bar Ct. Rptr. 160, 168 [no </w:t>
      </w:r>
      <w:r w:rsidR="008C46D1">
        <w:t xml:space="preserve">mitigation </w:t>
      </w:r>
      <w:r w:rsidR="00DD4123">
        <w:t>credit where attorney failed to establish causal nexus between emotional difficulties and misconduct].)</w:t>
      </w:r>
      <w:r w:rsidR="0055646D">
        <w:t xml:space="preserve">  </w:t>
      </w:r>
      <w:r w:rsidR="00264220">
        <w:t xml:space="preserve">Thus, </w:t>
      </w:r>
      <w:r w:rsidR="009D2312">
        <w:t xml:space="preserve">other than his </w:t>
      </w:r>
      <w:r w:rsidR="00913B4B">
        <w:t>tardy</w:t>
      </w:r>
      <w:r w:rsidR="009D2312">
        <w:t xml:space="preserve"> filing of his</w:t>
      </w:r>
      <w:r w:rsidR="0016798A">
        <w:t xml:space="preserve"> </w:t>
      </w:r>
      <w:r w:rsidR="00207279">
        <w:t xml:space="preserve">California Rules of Court, </w:t>
      </w:r>
      <w:r w:rsidR="009D2312">
        <w:t xml:space="preserve">rule 9.20 affidavit, </w:t>
      </w:r>
      <w:r w:rsidR="00AF52F7">
        <w:t>Gonzalez</w:t>
      </w:r>
      <w:r w:rsidR="000808B4">
        <w:t>’s</w:t>
      </w:r>
      <w:r w:rsidR="00AF52F7">
        <w:t xml:space="preserve"> present misconduct is </w:t>
      </w:r>
      <w:r w:rsidR="0016798A">
        <w:t>not mitigated by physical difficulties</w:t>
      </w:r>
      <w:r w:rsidR="00264220">
        <w:t>.</w:t>
      </w:r>
      <w:r w:rsidR="0016798A">
        <w:t xml:space="preserve">  </w:t>
      </w:r>
    </w:p>
    <w:p w14:paraId="40930277" w14:textId="2CD20FA7" w:rsidR="001E1A7E" w:rsidRPr="001E1A7E" w:rsidRDefault="00E759E4" w:rsidP="00E759E4">
      <w:pPr>
        <w:spacing w:line="480" w:lineRule="auto"/>
        <w:jc w:val="center"/>
        <w:rPr>
          <w:rFonts w:eastAsia="Calibri"/>
          <w:b/>
          <w:szCs w:val="22"/>
        </w:rPr>
      </w:pPr>
      <w:r>
        <w:rPr>
          <w:rFonts w:eastAsia="Calibri"/>
          <w:b/>
          <w:szCs w:val="22"/>
        </w:rPr>
        <w:lastRenderedPageBreak/>
        <w:t>I</w:t>
      </w:r>
      <w:r w:rsidR="001E1A7E" w:rsidRPr="001E1A7E">
        <w:rPr>
          <w:rFonts w:eastAsia="Calibri"/>
          <w:b/>
          <w:szCs w:val="22"/>
        </w:rPr>
        <w:t>V.  DISBARMENT IS THE APPROPRIATE DISCIPLINE</w:t>
      </w:r>
      <w:r w:rsidR="001E1A7E" w:rsidRPr="001E1A7E">
        <w:rPr>
          <w:b/>
          <w:bCs/>
          <w:vertAlign w:val="superscript"/>
        </w:rPr>
        <w:footnoteReference w:id="15"/>
      </w:r>
    </w:p>
    <w:p w14:paraId="62D26FF6" w14:textId="110A4BFD" w:rsidR="001E1A7E" w:rsidRPr="001E1A7E" w:rsidRDefault="001E1A7E" w:rsidP="00763FF4">
      <w:pPr>
        <w:spacing w:line="480" w:lineRule="auto"/>
        <w:ind w:right="-144"/>
        <w:rPr>
          <w:rFonts w:eastAsia="Calibri"/>
          <w:b/>
          <w:szCs w:val="22"/>
        </w:rPr>
      </w:pPr>
      <w:r w:rsidRPr="001E1A7E">
        <w:rPr>
          <w:rFonts w:eastAsia="Calibri"/>
          <w:szCs w:val="22"/>
        </w:rPr>
        <w:tab/>
        <w:t xml:space="preserve">Our disciplinary analysis begins with the standards which, </w:t>
      </w:r>
      <w:r w:rsidRPr="001E1A7E">
        <w:t>although not binding, are entitled to great weight.  (</w:t>
      </w:r>
      <w:r w:rsidRPr="001E1A7E">
        <w:rPr>
          <w:i/>
        </w:rPr>
        <w:t>In re Silverton</w:t>
      </w:r>
      <w:r w:rsidRPr="001E1A7E">
        <w:t xml:space="preserve"> (2005) 36 Cal.4th 81, 91–92.)  The Supreme Court has instructed us to follow them whenever possible (</w:t>
      </w:r>
      <w:r w:rsidRPr="001E1A7E">
        <w:rPr>
          <w:i/>
        </w:rPr>
        <w:t>In re Young</w:t>
      </w:r>
      <w:r w:rsidRPr="001E1A7E">
        <w:t xml:space="preserve"> (1989) 49 Cal.3d 257, 267, fn. 11), and </w:t>
      </w:r>
      <w:r w:rsidR="009D2312">
        <w:t xml:space="preserve">to </w:t>
      </w:r>
      <w:r w:rsidRPr="001E1A7E">
        <w:t xml:space="preserve">look to comparable case law.  (See </w:t>
      </w:r>
      <w:r w:rsidRPr="001E1A7E">
        <w:rPr>
          <w:i/>
        </w:rPr>
        <w:t>Snyder v. State Bar</w:t>
      </w:r>
      <w:r w:rsidRPr="001E1A7E">
        <w:t xml:space="preserve"> (1990) 49 Cal.3d 1302, 1310–1311.)</w:t>
      </w:r>
    </w:p>
    <w:p w14:paraId="5C55C292" w14:textId="06F92ABC" w:rsidR="00842422" w:rsidRPr="00842422" w:rsidRDefault="00842422" w:rsidP="002241E7">
      <w:pPr>
        <w:tabs>
          <w:tab w:val="left" w:pos="720"/>
        </w:tabs>
        <w:spacing w:line="480" w:lineRule="auto"/>
        <w:ind w:right="-144"/>
        <w:rPr>
          <w:rFonts w:eastAsia="Calibri"/>
        </w:rPr>
      </w:pPr>
      <w:r>
        <w:rPr>
          <w:rFonts w:eastAsia="Calibri"/>
        </w:rPr>
        <w:tab/>
      </w:r>
      <w:r w:rsidR="00AC6B88">
        <w:rPr>
          <w:rFonts w:eastAsia="Calibri"/>
        </w:rPr>
        <w:t>S</w:t>
      </w:r>
      <w:r w:rsidRPr="00842422">
        <w:rPr>
          <w:rFonts w:eastAsia="Calibri"/>
        </w:rPr>
        <w:t>tandard 1.8(b)</w:t>
      </w:r>
      <w:r w:rsidR="00D127EF">
        <w:rPr>
          <w:rFonts w:eastAsia="Calibri"/>
        </w:rPr>
        <w:t xml:space="preserve"> </w:t>
      </w:r>
      <w:r w:rsidR="00734070">
        <w:rPr>
          <w:rFonts w:eastAsia="Calibri"/>
        </w:rPr>
        <w:t xml:space="preserve">is most applicable here.  </w:t>
      </w:r>
      <w:r w:rsidR="00AC6B88">
        <w:rPr>
          <w:rFonts w:eastAsia="Calibri"/>
        </w:rPr>
        <w:t>(Std.</w:t>
      </w:r>
      <w:r w:rsidR="00C6002F">
        <w:rPr>
          <w:rFonts w:eastAsia="Calibri"/>
        </w:rPr>
        <w:t> </w:t>
      </w:r>
      <w:r w:rsidR="00AC6B88">
        <w:rPr>
          <w:rFonts w:eastAsia="Calibri"/>
        </w:rPr>
        <w:t>1.7</w:t>
      </w:r>
      <w:r w:rsidR="00734070">
        <w:rPr>
          <w:rFonts w:eastAsia="Calibri"/>
        </w:rPr>
        <w:t xml:space="preserve"> [most serious sanction applies]</w:t>
      </w:r>
      <w:r w:rsidR="00BA775D">
        <w:rPr>
          <w:rFonts w:eastAsia="Calibri"/>
        </w:rPr>
        <w:t xml:space="preserve">.)  </w:t>
      </w:r>
      <w:r w:rsidR="00D127EF">
        <w:rPr>
          <w:rFonts w:eastAsia="Calibri"/>
        </w:rPr>
        <w:t>It</w:t>
      </w:r>
      <w:r w:rsidRPr="00842422">
        <w:rPr>
          <w:rFonts w:eastAsia="Calibri"/>
        </w:rPr>
        <w:t xml:space="preserve"> provides </w:t>
      </w:r>
      <w:r w:rsidR="00D127EF">
        <w:rPr>
          <w:rFonts w:eastAsia="Calibri"/>
        </w:rPr>
        <w:t xml:space="preserve">that </w:t>
      </w:r>
      <w:r w:rsidRPr="00842422">
        <w:rPr>
          <w:rFonts w:eastAsia="Calibri"/>
        </w:rPr>
        <w:t xml:space="preserve">disbarment </w:t>
      </w:r>
      <w:r w:rsidR="00D127EF">
        <w:rPr>
          <w:rFonts w:eastAsia="Calibri"/>
        </w:rPr>
        <w:t>is</w:t>
      </w:r>
      <w:r w:rsidRPr="00842422">
        <w:rPr>
          <w:rFonts w:eastAsia="Calibri"/>
        </w:rPr>
        <w:t xml:space="preserve"> appropriate when a member has two or m</w:t>
      </w:r>
      <w:r w:rsidR="002241E7">
        <w:rPr>
          <w:rFonts w:eastAsia="Calibri"/>
        </w:rPr>
        <w:t>ore prior records of discipline</w:t>
      </w:r>
      <w:r w:rsidRPr="00842422">
        <w:rPr>
          <w:rFonts w:eastAsia="Calibri"/>
        </w:rPr>
        <w:t xml:space="preserve"> </w:t>
      </w:r>
      <w:r w:rsidR="00734070">
        <w:rPr>
          <w:rFonts w:eastAsia="Calibri"/>
        </w:rPr>
        <w:t>if</w:t>
      </w:r>
      <w:r w:rsidRPr="00842422">
        <w:rPr>
          <w:rFonts w:eastAsia="Calibri"/>
        </w:rPr>
        <w:t xml:space="preserve"> (1) an actual suspension was ordered in any pr</w:t>
      </w:r>
      <w:r w:rsidR="009D2312">
        <w:rPr>
          <w:rFonts w:eastAsia="Calibri"/>
        </w:rPr>
        <w:t>evious</w:t>
      </w:r>
      <w:r w:rsidRPr="00842422">
        <w:rPr>
          <w:rFonts w:eastAsia="Calibri"/>
        </w:rPr>
        <w:t xml:space="preserve"> disciplinary matter</w:t>
      </w:r>
      <w:r w:rsidR="0080374D">
        <w:rPr>
          <w:rFonts w:eastAsia="Calibri"/>
        </w:rPr>
        <w:t>,</w:t>
      </w:r>
      <w:r w:rsidRPr="00842422">
        <w:rPr>
          <w:rFonts w:eastAsia="Calibri"/>
        </w:rPr>
        <w:t xml:space="preserve"> (2) the prior and current disciplinary matters demonstrate a pattern of misconduct</w:t>
      </w:r>
      <w:r w:rsidR="0080374D">
        <w:rPr>
          <w:rFonts w:eastAsia="Calibri"/>
        </w:rPr>
        <w:t>,</w:t>
      </w:r>
      <w:r w:rsidRPr="00842422">
        <w:rPr>
          <w:rFonts w:eastAsia="Calibri"/>
        </w:rPr>
        <w:t xml:space="preserve"> </w:t>
      </w:r>
      <w:r w:rsidRPr="005E3151">
        <w:rPr>
          <w:rFonts w:eastAsia="Calibri"/>
          <w:i/>
        </w:rPr>
        <w:t>or</w:t>
      </w:r>
      <w:r w:rsidRPr="00842422">
        <w:rPr>
          <w:rFonts w:eastAsia="Calibri"/>
        </w:rPr>
        <w:t xml:space="preserve"> (3) the prior and current disciplinary matters </w:t>
      </w:r>
      <w:r w:rsidR="006C7C42">
        <w:rPr>
          <w:rFonts w:eastAsia="Calibri"/>
        </w:rPr>
        <w:t>reveal</w:t>
      </w:r>
      <w:r w:rsidRPr="00842422">
        <w:rPr>
          <w:rFonts w:eastAsia="Calibri"/>
        </w:rPr>
        <w:t xml:space="preserve"> the attorney’s unwillingness or inability to conform to ethical norms.</w:t>
      </w:r>
    </w:p>
    <w:p w14:paraId="611644E9" w14:textId="5A957AE5" w:rsidR="00842422" w:rsidRDefault="00842422" w:rsidP="00842422">
      <w:pPr>
        <w:tabs>
          <w:tab w:val="left" w:pos="720"/>
        </w:tabs>
        <w:spacing w:line="480" w:lineRule="auto"/>
        <w:rPr>
          <w:rFonts w:eastAsia="Calibri"/>
        </w:rPr>
      </w:pPr>
      <w:r w:rsidRPr="00842422">
        <w:rPr>
          <w:rFonts w:eastAsia="Calibri"/>
        </w:rPr>
        <w:tab/>
      </w:r>
      <w:r>
        <w:rPr>
          <w:rFonts w:eastAsia="Calibri"/>
        </w:rPr>
        <w:t xml:space="preserve">Gonzalez’s </w:t>
      </w:r>
      <w:r w:rsidRPr="00842422">
        <w:rPr>
          <w:rFonts w:eastAsia="Calibri"/>
        </w:rPr>
        <w:t xml:space="preserve">case meets </w:t>
      </w:r>
      <w:r>
        <w:rPr>
          <w:rFonts w:eastAsia="Calibri"/>
        </w:rPr>
        <w:t>two of the</w:t>
      </w:r>
      <w:r w:rsidR="0080374D">
        <w:rPr>
          <w:rFonts w:eastAsia="Calibri"/>
        </w:rPr>
        <w:t>se</w:t>
      </w:r>
      <w:r>
        <w:rPr>
          <w:rFonts w:eastAsia="Calibri"/>
        </w:rPr>
        <w:t xml:space="preserve"> criteria</w:t>
      </w:r>
      <w:r w:rsidR="00F7364E">
        <w:rPr>
          <w:rFonts w:eastAsia="Calibri"/>
        </w:rPr>
        <w:t>: an</w:t>
      </w:r>
      <w:r w:rsidR="005E3151">
        <w:rPr>
          <w:rFonts w:eastAsia="Calibri"/>
        </w:rPr>
        <w:t xml:space="preserve"> actual suspension was ordered </w:t>
      </w:r>
      <w:r>
        <w:rPr>
          <w:rFonts w:eastAsia="Calibri"/>
        </w:rPr>
        <w:t xml:space="preserve">in </w:t>
      </w:r>
      <w:r w:rsidR="002241E7">
        <w:rPr>
          <w:rFonts w:eastAsia="Calibri"/>
        </w:rPr>
        <w:t xml:space="preserve">both </w:t>
      </w:r>
      <w:r w:rsidRPr="00F93CEA">
        <w:rPr>
          <w:rFonts w:eastAsia="Calibri"/>
          <w:i/>
        </w:rPr>
        <w:t>Gonzalez I</w:t>
      </w:r>
      <w:r>
        <w:rPr>
          <w:rFonts w:eastAsia="Calibri"/>
        </w:rPr>
        <w:t xml:space="preserve"> </w:t>
      </w:r>
      <w:r w:rsidR="00D127EF">
        <w:rPr>
          <w:rFonts w:eastAsia="Calibri"/>
        </w:rPr>
        <w:t xml:space="preserve">(60 days) </w:t>
      </w:r>
      <w:r w:rsidRPr="00F93CEA">
        <w:rPr>
          <w:rFonts w:eastAsia="Calibri"/>
        </w:rPr>
        <w:t xml:space="preserve">and </w:t>
      </w:r>
      <w:r w:rsidR="00D127EF" w:rsidRPr="00F93CEA">
        <w:rPr>
          <w:rFonts w:eastAsia="Calibri"/>
          <w:i/>
        </w:rPr>
        <w:t xml:space="preserve">Gonzalez </w:t>
      </w:r>
      <w:r w:rsidRPr="00F93CEA">
        <w:rPr>
          <w:rFonts w:eastAsia="Calibri"/>
          <w:i/>
        </w:rPr>
        <w:t>II</w:t>
      </w:r>
      <w:r w:rsidR="00D127EF">
        <w:rPr>
          <w:rFonts w:eastAsia="Calibri"/>
        </w:rPr>
        <w:t xml:space="preserve"> (one year)</w:t>
      </w:r>
      <w:r w:rsidR="000808B4">
        <w:rPr>
          <w:rFonts w:eastAsia="Calibri"/>
        </w:rPr>
        <w:t>,</w:t>
      </w:r>
      <w:r w:rsidR="00F7364E">
        <w:rPr>
          <w:rFonts w:eastAsia="Calibri"/>
        </w:rPr>
        <w:t xml:space="preserve"> and </w:t>
      </w:r>
      <w:r w:rsidR="0080374D">
        <w:rPr>
          <w:rFonts w:eastAsia="Calibri"/>
        </w:rPr>
        <w:t>he failed to reform</w:t>
      </w:r>
      <w:r w:rsidR="00007CB2">
        <w:rPr>
          <w:rFonts w:eastAsia="Calibri"/>
        </w:rPr>
        <w:t xml:space="preserve"> after </w:t>
      </w:r>
      <w:r w:rsidR="008A58D1">
        <w:rPr>
          <w:rFonts w:eastAsia="Calibri"/>
        </w:rPr>
        <w:t xml:space="preserve">being disciplined </w:t>
      </w:r>
      <w:r w:rsidR="0080374D">
        <w:rPr>
          <w:rFonts w:eastAsia="Calibri"/>
        </w:rPr>
        <w:t xml:space="preserve">for similar misconduct in </w:t>
      </w:r>
      <w:r w:rsidR="0080374D" w:rsidRPr="0080374D">
        <w:rPr>
          <w:rFonts w:eastAsia="Calibri"/>
          <w:i/>
        </w:rPr>
        <w:t xml:space="preserve">Gonzalez </w:t>
      </w:r>
      <w:r w:rsidR="0014349E">
        <w:rPr>
          <w:rFonts w:eastAsia="Calibri"/>
          <w:i/>
        </w:rPr>
        <w:t>I</w:t>
      </w:r>
      <w:r w:rsidR="0014349E">
        <w:rPr>
          <w:rFonts w:eastAsia="Calibri"/>
        </w:rPr>
        <w:t xml:space="preserve">, which shows his </w:t>
      </w:r>
      <w:r w:rsidRPr="00842422">
        <w:rPr>
          <w:rFonts w:eastAsia="Calibri"/>
        </w:rPr>
        <w:t>unwillingness or inability to fulfill his ethical duties.</w:t>
      </w:r>
    </w:p>
    <w:p w14:paraId="2E5E91BC" w14:textId="6C8CEBAD" w:rsidR="00842422" w:rsidRPr="00842422" w:rsidRDefault="00BC2AFF" w:rsidP="005A615F">
      <w:pPr>
        <w:tabs>
          <w:tab w:val="left" w:pos="720"/>
        </w:tabs>
        <w:spacing w:line="480" w:lineRule="auto"/>
        <w:ind w:right="-144"/>
        <w:rPr>
          <w:rFonts w:eastAsia="Calibri"/>
        </w:rPr>
      </w:pPr>
      <w:r>
        <w:tab/>
      </w:r>
      <w:r w:rsidR="00007CB2">
        <w:t>We may depart f</w:t>
      </w:r>
      <w:r w:rsidR="00033190">
        <w:t>r</w:t>
      </w:r>
      <w:r w:rsidR="00007CB2">
        <w:t>om the</w:t>
      </w:r>
      <w:r w:rsidR="00842422" w:rsidRPr="00842422">
        <w:rPr>
          <w:rFonts w:eastAsia="Calibri"/>
        </w:rPr>
        <w:t xml:space="preserve"> prescribed discipline of disbarment </w:t>
      </w:r>
      <w:r w:rsidR="00007CB2">
        <w:rPr>
          <w:rFonts w:eastAsia="Calibri"/>
        </w:rPr>
        <w:t>under standard</w:t>
      </w:r>
      <w:r w:rsidR="000808B4">
        <w:rPr>
          <w:rFonts w:eastAsia="Calibri"/>
        </w:rPr>
        <w:t> </w:t>
      </w:r>
      <w:r w:rsidR="00007CB2">
        <w:rPr>
          <w:rFonts w:eastAsia="Calibri"/>
        </w:rPr>
        <w:t xml:space="preserve">1.8(b) </w:t>
      </w:r>
      <w:r w:rsidR="00842422" w:rsidRPr="00842422">
        <w:rPr>
          <w:rFonts w:eastAsia="Calibri"/>
        </w:rPr>
        <w:t xml:space="preserve">where “the most compelling mitigating circumstances clearly predominate or the misconduct underlying the prior discipline occurred during the same time period as the current misconduct.”  </w:t>
      </w:r>
      <w:r w:rsidR="001A658E">
        <w:rPr>
          <w:rFonts w:eastAsia="Calibri"/>
        </w:rPr>
        <w:t>Gonzalez did not make this showing</w:t>
      </w:r>
      <w:r w:rsidR="00842422" w:rsidRPr="00842422">
        <w:rPr>
          <w:rFonts w:eastAsia="Calibri"/>
        </w:rPr>
        <w:t xml:space="preserve">.  </w:t>
      </w:r>
      <w:r w:rsidR="001A658E">
        <w:rPr>
          <w:rFonts w:eastAsia="Calibri"/>
        </w:rPr>
        <w:t>His</w:t>
      </w:r>
      <w:r w:rsidR="003B60A9">
        <w:rPr>
          <w:rFonts w:eastAsia="Calibri"/>
        </w:rPr>
        <w:t xml:space="preserve"> </w:t>
      </w:r>
      <w:r w:rsidR="00842422" w:rsidRPr="00842422">
        <w:rPr>
          <w:rFonts w:eastAsia="Calibri"/>
        </w:rPr>
        <w:t xml:space="preserve">mitigation for </w:t>
      </w:r>
      <w:r w:rsidR="001A658E">
        <w:rPr>
          <w:rFonts w:eastAsia="Calibri"/>
        </w:rPr>
        <w:t>the</w:t>
      </w:r>
      <w:r w:rsidR="00D610B7">
        <w:rPr>
          <w:rFonts w:eastAsia="Calibri"/>
        </w:rPr>
        <w:t xml:space="preserve"> pretrial </w:t>
      </w:r>
      <w:r w:rsidR="006C7C42">
        <w:rPr>
          <w:rFonts w:eastAsia="Calibri"/>
        </w:rPr>
        <w:t>S</w:t>
      </w:r>
      <w:r w:rsidR="00D610B7">
        <w:rPr>
          <w:rFonts w:eastAsia="Calibri"/>
        </w:rPr>
        <w:t>tipulation</w:t>
      </w:r>
      <w:r w:rsidR="002F2CEE">
        <w:rPr>
          <w:rFonts w:eastAsia="Calibri"/>
        </w:rPr>
        <w:t xml:space="preserve"> </w:t>
      </w:r>
      <w:r w:rsidR="008A58D1">
        <w:rPr>
          <w:rFonts w:eastAsia="Calibri"/>
        </w:rPr>
        <w:t xml:space="preserve">and </w:t>
      </w:r>
      <w:r w:rsidR="00007CB2">
        <w:rPr>
          <w:rFonts w:eastAsia="Calibri"/>
        </w:rPr>
        <w:t xml:space="preserve">late-filed </w:t>
      </w:r>
      <w:r w:rsidR="005E3151">
        <w:rPr>
          <w:rFonts w:eastAsia="Calibri"/>
        </w:rPr>
        <w:t>California Rule</w:t>
      </w:r>
      <w:r w:rsidR="00763FF4">
        <w:rPr>
          <w:rFonts w:eastAsia="Calibri"/>
        </w:rPr>
        <w:t>s</w:t>
      </w:r>
      <w:r w:rsidR="005E3151">
        <w:rPr>
          <w:rFonts w:eastAsia="Calibri"/>
        </w:rPr>
        <w:t xml:space="preserve"> of Court, </w:t>
      </w:r>
      <w:r w:rsidR="008A58D1">
        <w:rPr>
          <w:rFonts w:eastAsia="Calibri"/>
        </w:rPr>
        <w:t>rule</w:t>
      </w:r>
      <w:r w:rsidR="00864774">
        <w:rPr>
          <w:rFonts w:eastAsia="Calibri"/>
        </w:rPr>
        <w:t> </w:t>
      </w:r>
      <w:r w:rsidR="008A58D1">
        <w:rPr>
          <w:rFonts w:eastAsia="Calibri"/>
        </w:rPr>
        <w:t xml:space="preserve">9.20 declaration </w:t>
      </w:r>
      <w:r w:rsidR="002241E7">
        <w:rPr>
          <w:rFonts w:eastAsia="Calibri"/>
        </w:rPr>
        <w:t>is</w:t>
      </w:r>
      <w:r w:rsidR="002F2CEE">
        <w:rPr>
          <w:rFonts w:eastAsia="Calibri"/>
        </w:rPr>
        <w:t xml:space="preserve"> </w:t>
      </w:r>
      <w:r w:rsidR="001A658E">
        <w:rPr>
          <w:rFonts w:eastAsia="Calibri"/>
        </w:rPr>
        <w:t>not</w:t>
      </w:r>
      <w:r w:rsidR="005E3151">
        <w:rPr>
          <w:rFonts w:eastAsia="Calibri"/>
        </w:rPr>
        <w:t xml:space="preserve"> </w:t>
      </w:r>
      <w:r w:rsidR="00842422" w:rsidRPr="00842422">
        <w:rPr>
          <w:rFonts w:eastAsia="Calibri"/>
        </w:rPr>
        <w:t>compelling</w:t>
      </w:r>
      <w:r w:rsidR="005E3151">
        <w:rPr>
          <w:rFonts w:eastAsia="Calibri"/>
        </w:rPr>
        <w:t xml:space="preserve">.  </w:t>
      </w:r>
      <w:r w:rsidR="001A658E">
        <w:rPr>
          <w:rFonts w:eastAsia="Calibri"/>
        </w:rPr>
        <w:t>Nor do</w:t>
      </w:r>
      <w:r w:rsidR="002241E7">
        <w:rPr>
          <w:rFonts w:eastAsia="Calibri"/>
        </w:rPr>
        <w:t>es it</w:t>
      </w:r>
      <w:r w:rsidR="001A658E">
        <w:rPr>
          <w:rFonts w:eastAsia="Calibri"/>
        </w:rPr>
        <w:t xml:space="preserve"> </w:t>
      </w:r>
      <w:r w:rsidR="00842422" w:rsidRPr="00842422">
        <w:rPr>
          <w:rFonts w:eastAsia="Calibri"/>
        </w:rPr>
        <w:t xml:space="preserve">predominate over </w:t>
      </w:r>
      <w:r w:rsidR="008A58D1">
        <w:rPr>
          <w:rFonts w:eastAsia="Calibri"/>
        </w:rPr>
        <w:t>his</w:t>
      </w:r>
      <w:r w:rsidR="00842422" w:rsidRPr="00842422">
        <w:rPr>
          <w:rFonts w:eastAsia="Calibri"/>
        </w:rPr>
        <w:t xml:space="preserve"> </w:t>
      </w:r>
      <w:r w:rsidR="00D610B7">
        <w:rPr>
          <w:rFonts w:eastAsia="Calibri"/>
        </w:rPr>
        <w:t xml:space="preserve">misconduct </w:t>
      </w:r>
      <w:r w:rsidR="005E3151">
        <w:rPr>
          <w:rFonts w:eastAsia="Calibri"/>
        </w:rPr>
        <w:t xml:space="preserve">and </w:t>
      </w:r>
      <w:r w:rsidR="00D610B7">
        <w:rPr>
          <w:rFonts w:eastAsia="Calibri"/>
        </w:rPr>
        <w:t>five factors in aggravation</w:t>
      </w:r>
      <w:r w:rsidR="005E3151">
        <w:rPr>
          <w:rFonts w:eastAsia="Calibri"/>
        </w:rPr>
        <w:t xml:space="preserve"> (</w:t>
      </w:r>
      <w:r w:rsidR="00161E62">
        <w:rPr>
          <w:rFonts w:eastAsia="Calibri"/>
        </w:rPr>
        <w:t>prior discipline, multiple acts, harm, failure to make restitution, and vulnerable victims).</w:t>
      </w:r>
      <w:r w:rsidR="0010015A">
        <w:rPr>
          <w:rFonts w:eastAsia="Calibri"/>
        </w:rPr>
        <w:t xml:space="preserve">  </w:t>
      </w:r>
      <w:r w:rsidR="0080374D">
        <w:rPr>
          <w:rFonts w:eastAsia="Calibri"/>
        </w:rPr>
        <w:t xml:space="preserve">Further, </w:t>
      </w:r>
      <w:r w:rsidR="001A658E">
        <w:rPr>
          <w:rFonts w:eastAsia="Calibri"/>
        </w:rPr>
        <w:t xml:space="preserve">he </w:t>
      </w:r>
      <w:r w:rsidR="00007CB2">
        <w:rPr>
          <w:rFonts w:eastAsia="Calibri"/>
        </w:rPr>
        <w:t>has e</w:t>
      </w:r>
      <w:r w:rsidR="001A658E">
        <w:rPr>
          <w:rFonts w:eastAsia="Calibri"/>
        </w:rPr>
        <w:t xml:space="preserve">ngaged in escalating misconduct, committing acts of </w:t>
      </w:r>
      <w:r w:rsidR="00D610B7">
        <w:rPr>
          <w:rFonts w:eastAsia="Calibri"/>
        </w:rPr>
        <w:t>UPL</w:t>
      </w:r>
      <w:r w:rsidR="00C0215D">
        <w:rPr>
          <w:rFonts w:eastAsia="Calibri"/>
        </w:rPr>
        <w:t xml:space="preserve"> and </w:t>
      </w:r>
      <w:r w:rsidR="00D610B7">
        <w:rPr>
          <w:rFonts w:eastAsia="Calibri"/>
        </w:rPr>
        <w:t>moral turpitude</w:t>
      </w:r>
      <w:r w:rsidR="00C0215D">
        <w:rPr>
          <w:rFonts w:eastAsia="Calibri"/>
        </w:rPr>
        <w:t xml:space="preserve"> in the present case</w:t>
      </w:r>
      <w:r w:rsidR="00842422" w:rsidRPr="00842422">
        <w:rPr>
          <w:rFonts w:eastAsia="Calibri"/>
        </w:rPr>
        <w:t xml:space="preserve">.  </w:t>
      </w:r>
    </w:p>
    <w:p w14:paraId="30FAA7F9" w14:textId="6525C322" w:rsidR="00A32C0A" w:rsidRDefault="00842422" w:rsidP="005A615F">
      <w:pPr>
        <w:spacing w:line="480" w:lineRule="auto"/>
        <w:ind w:right="-144"/>
        <w:rPr>
          <w:rFonts w:eastAsia="Calibri"/>
        </w:rPr>
      </w:pPr>
      <w:r w:rsidRPr="00842422">
        <w:rPr>
          <w:rFonts w:eastAsia="Calibri"/>
        </w:rPr>
        <w:lastRenderedPageBreak/>
        <w:tab/>
      </w:r>
      <w:r w:rsidR="00B65AE7">
        <w:rPr>
          <w:rFonts w:eastAsia="Calibri"/>
        </w:rPr>
        <w:t xml:space="preserve">The hearing judge </w:t>
      </w:r>
      <w:r w:rsidR="008D585A">
        <w:rPr>
          <w:rFonts w:eastAsia="Calibri"/>
        </w:rPr>
        <w:t xml:space="preserve">reasoned that </w:t>
      </w:r>
      <w:r w:rsidR="00057FD4">
        <w:rPr>
          <w:rFonts w:eastAsia="Calibri"/>
        </w:rPr>
        <w:t xml:space="preserve">a two-year suspension was warranted because </w:t>
      </w:r>
      <w:r w:rsidR="008D585A">
        <w:rPr>
          <w:rFonts w:eastAsia="Calibri"/>
        </w:rPr>
        <w:t>standard</w:t>
      </w:r>
      <w:r w:rsidR="00864774">
        <w:rPr>
          <w:rFonts w:eastAsia="Calibri"/>
        </w:rPr>
        <w:t> </w:t>
      </w:r>
      <w:r w:rsidR="008D585A">
        <w:rPr>
          <w:rFonts w:eastAsia="Calibri"/>
        </w:rPr>
        <w:t>1.8(b) does not mandate disbarment</w:t>
      </w:r>
      <w:r w:rsidR="00902813">
        <w:rPr>
          <w:rFonts w:eastAsia="Calibri"/>
        </w:rPr>
        <w:t xml:space="preserve"> and, according to case law, </w:t>
      </w:r>
      <w:r w:rsidR="000D7143">
        <w:rPr>
          <w:rFonts w:eastAsia="Calibri"/>
        </w:rPr>
        <w:t>a significant suspension was appropriate</w:t>
      </w:r>
      <w:r w:rsidR="00057FD4">
        <w:rPr>
          <w:rFonts w:eastAsia="Calibri"/>
        </w:rPr>
        <w:t xml:space="preserve">.  </w:t>
      </w:r>
      <w:r w:rsidR="008D585A">
        <w:rPr>
          <w:rFonts w:eastAsia="Calibri"/>
        </w:rPr>
        <w:t xml:space="preserve">The judge relied </w:t>
      </w:r>
      <w:r w:rsidR="00B0406D">
        <w:rPr>
          <w:rFonts w:eastAsia="Calibri"/>
        </w:rPr>
        <w:t xml:space="preserve">on </w:t>
      </w:r>
      <w:r w:rsidR="00B0406D" w:rsidRPr="00D610B7">
        <w:rPr>
          <w:rFonts w:eastAsia="Calibri"/>
          <w:i/>
        </w:rPr>
        <w:t>In re Brockway</w:t>
      </w:r>
      <w:r w:rsidR="00454B61">
        <w:rPr>
          <w:rFonts w:eastAsia="Calibri"/>
        </w:rPr>
        <w:t xml:space="preserve">, </w:t>
      </w:r>
      <w:r w:rsidR="00454B61" w:rsidRPr="00FD4849">
        <w:rPr>
          <w:rFonts w:eastAsia="Calibri"/>
          <w:i/>
        </w:rPr>
        <w:t>supra</w:t>
      </w:r>
      <w:r w:rsidR="00454B61">
        <w:rPr>
          <w:rFonts w:eastAsia="Calibri"/>
        </w:rPr>
        <w:t>,</w:t>
      </w:r>
      <w:r w:rsidR="00B0406D">
        <w:rPr>
          <w:rFonts w:eastAsia="Calibri"/>
        </w:rPr>
        <w:t xml:space="preserve"> 4</w:t>
      </w:r>
      <w:r w:rsidR="00864774">
        <w:rPr>
          <w:rFonts w:eastAsia="Calibri"/>
        </w:rPr>
        <w:t> </w:t>
      </w:r>
      <w:r w:rsidR="00B0406D">
        <w:rPr>
          <w:rFonts w:eastAsia="Calibri"/>
        </w:rPr>
        <w:t>Cal. Stat</w:t>
      </w:r>
      <w:r w:rsidR="00454B61">
        <w:rPr>
          <w:rFonts w:eastAsia="Calibri"/>
        </w:rPr>
        <w:t>e</w:t>
      </w:r>
      <w:r w:rsidR="00B0406D">
        <w:rPr>
          <w:rFonts w:eastAsia="Calibri"/>
        </w:rPr>
        <w:t xml:space="preserve"> Bar Ct. Rptr. </w:t>
      </w:r>
      <w:r w:rsidR="006A2551">
        <w:rPr>
          <w:rFonts w:eastAsia="Calibri"/>
        </w:rPr>
        <w:t>944</w:t>
      </w:r>
      <w:r w:rsidR="00AF52F7">
        <w:rPr>
          <w:rFonts w:eastAsia="Calibri"/>
        </w:rPr>
        <w:t xml:space="preserve"> to support her recommendation for a two-year actual suspension</w:t>
      </w:r>
      <w:r w:rsidR="00B0406D">
        <w:rPr>
          <w:rFonts w:eastAsia="Calibri"/>
        </w:rPr>
        <w:t xml:space="preserve">.  </w:t>
      </w:r>
      <w:r w:rsidR="00B0406D" w:rsidRPr="006A2551">
        <w:rPr>
          <w:rFonts w:eastAsia="Calibri"/>
          <w:i/>
        </w:rPr>
        <w:t>Brockway</w:t>
      </w:r>
      <w:r w:rsidR="00057FD4">
        <w:rPr>
          <w:rFonts w:eastAsia="Calibri"/>
        </w:rPr>
        <w:t>, an authority not related to standard</w:t>
      </w:r>
      <w:r w:rsidR="00680D8A">
        <w:rPr>
          <w:rFonts w:eastAsia="Calibri"/>
        </w:rPr>
        <w:t> </w:t>
      </w:r>
      <w:r w:rsidR="00FA3F2E">
        <w:rPr>
          <w:rFonts w:eastAsia="Calibri"/>
        </w:rPr>
        <w:t>1.8(b)</w:t>
      </w:r>
      <w:r w:rsidR="00057FD4">
        <w:rPr>
          <w:rFonts w:eastAsia="Calibri"/>
        </w:rPr>
        <w:t>,</w:t>
      </w:r>
      <w:r w:rsidR="00B0406D">
        <w:rPr>
          <w:rFonts w:eastAsia="Calibri"/>
        </w:rPr>
        <w:t xml:space="preserve"> is </w:t>
      </w:r>
      <w:r w:rsidR="00850641">
        <w:rPr>
          <w:rFonts w:eastAsia="Calibri"/>
        </w:rPr>
        <w:t>distinguishable</w:t>
      </w:r>
      <w:r w:rsidR="007F1964">
        <w:rPr>
          <w:rFonts w:eastAsia="Calibri"/>
        </w:rPr>
        <w:t xml:space="preserve">.  </w:t>
      </w:r>
      <w:r w:rsidR="00680D8A">
        <w:rPr>
          <w:rFonts w:eastAsia="Calibri"/>
        </w:rPr>
        <w:t>The attorney i</w:t>
      </w:r>
      <w:r w:rsidR="007F1964">
        <w:rPr>
          <w:rFonts w:eastAsia="Calibri"/>
        </w:rPr>
        <w:t xml:space="preserve">n </w:t>
      </w:r>
      <w:r w:rsidR="007F1964" w:rsidRPr="00D610B7">
        <w:rPr>
          <w:rFonts w:eastAsia="Calibri"/>
          <w:i/>
        </w:rPr>
        <w:t>Brockway</w:t>
      </w:r>
      <w:r w:rsidR="007F1964">
        <w:rPr>
          <w:rFonts w:eastAsia="Calibri"/>
        </w:rPr>
        <w:t xml:space="preserve"> </w:t>
      </w:r>
      <w:r w:rsidR="00D50317">
        <w:rPr>
          <w:rFonts w:eastAsia="Calibri"/>
        </w:rPr>
        <w:t xml:space="preserve">received a two-year suspension for abandoning </w:t>
      </w:r>
      <w:r w:rsidR="0067075A">
        <w:rPr>
          <w:rFonts w:eastAsia="Calibri"/>
        </w:rPr>
        <w:t xml:space="preserve">four </w:t>
      </w:r>
      <w:r w:rsidR="007F1964">
        <w:rPr>
          <w:rFonts w:eastAsia="Calibri"/>
        </w:rPr>
        <w:t>immigration clients</w:t>
      </w:r>
      <w:r w:rsidR="00BE7E90">
        <w:rPr>
          <w:rFonts w:eastAsia="Calibri"/>
        </w:rPr>
        <w:t xml:space="preserve">, </w:t>
      </w:r>
      <w:r w:rsidR="00D50317">
        <w:rPr>
          <w:rFonts w:eastAsia="Calibri"/>
        </w:rPr>
        <w:t xml:space="preserve">but he </w:t>
      </w:r>
      <w:r w:rsidR="00BE7E90">
        <w:rPr>
          <w:rFonts w:eastAsia="Calibri"/>
        </w:rPr>
        <w:t xml:space="preserve">had </w:t>
      </w:r>
      <w:r w:rsidR="00D50317">
        <w:rPr>
          <w:rFonts w:eastAsia="Calibri"/>
        </w:rPr>
        <w:t xml:space="preserve">only </w:t>
      </w:r>
      <w:r w:rsidR="00BE7E90">
        <w:rPr>
          <w:rFonts w:eastAsia="Calibri"/>
        </w:rPr>
        <w:t>one record of discipline</w:t>
      </w:r>
      <w:r w:rsidR="0067075A">
        <w:rPr>
          <w:rFonts w:eastAsia="Calibri"/>
        </w:rPr>
        <w:t xml:space="preserve"> for unrelated misconduct</w:t>
      </w:r>
      <w:r w:rsidR="00BE7E90">
        <w:rPr>
          <w:rFonts w:eastAsia="Calibri"/>
        </w:rPr>
        <w:t>, and</w:t>
      </w:r>
      <w:r w:rsidR="00634B0F">
        <w:rPr>
          <w:rFonts w:eastAsia="Calibri"/>
        </w:rPr>
        <w:t xml:space="preserve"> </w:t>
      </w:r>
      <w:r w:rsidR="00680D8A">
        <w:rPr>
          <w:rFonts w:eastAsia="Calibri"/>
        </w:rPr>
        <w:t xml:space="preserve">he </w:t>
      </w:r>
      <w:r w:rsidR="00634B0F">
        <w:rPr>
          <w:rFonts w:eastAsia="Calibri"/>
        </w:rPr>
        <w:t>paid restitution to his clients</w:t>
      </w:r>
      <w:r w:rsidR="00BE7E90">
        <w:rPr>
          <w:rFonts w:eastAsia="Calibri"/>
        </w:rPr>
        <w:t xml:space="preserve">.  In contrast, Gonzalez </w:t>
      </w:r>
      <w:r w:rsidR="007F1964">
        <w:rPr>
          <w:rFonts w:eastAsia="Calibri"/>
        </w:rPr>
        <w:t>abandoned five clients</w:t>
      </w:r>
      <w:r w:rsidR="004657B7">
        <w:rPr>
          <w:rFonts w:eastAsia="Calibri"/>
        </w:rPr>
        <w:t xml:space="preserve"> and </w:t>
      </w:r>
      <w:r w:rsidR="00454B61">
        <w:rPr>
          <w:rFonts w:eastAsia="Calibri"/>
        </w:rPr>
        <w:t xml:space="preserve">committed </w:t>
      </w:r>
      <w:r w:rsidR="004657B7">
        <w:rPr>
          <w:rFonts w:eastAsia="Calibri"/>
        </w:rPr>
        <w:t xml:space="preserve">other </w:t>
      </w:r>
      <w:r w:rsidR="00454B61">
        <w:rPr>
          <w:rFonts w:eastAsia="Calibri"/>
        </w:rPr>
        <w:t>misconduct</w:t>
      </w:r>
      <w:r w:rsidR="007F1964">
        <w:rPr>
          <w:rFonts w:eastAsia="Calibri"/>
        </w:rPr>
        <w:t xml:space="preserve">, has two prior </w:t>
      </w:r>
      <w:r w:rsidR="004657B7">
        <w:rPr>
          <w:rFonts w:eastAsia="Calibri"/>
        </w:rPr>
        <w:t xml:space="preserve">discipline </w:t>
      </w:r>
      <w:r w:rsidR="007F1964">
        <w:rPr>
          <w:rFonts w:eastAsia="Calibri"/>
        </w:rPr>
        <w:t>records</w:t>
      </w:r>
      <w:r w:rsidR="00454B61">
        <w:rPr>
          <w:rFonts w:eastAsia="Calibri"/>
        </w:rPr>
        <w:t xml:space="preserve"> (one for </w:t>
      </w:r>
      <w:r w:rsidR="004657B7">
        <w:rPr>
          <w:rFonts w:eastAsia="Calibri"/>
        </w:rPr>
        <w:t>similar</w:t>
      </w:r>
      <w:r w:rsidR="006A2551">
        <w:rPr>
          <w:rFonts w:eastAsia="Calibri"/>
        </w:rPr>
        <w:t xml:space="preserve"> </w:t>
      </w:r>
      <w:r w:rsidR="00454B61">
        <w:rPr>
          <w:rFonts w:eastAsia="Calibri"/>
        </w:rPr>
        <w:t>misconduct)</w:t>
      </w:r>
      <w:r w:rsidR="006A2551">
        <w:rPr>
          <w:rFonts w:eastAsia="Calibri"/>
        </w:rPr>
        <w:t>,</w:t>
      </w:r>
      <w:r w:rsidR="0067075A">
        <w:rPr>
          <w:rFonts w:eastAsia="Calibri"/>
        </w:rPr>
        <w:t xml:space="preserve"> and owes </w:t>
      </w:r>
      <w:r w:rsidR="007F1964">
        <w:rPr>
          <w:rFonts w:eastAsia="Calibri"/>
        </w:rPr>
        <w:t xml:space="preserve">$14,400 in </w:t>
      </w:r>
      <w:r w:rsidR="0067075A">
        <w:rPr>
          <w:rFonts w:eastAsia="Calibri"/>
        </w:rPr>
        <w:t>restitution</w:t>
      </w:r>
      <w:r w:rsidR="007F1964">
        <w:rPr>
          <w:rFonts w:eastAsia="Calibri"/>
        </w:rPr>
        <w:t xml:space="preserve">.  </w:t>
      </w:r>
    </w:p>
    <w:p w14:paraId="26B5C8EA" w14:textId="0AD75FED" w:rsidR="00C050CE" w:rsidRDefault="00A32C0A" w:rsidP="00A32C0A">
      <w:pPr>
        <w:spacing w:line="480" w:lineRule="auto"/>
        <w:ind w:right="-144"/>
      </w:pPr>
      <w:r>
        <w:rPr>
          <w:rFonts w:eastAsia="Calibri"/>
        </w:rPr>
        <w:tab/>
      </w:r>
      <w:r w:rsidR="001E6835">
        <w:rPr>
          <w:rFonts w:eastAsia="Calibri"/>
        </w:rPr>
        <w:t xml:space="preserve">We find </w:t>
      </w:r>
      <w:r w:rsidR="0014349E">
        <w:rPr>
          <w:rFonts w:eastAsia="Calibri"/>
        </w:rPr>
        <w:t xml:space="preserve">that </w:t>
      </w:r>
      <w:r w:rsidR="001E6835">
        <w:rPr>
          <w:rFonts w:eastAsia="Calibri"/>
        </w:rPr>
        <w:t>standard</w:t>
      </w:r>
      <w:r w:rsidR="0065430D">
        <w:rPr>
          <w:rFonts w:eastAsia="Calibri"/>
        </w:rPr>
        <w:t> </w:t>
      </w:r>
      <w:r w:rsidR="001E6835">
        <w:rPr>
          <w:rFonts w:eastAsia="Calibri"/>
        </w:rPr>
        <w:t>1.8(b)</w:t>
      </w:r>
      <w:r w:rsidR="0014349E">
        <w:rPr>
          <w:rFonts w:eastAsia="Calibri"/>
        </w:rPr>
        <w:t>, and no</w:t>
      </w:r>
      <w:r w:rsidR="00FA3F2E">
        <w:rPr>
          <w:rFonts w:eastAsia="Calibri"/>
        </w:rPr>
        <w:t xml:space="preserve">t </w:t>
      </w:r>
      <w:r w:rsidR="0014349E">
        <w:rPr>
          <w:rFonts w:eastAsia="Calibri"/>
          <w:i/>
        </w:rPr>
        <w:t>In re Brockway</w:t>
      </w:r>
      <w:r w:rsidR="0014349E">
        <w:rPr>
          <w:rFonts w:eastAsia="Calibri"/>
        </w:rPr>
        <w:t>,</w:t>
      </w:r>
      <w:r w:rsidR="001E6835">
        <w:rPr>
          <w:rFonts w:eastAsia="Calibri"/>
        </w:rPr>
        <w:t xml:space="preserve"> </w:t>
      </w:r>
      <w:r>
        <w:rPr>
          <w:rFonts w:eastAsia="Calibri"/>
        </w:rPr>
        <w:t xml:space="preserve">guides our analysis.  </w:t>
      </w:r>
      <w:r w:rsidR="005612F5">
        <w:rPr>
          <w:rFonts w:eastAsia="Calibri"/>
        </w:rPr>
        <w:t xml:space="preserve">If, like the hearing judge, </w:t>
      </w:r>
      <w:r w:rsidR="00DB3630" w:rsidRPr="00E20ABC">
        <w:rPr>
          <w:rFonts w:eastAsia="Calibri"/>
        </w:rPr>
        <w:t xml:space="preserve">we </w:t>
      </w:r>
      <w:r w:rsidR="000D7143">
        <w:rPr>
          <w:rFonts w:eastAsia="Calibri"/>
        </w:rPr>
        <w:t xml:space="preserve">were to </w:t>
      </w:r>
      <w:r w:rsidR="00DB3630" w:rsidRPr="00E20ABC">
        <w:rPr>
          <w:rFonts w:eastAsia="Calibri"/>
        </w:rPr>
        <w:t xml:space="preserve">deviate from the presumptive discipline of disbarment, we must </w:t>
      </w:r>
      <w:r w:rsidR="006D6009">
        <w:rPr>
          <w:rFonts w:eastAsia="Calibri"/>
        </w:rPr>
        <w:t xml:space="preserve">clearly </w:t>
      </w:r>
      <w:r w:rsidR="00DB3630" w:rsidRPr="00E20ABC">
        <w:rPr>
          <w:rFonts w:eastAsia="Calibri"/>
        </w:rPr>
        <w:t>articulate</w:t>
      </w:r>
      <w:r w:rsidR="006D6009">
        <w:t xml:space="preserve"> reasons for doing so.</w:t>
      </w:r>
      <w:r w:rsidR="006D6009" w:rsidRPr="00993FDD">
        <w:t xml:space="preserve">  (</w:t>
      </w:r>
      <w:r w:rsidR="006D6009" w:rsidRPr="00993FDD">
        <w:rPr>
          <w:i/>
        </w:rPr>
        <w:t>Aronin v. State Bar</w:t>
      </w:r>
      <w:r w:rsidR="006D6009" w:rsidRPr="00993FDD">
        <w:t xml:space="preserve"> (1990) 52 Cal.3d 276, 291</w:t>
      </w:r>
      <w:r w:rsidR="006D6009">
        <w:t xml:space="preserve">; </w:t>
      </w:r>
      <w:r w:rsidR="006D6009" w:rsidRPr="00993FDD">
        <w:rPr>
          <w:i/>
        </w:rPr>
        <w:t>Blair</w:t>
      </w:r>
      <w:r w:rsidR="006D6009" w:rsidRPr="00993FDD">
        <w:t xml:space="preserve"> </w:t>
      </w:r>
      <w:r w:rsidR="006D6009" w:rsidRPr="00E42E7B">
        <w:rPr>
          <w:i/>
        </w:rPr>
        <w:t>v.</w:t>
      </w:r>
      <w:r w:rsidR="006D6009" w:rsidRPr="00993FDD">
        <w:rPr>
          <w:i/>
        </w:rPr>
        <w:t xml:space="preserve"> State Bar</w:t>
      </w:r>
      <w:r w:rsidR="006D6009" w:rsidRPr="00993FDD">
        <w:t xml:space="preserve"> (1989) 49 Cal.3d 762, 776, fn. 5</w:t>
      </w:r>
      <w:r w:rsidR="006D6009">
        <w:t>; std.</w:t>
      </w:r>
      <w:r w:rsidR="00864774">
        <w:t> </w:t>
      </w:r>
      <w:r w:rsidR="006D6009">
        <w:t xml:space="preserve">1.1 [standards afforded great weight and should be followed whenever possible].)  </w:t>
      </w:r>
      <w:r w:rsidR="00057FD4">
        <w:t>We find none</w:t>
      </w:r>
      <w:r w:rsidR="000808B4">
        <w:t>,</w:t>
      </w:r>
      <w:r w:rsidR="00C050CE">
        <w:t xml:space="preserve"> and </w:t>
      </w:r>
      <w:r>
        <w:t>Gonzalez fail</w:t>
      </w:r>
      <w:r w:rsidR="0014349E">
        <w:t>ed</w:t>
      </w:r>
      <w:r>
        <w:t xml:space="preserve"> to present any in his </w:t>
      </w:r>
      <w:r w:rsidR="00C050CE">
        <w:t>responsive brief</w:t>
      </w:r>
      <w:r>
        <w:t xml:space="preserve">.  </w:t>
      </w:r>
    </w:p>
    <w:p w14:paraId="1EC92DE4" w14:textId="0387BE2D" w:rsidR="006A0C0F" w:rsidRDefault="00842422" w:rsidP="00C050CE">
      <w:pPr>
        <w:spacing w:line="480" w:lineRule="auto"/>
        <w:rPr>
          <w:rFonts w:eastAsia="Calibri"/>
        </w:rPr>
      </w:pPr>
      <w:r w:rsidRPr="00842422">
        <w:rPr>
          <w:rFonts w:eastAsia="Calibri"/>
          <w:szCs w:val="22"/>
        </w:rPr>
        <w:tab/>
      </w:r>
      <w:r w:rsidR="005C28BC">
        <w:rPr>
          <w:rFonts w:eastAsia="Calibri"/>
          <w:szCs w:val="22"/>
        </w:rPr>
        <w:t>Just</w:t>
      </w:r>
      <w:r w:rsidR="00F2057A">
        <w:rPr>
          <w:rFonts w:eastAsia="Calibri"/>
          <w:szCs w:val="22"/>
        </w:rPr>
        <w:t xml:space="preserve"> years after his admission to the Bar</w:t>
      </w:r>
      <w:r w:rsidR="0014349E">
        <w:rPr>
          <w:rFonts w:eastAsia="Calibri"/>
          <w:szCs w:val="22"/>
        </w:rPr>
        <w:t xml:space="preserve"> in 2002</w:t>
      </w:r>
      <w:r w:rsidR="00F2057A">
        <w:rPr>
          <w:rFonts w:eastAsia="Calibri"/>
          <w:szCs w:val="22"/>
        </w:rPr>
        <w:t xml:space="preserve">, </w:t>
      </w:r>
      <w:r w:rsidR="00E82039">
        <w:rPr>
          <w:rFonts w:eastAsia="Calibri"/>
          <w:szCs w:val="22"/>
        </w:rPr>
        <w:t>Gonzalez</w:t>
      </w:r>
      <w:r w:rsidR="00E82039">
        <w:t xml:space="preserve"> </w:t>
      </w:r>
      <w:r w:rsidR="00F2057A">
        <w:t>violat</w:t>
      </w:r>
      <w:r w:rsidR="0014349E">
        <w:t>ed</w:t>
      </w:r>
      <w:r w:rsidR="00F2057A">
        <w:t xml:space="preserve"> </w:t>
      </w:r>
      <w:r w:rsidR="00E82039">
        <w:t xml:space="preserve">his ethical duties to clients and </w:t>
      </w:r>
      <w:r w:rsidR="000808B4">
        <w:t xml:space="preserve">to </w:t>
      </w:r>
      <w:r w:rsidR="00E82039">
        <w:t xml:space="preserve">the State Bar, and violated orders of the Supreme Court and the State Bar Court.  </w:t>
      </w:r>
      <w:r w:rsidR="005C28BC">
        <w:t>He victimized vulnerable clients after being disciplined for doing</w:t>
      </w:r>
      <w:r w:rsidR="0065430D">
        <w:t xml:space="preserve"> so</w:t>
      </w:r>
      <w:r w:rsidR="005C28BC">
        <w:t>, and has already violated terms of a disciplinary probation.  We find that f</w:t>
      </w:r>
      <w:r w:rsidR="009B6DC5">
        <w:rPr>
          <w:rFonts w:eastAsia="Calibri"/>
        </w:rPr>
        <w:t>urther</w:t>
      </w:r>
      <w:r w:rsidR="006A0C0F" w:rsidRPr="00E20ABC">
        <w:rPr>
          <w:rFonts w:eastAsia="Calibri"/>
        </w:rPr>
        <w:t xml:space="preserve"> suspension </w:t>
      </w:r>
      <w:r w:rsidR="00F6746C">
        <w:rPr>
          <w:rFonts w:eastAsia="Calibri"/>
        </w:rPr>
        <w:t xml:space="preserve">and probation </w:t>
      </w:r>
      <w:r w:rsidR="00684206">
        <w:rPr>
          <w:rFonts w:eastAsia="Calibri"/>
        </w:rPr>
        <w:t xml:space="preserve">will not </w:t>
      </w:r>
      <w:r w:rsidR="006A0C0F" w:rsidRPr="00E20ABC">
        <w:rPr>
          <w:rFonts w:eastAsia="Calibri"/>
        </w:rPr>
        <w:t xml:space="preserve">prevent </w:t>
      </w:r>
      <w:r w:rsidR="006A0C0F">
        <w:rPr>
          <w:rFonts w:eastAsia="Calibri"/>
        </w:rPr>
        <w:t>him</w:t>
      </w:r>
      <w:r w:rsidR="006A0C0F" w:rsidRPr="00E20ABC">
        <w:rPr>
          <w:rFonts w:eastAsia="Calibri"/>
        </w:rPr>
        <w:t xml:space="preserve"> from committing future misconduct that would endanger the profession</w:t>
      </w:r>
      <w:r w:rsidR="000D7143">
        <w:rPr>
          <w:rFonts w:eastAsia="Calibri"/>
        </w:rPr>
        <w:t xml:space="preserve"> and, particularly, the public</w:t>
      </w:r>
      <w:r w:rsidR="009B6DC5">
        <w:rPr>
          <w:rFonts w:eastAsia="Calibri"/>
        </w:rPr>
        <w:t>.  (</w:t>
      </w:r>
      <w:r w:rsidR="006A0C0F" w:rsidRPr="00E20ABC">
        <w:rPr>
          <w:rFonts w:eastAsia="Calibri"/>
          <w:i/>
        </w:rPr>
        <w:t>In the Matter of Marsh</w:t>
      </w:r>
      <w:r w:rsidR="006A0C0F" w:rsidRPr="00E20ABC">
        <w:rPr>
          <w:rFonts w:eastAsia="Calibri"/>
        </w:rPr>
        <w:t xml:space="preserve"> (Review Dept. 1990) 1 Cal. State Bar Ct. Rptr. 291, 300 [“respondent should not be admitted to disciplinary probation where there is clear evidence that he or she will not comply with its conditions”].)</w:t>
      </w:r>
      <w:r w:rsidR="00684206">
        <w:rPr>
          <w:rStyle w:val="FootnoteReference"/>
          <w:rFonts w:eastAsia="Calibri"/>
        </w:rPr>
        <w:footnoteReference w:id="16"/>
      </w:r>
      <w:r w:rsidR="006A0C0F" w:rsidRPr="00E20ABC">
        <w:rPr>
          <w:rFonts w:eastAsia="Calibri"/>
        </w:rPr>
        <w:t xml:space="preserve"> </w:t>
      </w:r>
      <w:r w:rsidR="003C01B1">
        <w:rPr>
          <w:rFonts w:eastAsia="Calibri"/>
        </w:rPr>
        <w:t xml:space="preserve"> </w:t>
      </w:r>
      <w:r w:rsidR="00F2057A">
        <w:rPr>
          <w:rFonts w:eastAsia="Calibri"/>
        </w:rPr>
        <w:t xml:space="preserve">A </w:t>
      </w:r>
      <w:r w:rsidR="00D127EF" w:rsidRPr="00842422">
        <w:rPr>
          <w:rFonts w:eastAsia="Calibri"/>
        </w:rPr>
        <w:t xml:space="preserve">full reinstatement proceeding after </w:t>
      </w:r>
      <w:r w:rsidR="00D127EF">
        <w:rPr>
          <w:rFonts w:eastAsia="Calibri"/>
        </w:rPr>
        <w:lastRenderedPageBreak/>
        <w:t>Gonzalez</w:t>
      </w:r>
      <w:r w:rsidR="00D127EF" w:rsidRPr="00842422">
        <w:rPr>
          <w:rFonts w:eastAsia="Calibri"/>
        </w:rPr>
        <w:t xml:space="preserve"> is disbarred is the only measure that will serve the goals of attorney discipline</w:t>
      </w:r>
      <w:r w:rsidR="00D127EF">
        <w:rPr>
          <w:rFonts w:eastAsia="Calibri"/>
        </w:rPr>
        <w:t xml:space="preserve"> and ensure </w:t>
      </w:r>
      <w:r w:rsidR="00D127EF" w:rsidRPr="00842422">
        <w:rPr>
          <w:rFonts w:eastAsia="Calibri"/>
        </w:rPr>
        <w:t>protection of the public, the profession, and the administration of justice</w:t>
      </w:r>
      <w:r w:rsidR="00D127EF">
        <w:rPr>
          <w:rFonts w:eastAsia="Calibri"/>
        </w:rPr>
        <w:t xml:space="preserve">.  </w:t>
      </w:r>
      <w:r w:rsidR="00F2057A">
        <w:rPr>
          <w:rFonts w:eastAsia="Calibri"/>
        </w:rPr>
        <w:t>The relevant</w:t>
      </w:r>
      <w:r w:rsidR="006A0C0F" w:rsidRPr="00E20ABC">
        <w:rPr>
          <w:rFonts w:eastAsia="Calibri"/>
        </w:rPr>
        <w:t xml:space="preserve"> decisional law </w:t>
      </w:r>
      <w:r w:rsidR="00F2057A">
        <w:rPr>
          <w:rFonts w:eastAsia="Calibri"/>
        </w:rPr>
        <w:t xml:space="preserve">also </w:t>
      </w:r>
      <w:r w:rsidR="006A0C0F" w:rsidRPr="00E20ABC">
        <w:rPr>
          <w:rFonts w:eastAsia="Calibri"/>
        </w:rPr>
        <w:t>support</w:t>
      </w:r>
      <w:r w:rsidR="00F2057A">
        <w:rPr>
          <w:rFonts w:eastAsia="Calibri"/>
        </w:rPr>
        <w:t>s</w:t>
      </w:r>
      <w:r w:rsidR="006A0C0F" w:rsidRPr="00E20ABC">
        <w:rPr>
          <w:rFonts w:eastAsia="Calibri"/>
        </w:rPr>
        <w:t xml:space="preserve"> our </w:t>
      </w:r>
      <w:r w:rsidR="00F6746C">
        <w:rPr>
          <w:rFonts w:eastAsia="Calibri"/>
        </w:rPr>
        <w:t xml:space="preserve">disbarment </w:t>
      </w:r>
      <w:r w:rsidR="003C01B1">
        <w:rPr>
          <w:rFonts w:eastAsia="Calibri"/>
        </w:rPr>
        <w:t>recommendation</w:t>
      </w:r>
      <w:r w:rsidR="00684206">
        <w:rPr>
          <w:rFonts w:eastAsia="Calibri"/>
        </w:rPr>
        <w:t>,</w:t>
      </w:r>
      <w:r w:rsidR="003F1B69" w:rsidRPr="00E20ABC">
        <w:rPr>
          <w:rFonts w:eastAsia="Calibri"/>
          <w:vertAlign w:val="superscript"/>
        </w:rPr>
        <w:footnoteReference w:id="17"/>
      </w:r>
      <w:r w:rsidR="00684206">
        <w:rPr>
          <w:rFonts w:eastAsia="Calibri"/>
        </w:rPr>
        <w:t xml:space="preserve"> which makes moot </w:t>
      </w:r>
      <w:r w:rsidR="008E1233">
        <w:rPr>
          <w:rFonts w:eastAsia="Calibri"/>
        </w:rPr>
        <w:t>Gonzalez’s request on review that he not remain suspended until he pays restitution.</w:t>
      </w:r>
      <w:r w:rsidR="00684206">
        <w:rPr>
          <w:rFonts w:eastAsia="Calibri"/>
        </w:rPr>
        <w:t xml:space="preserve"> </w:t>
      </w:r>
      <w:r w:rsidR="008E1233">
        <w:rPr>
          <w:rFonts w:eastAsia="Calibri"/>
        </w:rPr>
        <w:t xml:space="preserve"> </w:t>
      </w:r>
    </w:p>
    <w:p w14:paraId="251DA105" w14:textId="6D82722B" w:rsidR="00E20ABC" w:rsidRPr="00E20ABC" w:rsidRDefault="001A05C1" w:rsidP="001A05C1">
      <w:pPr>
        <w:spacing w:line="480" w:lineRule="auto"/>
        <w:jc w:val="center"/>
        <w:rPr>
          <w:rFonts w:eastAsia="Calibri"/>
        </w:rPr>
      </w:pPr>
      <w:r>
        <w:rPr>
          <w:rFonts w:eastAsia="Calibri"/>
          <w:b/>
        </w:rPr>
        <w:t>V</w:t>
      </w:r>
      <w:r w:rsidR="00E20ABC" w:rsidRPr="00E20ABC">
        <w:rPr>
          <w:rFonts w:eastAsia="Calibri"/>
          <w:b/>
        </w:rPr>
        <w:t>.  RECOMMENDATION</w:t>
      </w:r>
    </w:p>
    <w:p w14:paraId="7CB715D4" w14:textId="6CFC6B78" w:rsidR="00E20ABC" w:rsidRPr="00E20ABC" w:rsidRDefault="00E20ABC" w:rsidP="00E20ABC">
      <w:pPr>
        <w:tabs>
          <w:tab w:val="left" w:pos="720"/>
        </w:tabs>
        <w:spacing w:line="480" w:lineRule="auto"/>
        <w:rPr>
          <w:rFonts w:eastAsia="Calibri"/>
        </w:rPr>
      </w:pPr>
      <w:r w:rsidRPr="00E20ABC">
        <w:rPr>
          <w:rFonts w:eastAsia="Calibri"/>
        </w:rPr>
        <w:tab/>
        <w:t xml:space="preserve">We recommend that </w:t>
      </w:r>
      <w:r w:rsidR="00D90C91">
        <w:rPr>
          <w:rFonts w:eastAsia="Calibri"/>
        </w:rPr>
        <w:t>Manuel Angel Gonzalez</w:t>
      </w:r>
      <w:r w:rsidRPr="00E20ABC">
        <w:rPr>
          <w:rFonts w:eastAsia="Calibri"/>
        </w:rPr>
        <w:t xml:space="preserve"> be disbarred from the practice of law and that </w:t>
      </w:r>
      <w:r w:rsidR="00D90C91">
        <w:rPr>
          <w:rFonts w:eastAsia="Calibri"/>
        </w:rPr>
        <w:t>his</w:t>
      </w:r>
      <w:r w:rsidRPr="00E20ABC">
        <w:rPr>
          <w:rFonts w:eastAsia="Calibri"/>
        </w:rPr>
        <w:t xml:space="preserve"> name be stricken from the roll of attorneys admitted in California.</w:t>
      </w:r>
    </w:p>
    <w:p w14:paraId="16CD5E21" w14:textId="11F7AC97" w:rsidR="00E20ABC" w:rsidRPr="00E20ABC" w:rsidRDefault="00E20ABC" w:rsidP="00E20ABC">
      <w:pPr>
        <w:tabs>
          <w:tab w:val="left" w:pos="720"/>
        </w:tabs>
        <w:spacing w:line="480" w:lineRule="auto"/>
        <w:rPr>
          <w:rFonts w:eastAsia="Calibri"/>
        </w:rPr>
      </w:pPr>
      <w:r w:rsidRPr="00E20ABC">
        <w:rPr>
          <w:rFonts w:eastAsia="Calibri"/>
        </w:rPr>
        <w:tab/>
        <w:t xml:space="preserve">We </w:t>
      </w:r>
      <w:r w:rsidR="004928A0">
        <w:rPr>
          <w:rFonts w:eastAsia="Calibri"/>
        </w:rPr>
        <w:t>further</w:t>
      </w:r>
      <w:r w:rsidRPr="00E20ABC">
        <w:rPr>
          <w:rFonts w:eastAsia="Calibri"/>
        </w:rPr>
        <w:t xml:space="preserve"> recommend that he comply with rule</w:t>
      </w:r>
      <w:r w:rsidR="00864774">
        <w:rPr>
          <w:rFonts w:eastAsia="Calibri"/>
        </w:rPr>
        <w:t> </w:t>
      </w:r>
      <w:r w:rsidRPr="00E20ABC">
        <w:rPr>
          <w:rFonts w:eastAsia="Calibri"/>
        </w:rPr>
        <w:t>9.20 of the California Rules of Court and perform the acts specified in subdivisions (a) and (c) of that rule, within 30 and 40 days, respectively, after the effective date of the Supreme Court order in this matter.</w:t>
      </w:r>
    </w:p>
    <w:p w14:paraId="5FA0D20E" w14:textId="01B05DD6" w:rsidR="00E20ABC" w:rsidRDefault="00E20ABC" w:rsidP="00E20ABC">
      <w:pPr>
        <w:tabs>
          <w:tab w:val="left" w:pos="720"/>
        </w:tabs>
        <w:spacing w:line="480" w:lineRule="auto"/>
        <w:rPr>
          <w:rFonts w:eastAsia="Calibri"/>
        </w:rPr>
      </w:pPr>
      <w:r w:rsidRPr="00E20ABC">
        <w:rPr>
          <w:rFonts w:eastAsia="Calibri"/>
        </w:rPr>
        <w:tab/>
      </w:r>
      <w:r w:rsidR="00116720">
        <w:rPr>
          <w:rFonts w:eastAsia="Calibri"/>
        </w:rPr>
        <w:t>We</w:t>
      </w:r>
      <w:r w:rsidRPr="00E20ABC">
        <w:rPr>
          <w:rFonts w:eastAsia="Calibri"/>
        </w:rPr>
        <w:t xml:space="preserve"> </w:t>
      </w:r>
      <w:r w:rsidR="004928A0">
        <w:rPr>
          <w:rFonts w:eastAsia="Calibri"/>
        </w:rPr>
        <w:t xml:space="preserve">further </w:t>
      </w:r>
      <w:r w:rsidRPr="00E20ABC">
        <w:rPr>
          <w:rFonts w:eastAsia="Calibri"/>
        </w:rPr>
        <w:t>recommend that costs be awarded to the State Bar in accordance with section</w:t>
      </w:r>
      <w:r w:rsidR="00864774">
        <w:rPr>
          <w:rFonts w:eastAsia="Calibri"/>
        </w:rPr>
        <w:t> </w:t>
      </w:r>
      <w:r w:rsidRPr="00E20ABC">
        <w:rPr>
          <w:rFonts w:eastAsia="Calibri"/>
        </w:rPr>
        <w:t>6086.10, such costs being enforceable as provided in section</w:t>
      </w:r>
      <w:r w:rsidR="00864774">
        <w:rPr>
          <w:rFonts w:eastAsia="Calibri"/>
        </w:rPr>
        <w:t> </w:t>
      </w:r>
      <w:r w:rsidRPr="00E20ABC">
        <w:rPr>
          <w:rFonts w:eastAsia="Calibri"/>
        </w:rPr>
        <w:t>6140.7 and as a money judgment.</w:t>
      </w:r>
    </w:p>
    <w:p w14:paraId="6694774E" w14:textId="41134718" w:rsidR="005832DC" w:rsidRDefault="00EB1597" w:rsidP="005832DC">
      <w:pPr>
        <w:tabs>
          <w:tab w:val="left" w:pos="720"/>
        </w:tabs>
        <w:spacing w:line="480" w:lineRule="auto"/>
        <w:rPr>
          <w:rFonts w:eastAsia="Calibri"/>
        </w:rPr>
      </w:pPr>
      <w:r>
        <w:rPr>
          <w:rFonts w:eastAsia="Calibri"/>
        </w:rPr>
        <w:tab/>
        <w:t xml:space="preserve">We </w:t>
      </w:r>
      <w:r w:rsidR="004928A0">
        <w:rPr>
          <w:rFonts w:eastAsia="Calibri"/>
        </w:rPr>
        <w:t xml:space="preserve">further </w:t>
      </w:r>
      <w:r>
        <w:rPr>
          <w:rFonts w:eastAsia="Calibri"/>
        </w:rPr>
        <w:t>recommend that Gonzalez be required to make restitution to (1) Concepcion Castillo in the amount of $6,000 plus 10</w:t>
      </w:r>
      <w:r w:rsidR="00EC7AAD">
        <w:rPr>
          <w:rFonts w:eastAsia="Calibri"/>
        </w:rPr>
        <w:t> </w:t>
      </w:r>
      <w:r>
        <w:rPr>
          <w:rFonts w:eastAsia="Calibri"/>
        </w:rPr>
        <w:t>percent interest per year from November</w:t>
      </w:r>
      <w:r w:rsidR="00E331AE">
        <w:rPr>
          <w:rFonts w:eastAsia="Calibri"/>
        </w:rPr>
        <w:t> </w:t>
      </w:r>
      <w:r>
        <w:rPr>
          <w:rFonts w:eastAsia="Calibri"/>
        </w:rPr>
        <w:t>29, 2011, (2)</w:t>
      </w:r>
      <w:r w:rsidR="00E331AE">
        <w:rPr>
          <w:rFonts w:eastAsia="Calibri"/>
        </w:rPr>
        <w:t> </w:t>
      </w:r>
      <w:r>
        <w:rPr>
          <w:rFonts w:eastAsia="Calibri"/>
        </w:rPr>
        <w:t>Robert Garcia in the amount of $2,000 plus 10</w:t>
      </w:r>
      <w:r w:rsidR="00EC7AAD">
        <w:rPr>
          <w:rFonts w:eastAsia="Calibri"/>
        </w:rPr>
        <w:t> </w:t>
      </w:r>
      <w:r>
        <w:rPr>
          <w:rFonts w:eastAsia="Calibri"/>
        </w:rPr>
        <w:t>percent interest per year from January</w:t>
      </w:r>
      <w:r w:rsidR="00E331AE">
        <w:rPr>
          <w:rFonts w:eastAsia="Calibri"/>
        </w:rPr>
        <w:t> </w:t>
      </w:r>
      <w:r>
        <w:rPr>
          <w:rFonts w:eastAsia="Calibri"/>
        </w:rPr>
        <w:t>30, 2012, (3)</w:t>
      </w:r>
      <w:r w:rsidR="00E331AE">
        <w:rPr>
          <w:rFonts w:eastAsia="Calibri"/>
        </w:rPr>
        <w:t> </w:t>
      </w:r>
      <w:r>
        <w:rPr>
          <w:rFonts w:eastAsia="Calibri"/>
        </w:rPr>
        <w:t>Margarita Jordan-</w:t>
      </w:r>
      <w:r w:rsidR="004928A0">
        <w:rPr>
          <w:rFonts w:eastAsia="Calibri"/>
        </w:rPr>
        <w:t>B</w:t>
      </w:r>
      <w:r>
        <w:rPr>
          <w:rFonts w:eastAsia="Calibri"/>
        </w:rPr>
        <w:t>orceguin in the amount of $4,000 plus 10</w:t>
      </w:r>
      <w:r w:rsidR="00EC7AAD">
        <w:rPr>
          <w:rFonts w:eastAsia="Calibri"/>
        </w:rPr>
        <w:t> </w:t>
      </w:r>
      <w:r w:rsidR="004928A0">
        <w:rPr>
          <w:rFonts w:eastAsia="Calibri"/>
        </w:rPr>
        <w:t xml:space="preserve">percent interest per year </w:t>
      </w:r>
      <w:r w:rsidR="004928A0">
        <w:rPr>
          <w:rFonts w:eastAsia="Calibri"/>
        </w:rPr>
        <w:lastRenderedPageBreak/>
        <w:t>from May</w:t>
      </w:r>
      <w:r w:rsidR="00E331AE">
        <w:rPr>
          <w:rFonts w:eastAsia="Calibri"/>
        </w:rPr>
        <w:t> </w:t>
      </w:r>
      <w:r w:rsidR="004928A0">
        <w:rPr>
          <w:rFonts w:eastAsia="Calibri"/>
        </w:rPr>
        <w:t>9, 2011, and (4)</w:t>
      </w:r>
      <w:r w:rsidR="00E331AE">
        <w:rPr>
          <w:rFonts w:eastAsia="Calibri"/>
        </w:rPr>
        <w:t> </w:t>
      </w:r>
      <w:r w:rsidR="004928A0">
        <w:rPr>
          <w:rFonts w:eastAsia="Calibri"/>
        </w:rPr>
        <w:t>Catalina Aquino Sebastian in the amount of $2,400 plus 10</w:t>
      </w:r>
      <w:r w:rsidR="00572DCA">
        <w:rPr>
          <w:rFonts w:eastAsia="Calibri"/>
        </w:rPr>
        <w:t> </w:t>
      </w:r>
      <w:r w:rsidR="004928A0">
        <w:rPr>
          <w:rFonts w:eastAsia="Calibri"/>
        </w:rPr>
        <w:t>percent interest per year from June</w:t>
      </w:r>
      <w:r w:rsidR="00E331AE">
        <w:rPr>
          <w:rFonts w:eastAsia="Calibri"/>
        </w:rPr>
        <w:t> </w:t>
      </w:r>
      <w:r w:rsidR="004928A0">
        <w:rPr>
          <w:rFonts w:eastAsia="Calibri"/>
        </w:rPr>
        <w:t>17, 2010.</w:t>
      </w:r>
    </w:p>
    <w:p w14:paraId="08DD2A64" w14:textId="74742A93" w:rsidR="005832DC" w:rsidRDefault="005832DC" w:rsidP="005832DC">
      <w:pPr>
        <w:tabs>
          <w:tab w:val="left" w:pos="720"/>
        </w:tabs>
        <w:spacing w:line="480" w:lineRule="auto"/>
        <w:rPr>
          <w:rFonts w:eastAsia="Calibri"/>
        </w:rPr>
      </w:pPr>
      <w:r>
        <w:tab/>
        <w:t xml:space="preserve">Like the hearing judge, we do not recommend restitution in the Rivera case.  The record demonstrates that Gonzalez spent 50-60 hours working on the case, and OCTC did not prove by clear and convincing evidence that there were </w:t>
      </w:r>
      <w:r w:rsidR="00F7095E">
        <w:t xml:space="preserve">outstanding </w:t>
      </w:r>
      <w:r>
        <w:t>unearned fees that Gonzalez failed</w:t>
      </w:r>
      <w:r w:rsidR="00572DCA">
        <w:t xml:space="preserve"> to</w:t>
      </w:r>
      <w:r>
        <w:t xml:space="preserve"> refund</w:t>
      </w:r>
      <w:r w:rsidR="00FA3F2E">
        <w:t>.  (</w:t>
      </w:r>
      <w:r w:rsidR="00E82E99">
        <w:t xml:space="preserve">Count five in Rivera’s case, </w:t>
      </w:r>
      <w:r>
        <w:t xml:space="preserve">failure to refund </w:t>
      </w:r>
      <w:r w:rsidR="007F19EE">
        <w:t xml:space="preserve">unearned </w:t>
      </w:r>
      <w:r>
        <w:t>fees, was dismissed</w:t>
      </w:r>
      <w:r w:rsidR="007F19EE">
        <w:t xml:space="preserve"> with prejudice</w:t>
      </w:r>
      <w:r w:rsidR="00FA3F2E">
        <w:t>.</w:t>
      </w:r>
      <w:r>
        <w:t>)</w:t>
      </w:r>
    </w:p>
    <w:p w14:paraId="73547F2F" w14:textId="68B1D249" w:rsidR="00116720" w:rsidRPr="00116720" w:rsidRDefault="001A05C1" w:rsidP="005832DC">
      <w:pPr>
        <w:tabs>
          <w:tab w:val="left" w:pos="720"/>
        </w:tabs>
        <w:spacing w:line="480" w:lineRule="auto"/>
        <w:jc w:val="center"/>
        <w:rPr>
          <w:rFonts w:eastAsia="Calibri"/>
        </w:rPr>
      </w:pPr>
      <w:r>
        <w:rPr>
          <w:rFonts w:eastAsia="Calibri"/>
          <w:b/>
        </w:rPr>
        <w:t>VI</w:t>
      </w:r>
      <w:r w:rsidR="00116720" w:rsidRPr="00116720">
        <w:rPr>
          <w:rFonts w:eastAsia="Calibri"/>
          <w:b/>
        </w:rPr>
        <w:t>.  ORDER</w:t>
      </w:r>
      <w:r w:rsidR="00116720" w:rsidRPr="00116720">
        <w:rPr>
          <w:b/>
        </w:rPr>
        <w:t xml:space="preserve"> OF INACTIVE ENROLLMENT</w:t>
      </w:r>
    </w:p>
    <w:p w14:paraId="0BA030FA" w14:textId="58F19B8E" w:rsidR="00116720" w:rsidRPr="00116720" w:rsidRDefault="00116720" w:rsidP="00116720">
      <w:pPr>
        <w:spacing w:line="480" w:lineRule="auto"/>
        <w:rPr>
          <w:rFonts w:eastAsia="Calibri"/>
          <w:szCs w:val="22"/>
        </w:rPr>
      </w:pPr>
      <w:r w:rsidRPr="00116720">
        <w:rPr>
          <w:rFonts w:eastAsia="Calibri"/>
        </w:rPr>
        <w:tab/>
      </w:r>
      <w:r w:rsidRPr="00116720">
        <w:rPr>
          <w:rFonts w:eastAsia="Calibri"/>
          <w:szCs w:val="22"/>
        </w:rPr>
        <w:t>Pursuant to section 6007, subdivision</w:t>
      </w:r>
      <w:r w:rsidR="00864774">
        <w:rPr>
          <w:rFonts w:eastAsia="Calibri"/>
          <w:szCs w:val="22"/>
        </w:rPr>
        <w:t> </w:t>
      </w:r>
      <w:r w:rsidRPr="00116720">
        <w:rPr>
          <w:rFonts w:eastAsia="Calibri"/>
          <w:szCs w:val="22"/>
        </w:rPr>
        <w:t xml:space="preserve">(c)(4), and rule 5.111(D)(1) of the Rules of Procedure of the State Bar, </w:t>
      </w:r>
      <w:r>
        <w:rPr>
          <w:rFonts w:eastAsia="Calibri"/>
          <w:szCs w:val="22"/>
        </w:rPr>
        <w:t>Manu</w:t>
      </w:r>
      <w:r w:rsidR="00033190">
        <w:rPr>
          <w:rFonts w:eastAsia="Calibri"/>
          <w:szCs w:val="22"/>
        </w:rPr>
        <w:t>e</w:t>
      </w:r>
      <w:r>
        <w:rPr>
          <w:rFonts w:eastAsia="Calibri"/>
          <w:szCs w:val="22"/>
        </w:rPr>
        <w:t>l Angel Gonzalez</w:t>
      </w:r>
      <w:r w:rsidRPr="00116720">
        <w:rPr>
          <w:rFonts w:eastAsia="Calibri"/>
          <w:szCs w:val="22"/>
        </w:rPr>
        <w:t xml:space="preserve"> is ordered enrolled inactive.  The order of inactive enrollment is effective three days after service of this opinion.  (Rules Proc. of State Bar, rule 5.111(D)(1).)</w:t>
      </w:r>
    </w:p>
    <w:p w14:paraId="62D04573" w14:textId="585C265E" w:rsidR="001E1A7E" w:rsidRDefault="008546CD" w:rsidP="00D273F5">
      <w:pPr>
        <w:spacing w:line="480" w:lineRule="auto"/>
        <w:ind w:firstLine="720"/>
        <w:rPr>
          <w:iCs/>
        </w:rPr>
      </w:pPr>
      <w:r>
        <w:rPr>
          <w:iCs/>
        </w:rPr>
        <w:tab/>
      </w:r>
      <w:r>
        <w:rPr>
          <w:iCs/>
        </w:rPr>
        <w:tab/>
      </w:r>
      <w:r>
        <w:rPr>
          <w:iCs/>
        </w:rPr>
        <w:tab/>
      </w:r>
      <w:r>
        <w:rPr>
          <w:iCs/>
        </w:rPr>
        <w:tab/>
      </w:r>
      <w:r>
        <w:rPr>
          <w:iCs/>
        </w:rPr>
        <w:tab/>
        <w:t>PURCELL, P. J.</w:t>
      </w:r>
    </w:p>
    <w:p w14:paraId="7DF26D68" w14:textId="219A0D18" w:rsidR="008546CD" w:rsidRDefault="008546CD" w:rsidP="008546CD">
      <w:pPr>
        <w:spacing w:line="480" w:lineRule="auto"/>
        <w:rPr>
          <w:iCs/>
        </w:rPr>
      </w:pPr>
      <w:r>
        <w:rPr>
          <w:iCs/>
        </w:rPr>
        <w:t>WE CONCUR:</w:t>
      </w:r>
    </w:p>
    <w:p w14:paraId="428C7610" w14:textId="2F89B629" w:rsidR="008546CD" w:rsidRDefault="008546CD" w:rsidP="008546CD">
      <w:pPr>
        <w:spacing w:line="480" w:lineRule="auto"/>
        <w:rPr>
          <w:iCs/>
        </w:rPr>
      </w:pPr>
      <w:r>
        <w:rPr>
          <w:iCs/>
        </w:rPr>
        <w:t>McGILL, J.</w:t>
      </w:r>
    </w:p>
    <w:p w14:paraId="2DF51DEC" w14:textId="350A4A4A" w:rsidR="008546CD" w:rsidRDefault="008546CD" w:rsidP="008546CD">
      <w:pPr>
        <w:spacing w:line="480" w:lineRule="auto"/>
        <w:rPr>
          <w:iCs/>
        </w:rPr>
      </w:pPr>
      <w:r>
        <w:rPr>
          <w:iCs/>
        </w:rPr>
        <w:t>STOVITZ, J.*</w:t>
      </w:r>
    </w:p>
    <w:p w14:paraId="6C3E37D5" w14:textId="77777777" w:rsidR="00E331AE" w:rsidRDefault="00E331AE" w:rsidP="008546CD">
      <w:pPr>
        <w:spacing w:line="480" w:lineRule="auto"/>
        <w:rPr>
          <w:iCs/>
        </w:rPr>
      </w:pPr>
    </w:p>
    <w:p w14:paraId="2E58DFD4" w14:textId="77777777" w:rsidR="00572DCA" w:rsidRDefault="00572DCA" w:rsidP="008546CD">
      <w:pPr>
        <w:spacing w:line="480" w:lineRule="auto"/>
        <w:rPr>
          <w:iCs/>
        </w:rPr>
      </w:pPr>
    </w:p>
    <w:p w14:paraId="228F95B8" w14:textId="77777777" w:rsidR="00572DCA" w:rsidRDefault="00572DCA" w:rsidP="008546CD">
      <w:pPr>
        <w:spacing w:line="480" w:lineRule="auto"/>
        <w:rPr>
          <w:iCs/>
        </w:rPr>
      </w:pPr>
    </w:p>
    <w:p w14:paraId="51E14F14" w14:textId="77777777" w:rsidR="00E82E99" w:rsidRDefault="00E82E99" w:rsidP="008546CD">
      <w:pPr>
        <w:spacing w:line="480" w:lineRule="auto"/>
        <w:rPr>
          <w:iCs/>
        </w:rPr>
      </w:pPr>
    </w:p>
    <w:p w14:paraId="04226DAC" w14:textId="77777777" w:rsidR="00350FA9" w:rsidRDefault="00350FA9" w:rsidP="008546CD">
      <w:pPr>
        <w:spacing w:line="480" w:lineRule="auto"/>
        <w:rPr>
          <w:iCs/>
        </w:rPr>
      </w:pPr>
    </w:p>
    <w:p w14:paraId="3A3AD332" w14:textId="77777777" w:rsidR="008A6020" w:rsidRDefault="008A6020" w:rsidP="00E331AE">
      <w:pPr>
        <w:rPr>
          <w:iCs/>
        </w:rPr>
      </w:pPr>
    </w:p>
    <w:p w14:paraId="63B539CF" w14:textId="77777777" w:rsidR="00E331AE" w:rsidRDefault="00E331AE" w:rsidP="00E331AE">
      <w:pPr>
        <w:rPr>
          <w:iCs/>
        </w:rPr>
      </w:pPr>
    </w:p>
    <w:p w14:paraId="7E04DF94" w14:textId="490B2680" w:rsidR="00613C1B" w:rsidRDefault="00613C1B" w:rsidP="00613C1B">
      <w:pPr>
        <w:spacing w:after="120"/>
        <w:rPr>
          <w:iCs/>
        </w:rPr>
      </w:pPr>
      <w:r>
        <w:rPr>
          <w:iCs/>
        </w:rPr>
        <w:t>________________________________</w:t>
      </w:r>
    </w:p>
    <w:p w14:paraId="6B052CC2" w14:textId="0770D02D" w:rsidR="00645A41" w:rsidRDefault="00864774" w:rsidP="008546CD">
      <w:r>
        <w:tab/>
      </w:r>
      <w:r w:rsidR="008546CD" w:rsidRPr="00122E47">
        <w:t>*Retired Presiding Judge of the State Bar Court, serving as Review Judge Pro Tem by appointment of the California Supreme Court</w:t>
      </w:r>
      <w:r w:rsidR="008546CD">
        <w:t>.</w:t>
      </w:r>
    </w:p>
    <w:p w14:paraId="0DEF0DAA" w14:textId="77777777" w:rsidR="00645A41" w:rsidRDefault="00645A41">
      <w:r>
        <w:br w:type="page"/>
      </w:r>
    </w:p>
    <w:p w14:paraId="26EBF8E4" w14:textId="77777777" w:rsidR="00645A41" w:rsidRPr="00850983" w:rsidRDefault="00645A41" w:rsidP="00645A41">
      <w:pPr>
        <w:jc w:val="center"/>
        <w:rPr>
          <w:b/>
          <w:bCs/>
        </w:rPr>
      </w:pPr>
    </w:p>
    <w:p w14:paraId="45B81D44" w14:textId="77777777" w:rsidR="00645A41" w:rsidRPr="00850983" w:rsidRDefault="00645A41" w:rsidP="00645A41">
      <w:pPr>
        <w:jc w:val="center"/>
        <w:rPr>
          <w:b/>
          <w:bCs/>
        </w:rPr>
      </w:pPr>
    </w:p>
    <w:p w14:paraId="43479CC2" w14:textId="77777777" w:rsidR="00645A41" w:rsidRPr="00850983" w:rsidRDefault="00645A41" w:rsidP="00645A41">
      <w:pPr>
        <w:jc w:val="center"/>
        <w:rPr>
          <w:b/>
          <w:bCs/>
        </w:rPr>
      </w:pPr>
    </w:p>
    <w:p w14:paraId="0126515E" w14:textId="77777777" w:rsidR="00645A41" w:rsidRDefault="00645A41" w:rsidP="00645A41">
      <w:pPr>
        <w:jc w:val="center"/>
        <w:rPr>
          <w:b/>
          <w:bCs/>
        </w:rPr>
      </w:pPr>
      <w:r w:rsidRPr="00850983">
        <w:rPr>
          <w:b/>
          <w:bCs/>
        </w:rPr>
        <w:t>Case No</w:t>
      </w:r>
      <w:r>
        <w:rPr>
          <w:b/>
          <w:bCs/>
        </w:rPr>
        <w:t>s</w:t>
      </w:r>
      <w:r w:rsidRPr="00850983">
        <w:rPr>
          <w:b/>
          <w:bCs/>
        </w:rPr>
        <w:t>.</w:t>
      </w:r>
      <w:r>
        <w:rPr>
          <w:b/>
          <w:bCs/>
        </w:rPr>
        <w:t xml:space="preserve"> </w:t>
      </w:r>
      <w:r w:rsidRPr="00645A41">
        <w:rPr>
          <w:b/>
          <w:bCs/>
        </w:rPr>
        <w:t xml:space="preserve">12-N-16025; 12-O-12219 </w:t>
      </w:r>
    </w:p>
    <w:p w14:paraId="697ACB32" w14:textId="77777777" w:rsidR="00645A41" w:rsidRDefault="00645A41" w:rsidP="00645A41">
      <w:pPr>
        <w:jc w:val="center"/>
        <w:rPr>
          <w:b/>
          <w:bCs/>
        </w:rPr>
      </w:pPr>
      <w:r w:rsidRPr="00645A41">
        <w:rPr>
          <w:b/>
          <w:bCs/>
        </w:rPr>
        <w:t>(12-O-12410; 12-O-12507; 12-O-12759; 12-O-13128</w:t>
      </w:r>
      <w:r>
        <w:rPr>
          <w:b/>
          <w:bCs/>
        </w:rPr>
        <w:t>)</w:t>
      </w:r>
    </w:p>
    <w:p w14:paraId="47133E41" w14:textId="26D22DA2" w:rsidR="00645A41" w:rsidRPr="00850983" w:rsidRDefault="00645A41" w:rsidP="00645A41">
      <w:pPr>
        <w:jc w:val="center"/>
        <w:rPr>
          <w:b/>
          <w:bCs/>
        </w:rPr>
      </w:pPr>
      <w:r w:rsidRPr="00645A41">
        <w:rPr>
          <w:b/>
          <w:bCs/>
        </w:rPr>
        <w:t>(Consolidated)</w:t>
      </w:r>
    </w:p>
    <w:p w14:paraId="48482A91" w14:textId="77777777" w:rsidR="00645A41" w:rsidRPr="00850983" w:rsidRDefault="00645A41" w:rsidP="00645A41">
      <w:pPr>
        <w:jc w:val="center"/>
      </w:pPr>
    </w:p>
    <w:p w14:paraId="1395C62F" w14:textId="77777777" w:rsidR="00645A41" w:rsidRPr="00850983" w:rsidRDefault="00645A41" w:rsidP="00645A41">
      <w:pPr>
        <w:jc w:val="center"/>
      </w:pPr>
    </w:p>
    <w:p w14:paraId="73E0B3D1" w14:textId="77777777" w:rsidR="00645A41" w:rsidRPr="00850983" w:rsidRDefault="00645A41" w:rsidP="00645A41">
      <w:pPr>
        <w:jc w:val="center"/>
      </w:pPr>
    </w:p>
    <w:p w14:paraId="0E5F425A" w14:textId="77777777" w:rsidR="00645A41" w:rsidRPr="00850983" w:rsidRDefault="00645A41" w:rsidP="00645A41">
      <w:pPr>
        <w:jc w:val="center"/>
      </w:pPr>
    </w:p>
    <w:p w14:paraId="7781400C" w14:textId="77777777" w:rsidR="00645A41" w:rsidRPr="00850983" w:rsidRDefault="00645A41" w:rsidP="00645A41">
      <w:pPr>
        <w:jc w:val="center"/>
      </w:pPr>
    </w:p>
    <w:p w14:paraId="348305E5" w14:textId="77777777" w:rsidR="00645A41" w:rsidRPr="00850983" w:rsidRDefault="00645A41" w:rsidP="00645A41">
      <w:pPr>
        <w:ind w:left="-90"/>
        <w:jc w:val="center"/>
        <w:rPr>
          <w:i/>
        </w:rPr>
      </w:pPr>
      <w:r w:rsidRPr="00850983">
        <w:rPr>
          <w:b/>
          <w:bCs/>
          <w:i/>
          <w:iCs/>
        </w:rPr>
        <w:t xml:space="preserve">In the Matter of </w:t>
      </w:r>
    </w:p>
    <w:p w14:paraId="2185ED7F" w14:textId="77777777" w:rsidR="00645A41" w:rsidRPr="00850983" w:rsidRDefault="00645A41" w:rsidP="00645A41">
      <w:pPr>
        <w:ind w:left="-90"/>
        <w:jc w:val="center"/>
        <w:rPr>
          <w:i/>
        </w:rPr>
      </w:pPr>
    </w:p>
    <w:p w14:paraId="29F4E9AB" w14:textId="77777777" w:rsidR="00645A41" w:rsidRPr="00850983" w:rsidRDefault="00645A41" w:rsidP="00645A41">
      <w:pPr>
        <w:ind w:left="-90"/>
        <w:jc w:val="center"/>
        <w:rPr>
          <w:i/>
        </w:rPr>
      </w:pPr>
    </w:p>
    <w:p w14:paraId="33B5185E" w14:textId="4773DC21" w:rsidR="00645A41" w:rsidRPr="00850983" w:rsidRDefault="00645A41" w:rsidP="00645A41">
      <w:pPr>
        <w:ind w:left="-90"/>
        <w:jc w:val="center"/>
        <w:rPr>
          <w:b/>
        </w:rPr>
      </w:pPr>
      <w:r>
        <w:rPr>
          <w:b/>
        </w:rPr>
        <w:t>MANUEL ANGEL GONZALEZ</w:t>
      </w:r>
    </w:p>
    <w:p w14:paraId="4574A06B" w14:textId="77777777" w:rsidR="00645A41" w:rsidRPr="00850983" w:rsidRDefault="00645A41" w:rsidP="00645A41">
      <w:pPr>
        <w:ind w:left="-90"/>
        <w:jc w:val="center"/>
      </w:pPr>
    </w:p>
    <w:p w14:paraId="263B13A5" w14:textId="77777777" w:rsidR="00645A41" w:rsidRPr="00850983" w:rsidRDefault="00645A41" w:rsidP="00645A41">
      <w:pPr>
        <w:ind w:left="-90"/>
        <w:jc w:val="center"/>
      </w:pPr>
    </w:p>
    <w:p w14:paraId="436D7490" w14:textId="77777777" w:rsidR="00645A41" w:rsidRPr="00850983" w:rsidRDefault="00645A41" w:rsidP="00645A41">
      <w:pPr>
        <w:ind w:left="-90"/>
        <w:jc w:val="center"/>
      </w:pPr>
    </w:p>
    <w:p w14:paraId="591D8710" w14:textId="77777777" w:rsidR="00645A41" w:rsidRPr="00850983" w:rsidRDefault="00645A41" w:rsidP="00645A41">
      <w:pPr>
        <w:ind w:left="-90"/>
        <w:jc w:val="center"/>
      </w:pPr>
    </w:p>
    <w:p w14:paraId="5CD346FB" w14:textId="77777777" w:rsidR="00645A41" w:rsidRPr="00850983" w:rsidRDefault="00645A41" w:rsidP="00645A41">
      <w:pPr>
        <w:ind w:left="-90"/>
        <w:jc w:val="center"/>
      </w:pPr>
    </w:p>
    <w:p w14:paraId="3056E0AE" w14:textId="77777777" w:rsidR="00645A41" w:rsidRPr="00850983" w:rsidRDefault="00645A41" w:rsidP="00645A41">
      <w:pPr>
        <w:ind w:left="-90"/>
        <w:jc w:val="center"/>
      </w:pPr>
    </w:p>
    <w:p w14:paraId="0FF6305B" w14:textId="77777777" w:rsidR="00645A41" w:rsidRPr="00850983" w:rsidRDefault="00645A41" w:rsidP="00645A41">
      <w:pPr>
        <w:ind w:left="-90"/>
        <w:jc w:val="center"/>
      </w:pPr>
    </w:p>
    <w:p w14:paraId="72A9CEEC" w14:textId="77777777" w:rsidR="00645A41" w:rsidRPr="00850983" w:rsidRDefault="00645A41" w:rsidP="00645A41">
      <w:pPr>
        <w:ind w:left="-90"/>
        <w:jc w:val="center"/>
      </w:pPr>
    </w:p>
    <w:p w14:paraId="777438F4" w14:textId="77777777" w:rsidR="00645A41" w:rsidRPr="00850983" w:rsidRDefault="00645A41" w:rsidP="00645A41">
      <w:pPr>
        <w:ind w:left="-90"/>
        <w:jc w:val="center"/>
        <w:rPr>
          <w:iCs/>
        </w:rPr>
      </w:pPr>
      <w:r w:rsidRPr="00850983">
        <w:rPr>
          <w:iCs/>
        </w:rPr>
        <w:t>Hearing Judge</w:t>
      </w:r>
    </w:p>
    <w:p w14:paraId="40B9E732" w14:textId="77777777" w:rsidR="00645A41" w:rsidRPr="00850983" w:rsidRDefault="00645A41" w:rsidP="00645A41">
      <w:pPr>
        <w:ind w:left="-90"/>
        <w:rPr>
          <w:u w:val="single"/>
        </w:rPr>
      </w:pPr>
    </w:p>
    <w:p w14:paraId="36E73B10" w14:textId="38DAFCB3" w:rsidR="00645A41" w:rsidRPr="00850983" w:rsidRDefault="00645A41" w:rsidP="00645A41">
      <w:pPr>
        <w:tabs>
          <w:tab w:val="center" w:pos="4635"/>
          <w:tab w:val="left" w:pos="4950"/>
          <w:tab w:val="left" w:pos="5670"/>
          <w:tab w:val="left" w:pos="6390"/>
          <w:tab w:val="left" w:pos="7110"/>
          <w:tab w:val="left" w:pos="7830"/>
          <w:tab w:val="left" w:pos="8550"/>
          <w:tab w:val="left" w:pos="9270"/>
        </w:tabs>
        <w:ind w:left="-90"/>
        <w:jc w:val="center"/>
      </w:pPr>
      <w:r w:rsidRPr="00850983">
        <w:rPr>
          <w:b/>
          <w:bCs/>
        </w:rPr>
        <w:t xml:space="preserve">Hon. </w:t>
      </w:r>
      <w:r>
        <w:rPr>
          <w:b/>
          <w:bCs/>
        </w:rPr>
        <w:t>Patrice E. McElroy</w:t>
      </w:r>
    </w:p>
    <w:p w14:paraId="7D441D1F" w14:textId="77777777" w:rsidR="00645A41" w:rsidRPr="00850983" w:rsidRDefault="00645A41" w:rsidP="00FE5E42"/>
    <w:p w14:paraId="391E3C67" w14:textId="77777777" w:rsidR="00645A41" w:rsidRPr="00850983" w:rsidRDefault="00645A41" w:rsidP="00645A41">
      <w:pPr>
        <w:ind w:left="-90"/>
      </w:pPr>
    </w:p>
    <w:p w14:paraId="580004EC" w14:textId="77777777" w:rsidR="00645A41" w:rsidRPr="00850983" w:rsidRDefault="00645A41" w:rsidP="00645A41">
      <w:pPr>
        <w:ind w:left="-90"/>
      </w:pPr>
    </w:p>
    <w:p w14:paraId="13C9B2D8" w14:textId="77777777" w:rsidR="00645A41" w:rsidRPr="00850983" w:rsidRDefault="00645A41" w:rsidP="00645A41">
      <w:pPr>
        <w:ind w:left="-90"/>
      </w:pPr>
    </w:p>
    <w:p w14:paraId="3BDECB88" w14:textId="77777777" w:rsidR="00645A41" w:rsidRPr="00850983" w:rsidRDefault="00645A41" w:rsidP="00645A41">
      <w:pPr>
        <w:ind w:left="-90"/>
      </w:pPr>
    </w:p>
    <w:p w14:paraId="6D32E9AF" w14:textId="77777777" w:rsidR="00645A41" w:rsidRPr="00850983" w:rsidRDefault="00645A41" w:rsidP="00645A41">
      <w:pPr>
        <w:ind w:left="-90"/>
      </w:pPr>
    </w:p>
    <w:p w14:paraId="553BD123" w14:textId="77777777" w:rsidR="00645A41" w:rsidRPr="00850983" w:rsidRDefault="00645A41" w:rsidP="00645A41">
      <w:pPr>
        <w:ind w:left="-90"/>
      </w:pPr>
    </w:p>
    <w:p w14:paraId="72D32193" w14:textId="77777777" w:rsidR="00645A41" w:rsidRPr="00850983" w:rsidRDefault="00645A41" w:rsidP="00645A41">
      <w:pPr>
        <w:tabs>
          <w:tab w:val="center" w:pos="4635"/>
          <w:tab w:val="left" w:pos="4950"/>
          <w:tab w:val="left" w:pos="5670"/>
          <w:tab w:val="left" w:pos="6390"/>
          <w:tab w:val="left" w:pos="7110"/>
          <w:tab w:val="left" w:pos="7830"/>
          <w:tab w:val="left" w:pos="8550"/>
          <w:tab w:val="left" w:pos="9270"/>
        </w:tabs>
        <w:ind w:left="-90"/>
        <w:rPr>
          <w:b/>
          <w:bCs/>
          <w:iCs/>
        </w:rPr>
      </w:pPr>
      <w:r w:rsidRPr="00850983">
        <w:tab/>
      </w:r>
      <w:r w:rsidRPr="00850983">
        <w:rPr>
          <w:iCs/>
        </w:rPr>
        <w:t>Counsel for the Parties</w:t>
      </w:r>
    </w:p>
    <w:p w14:paraId="28BBF9E4" w14:textId="77777777" w:rsidR="00645A41" w:rsidRPr="00850983" w:rsidRDefault="00645A41" w:rsidP="00645A41">
      <w:pPr>
        <w:ind w:left="-90"/>
        <w:rPr>
          <w:b/>
          <w:bCs/>
        </w:rPr>
      </w:pPr>
    </w:p>
    <w:p w14:paraId="4E6E7279" w14:textId="77777777" w:rsidR="00645A41" w:rsidRPr="00850983" w:rsidRDefault="00645A41" w:rsidP="00645A41">
      <w:pPr>
        <w:ind w:left="-90"/>
      </w:pPr>
    </w:p>
    <w:p w14:paraId="63C8C444" w14:textId="77777777" w:rsidR="00FE5E42" w:rsidRPr="005B2875" w:rsidRDefault="00645A41" w:rsidP="00FE5E42">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sidRPr="00850983">
        <w:t>For State Bar of California:</w:t>
      </w:r>
      <w:r w:rsidRPr="00850983">
        <w:rPr>
          <w:b/>
          <w:bCs/>
        </w:rPr>
        <w:tab/>
      </w:r>
      <w:r w:rsidRPr="00850983">
        <w:rPr>
          <w:b/>
          <w:bCs/>
        </w:rPr>
        <w:tab/>
      </w:r>
      <w:r w:rsidR="00FE5E42" w:rsidRPr="005B2875">
        <w:rPr>
          <w:b/>
          <w:bCs/>
        </w:rPr>
        <w:t>Brandon Keith Tady, Esq.</w:t>
      </w:r>
    </w:p>
    <w:p w14:paraId="281E5E9D" w14:textId="77777777" w:rsidR="00FE5E42" w:rsidRPr="005B2875" w:rsidRDefault="00FE5E42" w:rsidP="00FE5E42">
      <w:pPr>
        <w:ind w:left="-90" w:firstLine="5040"/>
        <w:rPr>
          <w:b/>
          <w:bCs/>
        </w:rPr>
      </w:pPr>
      <w:r w:rsidRPr="005B2875">
        <w:rPr>
          <w:b/>
          <w:bCs/>
        </w:rPr>
        <w:t>Office of Chief Trial Counsel</w:t>
      </w:r>
    </w:p>
    <w:p w14:paraId="302074D1" w14:textId="77777777" w:rsidR="00FE5E42" w:rsidRPr="005B2875" w:rsidRDefault="00FE5E42" w:rsidP="00FE5E42">
      <w:pPr>
        <w:ind w:left="-90" w:firstLine="5040"/>
        <w:rPr>
          <w:b/>
          <w:bCs/>
        </w:rPr>
      </w:pPr>
      <w:r w:rsidRPr="005B2875">
        <w:rPr>
          <w:b/>
          <w:bCs/>
        </w:rPr>
        <w:t>The State Bar of California</w:t>
      </w:r>
    </w:p>
    <w:p w14:paraId="682E5036" w14:textId="77777777" w:rsidR="00FE5E42" w:rsidRPr="005B2875" w:rsidRDefault="00FE5E42" w:rsidP="00FE5E42">
      <w:pPr>
        <w:ind w:left="-90" w:firstLine="5040"/>
        <w:rPr>
          <w:b/>
          <w:bCs/>
        </w:rPr>
      </w:pPr>
      <w:r w:rsidRPr="005B2875">
        <w:rPr>
          <w:b/>
          <w:bCs/>
        </w:rPr>
        <w:t>845 So. Figueroa St.</w:t>
      </w:r>
    </w:p>
    <w:p w14:paraId="00237F31" w14:textId="53C82319" w:rsidR="00645A41" w:rsidRDefault="00FE5E42" w:rsidP="00FE5E42">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Pr>
          <w:b/>
          <w:bCs/>
        </w:rPr>
        <w:tab/>
      </w:r>
      <w:r>
        <w:rPr>
          <w:b/>
          <w:bCs/>
        </w:rPr>
        <w:tab/>
      </w:r>
      <w:r>
        <w:rPr>
          <w:b/>
          <w:bCs/>
        </w:rPr>
        <w:tab/>
      </w:r>
      <w:r>
        <w:rPr>
          <w:b/>
          <w:bCs/>
        </w:rPr>
        <w:tab/>
      </w:r>
      <w:r>
        <w:rPr>
          <w:b/>
          <w:bCs/>
        </w:rPr>
        <w:tab/>
      </w:r>
      <w:r w:rsidRPr="005B2875">
        <w:rPr>
          <w:b/>
          <w:bCs/>
        </w:rPr>
        <w:t>Los Angeles, CA  90017-2515</w:t>
      </w:r>
    </w:p>
    <w:p w14:paraId="6CD31B51" w14:textId="77777777" w:rsidR="00645A41" w:rsidRPr="00850983" w:rsidRDefault="00645A41" w:rsidP="00645A41">
      <w:pPr>
        <w:ind w:left="-90"/>
        <w:rPr>
          <w:b/>
          <w:bCs/>
        </w:rPr>
      </w:pPr>
    </w:p>
    <w:p w14:paraId="79CBEC2F" w14:textId="3FF75D1C" w:rsidR="00645A41" w:rsidRPr="00850983" w:rsidRDefault="00645A41" w:rsidP="00645A41">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4320"/>
        <w:rPr>
          <w:b/>
        </w:rPr>
      </w:pPr>
      <w:r w:rsidRPr="00850983">
        <w:t>For Respondent:</w:t>
      </w:r>
      <w:r w:rsidRPr="00850983">
        <w:rPr>
          <w:b/>
          <w:bCs/>
        </w:rPr>
        <w:tab/>
      </w:r>
      <w:r w:rsidRPr="00850983">
        <w:rPr>
          <w:b/>
          <w:bCs/>
        </w:rPr>
        <w:tab/>
      </w:r>
      <w:r w:rsidRPr="00850983">
        <w:rPr>
          <w:b/>
          <w:bCs/>
        </w:rPr>
        <w:tab/>
      </w:r>
      <w:r w:rsidR="00FE5E42">
        <w:rPr>
          <w:b/>
          <w:bCs/>
        </w:rPr>
        <w:t>Manuel Angel Gonzalez, in pro. per.</w:t>
      </w:r>
    </w:p>
    <w:p w14:paraId="1F30B599" w14:textId="0C626EA5" w:rsidR="00645A41" w:rsidRDefault="00FE5E42" w:rsidP="00645A41">
      <w:pPr>
        <w:ind w:left="4950"/>
        <w:rPr>
          <w:b/>
        </w:rPr>
      </w:pPr>
      <w:r>
        <w:rPr>
          <w:b/>
        </w:rPr>
        <w:t>2090 Cable St.</w:t>
      </w:r>
    </w:p>
    <w:p w14:paraId="373B6511" w14:textId="5985E80A" w:rsidR="00FE5E42" w:rsidRPr="00850983" w:rsidRDefault="00FE5E42" w:rsidP="00645A41">
      <w:pPr>
        <w:ind w:left="4950"/>
        <w:rPr>
          <w:b/>
        </w:rPr>
      </w:pPr>
      <w:r>
        <w:rPr>
          <w:b/>
        </w:rPr>
        <w:t>San Diego, CA  92107-2529</w:t>
      </w:r>
    </w:p>
    <w:p w14:paraId="43C56998" w14:textId="77777777" w:rsidR="001E1A7E" w:rsidRPr="008546CD" w:rsidRDefault="001E1A7E" w:rsidP="00645A41"/>
    <w:sectPr w:rsidR="001E1A7E" w:rsidRPr="008546CD" w:rsidSect="00A272C3">
      <w:footerReference w:type="default" r:id="rId9"/>
      <w:footerReference w:type="first" r:id="rId10"/>
      <w:type w:val="continuous"/>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00448" w14:textId="77777777" w:rsidR="003C1B45" w:rsidRDefault="003C1B45" w:rsidP="00783AF1">
      <w:r>
        <w:separator/>
      </w:r>
    </w:p>
  </w:endnote>
  <w:endnote w:type="continuationSeparator" w:id="0">
    <w:p w14:paraId="25A49F9E" w14:textId="77777777" w:rsidR="003C1B45" w:rsidRDefault="003C1B45" w:rsidP="007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8CF79" w14:textId="77777777" w:rsidR="003C1B45" w:rsidRDefault="003C1B45" w:rsidP="00783AF1">
    <w:pPr>
      <w:pStyle w:val="Footer"/>
      <w:spacing w:before="120"/>
      <w:jc w:val="center"/>
    </w:pPr>
    <w:r>
      <w:t>-</w:t>
    </w:r>
    <w:r>
      <w:fldChar w:fldCharType="begin"/>
    </w:r>
    <w:r>
      <w:instrText xml:space="preserve"> PAGE   \* MERGEFORMAT </w:instrText>
    </w:r>
    <w:r>
      <w:fldChar w:fldCharType="separate"/>
    </w:r>
    <w:r w:rsidR="00705A81">
      <w:rPr>
        <w:noProof/>
      </w:rPr>
      <w:t>20</w:t>
    </w:r>
    <w:r>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9F79" w14:textId="77777777" w:rsidR="003C1B45" w:rsidRPr="00324761" w:rsidRDefault="003C1B45">
    <w:pPr>
      <w:pStyle w:val="Footer"/>
      <w:rPr>
        <w:color w:val="FFFFFF" w:themeColor="background1"/>
        <w:sz w:val="16"/>
        <w:szCs w:val="16"/>
      </w:rPr>
    </w:pPr>
    <w:r>
      <w:rPr>
        <w:color w:val="FFFFFF" w:themeColor="background1"/>
        <w:sz w:val="16"/>
        <w:szCs w:val="16"/>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18765" w14:textId="77777777" w:rsidR="003C1B45" w:rsidRDefault="003C1B45" w:rsidP="00783AF1">
      <w:r>
        <w:separator/>
      </w:r>
    </w:p>
  </w:footnote>
  <w:footnote w:type="continuationSeparator" w:id="0">
    <w:p w14:paraId="1E47FE74" w14:textId="77777777" w:rsidR="003C1B45" w:rsidRDefault="003C1B45" w:rsidP="00783AF1">
      <w:r>
        <w:continuationSeparator/>
      </w:r>
    </w:p>
  </w:footnote>
  <w:footnote w:type="continuationNotice" w:id="1">
    <w:p w14:paraId="5C0B84C2" w14:textId="77777777" w:rsidR="003C1B45" w:rsidRDefault="003C1B45"/>
  </w:footnote>
  <w:footnote w:id="2">
    <w:p w14:paraId="3F237BA2" w14:textId="603DC786" w:rsidR="002D7AD4" w:rsidRPr="00B3082B" w:rsidRDefault="002D7AD4" w:rsidP="00194928">
      <w:pPr>
        <w:pStyle w:val="TemplateFootnote"/>
        <w:spacing w:after="120"/>
        <w:rPr>
          <w:szCs w:val="24"/>
        </w:rPr>
      </w:pPr>
      <w:r>
        <w:rPr>
          <w:rStyle w:val="FootnoteReference"/>
        </w:rPr>
        <w:footnoteRef/>
      </w:r>
      <w:r>
        <w:t xml:space="preserve"> The facts are based </w:t>
      </w:r>
      <w:r w:rsidR="00D73D16">
        <w:t xml:space="preserve">largely </w:t>
      </w:r>
      <w:r>
        <w:t xml:space="preserve">on the Stipulation, </w:t>
      </w:r>
      <w:r w:rsidR="005453E8">
        <w:t xml:space="preserve">though we also rely on </w:t>
      </w:r>
      <w:r>
        <w:t>trial testimony</w:t>
      </w:r>
      <w:r w:rsidR="00D73D16">
        <w:t>,</w:t>
      </w:r>
      <w:r>
        <w:t xml:space="preserve"> </w:t>
      </w:r>
      <w:r w:rsidR="00893FE3">
        <w:t xml:space="preserve">documentary </w:t>
      </w:r>
      <w:r>
        <w:t xml:space="preserve">evidence, and </w:t>
      </w:r>
      <w:r w:rsidR="005453E8">
        <w:t xml:space="preserve">the </w:t>
      </w:r>
      <w:r>
        <w:t xml:space="preserve">hearing judge’s factual </w:t>
      </w:r>
      <w:r>
        <w:rPr>
          <w:szCs w:val="24"/>
        </w:rPr>
        <w:t xml:space="preserve">findings, </w:t>
      </w:r>
      <w:r w:rsidR="005453E8">
        <w:rPr>
          <w:szCs w:val="24"/>
        </w:rPr>
        <w:t xml:space="preserve">which are entitled to </w:t>
      </w:r>
      <w:r>
        <w:rPr>
          <w:szCs w:val="24"/>
        </w:rPr>
        <w:t xml:space="preserve">great weight.  (Rules Proc. of State Bar, rule 5.155(A).) </w:t>
      </w:r>
    </w:p>
  </w:footnote>
  <w:footnote w:id="3">
    <w:p w14:paraId="634F30B1" w14:textId="3D1C50BF" w:rsidR="00893FE3" w:rsidRDefault="007D0F6C" w:rsidP="00194928">
      <w:pPr>
        <w:pStyle w:val="FootnoteText"/>
        <w:spacing w:after="120"/>
      </w:pPr>
      <w:r>
        <w:rPr>
          <w:rStyle w:val="FootnoteReference"/>
        </w:rPr>
        <w:footnoteRef/>
      </w:r>
      <w:r w:rsidR="006D05CB">
        <w:t xml:space="preserve"> Hereafter, w</w:t>
      </w:r>
      <w:r>
        <w:t>e refer to Gonzalez’s inability to practice law as a suspension.</w:t>
      </w:r>
    </w:p>
  </w:footnote>
  <w:footnote w:id="4">
    <w:p w14:paraId="2FC9C07F" w14:textId="6310E577" w:rsidR="00C0141E" w:rsidRDefault="00C0141E" w:rsidP="00C16F41">
      <w:pPr>
        <w:pStyle w:val="FootnoteText"/>
      </w:pPr>
      <w:r>
        <w:rPr>
          <w:rStyle w:val="FootnoteReference"/>
        </w:rPr>
        <w:footnoteRef/>
      </w:r>
      <w:r>
        <w:t xml:space="preserve"> The hearing judge dismissed </w:t>
      </w:r>
      <w:r w:rsidR="005453E8">
        <w:t xml:space="preserve">with prejudice </w:t>
      </w:r>
      <w:r>
        <w:t>counts three, five, nine</w:t>
      </w:r>
      <w:r w:rsidR="001F3E8C">
        <w:t>,</w:t>
      </w:r>
      <w:r>
        <w:t xml:space="preserve"> and 12.</w:t>
      </w:r>
    </w:p>
  </w:footnote>
  <w:footnote w:id="5">
    <w:p w14:paraId="096EF287" w14:textId="58F720C7" w:rsidR="00893FE3" w:rsidRDefault="003C1B45" w:rsidP="00C16F41">
      <w:pPr>
        <w:pStyle w:val="FootnoteText"/>
        <w:spacing w:after="120"/>
      </w:pPr>
      <w:r>
        <w:rPr>
          <w:rStyle w:val="FootnoteReference"/>
        </w:rPr>
        <w:footnoteRef/>
      </w:r>
      <w:r>
        <w:t xml:space="preserve"> All further references to section</w:t>
      </w:r>
      <w:r w:rsidR="0065250C">
        <w:t>s</w:t>
      </w:r>
      <w:r>
        <w:t xml:space="preserve"> are to this source.</w:t>
      </w:r>
    </w:p>
  </w:footnote>
  <w:footnote w:id="6">
    <w:p w14:paraId="7ADBF6B0" w14:textId="10C38C5E" w:rsidR="00BF5CC0" w:rsidRDefault="003C1B45" w:rsidP="00C16F41">
      <w:pPr>
        <w:pStyle w:val="FootnoteText"/>
      </w:pPr>
      <w:r>
        <w:rPr>
          <w:rStyle w:val="FootnoteReference"/>
        </w:rPr>
        <w:footnoteRef/>
      </w:r>
      <w:r>
        <w:t xml:space="preserve"> All </w:t>
      </w:r>
      <w:r w:rsidR="0065250C">
        <w:t>further</w:t>
      </w:r>
      <w:r>
        <w:t xml:space="preserve"> references to rule</w:t>
      </w:r>
      <w:r w:rsidR="0065250C">
        <w:t>s</w:t>
      </w:r>
      <w:r>
        <w:t xml:space="preserve"> are to this source unless otherwise </w:t>
      </w:r>
      <w:r w:rsidR="0065250C">
        <w:t>noted</w:t>
      </w:r>
      <w:r>
        <w:t>.</w:t>
      </w:r>
    </w:p>
  </w:footnote>
  <w:footnote w:id="7">
    <w:p w14:paraId="005AD048" w14:textId="2D662C7C" w:rsidR="00893FE3" w:rsidRDefault="003C1B45" w:rsidP="000D6D91">
      <w:pPr>
        <w:pStyle w:val="FootnoteText"/>
        <w:spacing w:after="120"/>
      </w:pPr>
      <w:r>
        <w:rPr>
          <w:rStyle w:val="FootnoteReference"/>
        </w:rPr>
        <w:footnoteRef/>
      </w:r>
      <w:r>
        <w:t xml:space="preserve"> We refer to Robert and Michael Garcia by </w:t>
      </w:r>
      <w:r w:rsidR="00640A0F">
        <w:t xml:space="preserve">their </w:t>
      </w:r>
      <w:r>
        <w:t>first name</w:t>
      </w:r>
      <w:r w:rsidR="00640A0F">
        <w:t>s</w:t>
      </w:r>
      <w:r>
        <w:t xml:space="preserve"> to avoid confusion.</w:t>
      </w:r>
    </w:p>
  </w:footnote>
  <w:footnote w:id="8">
    <w:p w14:paraId="6FF9A589" w14:textId="7229CF5E" w:rsidR="005453E8" w:rsidRDefault="005453E8" w:rsidP="00C16F41">
      <w:pPr>
        <w:pStyle w:val="FootnoteText"/>
      </w:pPr>
      <w:r>
        <w:rPr>
          <w:rStyle w:val="FootnoteReference"/>
        </w:rPr>
        <w:footnoteRef/>
      </w:r>
      <w:r>
        <w:t xml:space="preserve"> </w:t>
      </w:r>
      <w:r w:rsidR="00970CD8">
        <w:t>Gonzalez met with Michael at the jail about the potential representation.</w:t>
      </w:r>
    </w:p>
  </w:footnote>
  <w:footnote w:id="9">
    <w:p w14:paraId="3C2DC6EE" w14:textId="40F3825F" w:rsidR="00A33C8E" w:rsidRDefault="00A33C8E" w:rsidP="00C16F41">
      <w:pPr>
        <w:pStyle w:val="FootnoteText"/>
      </w:pPr>
      <w:r>
        <w:rPr>
          <w:rStyle w:val="FootnoteReference"/>
        </w:rPr>
        <w:footnoteRef/>
      </w:r>
      <w:r w:rsidR="00DB37BC">
        <w:t xml:space="preserve"> </w:t>
      </w:r>
      <w:r>
        <w:t>The NDC charged Gonzalez with moral turpitude for collecting fee</w:t>
      </w:r>
      <w:r w:rsidR="00E558BB">
        <w:t>s</w:t>
      </w:r>
      <w:r>
        <w:t xml:space="preserve"> while suspended and for not informing his client he was suspended when he </w:t>
      </w:r>
      <w:r w:rsidR="00505DAB">
        <w:t xml:space="preserve">purportedly </w:t>
      </w:r>
      <w:r>
        <w:t xml:space="preserve">performed legal services.  The hearing judge found </w:t>
      </w:r>
      <w:r w:rsidR="00EE54C2">
        <w:t xml:space="preserve">that </w:t>
      </w:r>
      <w:r w:rsidR="00505DAB">
        <w:t xml:space="preserve">Gonzalez collected fees while suspended but the Stipulation establishes that </w:t>
      </w:r>
      <w:r w:rsidR="006F2A54">
        <w:t xml:space="preserve">the </w:t>
      </w:r>
      <w:r w:rsidR="00E558BB">
        <w:t>client</w:t>
      </w:r>
      <w:r w:rsidR="00F24A95">
        <w:t xml:space="preserve"> </w:t>
      </w:r>
      <w:r w:rsidR="00E558BB">
        <w:t xml:space="preserve">paid $4,000 </w:t>
      </w:r>
      <w:r w:rsidR="006F2A54">
        <w:t xml:space="preserve">in fees </w:t>
      </w:r>
      <w:r w:rsidR="00E558BB">
        <w:t>between September 27, 2010</w:t>
      </w:r>
      <w:r w:rsidR="00EE54C2">
        <w:t>,</w:t>
      </w:r>
      <w:r w:rsidR="00E558BB">
        <w:t xml:space="preserve"> and May 9, 2011</w:t>
      </w:r>
      <w:r w:rsidR="006F2A54">
        <w:t>;</w:t>
      </w:r>
      <w:r w:rsidR="00505DAB">
        <w:t xml:space="preserve"> </w:t>
      </w:r>
      <w:r w:rsidR="00F24A95">
        <w:t xml:space="preserve">Gonzalez’s </w:t>
      </w:r>
      <w:r w:rsidR="00E558BB">
        <w:t>60-day suspension began</w:t>
      </w:r>
      <w:r w:rsidR="006F2A54">
        <w:t xml:space="preserve"> after that period on </w:t>
      </w:r>
      <w:r w:rsidR="00E558BB">
        <w:t xml:space="preserve">May 27, 2011.  </w:t>
      </w:r>
      <w:r w:rsidR="006F2A54">
        <w:t xml:space="preserve">We </w:t>
      </w:r>
      <w:r w:rsidR="00E558BB">
        <w:t xml:space="preserve">find Gonzalez culpable of </w:t>
      </w:r>
      <w:r w:rsidR="00F24A95">
        <w:t xml:space="preserve">moral turpitude for not informing his client he was suspended when he purportedly represented her, as </w:t>
      </w:r>
      <w:r w:rsidR="00505DAB">
        <w:t xml:space="preserve">alternatively </w:t>
      </w:r>
      <w:r w:rsidR="00F24A95">
        <w:t>charged in the NDC.</w:t>
      </w:r>
      <w:r>
        <w:t xml:space="preserve"> </w:t>
      </w:r>
    </w:p>
  </w:footnote>
  <w:footnote w:id="10">
    <w:p w14:paraId="0495677C" w14:textId="429756B0" w:rsidR="003C1B45" w:rsidRDefault="003C1B45" w:rsidP="009A41F2">
      <w:pPr>
        <w:pStyle w:val="TemplateFootnote"/>
        <w:spacing w:after="120"/>
      </w:pPr>
      <w:r>
        <w:rPr>
          <w:rStyle w:val="FootnoteReference"/>
        </w:rPr>
        <w:footnoteRef/>
      </w:r>
      <w:r>
        <w:t xml:space="preserve"> Supreme Court Case No. S190664; State Bar Case Nos. 07-O-13329 (07-O-</w:t>
      </w:r>
      <w:r w:rsidR="00D33F53">
        <w:t>1</w:t>
      </w:r>
      <w:r>
        <w:t>3827;      08-O-13980; 09-O-12664; 09-O-17424; 09-O-18923; and 10-O-03257).</w:t>
      </w:r>
    </w:p>
  </w:footnote>
  <w:footnote w:id="11">
    <w:p w14:paraId="5A435306" w14:textId="18B9C6DF" w:rsidR="003C1B45" w:rsidRDefault="003C1B45" w:rsidP="00C16F41">
      <w:pPr>
        <w:pStyle w:val="FootnoteText"/>
      </w:pPr>
      <w:r>
        <w:rPr>
          <w:rStyle w:val="FootnoteReference"/>
        </w:rPr>
        <w:footnoteRef/>
      </w:r>
      <w:r>
        <w:t xml:space="preserve"> Supreme Court Case No. </w:t>
      </w:r>
      <w:r>
        <w:rPr>
          <w:rFonts w:eastAsia="Calibri"/>
        </w:rPr>
        <w:t xml:space="preserve">S190664; </w:t>
      </w:r>
      <w:r>
        <w:t>State Bar Case No. 11-PM-18515.</w:t>
      </w:r>
    </w:p>
  </w:footnote>
  <w:footnote w:id="12">
    <w:p w14:paraId="75A6A429" w14:textId="47186AC3" w:rsidR="003C1B45" w:rsidRDefault="003C1B45" w:rsidP="00C16F41">
      <w:pPr>
        <w:pStyle w:val="FootnoteText"/>
      </w:pPr>
      <w:r>
        <w:rPr>
          <w:rStyle w:val="FootnoteReference"/>
        </w:rPr>
        <w:footnoteRef/>
      </w:r>
      <w:r>
        <w:t xml:space="preserve"> Th</w:t>
      </w:r>
      <w:r w:rsidR="007B3BCD">
        <w:t>is</w:t>
      </w:r>
      <w:r>
        <w:t xml:space="preserve"> record does not establish </w:t>
      </w:r>
      <w:r w:rsidR="000C2159">
        <w:t>whether</w:t>
      </w:r>
      <w:r>
        <w:t xml:space="preserve"> Gonzalez paid </w:t>
      </w:r>
      <w:r w:rsidR="00E600CD">
        <w:t xml:space="preserve">the </w:t>
      </w:r>
      <w:r>
        <w:t xml:space="preserve">restitution </w:t>
      </w:r>
      <w:r w:rsidR="00DD2E77">
        <w:t xml:space="preserve">that was </w:t>
      </w:r>
      <w:r>
        <w:t xml:space="preserve">ordered in </w:t>
      </w:r>
      <w:r w:rsidRPr="009E6C77">
        <w:rPr>
          <w:i/>
        </w:rPr>
        <w:t>Gonzalez II</w:t>
      </w:r>
      <w:r>
        <w:t>.</w:t>
      </w:r>
    </w:p>
  </w:footnote>
  <w:footnote w:id="13">
    <w:p w14:paraId="516B6862" w14:textId="10CE3666" w:rsidR="00505DAB" w:rsidRDefault="00505DAB" w:rsidP="00C16F41">
      <w:pPr>
        <w:pStyle w:val="FootnoteText"/>
      </w:pPr>
      <w:r>
        <w:rPr>
          <w:rStyle w:val="FootnoteReference"/>
        </w:rPr>
        <w:footnoteRef/>
      </w:r>
      <w:r>
        <w:t xml:space="preserve"> Though Gonzalez was culpable for failure to cooperate with the State Bar pre</w:t>
      </w:r>
      <w:r w:rsidR="00CE42C3">
        <w:t>-</w:t>
      </w:r>
      <w:r>
        <w:t xml:space="preserve">filing investigation (count 25), we do not diminish the mitigating credit we assign for his pretrial Stipulation.  (See </w:t>
      </w:r>
      <w:r w:rsidRPr="00127D3B">
        <w:rPr>
          <w:i/>
        </w:rPr>
        <w:t>In the Matter of Sampson</w:t>
      </w:r>
      <w:r>
        <w:t xml:space="preserve"> (1994) 3 Cal. State Bar Ct. Rptr. 119, 132</w:t>
      </w:r>
      <w:r w:rsidRPr="001A1D69">
        <w:t>–</w:t>
      </w:r>
      <w:r>
        <w:t>133.)</w:t>
      </w:r>
    </w:p>
  </w:footnote>
  <w:footnote w:id="14">
    <w:p w14:paraId="52B0057B" w14:textId="6104D0ED" w:rsidR="003C1B45" w:rsidRDefault="003C1B45" w:rsidP="00C16F41">
      <w:pPr>
        <w:pStyle w:val="FootnoteText"/>
      </w:pPr>
      <w:r>
        <w:rPr>
          <w:rStyle w:val="FootnoteReference"/>
        </w:rPr>
        <w:footnoteRef/>
      </w:r>
      <w:r>
        <w:t xml:space="preserve"> The hearing judge accept</w:t>
      </w:r>
      <w:r w:rsidR="00085ABA">
        <w:t>ed</w:t>
      </w:r>
      <w:r>
        <w:t xml:space="preserve"> Dr. Addario’s </w:t>
      </w:r>
      <w:r w:rsidR="0009451E">
        <w:t xml:space="preserve">expert </w:t>
      </w:r>
      <w:r>
        <w:t>opinion</w:t>
      </w:r>
      <w:r w:rsidR="00085ABA">
        <w:t xml:space="preserve"> on the medical issues only and not as to whether</w:t>
      </w:r>
      <w:r>
        <w:t xml:space="preserve"> Gonzalez was fit to practice law. </w:t>
      </w:r>
    </w:p>
  </w:footnote>
  <w:footnote w:id="15">
    <w:p w14:paraId="3E1E1D50" w14:textId="77777777" w:rsidR="003C1B45" w:rsidRDefault="003C1B45" w:rsidP="00C16F41">
      <w:pPr>
        <w:pStyle w:val="TemplateFootnote"/>
      </w:pPr>
      <w:r>
        <w:rPr>
          <w:rStyle w:val="FootnoteReference"/>
        </w:rPr>
        <w:footnoteRef/>
      </w:r>
      <w:r>
        <w:t xml:space="preserve"> </w:t>
      </w:r>
      <w:r w:rsidRPr="0073476E">
        <w:t>The purpose of attorney discipline is not to punish the attorney, but to protect the public, the courts, and the legal profession</w:t>
      </w:r>
      <w:r>
        <w:t>;</w:t>
      </w:r>
      <w:r w:rsidRPr="0073476E">
        <w:t xml:space="preserve"> to </w:t>
      </w:r>
      <w:r>
        <w:t xml:space="preserve">maintain the highest professional standards; and to </w:t>
      </w:r>
      <w:r w:rsidRPr="0073476E">
        <w:t xml:space="preserve">preserve public confidence in the </w:t>
      </w:r>
      <w:r>
        <w:t xml:space="preserve">legal </w:t>
      </w:r>
      <w:r w:rsidRPr="0073476E">
        <w:t>profession</w:t>
      </w:r>
      <w:r>
        <w:t>.  (Std. </w:t>
      </w:r>
      <w:r w:rsidRPr="0073476E">
        <w:t>1.</w:t>
      </w:r>
      <w:r>
        <w:t xml:space="preserve">1.)  </w:t>
      </w:r>
    </w:p>
  </w:footnote>
  <w:footnote w:id="16">
    <w:p w14:paraId="7DE6A84C" w14:textId="4E8092A8" w:rsidR="00684206" w:rsidRDefault="00684206" w:rsidP="00EC7AAD">
      <w:pPr>
        <w:pStyle w:val="TemplateFootnote"/>
        <w:spacing w:after="120"/>
      </w:pPr>
      <w:r>
        <w:rPr>
          <w:rStyle w:val="FootnoteReference"/>
        </w:rPr>
        <w:footnoteRef/>
      </w:r>
      <w:r w:rsidR="00671037">
        <w:t xml:space="preserve"> In </w:t>
      </w:r>
      <w:r>
        <w:t xml:space="preserve">two separate proceedings, State Bar Court hearing judges have determined that Gonzalez </w:t>
      </w:r>
      <w:r w:rsidR="001A658E">
        <w:t>owes</w:t>
      </w:r>
      <w:r>
        <w:t xml:space="preserve"> clients a total of over $29,000 in unearned fees, yet no evidence credibly establishes he has made restitution.</w:t>
      </w:r>
      <w:r w:rsidRPr="00E20ABC">
        <w:t xml:space="preserve"> </w:t>
      </w:r>
      <w:r w:rsidR="004928A0">
        <w:t xml:space="preserve"> We reject Gonzalez’s argument that loss of his computer files prevented him from paying restitution</w:t>
      </w:r>
      <w:r w:rsidR="00164F1B">
        <w:t xml:space="preserve"> to his clients</w:t>
      </w:r>
      <w:r w:rsidR="001A658E">
        <w:t xml:space="preserve"> in the present case</w:t>
      </w:r>
      <w:r w:rsidR="004928A0">
        <w:t>.</w:t>
      </w:r>
      <w:r>
        <w:t xml:space="preserve"> </w:t>
      </w:r>
    </w:p>
  </w:footnote>
  <w:footnote w:id="17">
    <w:p w14:paraId="1CEBBE9E" w14:textId="34B9DE77" w:rsidR="003F1B69" w:rsidRPr="001223A2" w:rsidRDefault="003F1B69" w:rsidP="00C16F41">
      <w:pPr>
        <w:pStyle w:val="TemplateFootnote"/>
      </w:pPr>
      <w:r w:rsidRPr="001223A2">
        <w:rPr>
          <w:rStyle w:val="FootnoteReference"/>
          <w:szCs w:val="24"/>
        </w:rPr>
        <w:footnoteRef/>
      </w:r>
      <w:r w:rsidRPr="001223A2">
        <w:t xml:space="preserve"> Compare </w:t>
      </w:r>
      <w:r w:rsidRPr="001223A2">
        <w:rPr>
          <w:i/>
        </w:rPr>
        <w:t>Barnum v. State Bar</w:t>
      </w:r>
      <w:r>
        <w:rPr>
          <w:i/>
        </w:rPr>
        <w:t xml:space="preserve"> </w:t>
      </w:r>
      <w:r>
        <w:t>(1990)</w:t>
      </w:r>
      <w:r w:rsidRPr="001223A2">
        <w:t xml:space="preserve"> 52</w:t>
      </w:r>
      <w:r>
        <w:t> </w:t>
      </w:r>
      <w:r w:rsidRPr="001223A2">
        <w:t xml:space="preserve">Cal.3d </w:t>
      </w:r>
      <w:r>
        <w:t>104, </w:t>
      </w:r>
      <w:r w:rsidRPr="001223A2">
        <w:t>113 (disbarment where three prior disciplines</w:t>
      </w:r>
      <w:r>
        <w:t xml:space="preserve"> and</w:t>
      </w:r>
      <w:r w:rsidRPr="001223A2">
        <w:t xml:space="preserve"> depression was not “most compelling” mitigation when weighed against risk of recurrence of misconduct) and </w:t>
      </w:r>
      <w:r w:rsidRPr="001223A2">
        <w:rPr>
          <w:i/>
        </w:rPr>
        <w:t>In the Matter of Hunter</w:t>
      </w:r>
      <w:r w:rsidRPr="001223A2">
        <w:t xml:space="preserve"> (Review Dept. 1994) 3</w:t>
      </w:r>
      <w:r>
        <w:t> </w:t>
      </w:r>
      <w:r w:rsidRPr="001223A2">
        <w:t>Cal. State Bar Ct. Rptr. 63, 80 (disbarment where two prior disciplines</w:t>
      </w:r>
      <w:r w:rsidR="00683C0A">
        <w:t>,</w:t>
      </w:r>
      <w:r>
        <w:t xml:space="preserve"> attorney was u</w:t>
      </w:r>
      <w:r w:rsidRPr="001223A2">
        <w:t>nable to conform conduct to ethical norms</w:t>
      </w:r>
      <w:r>
        <w:t>, and</w:t>
      </w:r>
      <w:r w:rsidR="00683C0A">
        <w:t xml:space="preserve"> no mitigation)</w:t>
      </w:r>
      <w:r w:rsidRPr="001223A2">
        <w:t xml:space="preserve"> with </w:t>
      </w:r>
      <w:r w:rsidRPr="001223A2">
        <w:rPr>
          <w:i/>
        </w:rPr>
        <w:t>In</w:t>
      </w:r>
      <w:r w:rsidRPr="001223A2">
        <w:t xml:space="preserve"> </w:t>
      </w:r>
      <w:r w:rsidRPr="001223A2">
        <w:rPr>
          <w:i/>
        </w:rPr>
        <w:t>the Matter of Lawrence</w:t>
      </w:r>
      <w:r w:rsidRPr="001223A2">
        <w:t xml:space="preserve"> (Review Dept. 2013) 5</w:t>
      </w:r>
      <w:r>
        <w:t> </w:t>
      </w:r>
      <w:r w:rsidRPr="001223A2">
        <w:t>Cal. State Bar Ct. Rptr. 239, 246</w:t>
      </w:r>
      <w:r>
        <w:t>–</w:t>
      </w:r>
      <w:r w:rsidRPr="001223A2">
        <w:t>248 (three-year actual suspension where three prior disciplines</w:t>
      </w:r>
      <w:r>
        <w:t>,</w:t>
      </w:r>
      <w:r w:rsidRPr="001223A2">
        <w:t xml:space="preserve"> attorney suffered extreme physical disabilities that caused or contributed to misconduct for 30 years</w:t>
      </w:r>
      <w:r>
        <w:t>,</w:t>
      </w:r>
      <w:r w:rsidRPr="001223A2">
        <w:t xml:space="preserve"> and mitigation outweighed aggravation).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5B3"/>
    <w:multiLevelType w:val="hybridMultilevel"/>
    <w:tmpl w:val="C81438A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986CC5"/>
    <w:multiLevelType w:val="hybridMultilevel"/>
    <w:tmpl w:val="7896734E"/>
    <w:lvl w:ilvl="0" w:tplc="F63E2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B03B2"/>
    <w:multiLevelType w:val="hybridMultilevel"/>
    <w:tmpl w:val="EF0C30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9283A"/>
    <w:multiLevelType w:val="hybridMultilevel"/>
    <w:tmpl w:val="D8C0C12A"/>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581263E8"/>
    <w:multiLevelType w:val="hybridMultilevel"/>
    <w:tmpl w:val="6D4EC54C"/>
    <w:lvl w:ilvl="0" w:tplc="235CED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03CDF"/>
    <w:multiLevelType w:val="hybridMultilevel"/>
    <w:tmpl w:val="E99CC0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1D2DC2"/>
    <w:multiLevelType w:val="hybridMultilevel"/>
    <w:tmpl w:val="6030ADC8"/>
    <w:lvl w:ilvl="0" w:tplc="24567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attachedTemplate r:id="rId1"/>
  <w:defaultTabStop w:val="720"/>
  <w:drawingGridHorizontalSpacing w:val="120"/>
  <w:displayHorizontalDrawingGridEvery w:val="2"/>
  <w:characterSpacingControl w:val="doNotCompress"/>
  <w:hdrShapeDefaults>
    <o:shapedefaults v:ext="edit" spidmax="8396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E2"/>
    <w:rsid w:val="00001B48"/>
    <w:rsid w:val="00001FC6"/>
    <w:rsid w:val="00002586"/>
    <w:rsid w:val="000032F3"/>
    <w:rsid w:val="00005EDA"/>
    <w:rsid w:val="00007CB2"/>
    <w:rsid w:val="00010223"/>
    <w:rsid w:val="00012872"/>
    <w:rsid w:val="00015ABF"/>
    <w:rsid w:val="000168A1"/>
    <w:rsid w:val="000209B7"/>
    <w:rsid w:val="00021F68"/>
    <w:rsid w:val="00021F9E"/>
    <w:rsid w:val="000259AF"/>
    <w:rsid w:val="0003024B"/>
    <w:rsid w:val="00031E69"/>
    <w:rsid w:val="00033190"/>
    <w:rsid w:val="0003358E"/>
    <w:rsid w:val="00034887"/>
    <w:rsid w:val="00035FA4"/>
    <w:rsid w:val="000367FE"/>
    <w:rsid w:val="0004064A"/>
    <w:rsid w:val="0004081E"/>
    <w:rsid w:val="00042474"/>
    <w:rsid w:val="000474E3"/>
    <w:rsid w:val="00050BCD"/>
    <w:rsid w:val="000510E6"/>
    <w:rsid w:val="00056963"/>
    <w:rsid w:val="00057FD4"/>
    <w:rsid w:val="000614C5"/>
    <w:rsid w:val="00067AA6"/>
    <w:rsid w:val="0007138F"/>
    <w:rsid w:val="00071967"/>
    <w:rsid w:val="00071F72"/>
    <w:rsid w:val="00073806"/>
    <w:rsid w:val="000758AC"/>
    <w:rsid w:val="00076E94"/>
    <w:rsid w:val="00077459"/>
    <w:rsid w:val="00077DBA"/>
    <w:rsid w:val="000808B4"/>
    <w:rsid w:val="00084515"/>
    <w:rsid w:val="00085ABA"/>
    <w:rsid w:val="00086C14"/>
    <w:rsid w:val="00087800"/>
    <w:rsid w:val="00090FBD"/>
    <w:rsid w:val="00094070"/>
    <w:rsid w:val="0009451E"/>
    <w:rsid w:val="0009514A"/>
    <w:rsid w:val="00095AEB"/>
    <w:rsid w:val="000A1B45"/>
    <w:rsid w:val="000A21FD"/>
    <w:rsid w:val="000A3B5B"/>
    <w:rsid w:val="000B143D"/>
    <w:rsid w:val="000B14B8"/>
    <w:rsid w:val="000B42A3"/>
    <w:rsid w:val="000B42BD"/>
    <w:rsid w:val="000B79EB"/>
    <w:rsid w:val="000C1528"/>
    <w:rsid w:val="000C2159"/>
    <w:rsid w:val="000C29E3"/>
    <w:rsid w:val="000C3B76"/>
    <w:rsid w:val="000C4236"/>
    <w:rsid w:val="000C477C"/>
    <w:rsid w:val="000C514D"/>
    <w:rsid w:val="000C541E"/>
    <w:rsid w:val="000C7212"/>
    <w:rsid w:val="000D0015"/>
    <w:rsid w:val="000D2B5D"/>
    <w:rsid w:val="000D2F77"/>
    <w:rsid w:val="000D5871"/>
    <w:rsid w:val="000D6D91"/>
    <w:rsid w:val="000D7143"/>
    <w:rsid w:val="000D7C4D"/>
    <w:rsid w:val="000E2587"/>
    <w:rsid w:val="000E5452"/>
    <w:rsid w:val="000E7C27"/>
    <w:rsid w:val="000F0F74"/>
    <w:rsid w:val="000F2E5E"/>
    <w:rsid w:val="000F52C6"/>
    <w:rsid w:val="000F56B8"/>
    <w:rsid w:val="000F6757"/>
    <w:rsid w:val="0010015A"/>
    <w:rsid w:val="001013D0"/>
    <w:rsid w:val="001015CB"/>
    <w:rsid w:val="00101846"/>
    <w:rsid w:val="0010301C"/>
    <w:rsid w:val="00104975"/>
    <w:rsid w:val="00110633"/>
    <w:rsid w:val="0011409E"/>
    <w:rsid w:val="00114A93"/>
    <w:rsid w:val="00114FBA"/>
    <w:rsid w:val="00116720"/>
    <w:rsid w:val="00116BD8"/>
    <w:rsid w:val="0011718D"/>
    <w:rsid w:val="001207FA"/>
    <w:rsid w:val="001213EC"/>
    <w:rsid w:val="0012262F"/>
    <w:rsid w:val="00127D3B"/>
    <w:rsid w:val="00134E64"/>
    <w:rsid w:val="001357F6"/>
    <w:rsid w:val="00135CFF"/>
    <w:rsid w:val="00135F01"/>
    <w:rsid w:val="0014349E"/>
    <w:rsid w:val="0014519A"/>
    <w:rsid w:val="00152167"/>
    <w:rsid w:val="0015423F"/>
    <w:rsid w:val="00154345"/>
    <w:rsid w:val="00161E62"/>
    <w:rsid w:val="00162DB0"/>
    <w:rsid w:val="00164F1B"/>
    <w:rsid w:val="00166896"/>
    <w:rsid w:val="0016798A"/>
    <w:rsid w:val="00167BB0"/>
    <w:rsid w:val="00167C8E"/>
    <w:rsid w:val="001728DA"/>
    <w:rsid w:val="00173645"/>
    <w:rsid w:val="00175B80"/>
    <w:rsid w:val="00177DEA"/>
    <w:rsid w:val="00184A26"/>
    <w:rsid w:val="0018793E"/>
    <w:rsid w:val="00192221"/>
    <w:rsid w:val="00193E46"/>
    <w:rsid w:val="00194928"/>
    <w:rsid w:val="00194DD8"/>
    <w:rsid w:val="00196A78"/>
    <w:rsid w:val="001A05C1"/>
    <w:rsid w:val="001A1D69"/>
    <w:rsid w:val="001A4018"/>
    <w:rsid w:val="001A4C1C"/>
    <w:rsid w:val="001A658E"/>
    <w:rsid w:val="001A78EA"/>
    <w:rsid w:val="001A7DDF"/>
    <w:rsid w:val="001A7F71"/>
    <w:rsid w:val="001B244D"/>
    <w:rsid w:val="001B2998"/>
    <w:rsid w:val="001B727B"/>
    <w:rsid w:val="001C1153"/>
    <w:rsid w:val="001C25EA"/>
    <w:rsid w:val="001C3978"/>
    <w:rsid w:val="001C5319"/>
    <w:rsid w:val="001C7DD6"/>
    <w:rsid w:val="001C7DF9"/>
    <w:rsid w:val="001D167B"/>
    <w:rsid w:val="001D17D1"/>
    <w:rsid w:val="001E0ECD"/>
    <w:rsid w:val="001E1A7E"/>
    <w:rsid w:val="001E2C05"/>
    <w:rsid w:val="001E2C0E"/>
    <w:rsid w:val="001E2D0F"/>
    <w:rsid w:val="001E444E"/>
    <w:rsid w:val="001E6835"/>
    <w:rsid w:val="001F2AC0"/>
    <w:rsid w:val="001F3E8C"/>
    <w:rsid w:val="001F4CC0"/>
    <w:rsid w:val="001F7DDD"/>
    <w:rsid w:val="00200272"/>
    <w:rsid w:val="002029CE"/>
    <w:rsid w:val="00206D65"/>
    <w:rsid w:val="00207279"/>
    <w:rsid w:val="00207FCE"/>
    <w:rsid w:val="002117F6"/>
    <w:rsid w:val="002161F7"/>
    <w:rsid w:val="002241E7"/>
    <w:rsid w:val="002254D1"/>
    <w:rsid w:val="0022658A"/>
    <w:rsid w:val="00226B8B"/>
    <w:rsid w:val="00226D62"/>
    <w:rsid w:val="00227EE0"/>
    <w:rsid w:val="00230B20"/>
    <w:rsid w:val="002347E2"/>
    <w:rsid w:val="00234A2F"/>
    <w:rsid w:val="00241C36"/>
    <w:rsid w:val="002439AD"/>
    <w:rsid w:val="00245964"/>
    <w:rsid w:val="0024671D"/>
    <w:rsid w:val="00254835"/>
    <w:rsid w:val="0025707E"/>
    <w:rsid w:val="00257A5B"/>
    <w:rsid w:val="00257D95"/>
    <w:rsid w:val="0026397D"/>
    <w:rsid w:val="00264220"/>
    <w:rsid w:val="002645A7"/>
    <w:rsid w:val="00266717"/>
    <w:rsid w:val="002715DD"/>
    <w:rsid w:val="0027557A"/>
    <w:rsid w:val="002759D0"/>
    <w:rsid w:val="00275ADB"/>
    <w:rsid w:val="00277289"/>
    <w:rsid w:val="002806FC"/>
    <w:rsid w:val="00282BF3"/>
    <w:rsid w:val="00284DCC"/>
    <w:rsid w:val="00285312"/>
    <w:rsid w:val="00286FDC"/>
    <w:rsid w:val="00287E73"/>
    <w:rsid w:val="002959F2"/>
    <w:rsid w:val="00295CA8"/>
    <w:rsid w:val="002A1B75"/>
    <w:rsid w:val="002A25D7"/>
    <w:rsid w:val="002A2DEC"/>
    <w:rsid w:val="002A4230"/>
    <w:rsid w:val="002A4529"/>
    <w:rsid w:val="002A5D29"/>
    <w:rsid w:val="002A6E2A"/>
    <w:rsid w:val="002B1857"/>
    <w:rsid w:val="002B1D83"/>
    <w:rsid w:val="002C23D9"/>
    <w:rsid w:val="002C368C"/>
    <w:rsid w:val="002C3942"/>
    <w:rsid w:val="002C721C"/>
    <w:rsid w:val="002C7428"/>
    <w:rsid w:val="002C7732"/>
    <w:rsid w:val="002D12DD"/>
    <w:rsid w:val="002D32D7"/>
    <w:rsid w:val="002D40B5"/>
    <w:rsid w:val="002D7AD4"/>
    <w:rsid w:val="002D7F6A"/>
    <w:rsid w:val="002E1B89"/>
    <w:rsid w:val="002E35E4"/>
    <w:rsid w:val="002E7623"/>
    <w:rsid w:val="002F0286"/>
    <w:rsid w:val="002F2CEE"/>
    <w:rsid w:val="002F3A0B"/>
    <w:rsid w:val="002F683D"/>
    <w:rsid w:val="002F733A"/>
    <w:rsid w:val="00303092"/>
    <w:rsid w:val="00304E0A"/>
    <w:rsid w:val="00304E77"/>
    <w:rsid w:val="00310351"/>
    <w:rsid w:val="00316111"/>
    <w:rsid w:val="00321932"/>
    <w:rsid w:val="00322EDE"/>
    <w:rsid w:val="00324761"/>
    <w:rsid w:val="003255AE"/>
    <w:rsid w:val="0033020C"/>
    <w:rsid w:val="0033042E"/>
    <w:rsid w:val="00330870"/>
    <w:rsid w:val="00333B80"/>
    <w:rsid w:val="00334331"/>
    <w:rsid w:val="00334DA4"/>
    <w:rsid w:val="00335092"/>
    <w:rsid w:val="00335706"/>
    <w:rsid w:val="00337B81"/>
    <w:rsid w:val="00340E3B"/>
    <w:rsid w:val="003425D7"/>
    <w:rsid w:val="003443F0"/>
    <w:rsid w:val="00345944"/>
    <w:rsid w:val="00346997"/>
    <w:rsid w:val="003504AC"/>
    <w:rsid w:val="00350FA9"/>
    <w:rsid w:val="00353901"/>
    <w:rsid w:val="003548B9"/>
    <w:rsid w:val="00354D52"/>
    <w:rsid w:val="0035536A"/>
    <w:rsid w:val="00355E8C"/>
    <w:rsid w:val="003560FA"/>
    <w:rsid w:val="00361966"/>
    <w:rsid w:val="00362500"/>
    <w:rsid w:val="0036670A"/>
    <w:rsid w:val="00367C53"/>
    <w:rsid w:val="00371E31"/>
    <w:rsid w:val="00373BAE"/>
    <w:rsid w:val="00373F68"/>
    <w:rsid w:val="00374998"/>
    <w:rsid w:val="003778C1"/>
    <w:rsid w:val="00385F15"/>
    <w:rsid w:val="00386F71"/>
    <w:rsid w:val="00393577"/>
    <w:rsid w:val="00394391"/>
    <w:rsid w:val="003943E2"/>
    <w:rsid w:val="00394551"/>
    <w:rsid w:val="003A0FC5"/>
    <w:rsid w:val="003A26DE"/>
    <w:rsid w:val="003A39F6"/>
    <w:rsid w:val="003A3B94"/>
    <w:rsid w:val="003A6AAE"/>
    <w:rsid w:val="003A6B6D"/>
    <w:rsid w:val="003B0B87"/>
    <w:rsid w:val="003B25E5"/>
    <w:rsid w:val="003B46EE"/>
    <w:rsid w:val="003B60A9"/>
    <w:rsid w:val="003C01B1"/>
    <w:rsid w:val="003C0C69"/>
    <w:rsid w:val="003C1B45"/>
    <w:rsid w:val="003C20D6"/>
    <w:rsid w:val="003C280C"/>
    <w:rsid w:val="003C4066"/>
    <w:rsid w:val="003C4F94"/>
    <w:rsid w:val="003C756B"/>
    <w:rsid w:val="003D1DFE"/>
    <w:rsid w:val="003D64DC"/>
    <w:rsid w:val="003E17EB"/>
    <w:rsid w:val="003E4315"/>
    <w:rsid w:val="003E5DBD"/>
    <w:rsid w:val="003E794E"/>
    <w:rsid w:val="003E7A43"/>
    <w:rsid w:val="003F0747"/>
    <w:rsid w:val="003F1B69"/>
    <w:rsid w:val="003F2889"/>
    <w:rsid w:val="003F5373"/>
    <w:rsid w:val="003F5807"/>
    <w:rsid w:val="003F593E"/>
    <w:rsid w:val="003F772A"/>
    <w:rsid w:val="004015E2"/>
    <w:rsid w:val="00402547"/>
    <w:rsid w:val="00403116"/>
    <w:rsid w:val="00404839"/>
    <w:rsid w:val="00406FC5"/>
    <w:rsid w:val="00407026"/>
    <w:rsid w:val="004121CA"/>
    <w:rsid w:val="00412E6B"/>
    <w:rsid w:val="00413ABC"/>
    <w:rsid w:val="0041406C"/>
    <w:rsid w:val="00414E3B"/>
    <w:rsid w:val="004169FD"/>
    <w:rsid w:val="00420311"/>
    <w:rsid w:val="004242FC"/>
    <w:rsid w:val="0042474E"/>
    <w:rsid w:val="00424943"/>
    <w:rsid w:val="004255AB"/>
    <w:rsid w:val="00426618"/>
    <w:rsid w:val="0042692F"/>
    <w:rsid w:val="004310E7"/>
    <w:rsid w:val="0043317A"/>
    <w:rsid w:val="00437002"/>
    <w:rsid w:val="004416A9"/>
    <w:rsid w:val="004443BA"/>
    <w:rsid w:val="00444465"/>
    <w:rsid w:val="00445B9B"/>
    <w:rsid w:val="00445BC9"/>
    <w:rsid w:val="004463B9"/>
    <w:rsid w:val="0044663C"/>
    <w:rsid w:val="004503D1"/>
    <w:rsid w:val="00450640"/>
    <w:rsid w:val="004514B4"/>
    <w:rsid w:val="00451901"/>
    <w:rsid w:val="00454B61"/>
    <w:rsid w:val="00460454"/>
    <w:rsid w:val="00462C08"/>
    <w:rsid w:val="00463693"/>
    <w:rsid w:val="00465448"/>
    <w:rsid w:val="004657B7"/>
    <w:rsid w:val="00465C0A"/>
    <w:rsid w:val="00466B96"/>
    <w:rsid w:val="00467CB0"/>
    <w:rsid w:val="00470775"/>
    <w:rsid w:val="0047552D"/>
    <w:rsid w:val="00477E34"/>
    <w:rsid w:val="0048270E"/>
    <w:rsid w:val="004831E4"/>
    <w:rsid w:val="0048420D"/>
    <w:rsid w:val="00487501"/>
    <w:rsid w:val="00491772"/>
    <w:rsid w:val="004927C6"/>
    <w:rsid w:val="004928A0"/>
    <w:rsid w:val="004940A1"/>
    <w:rsid w:val="00495595"/>
    <w:rsid w:val="00495F5E"/>
    <w:rsid w:val="00497477"/>
    <w:rsid w:val="00497A94"/>
    <w:rsid w:val="00497CE4"/>
    <w:rsid w:val="004A07BD"/>
    <w:rsid w:val="004A3C57"/>
    <w:rsid w:val="004A449B"/>
    <w:rsid w:val="004A6FE4"/>
    <w:rsid w:val="004B1308"/>
    <w:rsid w:val="004B3B3D"/>
    <w:rsid w:val="004B401A"/>
    <w:rsid w:val="004B46FD"/>
    <w:rsid w:val="004B4B6B"/>
    <w:rsid w:val="004B4E58"/>
    <w:rsid w:val="004B5470"/>
    <w:rsid w:val="004B7771"/>
    <w:rsid w:val="004C14E1"/>
    <w:rsid w:val="004C3709"/>
    <w:rsid w:val="004C3AC0"/>
    <w:rsid w:val="004C3DC9"/>
    <w:rsid w:val="004C659D"/>
    <w:rsid w:val="004C6666"/>
    <w:rsid w:val="004C775C"/>
    <w:rsid w:val="004C7A9B"/>
    <w:rsid w:val="004D110E"/>
    <w:rsid w:val="004D15F8"/>
    <w:rsid w:val="004D1B70"/>
    <w:rsid w:val="004D3FB7"/>
    <w:rsid w:val="004D4245"/>
    <w:rsid w:val="004E0ED4"/>
    <w:rsid w:val="004E2C66"/>
    <w:rsid w:val="004E2E7B"/>
    <w:rsid w:val="004E6E33"/>
    <w:rsid w:val="004E782D"/>
    <w:rsid w:val="004F2026"/>
    <w:rsid w:val="004F4A5F"/>
    <w:rsid w:val="004F6D7C"/>
    <w:rsid w:val="004F746D"/>
    <w:rsid w:val="005038C3"/>
    <w:rsid w:val="00505128"/>
    <w:rsid w:val="00505DAB"/>
    <w:rsid w:val="005061AD"/>
    <w:rsid w:val="005067B3"/>
    <w:rsid w:val="005079DD"/>
    <w:rsid w:val="005120BC"/>
    <w:rsid w:val="00512B66"/>
    <w:rsid w:val="0051316A"/>
    <w:rsid w:val="00513391"/>
    <w:rsid w:val="00513FCB"/>
    <w:rsid w:val="00514507"/>
    <w:rsid w:val="0051528A"/>
    <w:rsid w:val="00515E84"/>
    <w:rsid w:val="00516EC9"/>
    <w:rsid w:val="005170D6"/>
    <w:rsid w:val="0052142D"/>
    <w:rsid w:val="00521ABD"/>
    <w:rsid w:val="00522B1A"/>
    <w:rsid w:val="00524112"/>
    <w:rsid w:val="005253E4"/>
    <w:rsid w:val="005264F8"/>
    <w:rsid w:val="00527A1B"/>
    <w:rsid w:val="00530B18"/>
    <w:rsid w:val="0053563C"/>
    <w:rsid w:val="00535BFC"/>
    <w:rsid w:val="005413D8"/>
    <w:rsid w:val="00542E73"/>
    <w:rsid w:val="005438A5"/>
    <w:rsid w:val="0054440A"/>
    <w:rsid w:val="005453E8"/>
    <w:rsid w:val="0055001C"/>
    <w:rsid w:val="0055278F"/>
    <w:rsid w:val="0055407B"/>
    <w:rsid w:val="005541EF"/>
    <w:rsid w:val="0055646D"/>
    <w:rsid w:val="005612F5"/>
    <w:rsid w:val="00561F46"/>
    <w:rsid w:val="00572B78"/>
    <w:rsid w:val="00572DCA"/>
    <w:rsid w:val="00573DDE"/>
    <w:rsid w:val="00582A35"/>
    <w:rsid w:val="00582BAB"/>
    <w:rsid w:val="005832DC"/>
    <w:rsid w:val="0058410F"/>
    <w:rsid w:val="005844D2"/>
    <w:rsid w:val="0058760B"/>
    <w:rsid w:val="005936B1"/>
    <w:rsid w:val="0059699F"/>
    <w:rsid w:val="005A3F15"/>
    <w:rsid w:val="005A49D5"/>
    <w:rsid w:val="005A57C3"/>
    <w:rsid w:val="005A615F"/>
    <w:rsid w:val="005A6CDB"/>
    <w:rsid w:val="005A769D"/>
    <w:rsid w:val="005B0595"/>
    <w:rsid w:val="005B10AA"/>
    <w:rsid w:val="005B46D8"/>
    <w:rsid w:val="005B6F1A"/>
    <w:rsid w:val="005C28BC"/>
    <w:rsid w:val="005C39BB"/>
    <w:rsid w:val="005C6C5B"/>
    <w:rsid w:val="005D0E38"/>
    <w:rsid w:val="005D16B5"/>
    <w:rsid w:val="005D298F"/>
    <w:rsid w:val="005D3477"/>
    <w:rsid w:val="005D51BF"/>
    <w:rsid w:val="005D51C7"/>
    <w:rsid w:val="005D5CD6"/>
    <w:rsid w:val="005D6FD1"/>
    <w:rsid w:val="005E03EB"/>
    <w:rsid w:val="005E313D"/>
    <w:rsid w:val="005E3151"/>
    <w:rsid w:val="005E4511"/>
    <w:rsid w:val="005E5574"/>
    <w:rsid w:val="005E64C5"/>
    <w:rsid w:val="005E6703"/>
    <w:rsid w:val="005E7C49"/>
    <w:rsid w:val="005F13DB"/>
    <w:rsid w:val="005F1885"/>
    <w:rsid w:val="005F1A58"/>
    <w:rsid w:val="005F48B2"/>
    <w:rsid w:val="005F4B24"/>
    <w:rsid w:val="005F7462"/>
    <w:rsid w:val="005F7D62"/>
    <w:rsid w:val="00602A27"/>
    <w:rsid w:val="00604FA8"/>
    <w:rsid w:val="0060579D"/>
    <w:rsid w:val="006122BB"/>
    <w:rsid w:val="00613764"/>
    <w:rsid w:val="00613C1B"/>
    <w:rsid w:val="0061626B"/>
    <w:rsid w:val="006212A1"/>
    <w:rsid w:val="00631302"/>
    <w:rsid w:val="00631AF6"/>
    <w:rsid w:val="00632AAF"/>
    <w:rsid w:val="00634B0F"/>
    <w:rsid w:val="006376AC"/>
    <w:rsid w:val="006404E6"/>
    <w:rsid w:val="00640A0F"/>
    <w:rsid w:val="00641C16"/>
    <w:rsid w:val="006440CE"/>
    <w:rsid w:val="0064476C"/>
    <w:rsid w:val="00645A41"/>
    <w:rsid w:val="00650A1F"/>
    <w:rsid w:val="0065250C"/>
    <w:rsid w:val="0065347A"/>
    <w:rsid w:val="0065430D"/>
    <w:rsid w:val="006556CD"/>
    <w:rsid w:val="00660801"/>
    <w:rsid w:val="0066176B"/>
    <w:rsid w:val="006617E8"/>
    <w:rsid w:val="00662807"/>
    <w:rsid w:val="00663970"/>
    <w:rsid w:val="0066607C"/>
    <w:rsid w:val="00667327"/>
    <w:rsid w:val="0067075A"/>
    <w:rsid w:val="00671037"/>
    <w:rsid w:val="00672B9B"/>
    <w:rsid w:val="00672EDB"/>
    <w:rsid w:val="00675CFF"/>
    <w:rsid w:val="00675F82"/>
    <w:rsid w:val="00680D8A"/>
    <w:rsid w:val="00683C0A"/>
    <w:rsid w:val="00684206"/>
    <w:rsid w:val="00684ADB"/>
    <w:rsid w:val="0068505B"/>
    <w:rsid w:val="0068562B"/>
    <w:rsid w:val="006859F3"/>
    <w:rsid w:val="00687623"/>
    <w:rsid w:val="00691D9B"/>
    <w:rsid w:val="00693283"/>
    <w:rsid w:val="0069342A"/>
    <w:rsid w:val="00697A68"/>
    <w:rsid w:val="006A0C0F"/>
    <w:rsid w:val="006A2551"/>
    <w:rsid w:val="006A36AD"/>
    <w:rsid w:val="006A4FFD"/>
    <w:rsid w:val="006B08A0"/>
    <w:rsid w:val="006B42DA"/>
    <w:rsid w:val="006B4EA6"/>
    <w:rsid w:val="006C1BEC"/>
    <w:rsid w:val="006C296F"/>
    <w:rsid w:val="006C2F20"/>
    <w:rsid w:val="006C4890"/>
    <w:rsid w:val="006C56E2"/>
    <w:rsid w:val="006C6F88"/>
    <w:rsid w:val="006C7847"/>
    <w:rsid w:val="006C7C42"/>
    <w:rsid w:val="006C7D3D"/>
    <w:rsid w:val="006D05CB"/>
    <w:rsid w:val="006D0DFD"/>
    <w:rsid w:val="006D3304"/>
    <w:rsid w:val="006D3441"/>
    <w:rsid w:val="006D356A"/>
    <w:rsid w:val="006D6009"/>
    <w:rsid w:val="006D79EA"/>
    <w:rsid w:val="006D79EC"/>
    <w:rsid w:val="006E0585"/>
    <w:rsid w:val="006E1412"/>
    <w:rsid w:val="006E3710"/>
    <w:rsid w:val="006E571B"/>
    <w:rsid w:val="006E5D88"/>
    <w:rsid w:val="006F137B"/>
    <w:rsid w:val="006F2A54"/>
    <w:rsid w:val="006F3AF2"/>
    <w:rsid w:val="006F50E7"/>
    <w:rsid w:val="006F5AC9"/>
    <w:rsid w:val="006F6FC3"/>
    <w:rsid w:val="006F7E53"/>
    <w:rsid w:val="00705A81"/>
    <w:rsid w:val="007126C5"/>
    <w:rsid w:val="007144A9"/>
    <w:rsid w:val="00714FA7"/>
    <w:rsid w:val="00715D18"/>
    <w:rsid w:val="007164BB"/>
    <w:rsid w:val="00716C3B"/>
    <w:rsid w:val="0072383E"/>
    <w:rsid w:val="00723D9C"/>
    <w:rsid w:val="007255AA"/>
    <w:rsid w:val="00725975"/>
    <w:rsid w:val="007266BC"/>
    <w:rsid w:val="00727839"/>
    <w:rsid w:val="0073119A"/>
    <w:rsid w:val="00734046"/>
    <w:rsid w:val="00734070"/>
    <w:rsid w:val="00734A61"/>
    <w:rsid w:val="007350EC"/>
    <w:rsid w:val="00737ECD"/>
    <w:rsid w:val="00744DE3"/>
    <w:rsid w:val="00745560"/>
    <w:rsid w:val="00753956"/>
    <w:rsid w:val="0075432A"/>
    <w:rsid w:val="007548BC"/>
    <w:rsid w:val="00755351"/>
    <w:rsid w:val="00761168"/>
    <w:rsid w:val="00761C91"/>
    <w:rsid w:val="00761DB9"/>
    <w:rsid w:val="007623D7"/>
    <w:rsid w:val="00762D35"/>
    <w:rsid w:val="00763FF4"/>
    <w:rsid w:val="007641E6"/>
    <w:rsid w:val="0076430F"/>
    <w:rsid w:val="00765815"/>
    <w:rsid w:val="00772B4C"/>
    <w:rsid w:val="00773FDE"/>
    <w:rsid w:val="007768C9"/>
    <w:rsid w:val="00782911"/>
    <w:rsid w:val="00783AF1"/>
    <w:rsid w:val="00783B73"/>
    <w:rsid w:val="007848C6"/>
    <w:rsid w:val="007902AE"/>
    <w:rsid w:val="00794622"/>
    <w:rsid w:val="00794C41"/>
    <w:rsid w:val="00794C46"/>
    <w:rsid w:val="007966A2"/>
    <w:rsid w:val="00796954"/>
    <w:rsid w:val="00797456"/>
    <w:rsid w:val="007A554A"/>
    <w:rsid w:val="007A6E2D"/>
    <w:rsid w:val="007A6FEE"/>
    <w:rsid w:val="007A7283"/>
    <w:rsid w:val="007A7FF8"/>
    <w:rsid w:val="007B0588"/>
    <w:rsid w:val="007B0A49"/>
    <w:rsid w:val="007B0F17"/>
    <w:rsid w:val="007B3BCD"/>
    <w:rsid w:val="007B66EE"/>
    <w:rsid w:val="007C1FA1"/>
    <w:rsid w:val="007C358A"/>
    <w:rsid w:val="007C6025"/>
    <w:rsid w:val="007C6C88"/>
    <w:rsid w:val="007D0F6C"/>
    <w:rsid w:val="007D6A75"/>
    <w:rsid w:val="007D7B3B"/>
    <w:rsid w:val="007D7C01"/>
    <w:rsid w:val="007E0CAB"/>
    <w:rsid w:val="007E397B"/>
    <w:rsid w:val="007E6006"/>
    <w:rsid w:val="007E65BD"/>
    <w:rsid w:val="007E6F19"/>
    <w:rsid w:val="007F1964"/>
    <w:rsid w:val="007F19EE"/>
    <w:rsid w:val="007F4E9F"/>
    <w:rsid w:val="007F537A"/>
    <w:rsid w:val="008001EB"/>
    <w:rsid w:val="00801820"/>
    <w:rsid w:val="0080374D"/>
    <w:rsid w:val="008078F3"/>
    <w:rsid w:val="00810A67"/>
    <w:rsid w:val="008119B2"/>
    <w:rsid w:val="00811D40"/>
    <w:rsid w:val="008156A1"/>
    <w:rsid w:val="00816EBE"/>
    <w:rsid w:val="008177EE"/>
    <w:rsid w:val="00827E01"/>
    <w:rsid w:val="00827FE5"/>
    <w:rsid w:val="00831204"/>
    <w:rsid w:val="00832272"/>
    <w:rsid w:val="00833D3F"/>
    <w:rsid w:val="00835F54"/>
    <w:rsid w:val="00836B2E"/>
    <w:rsid w:val="008410DB"/>
    <w:rsid w:val="00842422"/>
    <w:rsid w:val="00843115"/>
    <w:rsid w:val="008465AA"/>
    <w:rsid w:val="00850641"/>
    <w:rsid w:val="00851B60"/>
    <w:rsid w:val="008546CD"/>
    <w:rsid w:val="00855520"/>
    <w:rsid w:val="00857C84"/>
    <w:rsid w:val="00857D66"/>
    <w:rsid w:val="008605D6"/>
    <w:rsid w:val="00863D48"/>
    <w:rsid w:val="00864078"/>
    <w:rsid w:val="00864774"/>
    <w:rsid w:val="00866B2E"/>
    <w:rsid w:val="008705D1"/>
    <w:rsid w:val="00872CB7"/>
    <w:rsid w:val="00873F23"/>
    <w:rsid w:val="00877C76"/>
    <w:rsid w:val="00883932"/>
    <w:rsid w:val="00886B4F"/>
    <w:rsid w:val="00887054"/>
    <w:rsid w:val="00892F3B"/>
    <w:rsid w:val="0089345A"/>
    <w:rsid w:val="00893807"/>
    <w:rsid w:val="00893FE3"/>
    <w:rsid w:val="00894309"/>
    <w:rsid w:val="0089452B"/>
    <w:rsid w:val="00896BBD"/>
    <w:rsid w:val="00897C84"/>
    <w:rsid w:val="008A154E"/>
    <w:rsid w:val="008A3900"/>
    <w:rsid w:val="008A4688"/>
    <w:rsid w:val="008A58D1"/>
    <w:rsid w:val="008A5C46"/>
    <w:rsid w:val="008A6020"/>
    <w:rsid w:val="008A6BCA"/>
    <w:rsid w:val="008B1231"/>
    <w:rsid w:val="008B5EEA"/>
    <w:rsid w:val="008B66F7"/>
    <w:rsid w:val="008B708F"/>
    <w:rsid w:val="008B7E02"/>
    <w:rsid w:val="008C089F"/>
    <w:rsid w:val="008C0C8D"/>
    <w:rsid w:val="008C46D1"/>
    <w:rsid w:val="008C51CE"/>
    <w:rsid w:val="008C730E"/>
    <w:rsid w:val="008D585A"/>
    <w:rsid w:val="008E1233"/>
    <w:rsid w:val="008E13C2"/>
    <w:rsid w:val="008E3541"/>
    <w:rsid w:val="008E3592"/>
    <w:rsid w:val="008E4725"/>
    <w:rsid w:val="008F3169"/>
    <w:rsid w:val="008F351F"/>
    <w:rsid w:val="008F35F1"/>
    <w:rsid w:val="008F36DD"/>
    <w:rsid w:val="008F3A97"/>
    <w:rsid w:val="008F41E5"/>
    <w:rsid w:val="008F78B9"/>
    <w:rsid w:val="00902813"/>
    <w:rsid w:val="00904B40"/>
    <w:rsid w:val="00905226"/>
    <w:rsid w:val="0090631E"/>
    <w:rsid w:val="00906956"/>
    <w:rsid w:val="00906AFB"/>
    <w:rsid w:val="00906EE2"/>
    <w:rsid w:val="00911AA3"/>
    <w:rsid w:val="009128D1"/>
    <w:rsid w:val="0091328C"/>
    <w:rsid w:val="00913B4B"/>
    <w:rsid w:val="00914890"/>
    <w:rsid w:val="00915815"/>
    <w:rsid w:val="0092010F"/>
    <w:rsid w:val="009216E0"/>
    <w:rsid w:val="009219D6"/>
    <w:rsid w:val="00922DB2"/>
    <w:rsid w:val="00923CEF"/>
    <w:rsid w:val="00926019"/>
    <w:rsid w:val="00926A41"/>
    <w:rsid w:val="009310D8"/>
    <w:rsid w:val="009316DE"/>
    <w:rsid w:val="0093259D"/>
    <w:rsid w:val="009355BD"/>
    <w:rsid w:val="00935853"/>
    <w:rsid w:val="00935A53"/>
    <w:rsid w:val="0094172D"/>
    <w:rsid w:val="00943692"/>
    <w:rsid w:val="00943B22"/>
    <w:rsid w:val="00944826"/>
    <w:rsid w:val="00945C20"/>
    <w:rsid w:val="00947568"/>
    <w:rsid w:val="0095026B"/>
    <w:rsid w:val="00951377"/>
    <w:rsid w:val="00956891"/>
    <w:rsid w:val="00961AED"/>
    <w:rsid w:val="00962599"/>
    <w:rsid w:val="0096692E"/>
    <w:rsid w:val="009671B9"/>
    <w:rsid w:val="00970CD8"/>
    <w:rsid w:val="00973C8D"/>
    <w:rsid w:val="00975D06"/>
    <w:rsid w:val="0097653F"/>
    <w:rsid w:val="00976D3C"/>
    <w:rsid w:val="00977CBE"/>
    <w:rsid w:val="00982325"/>
    <w:rsid w:val="00985ED4"/>
    <w:rsid w:val="009863DF"/>
    <w:rsid w:val="0098758B"/>
    <w:rsid w:val="00990294"/>
    <w:rsid w:val="00991BF6"/>
    <w:rsid w:val="009927E9"/>
    <w:rsid w:val="00997CB6"/>
    <w:rsid w:val="009A20FB"/>
    <w:rsid w:val="009A2F9F"/>
    <w:rsid w:val="009A41F2"/>
    <w:rsid w:val="009A6B81"/>
    <w:rsid w:val="009B030E"/>
    <w:rsid w:val="009B04A9"/>
    <w:rsid w:val="009B4EF1"/>
    <w:rsid w:val="009B5193"/>
    <w:rsid w:val="009B6DC5"/>
    <w:rsid w:val="009B7A4C"/>
    <w:rsid w:val="009C2101"/>
    <w:rsid w:val="009C3A93"/>
    <w:rsid w:val="009C4F19"/>
    <w:rsid w:val="009C51EA"/>
    <w:rsid w:val="009D2312"/>
    <w:rsid w:val="009D3F4D"/>
    <w:rsid w:val="009D67A3"/>
    <w:rsid w:val="009D6927"/>
    <w:rsid w:val="009E0A3E"/>
    <w:rsid w:val="009E3081"/>
    <w:rsid w:val="009E58AB"/>
    <w:rsid w:val="009E6C77"/>
    <w:rsid w:val="009F0BBE"/>
    <w:rsid w:val="009F3BBA"/>
    <w:rsid w:val="009F3E95"/>
    <w:rsid w:val="009F7014"/>
    <w:rsid w:val="009F7237"/>
    <w:rsid w:val="009F74FC"/>
    <w:rsid w:val="00A06239"/>
    <w:rsid w:val="00A0733C"/>
    <w:rsid w:val="00A07497"/>
    <w:rsid w:val="00A14A38"/>
    <w:rsid w:val="00A21C6E"/>
    <w:rsid w:val="00A272C3"/>
    <w:rsid w:val="00A32681"/>
    <w:rsid w:val="00A32777"/>
    <w:rsid w:val="00A32C0A"/>
    <w:rsid w:val="00A334FD"/>
    <w:rsid w:val="00A33C8E"/>
    <w:rsid w:val="00A41F4E"/>
    <w:rsid w:val="00A44446"/>
    <w:rsid w:val="00A50D18"/>
    <w:rsid w:val="00A532C8"/>
    <w:rsid w:val="00A57356"/>
    <w:rsid w:val="00A62EF9"/>
    <w:rsid w:val="00A63437"/>
    <w:rsid w:val="00A66037"/>
    <w:rsid w:val="00A67B36"/>
    <w:rsid w:val="00A72010"/>
    <w:rsid w:val="00A75689"/>
    <w:rsid w:val="00A760FE"/>
    <w:rsid w:val="00A771EF"/>
    <w:rsid w:val="00A801D8"/>
    <w:rsid w:val="00A8072A"/>
    <w:rsid w:val="00A84475"/>
    <w:rsid w:val="00A84F57"/>
    <w:rsid w:val="00A87FE6"/>
    <w:rsid w:val="00A9201B"/>
    <w:rsid w:val="00A93506"/>
    <w:rsid w:val="00A93F9A"/>
    <w:rsid w:val="00A945D6"/>
    <w:rsid w:val="00A94880"/>
    <w:rsid w:val="00A97CBA"/>
    <w:rsid w:val="00AA08F4"/>
    <w:rsid w:val="00AA0FAE"/>
    <w:rsid w:val="00AA11A9"/>
    <w:rsid w:val="00AA151E"/>
    <w:rsid w:val="00AA630E"/>
    <w:rsid w:val="00AB0B4E"/>
    <w:rsid w:val="00AB0F42"/>
    <w:rsid w:val="00AB5C0C"/>
    <w:rsid w:val="00AB74AF"/>
    <w:rsid w:val="00AB7821"/>
    <w:rsid w:val="00AC03B5"/>
    <w:rsid w:val="00AC4271"/>
    <w:rsid w:val="00AC4F4A"/>
    <w:rsid w:val="00AC6B88"/>
    <w:rsid w:val="00AC6CFF"/>
    <w:rsid w:val="00AC6DFB"/>
    <w:rsid w:val="00AC73EC"/>
    <w:rsid w:val="00AD12FF"/>
    <w:rsid w:val="00AD3920"/>
    <w:rsid w:val="00AD3D4A"/>
    <w:rsid w:val="00AD3FBF"/>
    <w:rsid w:val="00AE1051"/>
    <w:rsid w:val="00AE1968"/>
    <w:rsid w:val="00AE2303"/>
    <w:rsid w:val="00AE3CFD"/>
    <w:rsid w:val="00AE4696"/>
    <w:rsid w:val="00AE7F21"/>
    <w:rsid w:val="00AF0DED"/>
    <w:rsid w:val="00AF52F7"/>
    <w:rsid w:val="00AF5BC8"/>
    <w:rsid w:val="00AF7505"/>
    <w:rsid w:val="00AF7843"/>
    <w:rsid w:val="00AF7C09"/>
    <w:rsid w:val="00B0253D"/>
    <w:rsid w:val="00B032A3"/>
    <w:rsid w:val="00B0406D"/>
    <w:rsid w:val="00B06B36"/>
    <w:rsid w:val="00B1101B"/>
    <w:rsid w:val="00B1288A"/>
    <w:rsid w:val="00B12B1D"/>
    <w:rsid w:val="00B12CF7"/>
    <w:rsid w:val="00B15CE6"/>
    <w:rsid w:val="00B20581"/>
    <w:rsid w:val="00B27977"/>
    <w:rsid w:val="00B27DC9"/>
    <w:rsid w:val="00B3082B"/>
    <w:rsid w:val="00B32B26"/>
    <w:rsid w:val="00B353E2"/>
    <w:rsid w:val="00B3671E"/>
    <w:rsid w:val="00B404AC"/>
    <w:rsid w:val="00B41233"/>
    <w:rsid w:val="00B4132D"/>
    <w:rsid w:val="00B421AC"/>
    <w:rsid w:val="00B4532D"/>
    <w:rsid w:val="00B47137"/>
    <w:rsid w:val="00B518F8"/>
    <w:rsid w:val="00B55EA6"/>
    <w:rsid w:val="00B5686B"/>
    <w:rsid w:val="00B6024E"/>
    <w:rsid w:val="00B6092C"/>
    <w:rsid w:val="00B60B7E"/>
    <w:rsid w:val="00B62DB9"/>
    <w:rsid w:val="00B65AE7"/>
    <w:rsid w:val="00B71D1A"/>
    <w:rsid w:val="00B73447"/>
    <w:rsid w:val="00B7512C"/>
    <w:rsid w:val="00B76640"/>
    <w:rsid w:val="00B7731D"/>
    <w:rsid w:val="00B80EEE"/>
    <w:rsid w:val="00B81AAE"/>
    <w:rsid w:val="00B8479E"/>
    <w:rsid w:val="00B84F41"/>
    <w:rsid w:val="00B92689"/>
    <w:rsid w:val="00B94017"/>
    <w:rsid w:val="00B957F8"/>
    <w:rsid w:val="00B96EBA"/>
    <w:rsid w:val="00B96F94"/>
    <w:rsid w:val="00B97FD8"/>
    <w:rsid w:val="00BA08E9"/>
    <w:rsid w:val="00BA205D"/>
    <w:rsid w:val="00BA2841"/>
    <w:rsid w:val="00BA30EE"/>
    <w:rsid w:val="00BA7124"/>
    <w:rsid w:val="00BA775D"/>
    <w:rsid w:val="00BB49BF"/>
    <w:rsid w:val="00BC0FF7"/>
    <w:rsid w:val="00BC17DB"/>
    <w:rsid w:val="00BC2AFF"/>
    <w:rsid w:val="00BC2EB2"/>
    <w:rsid w:val="00BC5F88"/>
    <w:rsid w:val="00BC6ED1"/>
    <w:rsid w:val="00BC7DAC"/>
    <w:rsid w:val="00BD182E"/>
    <w:rsid w:val="00BD222C"/>
    <w:rsid w:val="00BD264D"/>
    <w:rsid w:val="00BD4A87"/>
    <w:rsid w:val="00BD63DE"/>
    <w:rsid w:val="00BD6B34"/>
    <w:rsid w:val="00BE0679"/>
    <w:rsid w:val="00BE3950"/>
    <w:rsid w:val="00BE5FE3"/>
    <w:rsid w:val="00BE7E90"/>
    <w:rsid w:val="00BF2530"/>
    <w:rsid w:val="00BF41DF"/>
    <w:rsid w:val="00BF58ED"/>
    <w:rsid w:val="00BF5A4F"/>
    <w:rsid w:val="00BF5CC0"/>
    <w:rsid w:val="00BF67C5"/>
    <w:rsid w:val="00C0141E"/>
    <w:rsid w:val="00C0215D"/>
    <w:rsid w:val="00C0293E"/>
    <w:rsid w:val="00C04FA7"/>
    <w:rsid w:val="00C050CE"/>
    <w:rsid w:val="00C061DA"/>
    <w:rsid w:val="00C06F1A"/>
    <w:rsid w:val="00C072A7"/>
    <w:rsid w:val="00C11CC8"/>
    <w:rsid w:val="00C133D9"/>
    <w:rsid w:val="00C15AB2"/>
    <w:rsid w:val="00C15D72"/>
    <w:rsid w:val="00C16F41"/>
    <w:rsid w:val="00C17063"/>
    <w:rsid w:val="00C2204D"/>
    <w:rsid w:val="00C234B3"/>
    <w:rsid w:val="00C2402F"/>
    <w:rsid w:val="00C25D02"/>
    <w:rsid w:val="00C3096D"/>
    <w:rsid w:val="00C323DB"/>
    <w:rsid w:val="00C40D6A"/>
    <w:rsid w:val="00C4199B"/>
    <w:rsid w:val="00C434D8"/>
    <w:rsid w:val="00C4380C"/>
    <w:rsid w:val="00C475EF"/>
    <w:rsid w:val="00C51347"/>
    <w:rsid w:val="00C51659"/>
    <w:rsid w:val="00C53C5E"/>
    <w:rsid w:val="00C6002F"/>
    <w:rsid w:val="00C614A8"/>
    <w:rsid w:val="00C61515"/>
    <w:rsid w:val="00C620A4"/>
    <w:rsid w:val="00C63435"/>
    <w:rsid w:val="00C65A8C"/>
    <w:rsid w:val="00C6630D"/>
    <w:rsid w:val="00C67989"/>
    <w:rsid w:val="00C71EE5"/>
    <w:rsid w:val="00C720F7"/>
    <w:rsid w:val="00C756EB"/>
    <w:rsid w:val="00C76C5B"/>
    <w:rsid w:val="00C779E3"/>
    <w:rsid w:val="00C868B5"/>
    <w:rsid w:val="00C87253"/>
    <w:rsid w:val="00C9192B"/>
    <w:rsid w:val="00C9467A"/>
    <w:rsid w:val="00CA195E"/>
    <w:rsid w:val="00CA3F16"/>
    <w:rsid w:val="00CA4A21"/>
    <w:rsid w:val="00CB0DD2"/>
    <w:rsid w:val="00CB3462"/>
    <w:rsid w:val="00CB3FA2"/>
    <w:rsid w:val="00CB41F6"/>
    <w:rsid w:val="00CB5FA6"/>
    <w:rsid w:val="00CB7F2D"/>
    <w:rsid w:val="00CC0F93"/>
    <w:rsid w:val="00CD4EE1"/>
    <w:rsid w:val="00CD57A7"/>
    <w:rsid w:val="00CD5D65"/>
    <w:rsid w:val="00CE177E"/>
    <w:rsid w:val="00CE42C3"/>
    <w:rsid w:val="00CE4F3A"/>
    <w:rsid w:val="00CE59EA"/>
    <w:rsid w:val="00CE6328"/>
    <w:rsid w:val="00CE6E72"/>
    <w:rsid w:val="00CE7BBA"/>
    <w:rsid w:val="00CE7EAE"/>
    <w:rsid w:val="00CF110A"/>
    <w:rsid w:val="00CF23B3"/>
    <w:rsid w:val="00CF399E"/>
    <w:rsid w:val="00CF3A19"/>
    <w:rsid w:val="00CF63ED"/>
    <w:rsid w:val="00D01B4E"/>
    <w:rsid w:val="00D112F3"/>
    <w:rsid w:val="00D11961"/>
    <w:rsid w:val="00D125DE"/>
    <w:rsid w:val="00D127EF"/>
    <w:rsid w:val="00D145BD"/>
    <w:rsid w:val="00D17833"/>
    <w:rsid w:val="00D227A2"/>
    <w:rsid w:val="00D22AB0"/>
    <w:rsid w:val="00D273F5"/>
    <w:rsid w:val="00D30689"/>
    <w:rsid w:val="00D30A52"/>
    <w:rsid w:val="00D33DF9"/>
    <w:rsid w:val="00D33F53"/>
    <w:rsid w:val="00D3537C"/>
    <w:rsid w:val="00D36BDC"/>
    <w:rsid w:val="00D42951"/>
    <w:rsid w:val="00D45ED5"/>
    <w:rsid w:val="00D465FA"/>
    <w:rsid w:val="00D46938"/>
    <w:rsid w:val="00D47273"/>
    <w:rsid w:val="00D47339"/>
    <w:rsid w:val="00D47E0A"/>
    <w:rsid w:val="00D50317"/>
    <w:rsid w:val="00D507C9"/>
    <w:rsid w:val="00D537D3"/>
    <w:rsid w:val="00D57AD0"/>
    <w:rsid w:val="00D6026F"/>
    <w:rsid w:val="00D610B7"/>
    <w:rsid w:val="00D6195E"/>
    <w:rsid w:val="00D61F02"/>
    <w:rsid w:val="00D65C48"/>
    <w:rsid w:val="00D66A1C"/>
    <w:rsid w:val="00D66E3D"/>
    <w:rsid w:val="00D67EE3"/>
    <w:rsid w:val="00D73D16"/>
    <w:rsid w:val="00D757F9"/>
    <w:rsid w:val="00D762EC"/>
    <w:rsid w:val="00D76ED5"/>
    <w:rsid w:val="00D7723F"/>
    <w:rsid w:val="00D77EA4"/>
    <w:rsid w:val="00D822DF"/>
    <w:rsid w:val="00D82C64"/>
    <w:rsid w:val="00D85EC4"/>
    <w:rsid w:val="00D86165"/>
    <w:rsid w:val="00D90643"/>
    <w:rsid w:val="00D90C91"/>
    <w:rsid w:val="00D91225"/>
    <w:rsid w:val="00D9237F"/>
    <w:rsid w:val="00D923FA"/>
    <w:rsid w:val="00D937BE"/>
    <w:rsid w:val="00D94167"/>
    <w:rsid w:val="00D95629"/>
    <w:rsid w:val="00DA1DAB"/>
    <w:rsid w:val="00DA4DBC"/>
    <w:rsid w:val="00DA5874"/>
    <w:rsid w:val="00DB0A21"/>
    <w:rsid w:val="00DB1DF8"/>
    <w:rsid w:val="00DB3630"/>
    <w:rsid w:val="00DB37BC"/>
    <w:rsid w:val="00DB383F"/>
    <w:rsid w:val="00DC0D07"/>
    <w:rsid w:val="00DC2F80"/>
    <w:rsid w:val="00DC35F6"/>
    <w:rsid w:val="00DC6416"/>
    <w:rsid w:val="00DC7C86"/>
    <w:rsid w:val="00DD047C"/>
    <w:rsid w:val="00DD1704"/>
    <w:rsid w:val="00DD195B"/>
    <w:rsid w:val="00DD1E47"/>
    <w:rsid w:val="00DD1E6F"/>
    <w:rsid w:val="00DD213B"/>
    <w:rsid w:val="00DD2E77"/>
    <w:rsid w:val="00DD310A"/>
    <w:rsid w:val="00DD384C"/>
    <w:rsid w:val="00DD4123"/>
    <w:rsid w:val="00DD77C9"/>
    <w:rsid w:val="00DE0EEE"/>
    <w:rsid w:val="00DE178F"/>
    <w:rsid w:val="00DE239F"/>
    <w:rsid w:val="00DE6056"/>
    <w:rsid w:val="00DE61BF"/>
    <w:rsid w:val="00DE6536"/>
    <w:rsid w:val="00DF4DAA"/>
    <w:rsid w:val="00DF5BB7"/>
    <w:rsid w:val="00DF78F8"/>
    <w:rsid w:val="00E0018E"/>
    <w:rsid w:val="00E01D91"/>
    <w:rsid w:val="00E01EDC"/>
    <w:rsid w:val="00E044EC"/>
    <w:rsid w:val="00E07D50"/>
    <w:rsid w:val="00E13DDC"/>
    <w:rsid w:val="00E13DFC"/>
    <w:rsid w:val="00E1433A"/>
    <w:rsid w:val="00E20835"/>
    <w:rsid w:val="00E20ABC"/>
    <w:rsid w:val="00E2282E"/>
    <w:rsid w:val="00E2703A"/>
    <w:rsid w:val="00E27C9A"/>
    <w:rsid w:val="00E314C3"/>
    <w:rsid w:val="00E31EFC"/>
    <w:rsid w:val="00E32D0A"/>
    <w:rsid w:val="00E331AE"/>
    <w:rsid w:val="00E42658"/>
    <w:rsid w:val="00E429E7"/>
    <w:rsid w:val="00E435C5"/>
    <w:rsid w:val="00E440EC"/>
    <w:rsid w:val="00E471AE"/>
    <w:rsid w:val="00E54BE9"/>
    <w:rsid w:val="00E54D68"/>
    <w:rsid w:val="00E558BB"/>
    <w:rsid w:val="00E57390"/>
    <w:rsid w:val="00E57C0E"/>
    <w:rsid w:val="00E57CB7"/>
    <w:rsid w:val="00E600CD"/>
    <w:rsid w:val="00E60F4D"/>
    <w:rsid w:val="00E6131B"/>
    <w:rsid w:val="00E617BD"/>
    <w:rsid w:val="00E64E44"/>
    <w:rsid w:val="00E709E7"/>
    <w:rsid w:val="00E747DB"/>
    <w:rsid w:val="00E759E4"/>
    <w:rsid w:val="00E80FCF"/>
    <w:rsid w:val="00E81D6C"/>
    <w:rsid w:val="00E82039"/>
    <w:rsid w:val="00E82E99"/>
    <w:rsid w:val="00E8631A"/>
    <w:rsid w:val="00E87736"/>
    <w:rsid w:val="00E92D8B"/>
    <w:rsid w:val="00EA0324"/>
    <w:rsid w:val="00EA2B28"/>
    <w:rsid w:val="00EA32D0"/>
    <w:rsid w:val="00EA3DF9"/>
    <w:rsid w:val="00EB131D"/>
    <w:rsid w:val="00EB1597"/>
    <w:rsid w:val="00EB184F"/>
    <w:rsid w:val="00EB2F03"/>
    <w:rsid w:val="00EB34C0"/>
    <w:rsid w:val="00EB4EB0"/>
    <w:rsid w:val="00EB6311"/>
    <w:rsid w:val="00EB72A7"/>
    <w:rsid w:val="00EB7C1F"/>
    <w:rsid w:val="00EC4A1B"/>
    <w:rsid w:val="00EC6BF1"/>
    <w:rsid w:val="00EC76B4"/>
    <w:rsid w:val="00EC788C"/>
    <w:rsid w:val="00EC7AAD"/>
    <w:rsid w:val="00EC7C54"/>
    <w:rsid w:val="00ED45FE"/>
    <w:rsid w:val="00ED574D"/>
    <w:rsid w:val="00ED771C"/>
    <w:rsid w:val="00ED7AD7"/>
    <w:rsid w:val="00EE014F"/>
    <w:rsid w:val="00EE1C99"/>
    <w:rsid w:val="00EE2932"/>
    <w:rsid w:val="00EE372B"/>
    <w:rsid w:val="00EE54C2"/>
    <w:rsid w:val="00EE697A"/>
    <w:rsid w:val="00EE725B"/>
    <w:rsid w:val="00EE7A4B"/>
    <w:rsid w:val="00EE7E1C"/>
    <w:rsid w:val="00EF1AF4"/>
    <w:rsid w:val="00EF3296"/>
    <w:rsid w:val="00F011DD"/>
    <w:rsid w:val="00F01737"/>
    <w:rsid w:val="00F01964"/>
    <w:rsid w:val="00F01DDD"/>
    <w:rsid w:val="00F05BC8"/>
    <w:rsid w:val="00F07A36"/>
    <w:rsid w:val="00F109C2"/>
    <w:rsid w:val="00F111CC"/>
    <w:rsid w:val="00F11875"/>
    <w:rsid w:val="00F12973"/>
    <w:rsid w:val="00F16A01"/>
    <w:rsid w:val="00F17153"/>
    <w:rsid w:val="00F2057A"/>
    <w:rsid w:val="00F2077C"/>
    <w:rsid w:val="00F21FBC"/>
    <w:rsid w:val="00F24780"/>
    <w:rsid w:val="00F24A95"/>
    <w:rsid w:val="00F25E25"/>
    <w:rsid w:val="00F27D08"/>
    <w:rsid w:val="00F30E68"/>
    <w:rsid w:val="00F37791"/>
    <w:rsid w:val="00F41AD4"/>
    <w:rsid w:val="00F44289"/>
    <w:rsid w:val="00F45F24"/>
    <w:rsid w:val="00F46D99"/>
    <w:rsid w:val="00F46DAC"/>
    <w:rsid w:val="00F50ECC"/>
    <w:rsid w:val="00F52E0B"/>
    <w:rsid w:val="00F5529C"/>
    <w:rsid w:val="00F60D68"/>
    <w:rsid w:val="00F613FE"/>
    <w:rsid w:val="00F62F8C"/>
    <w:rsid w:val="00F631F4"/>
    <w:rsid w:val="00F642F2"/>
    <w:rsid w:val="00F64F62"/>
    <w:rsid w:val="00F65CD5"/>
    <w:rsid w:val="00F6746C"/>
    <w:rsid w:val="00F7095E"/>
    <w:rsid w:val="00F72E04"/>
    <w:rsid w:val="00F7364E"/>
    <w:rsid w:val="00F74B36"/>
    <w:rsid w:val="00F76FA9"/>
    <w:rsid w:val="00F777EA"/>
    <w:rsid w:val="00F8179C"/>
    <w:rsid w:val="00F82E1E"/>
    <w:rsid w:val="00F8395A"/>
    <w:rsid w:val="00F83F88"/>
    <w:rsid w:val="00F8468F"/>
    <w:rsid w:val="00F85DF9"/>
    <w:rsid w:val="00F85F21"/>
    <w:rsid w:val="00F920FC"/>
    <w:rsid w:val="00F9283B"/>
    <w:rsid w:val="00F93CEA"/>
    <w:rsid w:val="00F9737E"/>
    <w:rsid w:val="00FA3F2E"/>
    <w:rsid w:val="00FA44AB"/>
    <w:rsid w:val="00FA4F4F"/>
    <w:rsid w:val="00FA542A"/>
    <w:rsid w:val="00FA58CE"/>
    <w:rsid w:val="00FA63AC"/>
    <w:rsid w:val="00FA70FA"/>
    <w:rsid w:val="00FB00CC"/>
    <w:rsid w:val="00FB2371"/>
    <w:rsid w:val="00FB371B"/>
    <w:rsid w:val="00FB5694"/>
    <w:rsid w:val="00FC141D"/>
    <w:rsid w:val="00FC172D"/>
    <w:rsid w:val="00FC1EC6"/>
    <w:rsid w:val="00FC2E76"/>
    <w:rsid w:val="00FD2931"/>
    <w:rsid w:val="00FD2BE0"/>
    <w:rsid w:val="00FD4849"/>
    <w:rsid w:val="00FD4F81"/>
    <w:rsid w:val="00FD58E3"/>
    <w:rsid w:val="00FD5941"/>
    <w:rsid w:val="00FD63F5"/>
    <w:rsid w:val="00FD7ACE"/>
    <w:rsid w:val="00FE15EF"/>
    <w:rsid w:val="00FE309F"/>
    <w:rsid w:val="00FE4907"/>
    <w:rsid w:val="00FE4F80"/>
    <w:rsid w:val="00FE5E42"/>
    <w:rsid w:val="00FF261C"/>
    <w:rsid w:val="00FF2D10"/>
    <w:rsid w:val="00FF2EB4"/>
    <w:rsid w:val="00FF413E"/>
    <w:rsid w:val="00FF46EE"/>
    <w:rsid w:val="00FF5DF3"/>
    <w:rsid w:val="00FF6C9E"/>
    <w:rsid w:val="00FF6CE4"/>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A3B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A4"/>
  </w:style>
  <w:style w:type="paragraph" w:styleId="Heading1">
    <w:name w:val="heading 1"/>
    <w:basedOn w:val="Normal"/>
    <w:next w:val="Normal"/>
    <w:link w:val="Heading1Char"/>
    <w:rsid w:val="008E4725"/>
    <w:pPr>
      <w:keepNext/>
      <w:jc w:val="center"/>
      <w:outlineLvl w:val="0"/>
    </w:pPr>
    <w:rPr>
      <w:b/>
      <w:bCs/>
      <w:caps/>
    </w:rPr>
  </w:style>
  <w:style w:type="paragraph" w:styleId="Heading2">
    <w:name w:val="heading 2"/>
    <w:basedOn w:val="Normal"/>
    <w:next w:val="Normal"/>
    <w:link w:val="Heading2Char"/>
    <w:uiPriority w:val="9"/>
    <w:unhideWhenUsed/>
    <w:qFormat/>
    <w:rsid w:val="008156A1"/>
    <w:pPr>
      <w:keepNext/>
      <w:keepLines/>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unhideWhenUsed/>
    <w:qFormat/>
    <w:rsid w:val="008E4725"/>
    <w:pPr>
      <w:keepNext/>
      <w:keepLines/>
      <w:outlineLvl w:val="2"/>
    </w:pPr>
    <w:rPr>
      <w:rFonts w:asciiTheme="minorHAnsi" w:eastAsiaTheme="majorEastAsia" w:hAnsiTheme="min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6A1"/>
    <w:rPr>
      <w:rFonts w:eastAsiaTheme="majorEastAsia" w:cstheme="majorBidi"/>
      <w:b/>
      <w:bCs/>
      <w:sz w:val="24"/>
      <w:szCs w:val="26"/>
    </w:rPr>
  </w:style>
  <w:style w:type="character" w:customStyle="1" w:styleId="Heading3Char">
    <w:name w:val="Heading 3 Char"/>
    <w:basedOn w:val="DefaultParagraphFont"/>
    <w:link w:val="Heading3"/>
    <w:uiPriority w:val="9"/>
    <w:rsid w:val="008E4725"/>
    <w:rPr>
      <w:rFonts w:eastAsiaTheme="majorEastAsia" w:cstheme="majorBidi"/>
      <w:bCs/>
      <w:sz w:val="24"/>
      <w:szCs w:val="24"/>
      <w:u w:val="single"/>
    </w:rPr>
  </w:style>
  <w:style w:type="character" w:customStyle="1" w:styleId="Heading1Char">
    <w:name w:val="Heading 1 Char"/>
    <w:basedOn w:val="DefaultParagraphFont"/>
    <w:link w:val="Heading1"/>
    <w:rsid w:val="008E4725"/>
    <w:rPr>
      <w:rFonts w:ascii="Times New Roman" w:eastAsia="Times New Roman" w:hAnsi="Times New Roman" w:cs="Times New Roman"/>
      <w:b/>
      <w:bCs/>
      <w:caps/>
      <w:sz w:val="24"/>
      <w:szCs w:val="24"/>
    </w:rPr>
  </w:style>
  <w:style w:type="paragraph" w:styleId="FootnoteText">
    <w:name w:val="footnote text"/>
    <w:basedOn w:val="Normal"/>
    <w:link w:val="FootnoteTextChar"/>
    <w:autoRedefine/>
    <w:uiPriority w:val="99"/>
    <w:qFormat/>
    <w:rsid w:val="00C16F41"/>
    <w:pPr>
      <w:keepLines/>
      <w:ind w:firstLine="720"/>
    </w:pPr>
  </w:style>
  <w:style w:type="character" w:customStyle="1" w:styleId="FootnoteTextChar">
    <w:name w:val="Footnote Text Char"/>
    <w:basedOn w:val="DefaultParagraphFont"/>
    <w:link w:val="FootnoteText"/>
    <w:uiPriority w:val="99"/>
    <w:rsid w:val="00C16F41"/>
  </w:style>
  <w:style w:type="paragraph" w:customStyle="1" w:styleId="Footnote">
    <w:name w:val="Footnote"/>
    <w:basedOn w:val="Normal"/>
    <w:link w:val="FootnoteChar"/>
    <w:qFormat/>
    <w:rsid w:val="00D77EA4"/>
    <w:pPr>
      <w:spacing w:after="120"/>
    </w:pPr>
    <w:rPr>
      <w:rFonts w:cstheme="minorBidi"/>
    </w:rPr>
  </w:style>
  <w:style w:type="character" w:customStyle="1" w:styleId="FootnoteChar">
    <w:name w:val="Footnote Char"/>
    <w:basedOn w:val="DefaultParagraphFont"/>
    <w:link w:val="Footnote"/>
    <w:rsid w:val="00D77EA4"/>
    <w:rPr>
      <w:rFonts w:cstheme="minorBidi"/>
    </w:rPr>
  </w:style>
  <w:style w:type="table" w:styleId="TableGrid">
    <w:name w:val="Table Grid"/>
    <w:basedOn w:val="TableNormal"/>
    <w:uiPriority w:val="59"/>
    <w:rsid w:val="00C11C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783AF1"/>
    <w:rPr>
      <w:vertAlign w:val="superscript"/>
    </w:rPr>
  </w:style>
  <w:style w:type="paragraph" w:styleId="Header">
    <w:name w:val="header"/>
    <w:basedOn w:val="Normal"/>
    <w:link w:val="HeaderChar"/>
    <w:uiPriority w:val="99"/>
    <w:unhideWhenUsed/>
    <w:rsid w:val="00783AF1"/>
    <w:pPr>
      <w:tabs>
        <w:tab w:val="center" w:pos="4680"/>
        <w:tab w:val="right" w:pos="9360"/>
      </w:tabs>
    </w:pPr>
  </w:style>
  <w:style w:type="character" w:customStyle="1" w:styleId="HeaderChar">
    <w:name w:val="Header Char"/>
    <w:basedOn w:val="DefaultParagraphFont"/>
    <w:link w:val="Header"/>
    <w:uiPriority w:val="99"/>
    <w:rsid w:val="00783AF1"/>
  </w:style>
  <w:style w:type="paragraph" w:styleId="Footer">
    <w:name w:val="footer"/>
    <w:basedOn w:val="Normal"/>
    <w:link w:val="FooterChar"/>
    <w:uiPriority w:val="99"/>
    <w:unhideWhenUsed/>
    <w:rsid w:val="00783AF1"/>
    <w:pPr>
      <w:tabs>
        <w:tab w:val="center" w:pos="4680"/>
        <w:tab w:val="right" w:pos="9360"/>
      </w:tabs>
    </w:pPr>
  </w:style>
  <w:style w:type="character" w:customStyle="1" w:styleId="FooterChar">
    <w:name w:val="Footer Char"/>
    <w:basedOn w:val="DefaultParagraphFont"/>
    <w:link w:val="Footer"/>
    <w:uiPriority w:val="99"/>
    <w:rsid w:val="00783AF1"/>
  </w:style>
  <w:style w:type="paragraph" w:styleId="BalloonText">
    <w:name w:val="Balloon Text"/>
    <w:basedOn w:val="Normal"/>
    <w:link w:val="BalloonTextChar"/>
    <w:uiPriority w:val="99"/>
    <w:semiHidden/>
    <w:unhideWhenUsed/>
    <w:rsid w:val="00CA3F16"/>
    <w:rPr>
      <w:rFonts w:ascii="Tahoma" w:hAnsi="Tahoma" w:cs="Tahoma"/>
      <w:sz w:val="16"/>
      <w:szCs w:val="16"/>
    </w:rPr>
  </w:style>
  <w:style w:type="character" w:customStyle="1" w:styleId="BalloonTextChar">
    <w:name w:val="Balloon Text Char"/>
    <w:basedOn w:val="DefaultParagraphFont"/>
    <w:link w:val="BalloonText"/>
    <w:uiPriority w:val="99"/>
    <w:semiHidden/>
    <w:rsid w:val="00CA3F16"/>
    <w:rPr>
      <w:rFonts w:ascii="Tahoma" w:hAnsi="Tahoma" w:cs="Tahoma"/>
      <w:sz w:val="16"/>
      <w:szCs w:val="16"/>
    </w:rPr>
  </w:style>
  <w:style w:type="paragraph" w:styleId="ListParagraph">
    <w:name w:val="List Paragraph"/>
    <w:basedOn w:val="Normal"/>
    <w:uiPriority w:val="34"/>
    <w:qFormat/>
    <w:rsid w:val="00935853"/>
    <w:pPr>
      <w:ind w:left="720"/>
      <w:contextualSpacing/>
    </w:pPr>
    <w:rPr>
      <w:rFonts w:eastAsiaTheme="minorHAnsi" w:cstheme="minorBidi"/>
      <w:szCs w:val="22"/>
    </w:rPr>
  </w:style>
  <w:style w:type="character" w:styleId="Hyperlink">
    <w:name w:val="Hyperlink"/>
    <w:basedOn w:val="DefaultParagraphFont"/>
    <w:uiPriority w:val="99"/>
    <w:unhideWhenUsed/>
    <w:rsid w:val="007966A2"/>
    <w:rPr>
      <w:color w:val="0000FF" w:themeColor="hyperlink"/>
      <w:u w:val="single"/>
    </w:rPr>
  </w:style>
  <w:style w:type="character" w:customStyle="1" w:styleId="UnresolvedMention">
    <w:name w:val="Unresolved Mention"/>
    <w:basedOn w:val="DefaultParagraphFont"/>
    <w:uiPriority w:val="99"/>
    <w:semiHidden/>
    <w:unhideWhenUsed/>
    <w:rsid w:val="007966A2"/>
    <w:rPr>
      <w:color w:val="605E5C"/>
      <w:shd w:val="clear" w:color="auto" w:fill="E1DFDD"/>
    </w:rPr>
  </w:style>
  <w:style w:type="character" w:styleId="CommentReference">
    <w:name w:val="annotation reference"/>
    <w:basedOn w:val="DefaultParagraphFont"/>
    <w:uiPriority w:val="99"/>
    <w:semiHidden/>
    <w:unhideWhenUsed/>
    <w:rsid w:val="00DC35F6"/>
    <w:rPr>
      <w:sz w:val="16"/>
      <w:szCs w:val="16"/>
    </w:rPr>
  </w:style>
  <w:style w:type="paragraph" w:styleId="CommentText">
    <w:name w:val="annotation text"/>
    <w:basedOn w:val="Normal"/>
    <w:link w:val="CommentTextChar"/>
    <w:uiPriority w:val="99"/>
    <w:semiHidden/>
    <w:unhideWhenUsed/>
    <w:rsid w:val="00DC35F6"/>
    <w:rPr>
      <w:sz w:val="20"/>
      <w:szCs w:val="20"/>
    </w:rPr>
  </w:style>
  <w:style w:type="character" w:customStyle="1" w:styleId="CommentTextChar">
    <w:name w:val="Comment Text Char"/>
    <w:basedOn w:val="DefaultParagraphFont"/>
    <w:link w:val="CommentText"/>
    <w:uiPriority w:val="99"/>
    <w:semiHidden/>
    <w:rsid w:val="00DC35F6"/>
    <w:rPr>
      <w:sz w:val="20"/>
      <w:szCs w:val="20"/>
    </w:rPr>
  </w:style>
  <w:style w:type="paragraph" w:customStyle="1" w:styleId="TemplateFootnote">
    <w:name w:val="Template Footnote"/>
    <w:basedOn w:val="FootnoteText"/>
    <w:qFormat/>
    <w:rsid w:val="002A5D29"/>
    <w:pPr>
      <w:keepLines w:val="0"/>
    </w:pPr>
    <w:rPr>
      <w:rFonts w:eastAsia="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A4"/>
  </w:style>
  <w:style w:type="paragraph" w:styleId="Heading1">
    <w:name w:val="heading 1"/>
    <w:basedOn w:val="Normal"/>
    <w:next w:val="Normal"/>
    <w:link w:val="Heading1Char"/>
    <w:rsid w:val="008E4725"/>
    <w:pPr>
      <w:keepNext/>
      <w:jc w:val="center"/>
      <w:outlineLvl w:val="0"/>
    </w:pPr>
    <w:rPr>
      <w:b/>
      <w:bCs/>
      <w:caps/>
    </w:rPr>
  </w:style>
  <w:style w:type="paragraph" w:styleId="Heading2">
    <w:name w:val="heading 2"/>
    <w:basedOn w:val="Normal"/>
    <w:next w:val="Normal"/>
    <w:link w:val="Heading2Char"/>
    <w:uiPriority w:val="9"/>
    <w:unhideWhenUsed/>
    <w:qFormat/>
    <w:rsid w:val="008156A1"/>
    <w:pPr>
      <w:keepNext/>
      <w:keepLines/>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unhideWhenUsed/>
    <w:qFormat/>
    <w:rsid w:val="008E4725"/>
    <w:pPr>
      <w:keepNext/>
      <w:keepLines/>
      <w:outlineLvl w:val="2"/>
    </w:pPr>
    <w:rPr>
      <w:rFonts w:asciiTheme="minorHAnsi" w:eastAsiaTheme="majorEastAsia" w:hAnsiTheme="min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6A1"/>
    <w:rPr>
      <w:rFonts w:eastAsiaTheme="majorEastAsia" w:cstheme="majorBidi"/>
      <w:b/>
      <w:bCs/>
      <w:sz w:val="24"/>
      <w:szCs w:val="26"/>
    </w:rPr>
  </w:style>
  <w:style w:type="character" w:customStyle="1" w:styleId="Heading3Char">
    <w:name w:val="Heading 3 Char"/>
    <w:basedOn w:val="DefaultParagraphFont"/>
    <w:link w:val="Heading3"/>
    <w:uiPriority w:val="9"/>
    <w:rsid w:val="008E4725"/>
    <w:rPr>
      <w:rFonts w:eastAsiaTheme="majorEastAsia" w:cstheme="majorBidi"/>
      <w:bCs/>
      <w:sz w:val="24"/>
      <w:szCs w:val="24"/>
      <w:u w:val="single"/>
    </w:rPr>
  </w:style>
  <w:style w:type="character" w:customStyle="1" w:styleId="Heading1Char">
    <w:name w:val="Heading 1 Char"/>
    <w:basedOn w:val="DefaultParagraphFont"/>
    <w:link w:val="Heading1"/>
    <w:rsid w:val="008E4725"/>
    <w:rPr>
      <w:rFonts w:ascii="Times New Roman" w:eastAsia="Times New Roman" w:hAnsi="Times New Roman" w:cs="Times New Roman"/>
      <w:b/>
      <w:bCs/>
      <w:caps/>
      <w:sz w:val="24"/>
      <w:szCs w:val="24"/>
    </w:rPr>
  </w:style>
  <w:style w:type="paragraph" w:styleId="FootnoteText">
    <w:name w:val="footnote text"/>
    <w:basedOn w:val="Normal"/>
    <w:link w:val="FootnoteTextChar"/>
    <w:autoRedefine/>
    <w:uiPriority w:val="99"/>
    <w:qFormat/>
    <w:rsid w:val="00C16F41"/>
    <w:pPr>
      <w:keepLines/>
      <w:ind w:firstLine="720"/>
    </w:pPr>
  </w:style>
  <w:style w:type="character" w:customStyle="1" w:styleId="FootnoteTextChar">
    <w:name w:val="Footnote Text Char"/>
    <w:basedOn w:val="DefaultParagraphFont"/>
    <w:link w:val="FootnoteText"/>
    <w:uiPriority w:val="99"/>
    <w:rsid w:val="00C16F41"/>
  </w:style>
  <w:style w:type="paragraph" w:customStyle="1" w:styleId="Footnote">
    <w:name w:val="Footnote"/>
    <w:basedOn w:val="Normal"/>
    <w:link w:val="FootnoteChar"/>
    <w:qFormat/>
    <w:rsid w:val="00D77EA4"/>
    <w:pPr>
      <w:spacing w:after="120"/>
    </w:pPr>
    <w:rPr>
      <w:rFonts w:cstheme="minorBidi"/>
    </w:rPr>
  </w:style>
  <w:style w:type="character" w:customStyle="1" w:styleId="FootnoteChar">
    <w:name w:val="Footnote Char"/>
    <w:basedOn w:val="DefaultParagraphFont"/>
    <w:link w:val="Footnote"/>
    <w:rsid w:val="00D77EA4"/>
    <w:rPr>
      <w:rFonts w:cstheme="minorBidi"/>
    </w:rPr>
  </w:style>
  <w:style w:type="table" w:styleId="TableGrid">
    <w:name w:val="Table Grid"/>
    <w:basedOn w:val="TableNormal"/>
    <w:uiPriority w:val="59"/>
    <w:rsid w:val="00C11C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783AF1"/>
    <w:rPr>
      <w:vertAlign w:val="superscript"/>
    </w:rPr>
  </w:style>
  <w:style w:type="paragraph" w:styleId="Header">
    <w:name w:val="header"/>
    <w:basedOn w:val="Normal"/>
    <w:link w:val="HeaderChar"/>
    <w:uiPriority w:val="99"/>
    <w:unhideWhenUsed/>
    <w:rsid w:val="00783AF1"/>
    <w:pPr>
      <w:tabs>
        <w:tab w:val="center" w:pos="4680"/>
        <w:tab w:val="right" w:pos="9360"/>
      </w:tabs>
    </w:pPr>
  </w:style>
  <w:style w:type="character" w:customStyle="1" w:styleId="HeaderChar">
    <w:name w:val="Header Char"/>
    <w:basedOn w:val="DefaultParagraphFont"/>
    <w:link w:val="Header"/>
    <w:uiPriority w:val="99"/>
    <w:rsid w:val="00783AF1"/>
  </w:style>
  <w:style w:type="paragraph" w:styleId="Footer">
    <w:name w:val="footer"/>
    <w:basedOn w:val="Normal"/>
    <w:link w:val="FooterChar"/>
    <w:uiPriority w:val="99"/>
    <w:unhideWhenUsed/>
    <w:rsid w:val="00783AF1"/>
    <w:pPr>
      <w:tabs>
        <w:tab w:val="center" w:pos="4680"/>
        <w:tab w:val="right" w:pos="9360"/>
      </w:tabs>
    </w:pPr>
  </w:style>
  <w:style w:type="character" w:customStyle="1" w:styleId="FooterChar">
    <w:name w:val="Footer Char"/>
    <w:basedOn w:val="DefaultParagraphFont"/>
    <w:link w:val="Footer"/>
    <w:uiPriority w:val="99"/>
    <w:rsid w:val="00783AF1"/>
  </w:style>
  <w:style w:type="paragraph" w:styleId="BalloonText">
    <w:name w:val="Balloon Text"/>
    <w:basedOn w:val="Normal"/>
    <w:link w:val="BalloonTextChar"/>
    <w:uiPriority w:val="99"/>
    <w:semiHidden/>
    <w:unhideWhenUsed/>
    <w:rsid w:val="00CA3F16"/>
    <w:rPr>
      <w:rFonts w:ascii="Tahoma" w:hAnsi="Tahoma" w:cs="Tahoma"/>
      <w:sz w:val="16"/>
      <w:szCs w:val="16"/>
    </w:rPr>
  </w:style>
  <w:style w:type="character" w:customStyle="1" w:styleId="BalloonTextChar">
    <w:name w:val="Balloon Text Char"/>
    <w:basedOn w:val="DefaultParagraphFont"/>
    <w:link w:val="BalloonText"/>
    <w:uiPriority w:val="99"/>
    <w:semiHidden/>
    <w:rsid w:val="00CA3F16"/>
    <w:rPr>
      <w:rFonts w:ascii="Tahoma" w:hAnsi="Tahoma" w:cs="Tahoma"/>
      <w:sz w:val="16"/>
      <w:szCs w:val="16"/>
    </w:rPr>
  </w:style>
  <w:style w:type="paragraph" w:styleId="ListParagraph">
    <w:name w:val="List Paragraph"/>
    <w:basedOn w:val="Normal"/>
    <w:uiPriority w:val="34"/>
    <w:qFormat/>
    <w:rsid w:val="00935853"/>
    <w:pPr>
      <w:ind w:left="720"/>
      <w:contextualSpacing/>
    </w:pPr>
    <w:rPr>
      <w:rFonts w:eastAsiaTheme="minorHAnsi" w:cstheme="minorBidi"/>
      <w:szCs w:val="22"/>
    </w:rPr>
  </w:style>
  <w:style w:type="character" w:styleId="Hyperlink">
    <w:name w:val="Hyperlink"/>
    <w:basedOn w:val="DefaultParagraphFont"/>
    <w:uiPriority w:val="99"/>
    <w:unhideWhenUsed/>
    <w:rsid w:val="007966A2"/>
    <w:rPr>
      <w:color w:val="0000FF" w:themeColor="hyperlink"/>
      <w:u w:val="single"/>
    </w:rPr>
  </w:style>
  <w:style w:type="character" w:customStyle="1" w:styleId="UnresolvedMention">
    <w:name w:val="Unresolved Mention"/>
    <w:basedOn w:val="DefaultParagraphFont"/>
    <w:uiPriority w:val="99"/>
    <w:semiHidden/>
    <w:unhideWhenUsed/>
    <w:rsid w:val="007966A2"/>
    <w:rPr>
      <w:color w:val="605E5C"/>
      <w:shd w:val="clear" w:color="auto" w:fill="E1DFDD"/>
    </w:rPr>
  </w:style>
  <w:style w:type="character" w:styleId="CommentReference">
    <w:name w:val="annotation reference"/>
    <w:basedOn w:val="DefaultParagraphFont"/>
    <w:uiPriority w:val="99"/>
    <w:semiHidden/>
    <w:unhideWhenUsed/>
    <w:rsid w:val="00DC35F6"/>
    <w:rPr>
      <w:sz w:val="16"/>
      <w:szCs w:val="16"/>
    </w:rPr>
  </w:style>
  <w:style w:type="paragraph" w:styleId="CommentText">
    <w:name w:val="annotation text"/>
    <w:basedOn w:val="Normal"/>
    <w:link w:val="CommentTextChar"/>
    <w:uiPriority w:val="99"/>
    <w:semiHidden/>
    <w:unhideWhenUsed/>
    <w:rsid w:val="00DC35F6"/>
    <w:rPr>
      <w:sz w:val="20"/>
      <w:szCs w:val="20"/>
    </w:rPr>
  </w:style>
  <w:style w:type="character" w:customStyle="1" w:styleId="CommentTextChar">
    <w:name w:val="Comment Text Char"/>
    <w:basedOn w:val="DefaultParagraphFont"/>
    <w:link w:val="CommentText"/>
    <w:uiPriority w:val="99"/>
    <w:semiHidden/>
    <w:rsid w:val="00DC35F6"/>
    <w:rPr>
      <w:sz w:val="20"/>
      <w:szCs w:val="20"/>
    </w:rPr>
  </w:style>
  <w:style w:type="paragraph" w:customStyle="1" w:styleId="TemplateFootnote">
    <w:name w:val="Template Footnote"/>
    <w:basedOn w:val="FootnoteText"/>
    <w:qFormat/>
    <w:rsid w:val="002A5D29"/>
    <w:pPr>
      <w:keepLines w:val="0"/>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4341">
      <w:bodyDiv w:val="1"/>
      <w:marLeft w:val="0"/>
      <w:marRight w:val="0"/>
      <w:marTop w:val="0"/>
      <w:marBottom w:val="0"/>
      <w:divBdr>
        <w:top w:val="none" w:sz="0" w:space="0" w:color="auto"/>
        <w:left w:val="none" w:sz="0" w:space="0" w:color="auto"/>
        <w:bottom w:val="none" w:sz="0" w:space="0" w:color="auto"/>
        <w:right w:val="none" w:sz="0" w:space="0" w:color="auto"/>
      </w:divBdr>
    </w:div>
    <w:div w:id="948007900">
      <w:bodyDiv w:val="1"/>
      <w:marLeft w:val="0"/>
      <w:marRight w:val="0"/>
      <w:marTop w:val="0"/>
      <w:marBottom w:val="0"/>
      <w:divBdr>
        <w:top w:val="none" w:sz="0" w:space="0" w:color="auto"/>
        <w:left w:val="none" w:sz="0" w:space="0" w:color="auto"/>
        <w:bottom w:val="none" w:sz="0" w:space="0" w:color="auto"/>
        <w:right w:val="none" w:sz="0" w:space="0" w:color="auto"/>
      </w:divBdr>
    </w:div>
    <w:div w:id="1174688895">
      <w:bodyDiv w:val="1"/>
      <w:marLeft w:val="0"/>
      <w:marRight w:val="0"/>
      <w:marTop w:val="0"/>
      <w:marBottom w:val="0"/>
      <w:divBdr>
        <w:top w:val="none" w:sz="0" w:space="0" w:color="auto"/>
        <w:left w:val="none" w:sz="0" w:space="0" w:color="auto"/>
        <w:bottom w:val="none" w:sz="0" w:space="0" w:color="auto"/>
        <w:right w:val="none" w:sz="0" w:space="0" w:color="auto"/>
      </w:divBdr>
    </w:div>
    <w:div w:id="18878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1_RVW\2011_Orders\Blank_RVW_Ord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9A7C-AA36-4FDA-86E2-A49DE85C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Blank_RVW_Ord_Frm.dotm</Template>
  <TotalTime>0</TotalTime>
  <Pages>20</Pages>
  <Words>5255</Words>
  <Characters>29957</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2019-04-30T21:44:00Z</dcterms:created>
  <dcterms:modified xsi:type="dcterms:W3CDTF">2019-04-30T21:44:00Z</dcterms:modified>
</cp:coreProperties>
</file>