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875D0" w14:textId="67AAE102" w:rsidR="00DD2A34" w:rsidRPr="00D55103" w:rsidRDefault="00DD2A34" w:rsidP="00DD2A34">
      <w:pPr>
        <w:rPr>
          <w:szCs w:val="24"/>
        </w:rPr>
      </w:pPr>
      <w:bookmarkStart w:id="0" w:name="_GoBack"/>
      <w:bookmarkEnd w:id="0"/>
      <w:r w:rsidRPr="00D55103">
        <w:rPr>
          <w:szCs w:val="24"/>
        </w:rPr>
        <w:t>PUBLIC MATTER—DESIGNATED FOR PUBLICATION</w:t>
      </w:r>
    </w:p>
    <w:p w14:paraId="71BCB185" w14:textId="77777777" w:rsidR="007C26E8" w:rsidRPr="00D55103" w:rsidRDefault="007C26E8" w:rsidP="00174B04">
      <w:pPr>
        <w:contextualSpacing/>
        <w:rPr>
          <w:szCs w:val="24"/>
        </w:rPr>
      </w:pPr>
    </w:p>
    <w:p w14:paraId="6EF334C6" w14:textId="44906481" w:rsidR="00B231E1" w:rsidRPr="00D55103" w:rsidRDefault="00604BBE" w:rsidP="00F427B6">
      <w:pPr>
        <w:contextualSpacing/>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Filed May 30, 2018</w:t>
      </w:r>
    </w:p>
    <w:p w14:paraId="1C781B5F" w14:textId="77777777" w:rsidR="00117166" w:rsidRPr="00D55103" w:rsidRDefault="00117166" w:rsidP="00C13F27">
      <w:pPr>
        <w:rPr>
          <w:szCs w:val="24"/>
        </w:rPr>
      </w:pPr>
    </w:p>
    <w:p w14:paraId="423C1F16" w14:textId="77777777" w:rsidR="00832223" w:rsidRPr="00D55103" w:rsidRDefault="00832223" w:rsidP="00C13F27">
      <w:pPr>
        <w:rPr>
          <w:szCs w:val="24"/>
        </w:rPr>
      </w:pPr>
    </w:p>
    <w:p w14:paraId="178164B7" w14:textId="77777777" w:rsidR="00832223" w:rsidRPr="00D55103" w:rsidRDefault="00832223" w:rsidP="00832223">
      <w:pPr>
        <w:jc w:val="center"/>
        <w:rPr>
          <w:b/>
          <w:szCs w:val="24"/>
        </w:rPr>
      </w:pPr>
      <w:r w:rsidRPr="00D55103">
        <w:rPr>
          <w:b/>
          <w:szCs w:val="24"/>
        </w:rPr>
        <w:t>STATE BAR COURT OF CALIFORNIA</w:t>
      </w:r>
    </w:p>
    <w:p w14:paraId="5A01832A" w14:textId="77777777" w:rsidR="00832223" w:rsidRPr="00D55103" w:rsidRDefault="00832223" w:rsidP="00832223">
      <w:pPr>
        <w:jc w:val="center"/>
        <w:rPr>
          <w:b/>
          <w:szCs w:val="24"/>
        </w:rPr>
      </w:pPr>
    </w:p>
    <w:p w14:paraId="0711D56D" w14:textId="77777777" w:rsidR="00832223" w:rsidRPr="00D55103" w:rsidRDefault="00832223" w:rsidP="00832223">
      <w:pPr>
        <w:jc w:val="center"/>
        <w:rPr>
          <w:b/>
          <w:szCs w:val="24"/>
        </w:rPr>
      </w:pPr>
      <w:r w:rsidRPr="00D55103">
        <w:rPr>
          <w:b/>
          <w:szCs w:val="24"/>
        </w:rPr>
        <w:t>REVIEW DEPARTMENT</w:t>
      </w:r>
    </w:p>
    <w:p w14:paraId="5235710A" w14:textId="77777777" w:rsidR="00832223" w:rsidRPr="00D55103" w:rsidRDefault="00832223" w:rsidP="00832223">
      <w:pPr>
        <w:jc w:val="center"/>
        <w:rPr>
          <w:b/>
          <w:szCs w:val="24"/>
        </w:rPr>
      </w:pPr>
    </w:p>
    <w:p w14:paraId="673E808B" w14:textId="77777777" w:rsidR="00832223" w:rsidRPr="00D55103" w:rsidRDefault="00832223" w:rsidP="00832223">
      <w:pPr>
        <w:rPr>
          <w:szCs w:val="24"/>
        </w:rPr>
      </w:pPr>
    </w:p>
    <w:tbl>
      <w:tblPr>
        <w:tblStyle w:val="TableGrid"/>
        <w:tblW w:w="9450" w:type="dxa"/>
        <w:tblLook w:val="04A0" w:firstRow="1" w:lastRow="0" w:firstColumn="1" w:lastColumn="0" w:noHBand="0" w:noVBand="1"/>
      </w:tblPr>
      <w:tblGrid>
        <w:gridCol w:w="4410"/>
        <w:gridCol w:w="450"/>
        <w:gridCol w:w="4590"/>
      </w:tblGrid>
      <w:tr w:rsidR="00203E9C" w:rsidRPr="00D55103" w14:paraId="4B781E53" w14:textId="77777777" w:rsidTr="00203E9C">
        <w:tc>
          <w:tcPr>
            <w:tcW w:w="4410" w:type="dxa"/>
            <w:tcBorders>
              <w:top w:val="nil"/>
              <w:left w:val="nil"/>
              <w:right w:val="nil"/>
            </w:tcBorders>
            <w:tcMar>
              <w:left w:w="0" w:type="dxa"/>
              <w:right w:w="0" w:type="dxa"/>
            </w:tcMar>
          </w:tcPr>
          <w:p w14:paraId="63D6549F" w14:textId="77777777" w:rsidR="00832223" w:rsidRPr="00D55103" w:rsidRDefault="00832223" w:rsidP="00357051">
            <w:pPr>
              <w:rPr>
                <w:szCs w:val="24"/>
              </w:rPr>
            </w:pPr>
            <w:r w:rsidRPr="00D55103">
              <w:rPr>
                <w:szCs w:val="24"/>
              </w:rPr>
              <w:t>In the Matter of</w:t>
            </w:r>
          </w:p>
          <w:p w14:paraId="307948D4" w14:textId="77777777" w:rsidR="00832223" w:rsidRPr="00D55103" w:rsidRDefault="00832223" w:rsidP="00357051">
            <w:pPr>
              <w:rPr>
                <w:szCs w:val="24"/>
              </w:rPr>
            </w:pPr>
          </w:p>
          <w:p w14:paraId="37EBCA87" w14:textId="77777777" w:rsidR="00832223" w:rsidRPr="00D55103" w:rsidRDefault="00DD2A34" w:rsidP="00357051">
            <w:pPr>
              <w:rPr>
                <w:szCs w:val="24"/>
              </w:rPr>
            </w:pPr>
            <w:bookmarkStart w:id="1" w:name="Respondent"/>
            <w:bookmarkEnd w:id="1"/>
            <w:r w:rsidRPr="00D55103">
              <w:rPr>
                <w:szCs w:val="24"/>
              </w:rPr>
              <w:t>STEPHEN RAWLIEGH GOLDEN</w:t>
            </w:r>
            <w:r w:rsidR="00832223" w:rsidRPr="00D55103">
              <w:rPr>
                <w:szCs w:val="24"/>
              </w:rPr>
              <w:t>,</w:t>
            </w:r>
          </w:p>
          <w:p w14:paraId="6BC56AE4" w14:textId="77777777" w:rsidR="00832223" w:rsidRPr="00D55103" w:rsidRDefault="00832223" w:rsidP="00357051">
            <w:pPr>
              <w:rPr>
                <w:szCs w:val="24"/>
              </w:rPr>
            </w:pPr>
          </w:p>
          <w:p w14:paraId="0FA2A278" w14:textId="781D665C" w:rsidR="00832223" w:rsidRPr="00D55103" w:rsidRDefault="00DD2A34" w:rsidP="00357051">
            <w:pPr>
              <w:rPr>
                <w:szCs w:val="24"/>
              </w:rPr>
            </w:pPr>
            <w:bookmarkStart w:id="2" w:name="type"/>
            <w:bookmarkEnd w:id="2"/>
            <w:r w:rsidRPr="00D55103">
              <w:rPr>
                <w:szCs w:val="24"/>
              </w:rPr>
              <w:t>A Member of the State Bar, No.</w:t>
            </w:r>
            <w:r w:rsidR="00832223" w:rsidRPr="00D55103">
              <w:rPr>
                <w:szCs w:val="24"/>
              </w:rPr>
              <w:t xml:space="preserve"> </w:t>
            </w:r>
            <w:bookmarkStart w:id="3" w:name="memno"/>
            <w:bookmarkStart w:id="4" w:name="MemberNo"/>
            <w:bookmarkEnd w:id="3"/>
            <w:bookmarkEnd w:id="4"/>
            <w:r w:rsidRPr="00D55103">
              <w:rPr>
                <w:szCs w:val="24"/>
              </w:rPr>
              <w:t>163366</w:t>
            </w:r>
            <w:r w:rsidR="006656B1">
              <w:rPr>
                <w:szCs w:val="24"/>
              </w:rPr>
              <w:t>.</w:t>
            </w:r>
          </w:p>
        </w:tc>
        <w:tc>
          <w:tcPr>
            <w:tcW w:w="450" w:type="dxa"/>
            <w:tcBorders>
              <w:top w:val="nil"/>
              <w:left w:val="nil"/>
              <w:bottom w:val="nil"/>
              <w:right w:val="nil"/>
            </w:tcBorders>
            <w:tcMar>
              <w:left w:w="0" w:type="dxa"/>
              <w:right w:w="0" w:type="dxa"/>
            </w:tcMar>
          </w:tcPr>
          <w:p w14:paraId="6D3F8FF6" w14:textId="77777777" w:rsidR="00832223" w:rsidRPr="00D55103" w:rsidRDefault="00832223" w:rsidP="00357051">
            <w:pPr>
              <w:rPr>
                <w:szCs w:val="24"/>
              </w:rPr>
            </w:pPr>
            <w:r w:rsidRPr="00D55103">
              <w:rPr>
                <w:szCs w:val="24"/>
              </w:rPr>
              <w:t>)</w:t>
            </w:r>
          </w:p>
          <w:p w14:paraId="3A82BD50" w14:textId="77777777" w:rsidR="00DD2A34" w:rsidRPr="00D55103" w:rsidRDefault="00832223" w:rsidP="00357051">
            <w:pPr>
              <w:rPr>
                <w:szCs w:val="24"/>
              </w:rPr>
            </w:pPr>
            <w:r w:rsidRPr="00D55103">
              <w:rPr>
                <w:szCs w:val="24"/>
              </w:rPr>
              <w:t>)</w:t>
            </w:r>
            <w:r w:rsidRPr="00D55103">
              <w:rPr>
                <w:szCs w:val="24"/>
              </w:rPr>
              <w:br/>
              <w:t>)</w:t>
            </w:r>
            <w:r w:rsidRPr="00D55103">
              <w:rPr>
                <w:szCs w:val="24"/>
              </w:rPr>
              <w:br/>
              <w:t>)</w:t>
            </w:r>
            <w:r w:rsidRPr="00D55103">
              <w:rPr>
                <w:szCs w:val="24"/>
              </w:rPr>
              <w:br/>
              <w:t>)</w:t>
            </w:r>
            <w:r w:rsidRPr="00D55103">
              <w:rPr>
                <w:szCs w:val="24"/>
              </w:rPr>
              <w:br/>
            </w:r>
            <w:r w:rsidR="00DD2A34" w:rsidRPr="00D55103">
              <w:rPr>
                <w:szCs w:val="24"/>
              </w:rPr>
              <w:t>)</w:t>
            </w:r>
          </w:p>
          <w:p w14:paraId="44A58419" w14:textId="77777777" w:rsidR="00832223" w:rsidRPr="00D55103" w:rsidRDefault="00832223" w:rsidP="00357051">
            <w:pPr>
              <w:rPr>
                <w:szCs w:val="24"/>
              </w:rPr>
            </w:pPr>
            <w:r w:rsidRPr="00D55103">
              <w:rPr>
                <w:szCs w:val="24"/>
              </w:rPr>
              <w:t>)</w:t>
            </w:r>
          </w:p>
        </w:tc>
        <w:tc>
          <w:tcPr>
            <w:tcW w:w="4590" w:type="dxa"/>
            <w:tcBorders>
              <w:top w:val="nil"/>
              <w:left w:val="nil"/>
              <w:bottom w:val="nil"/>
              <w:right w:val="nil"/>
            </w:tcBorders>
          </w:tcPr>
          <w:p w14:paraId="13F8A2F5" w14:textId="77777777" w:rsidR="00203E9C" w:rsidRDefault="00832223" w:rsidP="00357051">
            <w:pPr>
              <w:rPr>
                <w:szCs w:val="24"/>
              </w:rPr>
            </w:pPr>
            <w:r w:rsidRPr="00D55103">
              <w:rPr>
                <w:szCs w:val="24"/>
              </w:rPr>
              <w:t>Case No</w:t>
            </w:r>
            <w:r w:rsidR="00992E74" w:rsidRPr="00D55103">
              <w:rPr>
                <w:szCs w:val="24"/>
              </w:rPr>
              <w:t>s</w:t>
            </w:r>
            <w:r w:rsidRPr="00D55103">
              <w:rPr>
                <w:szCs w:val="24"/>
              </w:rPr>
              <w:t xml:space="preserve">. </w:t>
            </w:r>
            <w:bookmarkStart w:id="5" w:name="caseno"/>
            <w:bookmarkEnd w:id="5"/>
            <w:r w:rsidR="00992E74" w:rsidRPr="00D55103">
              <w:rPr>
                <w:szCs w:val="24"/>
              </w:rPr>
              <w:t>14-O-06366 (</w:t>
            </w:r>
            <w:r w:rsidR="006656B1">
              <w:rPr>
                <w:szCs w:val="24"/>
              </w:rPr>
              <w:t xml:space="preserve">15-O-10090; </w:t>
            </w:r>
          </w:p>
          <w:p w14:paraId="6DF3509A" w14:textId="77777777" w:rsidR="00203E9C" w:rsidRDefault="00DD2A34" w:rsidP="00357051">
            <w:pPr>
              <w:rPr>
                <w:szCs w:val="24"/>
              </w:rPr>
            </w:pPr>
            <w:r w:rsidRPr="00D55103">
              <w:rPr>
                <w:szCs w:val="24"/>
              </w:rPr>
              <w:t xml:space="preserve">15-O-10686; 15-O-11035; 15-O-11090; </w:t>
            </w:r>
          </w:p>
          <w:p w14:paraId="3AC219D1" w14:textId="77777777" w:rsidR="00203E9C" w:rsidRDefault="00DD2A34" w:rsidP="00357051">
            <w:pPr>
              <w:rPr>
                <w:szCs w:val="24"/>
              </w:rPr>
            </w:pPr>
            <w:r w:rsidRPr="00D55103">
              <w:rPr>
                <w:szCs w:val="24"/>
              </w:rPr>
              <w:t>15-O-11237</w:t>
            </w:r>
            <w:r w:rsidR="00992E74" w:rsidRPr="00D55103">
              <w:rPr>
                <w:szCs w:val="24"/>
              </w:rPr>
              <w:t>); 16-O-10260 (</w:t>
            </w:r>
            <w:r w:rsidRPr="00D55103">
              <w:rPr>
                <w:szCs w:val="24"/>
              </w:rPr>
              <w:t xml:space="preserve">16-O-10597; </w:t>
            </w:r>
          </w:p>
          <w:p w14:paraId="716BBE77" w14:textId="49ADE8D3" w:rsidR="00832223" w:rsidRPr="00D55103" w:rsidRDefault="006656B1" w:rsidP="00357051">
            <w:pPr>
              <w:rPr>
                <w:szCs w:val="24"/>
              </w:rPr>
            </w:pPr>
            <w:r>
              <w:rPr>
                <w:szCs w:val="24"/>
              </w:rPr>
              <w:t>16-O-10896;</w:t>
            </w:r>
            <w:r w:rsidR="00203E9C">
              <w:rPr>
                <w:szCs w:val="24"/>
              </w:rPr>
              <w:t xml:space="preserve"> </w:t>
            </w:r>
            <w:r w:rsidR="00F32F39">
              <w:rPr>
                <w:szCs w:val="24"/>
              </w:rPr>
              <w:t>16-O-11152; 16</w:t>
            </w:r>
            <w:r w:rsidR="00DD2A34" w:rsidRPr="00D55103">
              <w:rPr>
                <w:szCs w:val="24"/>
              </w:rPr>
              <w:t>-O-11971</w:t>
            </w:r>
            <w:r w:rsidR="00992E74" w:rsidRPr="00D55103">
              <w:rPr>
                <w:szCs w:val="24"/>
              </w:rPr>
              <w:t>)</w:t>
            </w:r>
            <w:r w:rsidR="00D36D37">
              <w:rPr>
                <w:szCs w:val="24"/>
              </w:rPr>
              <w:t xml:space="preserve"> </w:t>
            </w:r>
            <w:r w:rsidR="00DD2A34" w:rsidRPr="00D55103">
              <w:rPr>
                <w:szCs w:val="24"/>
              </w:rPr>
              <w:t>(Consolidated)</w:t>
            </w:r>
          </w:p>
          <w:p w14:paraId="4D76C7F3" w14:textId="77777777" w:rsidR="00DD2A34" w:rsidRPr="00D55103" w:rsidRDefault="00DD2A34" w:rsidP="00357051">
            <w:pPr>
              <w:rPr>
                <w:szCs w:val="24"/>
              </w:rPr>
            </w:pPr>
            <w:bookmarkStart w:id="6" w:name="title"/>
            <w:bookmarkEnd w:id="6"/>
          </w:p>
          <w:p w14:paraId="60E1A4B2" w14:textId="77777777" w:rsidR="00832223" w:rsidRPr="00D55103" w:rsidRDefault="00DD2A34" w:rsidP="00357051">
            <w:pPr>
              <w:rPr>
                <w:szCs w:val="24"/>
              </w:rPr>
            </w:pPr>
            <w:r w:rsidRPr="00D55103">
              <w:rPr>
                <w:szCs w:val="24"/>
              </w:rPr>
              <w:t>OPINION</w:t>
            </w:r>
          </w:p>
        </w:tc>
      </w:tr>
    </w:tbl>
    <w:p w14:paraId="5A3031F0" w14:textId="77777777" w:rsidR="00832223" w:rsidRPr="00D55103" w:rsidRDefault="00832223" w:rsidP="00832223">
      <w:pPr>
        <w:rPr>
          <w:szCs w:val="24"/>
        </w:rPr>
      </w:pPr>
    </w:p>
    <w:p w14:paraId="05F8B196" w14:textId="42CF3BC6" w:rsidR="00D122B6" w:rsidRPr="00D55103" w:rsidRDefault="00DD2A34" w:rsidP="00A220F4">
      <w:pPr>
        <w:spacing w:line="480" w:lineRule="auto"/>
        <w:ind w:firstLine="720"/>
        <w:rPr>
          <w:szCs w:val="24"/>
        </w:rPr>
      </w:pPr>
      <w:bookmarkStart w:id="7" w:name="start"/>
      <w:bookmarkEnd w:id="7"/>
      <w:r w:rsidRPr="00D55103">
        <w:rPr>
          <w:szCs w:val="24"/>
        </w:rPr>
        <w:t xml:space="preserve">Stephen Rawliegh Golden appeals a hearing judge’s decision </w:t>
      </w:r>
      <w:r w:rsidR="00D122B6" w:rsidRPr="00D55103">
        <w:rPr>
          <w:szCs w:val="24"/>
        </w:rPr>
        <w:t>fi</w:t>
      </w:r>
      <w:r w:rsidR="00FE7AC7" w:rsidRPr="00D55103">
        <w:rPr>
          <w:szCs w:val="24"/>
        </w:rPr>
        <w:t>nd</w:t>
      </w:r>
      <w:r w:rsidR="00D122B6" w:rsidRPr="00D55103">
        <w:rPr>
          <w:szCs w:val="24"/>
        </w:rPr>
        <w:t>ing him</w:t>
      </w:r>
      <w:r w:rsidR="009079D3" w:rsidRPr="00D55103">
        <w:rPr>
          <w:szCs w:val="24"/>
        </w:rPr>
        <w:t xml:space="preserve"> </w:t>
      </w:r>
      <w:r w:rsidRPr="00D55103">
        <w:rPr>
          <w:szCs w:val="24"/>
        </w:rPr>
        <w:t>culpable of 25</w:t>
      </w:r>
      <w:r w:rsidR="00117166" w:rsidRPr="00D55103">
        <w:rPr>
          <w:szCs w:val="24"/>
        </w:rPr>
        <w:t> </w:t>
      </w:r>
      <w:r w:rsidRPr="00D55103">
        <w:rPr>
          <w:szCs w:val="24"/>
        </w:rPr>
        <w:t xml:space="preserve">counts of misconduct related to </w:t>
      </w:r>
      <w:r w:rsidR="00BD0468">
        <w:rPr>
          <w:szCs w:val="24"/>
        </w:rPr>
        <w:t xml:space="preserve">home </w:t>
      </w:r>
      <w:r w:rsidRPr="00D55103">
        <w:rPr>
          <w:szCs w:val="24"/>
        </w:rPr>
        <w:t>loan modification services in 11 client matters</w:t>
      </w:r>
      <w:r w:rsidR="00FE7AC7" w:rsidRPr="00D55103">
        <w:rPr>
          <w:szCs w:val="24"/>
        </w:rPr>
        <w:t xml:space="preserve">.  </w:t>
      </w:r>
      <w:r w:rsidR="00A220F4" w:rsidRPr="00D55103">
        <w:rPr>
          <w:szCs w:val="24"/>
        </w:rPr>
        <w:t xml:space="preserve">Specifically, the judge found Golden culpable </w:t>
      </w:r>
      <w:r w:rsidR="002A29D6" w:rsidRPr="00D55103">
        <w:rPr>
          <w:szCs w:val="24"/>
        </w:rPr>
        <w:t xml:space="preserve">of </w:t>
      </w:r>
      <w:r w:rsidR="00AE224B" w:rsidRPr="00D55103">
        <w:rPr>
          <w:szCs w:val="24"/>
        </w:rPr>
        <w:t xml:space="preserve">multiple counts </w:t>
      </w:r>
      <w:r w:rsidR="005D1C71">
        <w:rPr>
          <w:szCs w:val="24"/>
        </w:rPr>
        <w:t>in</w:t>
      </w:r>
      <w:r w:rsidR="00AE224B" w:rsidRPr="00D55103">
        <w:rPr>
          <w:szCs w:val="24"/>
        </w:rPr>
        <w:t xml:space="preserve"> each of </w:t>
      </w:r>
      <w:r w:rsidR="002A29D6" w:rsidRPr="00D55103">
        <w:rPr>
          <w:szCs w:val="24"/>
        </w:rPr>
        <w:t xml:space="preserve">three categories of misconduct: </w:t>
      </w:r>
      <w:r w:rsidR="00AE224B" w:rsidRPr="00D55103">
        <w:rPr>
          <w:szCs w:val="24"/>
        </w:rPr>
        <w:t>(1) </w:t>
      </w:r>
      <w:r w:rsidR="00A220F4" w:rsidRPr="00D55103">
        <w:rPr>
          <w:szCs w:val="24"/>
        </w:rPr>
        <w:t>charging pre-performance fees</w:t>
      </w:r>
      <w:r w:rsidR="002A29D6" w:rsidRPr="00D55103">
        <w:rPr>
          <w:szCs w:val="24"/>
        </w:rPr>
        <w:t>;</w:t>
      </w:r>
      <w:r w:rsidR="00A220F4" w:rsidRPr="00D55103">
        <w:rPr>
          <w:szCs w:val="24"/>
        </w:rPr>
        <w:t xml:space="preserve"> </w:t>
      </w:r>
      <w:r w:rsidR="00A92F72" w:rsidRPr="00D55103">
        <w:rPr>
          <w:szCs w:val="24"/>
        </w:rPr>
        <w:t>(2) </w:t>
      </w:r>
      <w:r w:rsidR="00A220F4" w:rsidRPr="00D55103">
        <w:rPr>
          <w:szCs w:val="24"/>
        </w:rPr>
        <w:t>failing to provide separate statement</w:t>
      </w:r>
      <w:r w:rsidR="006B3BF0">
        <w:rPr>
          <w:szCs w:val="24"/>
        </w:rPr>
        <w:t>s</w:t>
      </w:r>
      <w:r w:rsidR="00BD0468">
        <w:rPr>
          <w:szCs w:val="24"/>
        </w:rPr>
        <w:t>, required by law,</w:t>
      </w:r>
      <w:r w:rsidR="00A220F4" w:rsidRPr="00D55103">
        <w:rPr>
          <w:szCs w:val="24"/>
        </w:rPr>
        <w:t xml:space="preserve"> disclosing that a third-party representative was unnecessary for loan modifications</w:t>
      </w:r>
      <w:r w:rsidR="002A29D6" w:rsidRPr="00D55103">
        <w:rPr>
          <w:szCs w:val="24"/>
        </w:rPr>
        <w:t>;</w:t>
      </w:r>
      <w:r w:rsidR="00A220F4" w:rsidRPr="00D55103">
        <w:rPr>
          <w:szCs w:val="24"/>
        </w:rPr>
        <w:t xml:space="preserve"> and </w:t>
      </w:r>
      <w:r w:rsidR="00A92F72" w:rsidRPr="00D55103">
        <w:rPr>
          <w:szCs w:val="24"/>
        </w:rPr>
        <w:t>(3) </w:t>
      </w:r>
      <w:r w:rsidR="00A220F4" w:rsidRPr="00D55103">
        <w:rPr>
          <w:szCs w:val="24"/>
        </w:rPr>
        <w:t>failing to render appropriate accounting</w:t>
      </w:r>
      <w:r w:rsidR="006B3BF0">
        <w:rPr>
          <w:szCs w:val="24"/>
        </w:rPr>
        <w:t>s</w:t>
      </w:r>
      <w:r w:rsidR="00A220F4" w:rsidRPr="00D55103">
        <w:rPr>
          <w:szCs w:val="24"/>
        </w:rPr>
        <w:t>.</w:t>
      </w:r>
      <w:r w:rsidR="00053E77" w:rsidRPr="00D55103">
        <w:rPr>
          <w:szCs w:val="24"/>
        </w:rPr>
        <w:t xml:space="preserve">  </w:t>
      </w:r>
      <w:r w:rsidR="00FE7AC7" w:rsidRPr="00D55103">
        <w:rPr>
          <w:szCs w:val="24"/>
        </w:rPr>
        <w:t>The judge</w:t>
      </w:r>
      <w:r w:rsidR="006D2267" w:rsidRPr="00D55103">
        <w:rPr>
          <w:szCs w:val="24"/>
        </w:rPr>
        <w:t xml:space="preserve"> </w:t>
      </w:r>
      <w:r w:rsidR="00D122B6" w:rsidRPr="00D55103">
        <w:rPr>
          <w:szCs w:val="24"/>
        </w:rPr>
        <w:t>found Golden’s misconduct was mitigated by</w:t>
      </w:r>
      <w:r w:rsidR="00D170B0" w:rsidRPr="00D55103">
        <w:rPr>
          <w:szCs w:val="24"/>
        </w:rPr>
        <w:t xml:space="preserve"> </w:t>
      </w:r>
      <w:r w:rsidR="00053E77" w:rsidRPr="00D55103">
        <w:rPr>
          <w:szCs w:val="24"/>
        </w:rPr>
        <w:t xml:space="preserve">his </w:t>
      </w:r>
      <w:r w:rsidRPr="00D55103">
        <w:rPr>
          <w:szCs w:val="24"/>
        </w:rPr>
        <w:t>17</w:t>
      </w:r>
      <w:r w:rsidR="00117166" w:rsidRPr="00D55103">
        <w:rPr>
          <w:szCs w:val="24"/>
        </w:rPr>
        <w:t> </w:t>
      </w:r>
      <w:r w:rsidRPr="00D55103">
        <w:rPr>
          <w:szCs w:val="24"/>
        </w:rPr>
        <w:t xml:space="preserve">years of discipline-free practice and </w:t>
      </w:r>
      <w:r w:rsidR="00F119F7">
        <w:rPr>
          <w:szCs w:val="24"/>
        </w:rPr>
        <w:t xml:space="preserve">his </w:t>
      </w:r>
      <w:r w:rsidRPr="00D55103">
        <w:rPr>
          <w:szCs w:val="24"/>
        </w:rPr>
        <w:t>cooperation in these proceedings</w:t>
      </w:r>
      <w:r w:rsidR="002A29D6" w:rsidRPr="00D55103">
        <w:rPr>
          <w:szCs w:val="24"/>
        </w:rPr>
        <w:t xml:space="preserve"> (i.e., </w:t>
      </w:r>
      <w:r w:rsidR="007F2078" w:rsidRPr="00D55103">
        <w:rPr>
          <w:szCs w:val="24"/>
        </w:rPr>
        <w:t>stipulatin</w:t>
      </w:r>
      <w:r w:rsidR="00117166" w:rsidRPr="00D55103">
        <w:rPr>
          <w:szCs w:val="24"/>
        </w:rPr>
        <w:t>g</w:t>
      </w:r>
      <w:r w:rsidR="0038181C" w:rsidRPr="00D55103">
        <w:rPr>
          <w:szCs w:val="24"/>
        </w:rPr>
        <w:t xml:space="preserve"> to many facts that established his culpability for </w:t>
      </w:r>
      <w:r w:rsidR="00F119F7">
        <w:rPr>
          <w:szCs w:val="24"/>
        </w:rPr>
        <w:t>the first two categories</w:t>
      </w:r>
      <w:r w:rsidR="007F2078" w:rsidRPr="00D55103">
        <w:rPr>
          <w:szCs w:val="24"/>
        </w:rPr>
        <w:t xml:space="preserve">, </w:t>
      </w:r>
      <w:r w:rsidR="0038181C" w:rsidRPr="00D55103">
        <w:rPr>
          <w:szCs w:val="24"/>
        </w:rPr>
        <w:t>a</w:t>
      </w:r>
      <w:r w:rsidR="006B3BF0">
        <w:rPr>
          <w:szCs w:val="24"/>
        </w:rPr>
        <w:t>nd</w:t>
      </w:r>
      <w:r w:rsidR="007F2078" w:rsidRPr="00D55103">
        <w:rPr>
          <w:szCs w:val="24"/>
        </w:rPr>
        <w:t xml:space="preserve"> express</w:t>
      </w:r>
      <w:r w:rsidR="00136A2D" w:rsidRPr="00D55103">
        <w:rPr>
          <w:szCs w:val="24"/>
        </w:rPr>
        <w:t>ly stipulati</w:t>
      </w:r>
      <w:r w:rsidR="007F2078" w:rsidRPr="00D55103">
        <w:rPr>
          <w:szCs w:val="24"/>
        </w:rPr>
        <w:t>n</w:t>
      </w:r>
      <w:r w:rsidR="00136A2D" w:rsidRPr="00D55103">
        <w:rPr>
          <w:szCs w:val="24"/>
        </w:rPr>
        <w:t>g</w:t>
      </w:r>
      <w:r w:rsidR="007F2078" w:rsidRPr="00D55103">
        <w:rPr>
          <w:szCs w:val="24"/>
        </w:rPr>
        <w:t xml:space="preserve"> to culpability for </w:t>
      </w:r>
      <w:r w:rsidR="00F119F7">
        <w:rPr>
          <w:szCs w:val="24"/>
        </w:rPr>
        <w:t>the third</w:t>
      </w:r>
      <w:r w:rsidR="002A29D6" w:rsidRPr="00D55103">
        <w:rPr>
          <w:szCs w:val="24"/>
        </w:rPr>
        <w:t>)</w:t>
      </w:r>
      <w:r w:rsidR="00660867">
        <w:rPr>
          <w:szCs w:val="24"/>
        </w:rPr>
        <w:t>.  She found</w:t>
      </w:r>
      <w:r w:rsidR="00D122B6" w:rsidRPr="00D55103">
        <w:rPr>
          <w:szCs w:val="24"/>
        </w:rPr>
        <w:t xml:space="preserve"> aggravat</w:t>
      </w:r>
      <w:r w:rsidR="00660867">
        <w:rPr>
          <w:szCs w:val="24"/>
        </w:rPr>
        <w:t xml:space="preserve">ing </w:t>
      </w:r>
      <w:r w:rsidRPr="00D55103">
        <w:rPr>
          <w:szCs w:val="24"/>
        </w:rPr>
        <w:t>significant client harm, multiple acts demonstrating a pattern of misconduct, indifference toward rectification, uncharged misconduct, failure to make restitution, and overreach</w:t>
      </w:r>
      <w:r w:rsidR="00BA4C37" w:rsidRPr="00D55103">
        <w:rPr>
          <w:szCs w:val="24"/>
        </w:rPr>
        <w:t xml:space="preserve">ing.  </w:t>
      </w:r>
      <w:r w:rsidR="00D122B6" w:rsidRPr="00D55103">
        <w:rPr>
          <w:szCs w:val="24"/>
        </w:rPr>
        <w:t>The judge recommended a one-year actual suspension, continuing until Golden makes restitution of illegal fees charged to his clients, totaling more than $278,000.</w:t>
      </w:r>
    </w:p>
    <w:p w14:paraId="30C18276" w14:textId="2334F106" w:rsidR="00A2595A" w:rsidRPr="00D55103" w:rsidRDefault="00F846B7" w:rsidP="00A2595A">
      <w:pPr>
        <w:spacing w:line="480" w:lineRule="auto"/>
        <w:ind w:firstLine="720"/>
        <w:rPr>
          <w:szCs w:val="24"/>
        </w:rPr>
      </w:pPr>
      <w:r w:rsidRPr="00D55103">
        <w:rPr>
          <w:szCs w:val="24"/>
        </w:rPr>
        <w:t xml:space="preserve">Golden appeals.  He </w:t>
      </w:r>
      <w:r w:rsidR="00D745F6" w:rsidRPr="00D55103">
        <w:rPr>
          <w:szCs w:val="24"/>
        </w:rPr>
        <w:t>challenges culpability</w:t>
      </w:r>
      <w:r w:rsidR="00F119F7">
        <w:rPr>
          <w:szCs w:val="24"/>
        </w:rPr>
        <w:t>,</w:t>
      </w:r>
      <w:r w:rsidR="00D745F6" w:rsidRPr="00D55103">
        <w:rPr>
          <w:szCs w:val="24"/>
        </w:rPr>
        <w:t xml:space="preserve"> principally argu</w:t>
      </w:r>
      <w:r w:rsidR="00F119F7">
        <w:rPr>
          <w:szCs w:val="24"/>
        </w:rPr>
        <w:t>ing</w:t>
      </w:r>
      <w:r w:rsidR="00D745F6" w:rsidRPr="00D55103">
        <w:rPr>
          <w:szCs w:val="24"/>
        </w:rPr>
        <w:t xml:space="preserve"> </w:t>
      </w:r>
      <w:r w:rsidR="00F119F7">
        <w:rPr>
          <w:szCs w:val="24"/>
        </w:rPr>
        <w:t xml:space="preserve">that </w:t>
      </w:r>
      <w:r w:rsidR="00D745F6" w:rsidRPr="00D55103">
        <w:rPr>
          <w:szCs w:val="24"/>
        </w:rPr>
        <w:t>he provid</w:t>
      </w:r>
      <w:r w:rsidR="006C38B1" w:rsidRPr="00D55103">
        <w:rPr>
          <w:szCs w:val="24"/>
        </w:rPr>
        <w:t>ed</w:t>
      </w:r>
      <w:r w:rsidR="00D745F6" w:rsidRPr="00D55103">
        <w:rPr>
          <w:szCs w:val="24"/>
        </w:rPr>
        <w:t xml:space="preserve"> foreclosure defense litigation rather than</w:t>
      </w:r>
      <w:r w:rsidR="00BD0468">
        <w:rPr>
          <w:szCs w:val="24"/>
        </w:rPr>
        <w:t xml:space="preserve"> purely</w:t>
      </w:r>
      <w:r w:rsidR="00D745F6" w:rsidRPr="00D55103">
        <w:rPr>
          <w:szCs w:val="24"/>
        </w:rPr>
        <w:t xml:space="preserve"> lo</w:t>
      </w:r>
      <w:r w:rsidR="00D170B0" w:rsidRPr="00D55103">
        <w:rPr>
          <w:szCs w:val="24"/>
        </w:rPr>
        <w:t xml:space="preserve">an modification services, and, </w:t>
      </w:r>
      <w:r w:rsidR="006C38B1" w:rsidRPr="00D55103">
        <w:rPr>
          <w:szCs w:val="24"/>
        </w:rPr>
        <w:t>thus</w:t>
      </w:r>
      <w:r w:rsidR="00D170B0" w:rsidRPr="00D55103">
        <w:rPr>
          <w:szCs w:val="24"/>
        </w:rPr>
        <w:t>, w</w:t>
      </w:r>
      <w:r w:rsidR="00D745F6" w:rsidRPr="00D55103">
        <w:rPr>
          <w:szCs w:val="24"/>
        </w:rPr>
        <w:t>as permitted to charge and collect advance fees.  T</w:t>
      </w:r>
      <w:r w:rsidR="00DD2A34" w:rsidRPr="00D55103">
        <w:rPr>
          <w:szCs w:val="24"/>
        </w:rPr>
        <w:t>he Office of Chief Trial Counsel of the State Bar</w:t>
      </w:r>
      <w:r w:rsidR="00235A4D" w:rsidRPr="00D55103">
        <w:rPr>
          <w:szCs w:val="24"/>
        </w:rPr>
        <w:t xml:space="preserve"> </w:t>
      </w:r>
      <w:r w:rsidR="00DD2A34" w:rsidRPr="00D55103">
        <w:rPr>
          <w:szCs w:val="24"/>
        </w:rPr>
        <w:lastRenderedPageBreak/>
        <w:t>(OCTC) does not</w:t>
      </w:r>
      <w:r w:rsidR="00AA51A7" w:rsidRPr="00D55103">
        <w:rPr>
          <w:szCs w:val="24"/>
        </w:rPr>
        <w:t xml:space="preserve"> appeal and </w:t>
      </w:r>
      <w:r w:rsidR="00D745F6" w:rsidRPr="00D55103">
        <w:rPr>
          <w:szCs w:val="24"/>
        </w:rPr>
        <w:t xml:space="preserve">requests that we affirm the judge’s </w:t>
      </w:r>
      <w:r w:rsidR="00B553D1" w:rsidRPr="00D55103">
        <w:rPr>
          <w:szCs w:val="24"/>
        </w:rPr>
        <w:t xml:space="preserve">findings and </w:t>
      </w:r>
      <w:r w:rsidR="00D745F6" w:rsidRPr="00D55103">
        <w:rPr>
          <w:szCs w:val="24"/>
        </w:rPr>
        <w:t>discipline recommendation</w:t>
      </w:r>
      <w:r w:rsidR="00AA51A7" w:rsidRPr="00D55103">
        <w:rPr>
          <w:szCs w:val="24"/>
        </w:rPr>
        <w:t>.</w:t>
      </w:r>
    </w:p>
    <w:p w14:paraId="0AB6C0D6" w14:textId="1BE98EDF" w:rsidR="00EE51DF" w:rsidRPr="00D55103" w:rsidRDefault="00A2595A" w:rsidP="00723F74">
      <w:pPr>
        <w:spacing w:line="480" w:lineRule="auto"/>
        <w:ind w:firstLine="720"/>
        <w:rPr>
          <w:szCs w:val="24"/>
        </w:rPr>
      </w:pPr>
      <w:r w:rsidRPr="00D55103">
        <w:rPr>
          <w:szCs w:val="24"/>
        </w:rPr>
        <w:t xml:space="preserve">Upon independent review of the record (Cal. Rules of Court, rule 9.12), we affirm the hearing judge’s findings of fact and law with minor modifications.  </w:t>
      </w:r>
      <w:r w:rsidR="00723F74" w:rsidRPr="00D55103">
        <w:rPr>
          <w:szCs w:val="24"/>
        </w:rPr>
        <w:t xml:space="preserve">After reviewing the applicable disciplinary standards and relevant </w:t>
      </w:r>
      <w:r w:rsidR="00660867">
        <w:rPr>
          <w:szCs w:val="24"/>
        </w:rPr>
        <w:t xml:space="preserve">loan modification </w:t>
      </w:r>
      <w:r w:rsidR="00723F74" w:rsidRPr="00D55103">
        <w:rPr>
          <w:szCs w:val="24"/>
        </w:rPr>
        <w:t>case law, we agree with the judge that Golden’s misconduct warrants a one-year actual suspension to continue until he makes full restitution</w:t>
      </w:r>
      <w:r w:rsidR="006D2267" w:rsidRPr="00D55103">
        <w:rPr>
          <w:szCs w:val="24"/>
        </w:rPr>
        <w:t xml:space="preserve">.  </w:t>
      </w:r>
      <w:r w:rsidR="005A4412">
        <w:rPr>
          <w:szCs w:val="24"/>
        </w:rPr>
        <w:t>W</w:t>
      </w:r>
      <w:r w:rsidR="00862A85" w:rsidRPr="00D55103">
        <w:rPr>
          <w:szCs w:val="24"/>
        </w:rPr>
        <w:t xml:space="preserve">e also recommend that </w:t>
      </w:r>
      <w:r w:rsidR="00F119F7">
        <w:rPr>
          <w:szCs w:val="24"/>
        </w:rPr>
        <w:t>he remain suspended</w:t>
      </w:r>
      <w:r w:rsidR="00862A85" w:rsidRPr="00D55103">
        <w:rPr>
          <w:szCs w:val="24"/>
        </w:rPr>
        <w:t xml:space="preserve"> until he proves his rehabilitation and fitness to practice law</w:t>
      </w:r>
      <w:r w:rsidR="00723F74" w:rsidRPr="00D55103">
        <w:rPr>
          <w:szCs w:val="24"/>
        </w:rPr>
        <w:t>.</w:t>
      </w:r>
    </w:p>
    <w:p w14:paraId="20108EA9" w14:textId="77777777" w:rsidR="001A33E5" w:rsidRPr="00D55103" w:rsidRDefault="001A33E5" w:rsidP="001A33E5">
      <w:pPr>
        <w:pStyle w:val="ListParagraph"/>
        <w:spacing w:line="480" w:lineRule="auto"/>
        <w:ind w:left="0"/>
        <w:jc w:val="center"/>
        <w:rPr>
          <w:rFonts w:eastAsia="Times New Roman"/>
          <w:b/>
          <w:szCs w:val="24"/>
        </w:rPr>
      </w:pPr>
      <w:r w:rsidRPr="00D55103">
        <w:rPr>
          <w:b/>
          <w:szCs w:val="24"/>
        </w:rPr>
        <w:t xml:space="preserve">I.  </w:t>
      </w:r>
      <w:r w:rsidR="00372304" w:rsidRPr="00D55103">
        <w:rPr>
          <w:b/>
          <w:szCs w:val="24"/>
        </w:rPr>
        <w:t>RELEVANT PROCEDURAL HISTORY</w:t>
      </w:r>
    </w:p>
    <w:p w14:paraId="363DB6B9" w14:textId="22285BEE" w:rsidR="00763A57" w:rsidRPr="00D55103" w:rsidRDefault="00057F35" w:rsidP="00763A57">
      <w:pPr>
        <w:spacing w:line="480" w:lineRule="auto"/>
        <w:ind w:firstLine="720"/>
        <w:rPr>
          <w:szCs w:val="24"/>
        </w:rPr>
      </w:pPr>
      <w:r w:rsidRPr="00D55103">
        <w:rPr>
          <w:szCs w:val="24"/>
        </w:rPr>
        <w:t>Golden was admitted to practice law in California on January 4, 1993, and has no prior record of discipline.  On October</w:t>
      </w:r>
      <w:r w:rsidR="00460F89">
        <w:rPr>
          <w:szCs w:val="24"/>
        </w:rPr>
        <w:t> </w:t>
      </w:r>
      <w:r w:rsidRPr="00D55103">
        <w:rPr>
          <w:szCs w:val="24"/>
        </w:rPr>
        <w:t xml:space="preserve">27, 2015, OCTC </w:t>
      </w:r>
      <w:r w:rsidR="00580B3A" w:rsidRPr="00D55103">
        <w:rPr>
          <w:szCs w:val="24"/>
        </w:rPr>
        <w:t>fil</w:t>
      </w:r>
      <w:r w:rsidR="00763A57" w:rsidRPr="00D55103">
        <w:rPr>
          <w:szCs w:val="24"/>
        </w:rPr>
        <w:t>ed</w:t>
      </w:r>
      <w:r w:rsidR="00580B3A" w:rsidRPr="00D55103">
        <w:rPr>
          <w:szCs w:val="24"/>
        </w:rPr>
        <w:t xml:space="preserve"> a </w:t>
      </w:r>
      <w:r w:rsidR="00763A57" w:rsidRPr="00D55103">
        <w:rPr>
          <w:szCs w:val="24"/>
        </w:rPr>
        <w:t>13-count Notice of Disciplinary C</w:t>
      </w:r>
      <w:r w:rsidR="00C7447F" w:rsidRPr="00D55103">
        <w:rPr>
          <w:szCs w:val="24"/>
        </w:rPr>
        <w:t>harges (NDC</w:t>
      </w:r>
      <w:r w:rsidR="00460F89">
        <w:rPr>
          <w:szCs w:val="24"/>
        </w:rPr>
        <w:t>) in C</w:t>
      </w:r>
      <w:r w:rsidR="00580B3A" w:rsidRPr="00D55103">
        <w:rPr>
          <w:szCs w:val="24"/>
        </w:rPr>
        <w:t>ase</w:t>
      </w:r>
      <w:r w:rsidR="00763A57" w:rsidRPr="00D55103">
        <w:rPr>
          <w:szCs w:val="24"/>
        </w:rPr>
        <w:t xml:space="preserve"> </w:t>
      </w:r>
      <w:r w:rsidR="00460F89">
        <w:rPr>
          <w:szCs w:val="24"/>
        </w:rPr>
        <w:t>Nos. </w:t>
      </w:r>
      <w:r w:rsidR="00580B3A" w:rsidRPr="00D55103">
        <w:rPr>
          <w:szCs w:val="24"/>
        </w:rPr>
        <w:t>14-</w:t>
      </w:r>
      <w:r w:rsidR="00B23A28" w:rsidRPr="00D55103">
        <w:rPr>
          <w:szCs w:val="24"/>
        </w:rPr>
        <w:t>O</w:t>
      </w:r>
      <w:r w:rsidR="00580B3A" w:rsidRPr="00D55103">
        <w:rPr>
          <w:szCs w:val="24"/>
        </w:rPr>
        <w:t xml:space="preserve">-06366 (15-O-10090; 15-O-10686; 15-O-11035; </w:t>
      </w:r>
      <w:r w:rsidR="00D9714D" w:rsidRPr="00D55103">
        <w:rPr>
          <w:szCs w:val="24"/>
        </w:rPr>
        <w:t>1</w:t>
      </w:r>
      <w:r w:rsidR="00580B3A" w:rsidRPr="00D55103">
        <w:rPr>
          <w:szCs w:val="24"/>
        </w:rPr>
        <w:t>5-O-11090; l5-O-11237)</w:t>
      </w:r>
      <w:r w:rsidR="00355FFC" w:rsidRPr="00D55103">
        <w:rPr>
          <w:szCs w:val="24"/>
        </w:rPr>
        <w:t xml:space="preserve"> (NDC-1</w:t>
      </w:r>
      <w:r w:rsidR="00C7447F" w:rsidRPr="00D55103">
        <w:rPr>
          <w:szCs w:val="24"/>
        </w:rPr>
        <w:t>)</w:t>
      </w:r>
      <w:r w:rsidR="00580B3A" w:rsidRPr="00D55103">
        <w:rPr>
          <w:szCs w:val="24"/>
        </w:rPr>
        <w:t>.</w:t>
      </w:r>
    </w:p>
    <w:p w14:paraId="78979C10" w14:textId="05A9CCDD" w:rsidR="00C7447F" w:rsidRPr="00D55103" w:rsidRDefault="00580B3A" w:rsidP="0006173C">
      <w:pPr>
        <w:spacing w:line="480" w:lineRule="auto"/>
        <w:ind w:firstLine="720"/>
        <w:rPr>
          <w:szCs w:val="24"/>
        </w:rPr>
      </w:pPr>
      <w:r w:rsidRPr="00D55103">
        <w:rPr>
          <w:szCs w:val="24"/>
        </w:rPr>
        <w:t>On July</w:t>
      </w:r>
      <w:r w:rsidR="00460F89">
        <w:rPr>
          <w:szCs w:val="24"/>
        </w:rPr>
        <w:t> </w:t>
      </w:r>
      <w:r w:rsidRPr="00D55103">
        <w:rPr>
          <w:szCs w:val="24"/>
        </w:rPr>
        <w:t>14,</w:t>
      </w:r>
      <w:r w:rsidR="00763A57" w:rsidRPr="00D55103">
        <w:rPr>
          <w:szCs w:val="24"/>
        </w:rPr>
        <w:t xml:space="preserve"> </w:t>
      </w:r>
      <w:r w:rsidRPr="00D55103">
        <w:rPr>
          <w:szCs w:val="24"/>
        </w:rPr>
        <w:t xml:space="preserve">2016, </w:t>
      </w:r>
      <w:r w:rsidR="00763A57" w:rsidRPr="00D55103">
        <w:rPr>
          <w:szCs w:val="24"/>
        </w:rPr>
        <w:t xml:space="preserve">OCTC </w:t>
      </w:r>
      <w:r w:rsidR="00954B16" w:rsidRPr="00D55103">
        <w:rPr>
          <w:szCs w:val="24"/>
        </w:rPr>
        <w:t>initiated an expedited proceeding (Case No.</w:t>
      </w:r>
      <w:r w:rsidR="00460F89">
        <w:rPr>
          <w:szCs w:val="24"/>
        </w:rPr>
        <w:t> </w:t>
      </w:r>
      <w:r w:rsidR="00954B16" w:rsidRPr="00D55103">
        <w:rPr>
          <w:szCs w:val="24"/>
        </w:rPr>
        <w:t>16-TE-14488) seeking Golden’s involuntary inactive enrollment pursuant to Business and Professions Code section</w:t>
      </w:r>
      <w:r w:rsidR="00460F89">
        <w:rPr>
          <w:szCs w:val="24"/>
        </w:rPr>
        <w:t> </w:t>
      </w:r>
      <w:r w:rsidR="00954B16" w:rsidRPr="00D55103">
        <w:rPr>
          <w:szCs w:val="24"/>
        </w:rPr>
        <w:t>6007, subdivision</w:t>
      </w:r>
      <w:r w:rsidR="00460F89">
        <w:rPr>
          <w:szCs w:val="24"/>
        </w:rPr>
        <w:t> </w:t>
      </w:r>
      <w:r w:rsidR="00954B16" w:rsidRPr="00D55103">
        <w:rPr>
          <w:szCs w:val="24"/>
        </w:rPr>
        <w:t>(c)(1)-(3).</w:t>
      </w:r>
      <w:r w:rsidR="00954B16" w:rsidRPr="00D55103">
        <w:rPr>
          <w:rStyle w:val="FootnoteReference"/>
          <w:szCs w:val="24"/>
        </w:rPr>
        <w:footnoteReference w:id="1"/>
      </w:r>
      <w:r w:rsidR="00954B16" w:rsidRPr="00D55103">
        <w:rPr>
          <w:szCs w:val="24"/>
        </w:rPr>
        <w:t xml:space="preserve"> </w:t>
      </w:r>
      <w:r w:rsidR="0006173C" w:rsidRPr="00D55103">
        <w:rPr>
          <w:szCs w:val="24"/>
        </w:rPr>
        <w:t xml:space="preserve"> </w:t>
      </w:r>
      <w:r w:rsidR="00386AD5" w:rsidRPr="00D55103">
        <w:rPr>
          <w:szCs w:val="24"/>
        </w:rPr>
        <w:t>A</w:t>
      </w:r>
      <w:r w:rsidR="0006173C" w:rsidRPr="00D55103">
        <w:rPr>
          <w:szCs w:val="24"/>
        </w:rPr>
        <w:t xml:space="preserve"> hearing judge</w:t>
      </w:r>
      <w:r w:rsidR="00386AD5" w:rsidRPr="00D55103">
        <w:rPr>
          <w:szCs w:val="24"/>
        </w:rPr>
        <w:t xml:space="preserve"> </w:t>
      </w:r>
      <w:r w:rsidR="0006173C" w:rsidRPr="00D55103">
        <w:rPr>
          <w:szCs w:val="24"/>
        </w:rPr>
        <w:t xml:space="preserve">denied </w:t>
      </w:r>
      <w:r w:rsidR="000A305A" w:rsidRPr="00D55103">
        <w:rPr>
          <w:szCs w:val="24"/>
        </w:rPr>
        <w:t>OCTC’s</w:t>
      </w:r>
      <w:r w:rsidRPr="00D55103">
        <w:rPr>
          <w:szCs w:val="24"/>
        </w:rPr>
        <w:t xml:space="preserve"> petition</w:t>
      </w:r>
      <w:r w:rsidR="0006173C" w:rsidRPr="00D55103">
        <w:rPr>
          <w:szCs w:val="24"/>
        </w:rPr>
        <w:t>.</w:t>
      </w:r>
    </w:p>
    <w:p w14:paraId="6B4B0F3D" w14:textId="4C2B326A" w:rsidR="000512BE" w:rsidRPr="00D55103" w:rsidRDefault="00C7447F" w:rsidP="000512BE">
      <w:pPr>
        <w:spacing w:line="480" w:lineRule="auto"/>
        <w:ind w:firstLine="720"/>
        <w:rPr>
          <w:szCs w:val="24"/>
        </w:rPr>
      </w:pPr>
      <w:r w:rsidRPr="00D55103">
        <w:rPr>
          <w:szCs w:val="24"/>
        </w:rPr>
        <w:t>On September</w:t>
      </w:r>
      <w:r w:rsidR="00460F89">
        <w:rPr>
          <w:szCs w:val="24"/>
        </w:rPr>
        <w:t> </w:t>
      </w:r>
      <w:r w:rsidRPr="00D55103">
        <w:rPr>
          <w:szCs w:val="24"/>
        </w:rPr>
        <w:t xml:space="preserve">7, 2016, OCTC </w:t>
      </w:r>
      <w:r w:rsidR="00E109BD" w:rsidRPr="00D55103">
        <w:rPr>
          <w:szCs w:val="24"/>
        </w:rPr>
        <w:t xml:space="preserve">filed an </w:t>
      </w:r>
      <w:r w:rsidRPr="00D55103">
        <w:rPr>
          <w:szCs w:val="24"/>
        </w:rPr>
        <w:t>NDC</w:t>
      </w:r>
      <w:r w:rsidR="00580B3A" w:rsidRPr="00D55103">
        <w:rPr>
          <w:szCs w:val="24"/>
        </w:rPr>
        <w:t xml:space="preserve"> in </w:t>
      </w:r>
      <w:r w:rsidR="00460F89">
        <w:rPr>
          <w:szCs w:val="24"/>
        </w:rPr>
        <w:t>C</w:t>
      </w:r>
      <w:r w:rsidR="00580B3A" w:rsidRPr="00D55103">
        <w:rPr>
          <w:szCs w:val="24"/>
        </w:rPr>
        <w:t>ase</w:t>
      </w:r>
      <w:r w:rsidRPr="00D55103">
        <w:rPr>
          <w:szCs w:val="24"/>
        </w:rPr>
        <w:t xml:space="preserve"> </w:t>
      </w:r>
      <w:r w:rsidR="00460F89">
        <w:rPr>
          <w:szCs w:val="24"/>
        </w:rPr>
        <w:t>Nos. </w:t>
      </w:r>
      <w:r w:rsidR="00B23A28" w:rsidRPr="00D55103">
        <w:rPr>
          <w:szCs w:val="24"/>
        </w:rPr>
        <w:t>1</w:t>
      </w:r>
      <w:r w:rsidR="00E538D3" w:rsidRPr="00D55103">
        <w:rPr>
          <w:szCs w:val="24"/>
        </w:rPr>
        <w:t>6-O</w:t>
      </w:r>
      <w:r w:rsidR="00B23A28" w:rsidRPr="00D55103">
        <w:rPr>
          <w:szCs w:val="24"/>
        </w:rPr>
        <w:t>-10260 (1</w:t>
      </w:r>
      <w:r w:rsidR="00E538D3" w:rsidRPr="00D55103">
        <w:rPr>
          <w:szCs w:val="24"/>
        </w:rPr>
        <w:t>6-O</w:t>
      </w:r>
      <w:r w:rsidR="00B23A28" w:rsidRPr="00D55103">
        <w:rPr>
          <w:szCs w:val="24"/>
        </w:rPr>
        <w:t>-1</w:t>
      </w:r>
      <w:r w:rsidR="00580B3A" w:rsidRPr="00D55103">
        <w:rPr>
          <w:szCs w:val="24"/>
        </w:rPr>
        <w:t>0597;</w:t>
      </w:r>
      <w:r w:rsidR="00E538D3" w:rsidRPr="00D55103">
        <w:rPr>
          <w:szCs w:val="24"/>
        </w:rPr>
        <w:t xml:space="preserve"> </w:t>
      </w:r>
      <w:r w:rsidR="00460F89">
        <w:rPr>
          <w:szCs w:val="24"/>
        </w:rPr>
        <w:t xml:space="preserve">  </w:t>
      </w:r>
      <w:r w:rsidR="00B23A28" w:rsidRPr="00D55103">
        <w:rPr>
          <w:szCs w:val="24"/>
        </w:rPr>
        <w:t>1</w:t>
      </w:r>
      <w:r w:rsidR="00E538D3" w:rsidRPr="00D55103">
        <w:rPr>
          <w:szCs w:val="24"/>
        </w:rPr>
        <w:t>6-O</w:t>
      </w:r>
      <w:r w:rsidR="00B23A28" w:rsidRPr="00D55103">
        <w:rPr>
          <w:szCs w:val="24"/>
        </w:rPr>
        <w:t>-10896; 1</w:t>
      </w:r>
      <w:r w:rsidR="00E538D3" w:rsidRPr="00D55103">
        <w:rPr>
          <w:szCs w:val="24"/>
        </w:rPr>
        <w:t>6-O-111</w:t>
      </w:r>
      <w:r w:rsidR="00B23A28" w:rsidRPr="00D55103">
        <w:rPr>
          <w:szCs w:val="24"/>
        </w:rPr>
        <w:t>52; 1</w:t>
      </w:r>
      <w:r w:rsidR="00E538D3" w:rsidRPr="00D55103">
        <w:rPr>
          <w:szCs w:val="24"/>
        </w:rPr>
        <w:t>6-O</w:t>
      </w:r>
      <w:r w:rsidR="00580B3A" w:rsidRPr="00D55103">
        <w:rPr>
          <w:szCs w:val="24"/>
        </w:rPr>
        <w:t>-11971)</w:t>
      </w:r>
      <w:r w:rsidR="00355FFC" w:rsidRPr="00D55103">
        <w:rPr>
          <w:szCs w:val="24"/>
        </w:rPr>
        <w:t xml:space="preserve"> (NDC-2</w:t>
      </w:r>
      <w:r w:rsidRPr="00D55103">
        <w:rPr>
          <w:szCs w:val="24"/>
        </w:rPr>
        <w:t>)</w:t>
      </w:r>
      <w:r w:rsidR="00580B3A" w:rsidRPr="00D55103">
        <w:rPr>
          <w:szCs w:val="24"/>
        </w:rPr>
        <w:t>.</w:t>
      </w:r>
      <w:r w:rsidR="00E538D3" w:rsidRPr="00D55103">
        <w:rPr>
          <w:szCs w:val="24"/>
        </w:rPr>
        <w:t xml:space="preserve">  </w:t>
      </w:r>
      <w:r w:rsidR="005B6BF5" w:rsidRPr="00D55103">
        <w:rPr>
          <w:szCs w:val="24"/>
        </w:rPr>
        <w:t>NDC-1 and NDC-2</w:t>
      </w:r>
      <w:r w:rsidR="00372304" w:rsidRPr="00D55103">
        <w:rPr>
          <w:szCs w:val="24"/>
        </w:rPr>
        <w:t xml:space="preserve"> </w:t>
      </w:r>
      <w:r w:rsidR="000A305A" w:rsidRPr="00D55103">
        <w:rPr>
          <w:szCs w:val="24"/>
        </w:rPr>
        <w:t xml:space="preserve">were </w:t>
      </w:r>
      <w:r w:rsidR="00E538D3" w:rsidRPr="00D55103">
        <w:rPr>
          <w:szCs w:val="24"/>
        </w:rPr>
        <w:t>c</w:t>
      </w:r>
      <w:r w:rsidR="00580B3A" w:rsidRPr="00D55103">
        <w:rPr>
          <w:szCs w:val="24"/>
        </w:rPr>
        <w:t>onsolidat</w:t>
      </w:r>
      <w:r w:rsidR="00E538D3" w:rsidRPr="00D55103">
        <w:rPr>
          <w:szCs w:val="24"/>
        </w:rPr>
        <w:t>ed</w:t>
      </w:r>
      <w:r w:rsidR="005B6BF5" w:rsidRPr="00D55103">
        <w:rPr>
          <w:szCs w:val="24"/>
        </w:rPr>
        <w:t xml:space="preserve"> on October</w:t>
      </w:r>
      <w:r w:rsidR="00460F89">
        <w:rPr>
          <w:szCs w:val="24"/>
        </w:rPr>
        <w:t> </w:t>
      </w:r>
      <w:r w:rsidR="005B6BF5" w:rsidRPr="00D55103">
        <w:rPr>
          <w:szCs w:val="24"/>
        </w:rPr>
        <w:t>6, 2016</w:t>
      </w:r>
      <w:r w:rsidR="00580B3A" w:rsidRPr="00D55103">
        <w:rPr>
          <w:szCs w:val="24"/>
        </w:rPr>
        <w:t xml:space="preserve">. </w:t>
      </w:r>
      <w:r w:rsidR="00E538D3" w:rsidRPr="00D55103">
        <w:rPr>
          <w:szCs w:val="24"/>
        </w:rPr>
        <w:t xml:space="preserve"> </w:t>
      </w:r>
      <w:r w:rsidR="001972EE" w:rsidRPr="00D55103">
        <w:rPr>
          <w:szCs w:val="24"/>
        </w:rPr>
        <w:t xml:space="preserve">OCTC </w:t>
      </w:r>
      <w:r w:rsidR="00114D5D" w:rsidRPr="00D55103">
        <w:rPr>
          <w:szCs w:val="24"/>
        </w:rPr>
        <w:t xml:space="preserve">filed an amended </w:t>
      </w:r>
      <w:r w:rsidR="00E109BD" w:rsidRPr="00D55103">
        <w:rPr>
          <w:szCs w:val="24"/>
        </w:rPr>
        <w:t xml:space="preserve">13-count </w:t>
      </w:r>
      <w:r w:rsidR="00355FFC" w:rsidRPr="00D55103">
        <w:rPr>
          <w:szCs w:val="24"/>
        </w:rPr>
        <w:t>NDC-2</w:t>
      </w:r>
      <w:r w:rsidR="00B23A28" w:rsidRPr="00D55103">
        <w:rPr>
          <w:szCs w:val="24"/>
        </w:rPr>
        <w:t xml:space="preserve"> </w:t>
      </w:r>
      <w:r w:rsidR="00EE2407">
        <w:rPr>
          <w:szCs w:val="24"/>
        </w:rPr>
        <w:t>(A</w:t>
      </w:r>
      <w:r w:rsidR="001972EE" w:rsidRPr="00D55103">
        <w:rPr>
          <w:szCs w:val="24"/>
        </w:rPr>
        <w:t xml:space="preserve">NDC-2) </w:t>
      </w:r>
      <w:r w:rsidR="005B6BF5" w:rsidRPr="00D55103">
        <w:rPr>
          <w:szCs w:val="24"/>
        </w:rPr>
        <w:t>on December </w:t>
      </w:r>
      <w:r w:rsidR="00B23A28" w:rsidRPr="00D55103">
        <w:rPr>
          <w:szCs w:val="24"/>
        </w:rPr>
        <w:t>28, 2016</w:t>
      </w:r>
      <w:r w:rsidR="001972EE" w:rsidRPr="00D55103">
        <w:rPr>
          <w:szCs w:val="24"/>
        </w:rPr>
        <w:t>.</w:t>
      </w:r>
    </w:p>
    <w:p w14:paraId="39949A10" w14:textId="60A073C4" w:rsidR="00CC6A04" w:rsidRPr="00D55103" w:rsidRDefault="00580B3A" w:rsidP="00397220">
      <w:pPr>
        <w:spacing w:line="480" w:lineRule="auto"/>
        <w:ind w:firstLine="720"/>
        <w:rPr>
          <w:szCs w:val="24"/>
        </w:rPr>
      </w:pPr>
      <w:r w:rsidRPr="00D55103">
        <w:rPr>
          <w:szCs w:val="24"/>
        </w:rPr>
        <w:t>On March</w:t>
      </w:r>
      <w:r w:rsidR="00460F89">
        <w:rPr>
          <w:szCs w:val="24"/>
        </w:rPr>
        <w:t> </w:t>
      </w:r>
      <w:r w:rsidRPr="00D55103">
        <w:rPr>
          <w:szCs w:val="24"/>
        </w:rPr>
        <w:t>13,</w:t>
      </w:r>
      <w:r w:rsidR="000512BE" w:rsidRPr="00D55103">
        <w:rPr>
          <w:szCs w:val="24"/>
        </w:rPr>
        <w:t xml:space="preserve"> </w:t>
      </w:r>
      <w:r w:rsidRPr="00D55103">
        <w:rPr>
          <w:szCs w:val="24"/>
        </w:rPr>
        <w:t>2017,</w:t>
      </w:r>
      <w:r w:rsidR="007B4265" w:rsidRPr="00D55103">
        <w:rPr>
          <w:szCs w:val="24"/>
        </w:rPr>
        <w:t xml:space="preserve"> the parties filed a</w:t>
      </w:r>
      <w:r w:rsidR="00FB30BA" w:rsidRPr="00D55103">
        <w:rPr>
          <w:szCs w:val="24"/>
        </w:rPr>
        <w:t>n extensive</w:t>
      </w:r>
      <w:r w:rsidR="007B4265" w:rsidRPr="00D55103">
        <w:rPr>
          <w:szCs w:val="24"/>
        </w:rPr>
        <w:t xml:space="preserve"> “S</w:t>
      </w:r>
      <w:r w:rsidRPr="00D55103">
        <w:rPr>
          <w:szCs w:val="24"/>
        </w:rPr>
        <w:t xml:space="preserve">tipulation </w:t>
      </w:r>
      <w:r w:rsidR="007B4265" w:rsidRPr="00D55103">
        <w:rPr>
          <w:szCs w:val="24"/>
        </w:rPr>
        <w:t>to Facts and C</w:t>
      </w:r>
      <w:r w:rsidRPr="00D55103">
        <w:rPr>
          <w:szCs w:val="24"/>
        </w:rPr>
        <w:t>onclusions of</w:t>
      </w:r>
      <w:r w:rsidR="000512BE" w:rsidRPr="00D55103">
        <w:rPr>
          <w:szCs w:val="24"/>
        </w:rPr>
        <w:t xml:space="preserve"> </w:t>
      </w:r>
      <w:r w:rsidR="007B4265" w:rsidRPr="00D55103">
        <w:rPr>
          <w:szCs w:val="24"/>
        </w:rPr>
        <w:t xml:space="preserve">Law </w:t>
      </w:r>
      <w:r w:rsidRPr="00D55103">
        <w:rPr>
          <w:szCs w:val="24"/>
        </w:rPr>
        <w:t>and</w:t>
      </w:r>
      <w:r w:rsidR="007B4265" w:rsidRPr="00D55103">
        <w:rPr>
          <w:szCs w:val="24"/>
        </w:rPr>
        <w:t xml:space="preserve"> Authentication of Exhibits” (</w:t>
      </w:r>
      <w:r w:rsidR="00CB5A9E">
        <w:rPr>
          <w:szCs w:val="24"/>
        </w:rPr>
        <w:t>S</w:t>
      </w:r>
      <w:r w:rsidR="007B4265" w:rsidRPr="00D55103">
        <w:rPr>
          <w:szCs w:val="24"/>
        </w:rPr>
        <w:t>tipulation)</w:t>
      </w:r>
      <w:r w:rsidRPr="00D55103">
        <w:rPr>
          <w:szCs w:val="24"/>
        </w:rPr>
        <w:t>.</w:t>
      </w:r>
      <w:r w:rsidR="000512BE" w:rsidRPr="00D55103">
        <w:rPr>
          <w:szCs w:val="24"/>
        </w:rPr>
        <w:t xml:space="preserve">  A </w:t>
      </w:r>
      <w:r w:rsidRPr="00D55103">
        <w:rPr>
          <w:szCs w:val="24"/>
        </w:rPr>
        <w:t xml:space="preserve">five-day </w:t>
      </w:r>
      <w:r w:rsidR="001972EE" w:rsidRPr="00D55103">
        <w:rPr>
          <w:szCs w:val="24"/>
        </w:rPr>
        <w:t>trial was held i</w:t>
      </w:r>
      <w:r w:rsidR="000512BE" w:rsidRPr="00D55103">
        <w:rPr>
          <w:szCs w:val="24"/>
        </w:rPr>
        <w:t xml:space="preserve">n March </w:t>
      </w:r>
      <w:r w:rsidRPr="00D55103">
        <w:rPr>
          <w:szCs w:val="24"/>
        </w:rPr>
        <w:t>2017.</w:t>
      </w:r>
      <w:r w:rsidR="000512BE" w:rsidRPr="00D55103">
        <w:rPr>
          <w:szCs w:val="24"/>
        </w:rPr>
        <w:t xml:space="preserve">  </w:t>
      </w:r>
      <w:r w:rsidR="00FB30BA" w:rsidRPr="00D55103">
        <w:rPr>
          <w:szCs w:val="24"/>
        </w:rPr>
        <w:t xml:space="preserve">OCTC presented </w:t>
      </w:r>
      <w:r w:rsidR="00B82321" w:rsidRPr="00D55103">
        <w:rPr>
          <w:szCs w:val="24"/>
        </w:rPr>
        <w:t>11</w:t>
      </w:r>
      <w:r w:rsidR="00FB30BA" w:rsidRPr="00D55103">
        <w:rPr>
          <w:szCs w:val="24"/>
        </w:rPr>
        <w:t xml:space="preserve"> witnesses, including </w:t>
      </w:r>
      <w:r w:rsidR="00B82321" w:rsidRPr="00D55103">
        <w:rPr>
          <w:szCs w:val="24"/>
        </w:rPr>
        <w:t>several of Golden’s</w:t>
      </w:r>
      <w:r w:rsidR="00FB30BA" w:rsidRPr="00D55103">
        <w:rPr>
          <w:szCs w:val="24"/>
        </w:rPr>
        <w:t xml:space="preserve"> former clients.  </w:t>
      </w:r>
      <w:r w:rsidR="00B82321" w:rsidRPr="00D55103">
        <w:rPr>
          <w:szCs w:val="24"/>
        </w:rPr>
        <w:t xml:space="preserve">Golden </w:t>
      </w:r>
      <w:r w:rsidR="00BD0468">
        <w:rPr>
          <w:szCs w:val="24"/>
        </w:rPr>
        <w:t xml:space="preserve">testified </w:t>
      </w:r>
      <w:r w:rsidR="00BD0468">
        <w:rPr>
          <w:szCs w:val="24"/>
        </w:rPr>
        <w:lastRenderedPageBreak/>
        <w:t xml:space="preserve">and </w:t>
      </w:r>
      <w:r w:rsidR="00B82321" w:rsidRPr="00D55103">
        <w:rPr>
          <w:szCs w:val="24"/>
        </w:rPr>
        <w:t xml:space="preserve">presented </w:t>
      </w:r>
      <w:r w:rsidR="00AF33D5" w:rsidRPr="00D55103">
        <w:rPr>
          <w:szCs w:val="24"/>
        </w:rPr>
        <w:t>three</w:t>
      </w:r>
      <w:r w:rsidR="00B82321" w:rsidRPr="00D55103">
        <w:rPr>
          <w:szCs w:val="24"/>
        </w:rPr>
        <w:t xml:space="preserve"> witnesses</w:t>
      </w:r>
      <w:r w:rsidR="00FB30BA" w:rsidRPr="00D55103">
        <w:rPr>
          <w:szCs w:val="24"/>
        </w:rPr>
        <w:t xml:space="preserve">.  </w:t>
      </w:r>
      <w:r w:rsidR="000512BE" w:rsidRPr="00D55103">
        <w:rPr>
          <w:szCs w:val="24"/>
        </w:rPr>
        <w:t xml:space="preserve">Prior to the </w:t>
      </w:r>
      <w:r w:rsidR="008F1782">
        <w:rPr>
          <w:szCs w:val="24"/>
        </w:rPr>
        <w:t xml:space="preserve">end of </w:t>
      </w:r>
      <w:r w:rsidR="001972EE" w:rsidRPr="00D55103">
        <w:rPr>
          <w:szCs w:val="24"/>
        </w:rPr>
        <w:t>trial</w:t>
      </w:r>
      <w:r w:rsidRPr="00D55103">
        <w:rPr>
          <w:szCs w:val="24"/>
        </w:rPr>
        <w:t xml:space="preserve">, </w:t>
      </w:r>
      <w:r w:rsidR="000512BE" w:rsidRPr="00D55103">
        <w:rPr>
          <w:szCs w:val="24"/>
        </w:rPr>
        <w:t xml:space="preserve">the hearing judge granted OCTC’s </w:t>
      </w:r>
      <w:r w:rsidRPr="00D55103">
        <w:rPr>
          <w:szCs w:val="24"/>
        </w:rPr>
        <w:t xml:space="preserve">motion to conform </w:t>
      </w:r>
      <w:r w:rsidR="00397220" w:rsidRPr="00D55103">
        <w:rPr>
          <w:szCs w:val="24"/>
        </w:rPr>
        <w:t xml:space="preserve">the charges </w:t>
      </w:r>
      <w:r w:rsidRPr="00D55103">
        <w:rPr>
          <w:szCs w:val="24"/>
        </w:rPr>
        <w:t>to the proof at trial</w:t>
      </w:r>
      <w:r w:rsidR="00397220" w:rsidRPr="00D55103">
        <w:rPr>
          <w:szCs w:val="24"/>
        </w:rPr>
        <w:t xml:space="preserve">, </w:t>
      </w:r>
      <w:r w:rsidR="000512BE" w:rsidRPr="00D55103">
        <w:rPr>
          <w:szCs w:val="24"/>
        </w:rPr>
        <w:t xml:space="preserve">including </w:t>
      </w:r>
      <w:r w:rsidR="00397220" w:rsidRPr="00D55103">
        <w:rPr>
          <w:szCs w:val="24"/>
        </w:rPr>
        <w:t xml:space="preserve">the </w:t>
      </w:r>
      <w:r w:rsidRPr="00D55103">
        <w:rPr>
          <w:szCs w:val="24"/>
        </w:rPr>
        <w:t>fac</w:t>
      </w:r>
      <w:r w:rsidR="000512BE" w:rsidRPr="00D55103">
        <w:rPr>
          <w:szCs w:val="24"/>
        </w:rPr>
        <w:t xml:space="preserve">ts in the </w:t>
      </w:r>
      <w:r w:rsidR="00CB5A9E">
        <w:rPr>
          <w:szCs w:val="24"/>
        </w:rPr>
        <w:t>S</w:t>
      </w:r>
      <w:r w:rsidRPr="00D55103">
        <w:rPr>
          <w:szCs w:val="24"/>
        </w:rPr>
        <w:t>tipulation</w:t>
      </w:r>
      <w:r w:rsidR="000512BE" w:rsidRPr="00D55103">
        <w:rPr>
          <w:szCs w:val="24"/>
        </w:rPr>
        <w:t xml:space="preserve">.  </w:t>
      </w:r>
      <w:r w:rsidR="007B4265" w:rsidRPr="00D55103">
        <w:rPr>
          <w:szCs w:val="24"/>
        </w:rPr>
        <w:t>P</w:t>
      </w:r>
      <w:r w:rsidR="000512BE" w:rsidRPr="00D55103">
        <w:rPr>
          <w:szCs w:val="24"/>
        </w:rPr>
        <w:t>osttrial briefing followed</w:t>
      </w:r>
      <w:r w:rsidR="00FE6AD7">
        <w:rPr>
          <w:szCs w:val="24"/>
        </w:rPr>
        <w:t>, and t</w:t>
      </w:r>
      <w:r w:rsidR="007B4265" w:rsidRPr="00D55103">
        <w:rPr>
          <w:szCs w:val="24"/>
        </w:rPr>
        <w:t>he judge issued her decision on June</w:t>
      </w:r>
      <w:r w:rsidR="000512BE" w:rsidRPr="00D55103">
        <w:rPr>
          <w:szCs w:val="24"/>
        </w:rPr>
        <w:t> 2</w:t>
      </w:r>
      <w:r w:rsidR="007B4265" w:rsidRPr="00D55103">
        <w:rPr>
          <w:szCs w:val="24"/>
        </w:rPr>
        <w:t>8</w:t>
      </w:r>
      <w:r w:rsidR="000512BE" w:rsidRPr="00D55103">
        <w:rPr>
          <w:szCs w:val="24"/>
        </w:rPr>
        <w:t xml:space="preserve">, </w:t>
      </w:r>
      <w:r w:rsidR="007B4265" w:rsidRPr="00D55103">
        <w:rPr>
          <w:szCs w:val="24"/>
        </w:rPr>
        <w:t>2017.</w:t>
      </w:r>
      <w:r w:rsidR="007B74C9">
        <w:rPr>
          <w:rStyle w:val="FootnoteReference"/>
          <w:szCs w:val="24"/>
        </w:rPr>
        <w:footnoteReference w:id="2"/>
      </w:r>
    </w:p>
    <w:p w14:paraId="008BD1D5" w14:textId="53958612" w:rsidR="00654D77" w:rsidRPr="00D1220D" w:rsidRDefault="0085787C" w:rsidP="00D1220D">
      <w:pPr>
        <w:pStyle w:val="ListParagraph"/>
        <w:spacing w:line="480" w:lineRule="auto"/>
        <w:ind w:left="0"/>
        <w:jc w:val="center"/>
        <w:rPr>
          <w:rFonts w:eastAsia="Times New Roman"/>
          <w:b/>
          <w:szCs w:val="24"/>
        </w:rPr>
      </w:pPr>
      <w:r w:rsidRPr="00D55103">
        <w:rPr>
          <w:b/>
          <w:szCs w:val="24"/>
        </w:rPr>
        <w:t xml:space="preserve">II.  </w:t>
      </w:r>
      <w:r w:rsidR="002656D9" w:rsidRPr="00D55103">
        <w:rPr>
          <w:b/>
          <w:szCs w:val="24"/>
        </w:rPr>
        <w:t>L</w:t>
      </w:r>
      <w:r w:rsidR="00FC4787">
        <w:rPr>
          <w:b/>
          <w:szCs w:val="24"/>
        </w:rPr>
        <w:t>E</w:t>
      </w:r>
      <w:r w:rsidR="00D1220D">
        <w:rPr>
          <w:b/>
          <w:szCs w:val="24"/>
        </w:rPr>
        <w:t>GISLATION REGULATING LOAN MODIFICATION SERVICES</w:t>
      </w:r>
    </w:p>
    <w:p w14:paraId="0EFD899C" w14:textId="3F9C7C10" w:rsidR="00B8721F" w:rsidRPr="00D55103" w:rsidRDefault="00CD505C" w:rsidP="00654D77">
      <w:pPr>
        <w:spacing w:line="480" w:lineRule="auto"/>
        <w:ind w:firstLine="720"/>
        <w:rPr>
          <w:szCs w:val="24"/>
        </w:rPr>
      </w:pPr>
      <w:r w:rsidRPr="00D55103">
        <w:rPr>
          <w:szCs w:val="24"/>
        </w:rPr>
        <w:t xml:space="preserve">In 2009, the Legislature amended the law to regulate an attorney’s performance of </w:t>
      </w:r>
      <w:r w:rsidR="001873BC">
        <w:rPr>
          <w:szCs w:val="24"/>
        </w:rPr>
        <w:t xml:space="preserve">home </w:t>
      </w:r>
      <w:r w:rsidRPr="00D55103">
        <w:rPr>
          <w:szCs w:val="24"/>
        </w:rPr>
        <w:t xml:space="preserve">loan modification services.  </w:t>
      </w:r>
      <w:r w:rsidR="00532A75" w:rsidRPr="00D55103">
        <w:rPr>
          <w:szCs w:val="24"/>
        </w:rPr>
        <w:t xml:space="preserve">California Senate Bill </w:t>
      </w:r>
      <w:r w:rsidR="00902BD5">
        <w:rPr>
          <w:szCs w:val="24"/>
        </w:rPr>
        <w:t>No. </w:t>
      </w:r>
      <w:r w:rsidR="000A2760" w:rsidRPr="00D55103">
        <w:rPr>
          <w:szCs w:val="24"/>
        </w:rPr>
        <w:t>94 (SB</w:t>
      </w:r>
      <w:r w:rsidR="00902BD5">
        <w:rPr>
          <w:szCs w:val="24"/>
        </w:rPr>
        <w:t> </w:t>
      </w:r>
      <w:r w:rsidR="000A2760" w:rsidRPr="00D55103">
        <w:rPr>
          <w:szCs w:val="24"/>
        </w:rPr>
        <w:t>94)</w:t>
      </w:r>
      <w:r w:rsidR="009249E0">
        <w:rPr>
          <w:szCs w:val="24"/>
        </w:rPr>
        <w:t>,</w:t>
      </w:r>
      <w:r w:rsidR="009249E0" w:rsidRPr="00D55103">
        <w:rPr>
          <w:rStyle w:val="FootnoteReference"/>
          <w:szCs w:val="24"/>
        </w:rPr>
        <w:footnoteReference w:id="3"/>
      </w:r>
      <w:r w:rsidR="009249E0">
        <w:rPr>
          <w:szCs w:val="24"/>
        </w:rPr>
        <w:t xml:space="preserve"> which became effective on October 11, 2009, </w:t>
      </w:r>
      <w:r w:rsidR="00532A75" w:rsidRPr="00D55103">
        <w:rPr>
          <w:szCs w:val="24"/>
        </w:rPr>
        <w:t>provid</w:t>
      </w:r>
      <w:r w:rsidR="009249E0">
        <w:rPr>
          <w:szCs w:val="24"/>
        </w:rPr>
        <w:t>ed</w:t>
      </w:r>
      <w:r w:rsidR="00532A75" w:rsidRPr="00D55103">
        <w:rPr>
          <w:szCs w:val="24"/>
        </w:rPr>
        <w:t xml:space="preserve"> two safeguards for borrowers who employ someone to </w:t>
      </w:r>
      <w:r w:rsidR="005A4412">
        <w:rPr>
          <w:szCs w:val="24"/>
        </w:rPr>
        <w:t>assist</w:t>
      </w:r>
      <w:r w:rsidR="00532A75" w:rsidRPr="00D55103">
        <w:rPr>
          <w:szCs w:val="24"/>
        </w:rPr>
        <w:t xml:space="preserve"> with a loan modification: (1)</w:t>
      </w:r>
      <w:r w:rsidR="00902BD5">
        <w:rPr>
          <w:szCs w:val="24"/>
        </w:rPr>
        <w:t> </w:t>
      </w:r>
      <w:r w:rsidR="00532A75" w:rsidRPr="00D55103">
        <w:rPr>
          <w:szCs w:val="24"/>
        </w:rPr>
        <w:t xml:space="preserve">a requirement for a separate notice </w:t>
      </w:r>
      <w:r w:rsidR="009249E0">
        <w:rPr>
          <w:szCs w:val="24"/>
        </w:rPr>
        <w:t>advising</w:t>
      </w:r>
      <w:r w:rsidR="00532A75" w:rsidRPr="00D55103">
        <w:rPr>
          <w:szCs w:val="24"/>
        </w:rPr>
        <w:t xml:space="preserve"> borrowers that it is not necessary to </w:t>
      </w:r>
      <w:r w:rsidR="009249E0">
        <w:rPr>
          <w:szCs w:val="24"/>
        </w:rPr>
        <w:t>employ</w:t>
      </w:r>
      <w:r w:rsidR="00532A75" w:rsidRPr="00D55103">
        <w:rPr>
          <w:szCs w:val="24"/>
        </w:rPr>
        <w:t xml:space="preserve"> a third party to negotiate a loan modification (Civ. Code, §</w:t>
      </w:r>
      <w:r w:rsidR="00902BD5">
        <w:rPr>
          <w:szCs w:val="24"/>
        </w:rPr>
        <w:t> </w:t>
      </w:r>
      <w:r w:rsidR="00532A75" w:rsidRPr="00D55103">
        <w:rPr>
          <w:szCs w:val="24"/>
        </w:rPr>
        <w:t>2944.6</w:t>
      </w:r>
      <w:r w:rsidR="00E53BDB" w:rsidRPr="00D55103">
        <w:rPr>
          <w:szCs w:val="24"/>
        </w:rPr>
        <w:t>, subd.</w:t>
      </w:r>
      <w:r w:rsidR="00902BD5">
        <w:rPr>
          <w:szCs w:val="24"/>
        </w:rPr>
        <w:t> </w:t>
      </w:r>
      <w:r w:rsidR="00E53BDB" w:rsidRPr="00D55103">
        <w:rPr>
          <w:szCs w:val="24"/>
        </w:rPr>
        <w:t>(a)</w:t>
      </w:r>
      <w:r w:rsidR="00532A75" w:rsidRPr="00D55103">
        <w:rPr>
          <w:szCs w:val="24"/>
        </w:rPr>
        <w:t>);</w:t>
      </w:r>
      <w:r w:rsidR="00532A75" w:rsidRPr="00D55103">
        <w:rPr>
          <w:rStyle w:val="FootnoteReference"/>
          <w:szCs w:val="24"/>
        </w:rPr>
        <w:footnoteReference w:id="4"/>
      </w:r>
      <w:r w:rsidR="00532A75" w:rsidRPr="00D55103">
        <w:rPr>
          <w:szCs w:val="24"/>
        </w:rPr>
        <w:t xml:space="preserve"> and (2)</w:t>
      </w:r>
      <w:r w:rsidR="00902BD5">
        <w:rPr>
          <w:szCs w:val="24"/>
        </w:rPr>
        <w:t> </w:t>
      </w:r>
      <w:r w:rsidR="00532A75" w:rsidRPr="00D55103">
        <w:rPr>
          <w:szCs w:val="24"/>
        </w:rPr>
        <w:t xml:space="preserve">a proscription against charging pre-performance compensation, i.e., restricting the collection of fees until all </w:t>
      </w:r>
      <w:r w:rsidR="00D10DEA">
        <w:rPr>
          <w:szCs w:val="24"/>
        </w:rPr>
        <w:t xml:space="preserve">contracted-for </w:t>
      </w:r>
      <w:r w:rsidR="00532A75" w:rsidRPr="00D55103">
        <w:rPr>
          <w:szCs w:val="24"/>
        </w:rPr>
        <w:t>loan modification services are completed</w:t>
      </w:r>
      <w:r w:rsidR="00C34F0E" w:rsidRPr="00D55103">
        <w:rPr>
          <w:szCs w:val="24"/>
        </w:rPr>
        <w:t xml:space="preserve">. </w:t>
      </w:r>
      <w:r w:rsidR="00532A75" w:rsidRPr="00D55103">
        <w:rPr>
          <w:szCs w:val="24"/>
        </w:rPr>
        <w:t xml:space="preserve"> (</w:t>
      </w:r>
      <w:r w:rsidR="00AD58B7" w:rsidRPr="00D55103">
        <w:rPr>
          <w:szCs w:val="24"/>
        </w:rPr>
        <w:t>Civ. Code, §</w:t>
      </w:r>
      <w:r w:rsidR="00902BD5">
        <w:rPr>
          <w:szCs w:val="24"/>
        </w:rPr>
        <w:t> </w:t>
      </w:r>
      <w:r w:rsidR="00AD58B7" w:rsidRPr="00D55103">
        <w:rPr>
          <w:szCs w:val="24"/>
        </w:rPr>
        <w:t>2944.7, subd. </w:t>
      </w:r>
      <w:r w:rsidR="00C34F0E" w:rsidRPr="00D55103">
        <w:rPr>
          <w:szCs w:val="24"/>
        </w:rPr>
        <w:t>(a)</w:t>
      </w:r>
      <w:r w:rsidR="00532A75" w:rsidRPr="00D55103">
        <w:rPr>
          <w:szCs w:val="24"/>
        </w:rPr>
        <w:t>).</w:t>
      </w:r>
      <w:r w:rsidR="00532A75" w:rsidRPr="00D55103">
        <w:rPr>
          <w:rStyle w:val="FootnoteReference"/>
          <w:szCs w:val="24"/>
        </w:rPr>
        <w:footnoteReference w:id="5"/>
      </w:r>
      <w:r w:rsidR="00532A75" w:rsidRPr="00D55103">
        <w:rPr>
          <w:szCs w:val="24"/>
        </w:rPr>
        <w:t xml:space="preserve">  The</w:t>
      </w:r>
      <w:r w:rsidR="00C34F0E" w:rsidRPr="00D55103">
        <w:rPr>
          <w:szCs w:val="24"/>
        </w:rPr>
        <w:t xml:space="preserve"> </w:t>
      </w:r>
      <w:r w:rsidR="00CF05DC" w:rsidRPr="00D55103">
        <w:rPr>
          <w:szCs w:val="24"/>
        </w:rPr>
        <w:t xml:space="preserve">intent was </w:t>
      </w:r>
      <w:r w:rsidR="00532A75" w:rsidRPr="00D55103">
        <w:rPr>
          <w:szCs w:val="24"/>
        </w:rPr>
        <w:t xml:space="preserve">to “prevent persons from charging borrowers an up-front fee, providing limited services that fail to help the borrower, and leaving the </w:t>
      </w:r>
      <w:r w:rsidR="00532A75" w:rsidRPr="00D55103">
        <w:rPr>
          <w:szCs w:val="24"/>
        </w:rPr>
        <w:lastRenderedPageBreak/>
        <w:t>borrower worse off than before he or she engaged the services of a loan modification consultant.”  (Sen. Com. on Banking, Finance, and Insurance, Analysis of Sen. Bill No.</w:t>
      </w:r>
      <w:r w:rsidR="00761B0B">
        <w:rPr>
          <w:szCs w:val="24"/>
        </w:rPr>
        <w:t> </w:t>
      </w:r>
      <w:r w:rsidR="00532A75" w:rsidRPr="00D55103">
        <w:rPr>
          <w:szCs w:val="24"/>
        </w:rPr>
        <w:t>94 (</w:t>
      </w:r>
      <w:r w:rsidR="00C34F0E" w:rsidRPr="00D55103">
        <w:rPr>
          <w:szCs w:val="24"/>
        </w:rPr>
        <w:t>2009</w:t>
      </w:r>
      <w:r w:rsidR="00B607C5" w:rsidRPr="00D55103">
        <w:rPr>
          <w:szCs w:val="24"/>
        </w:rPr>
        <w:t>–</w:t>
      </w:r>
      <w:r w:rsidR="00C34F0E" w:rsidRPr="00D55103">
        <w:rPr>
          <w:szCs w:val="24"/>
        </w:rPr>
        <w:t>2010 Reg. Sess.</w:t>
      </w:r>
      <w:r w:rsidR="00532A75" w:rsidRPr="00D55103">
        <w:rPr>
          <w:szCs w:val="24"/>
        </w:rPr>
        <w:t xml:space="preserve">) as amended </w:t>
      </w:r>
      <w:r w:rsidR="00CF05DC" w:rsidRPr="00D55103">
        <w:rPr>
          <w:szCs w:val="24"/>
        </w:rPr>
        <w:t>Mar.</w:t>
      </w:r>
      <w:r w:rsidR="00902BD5">
        <w:rPr>
          <w:szCs w:val="24"/>
        </w:rPr>
        <w:t> </w:t>
      </w:r>
      <w:r w:rsidR="00CF05DC" w:rsidRPr="00D55103">
        <w:rPr>
          <w:szCs w:val="24"/>
        </w:rPr>
        <w:t>23, 2009, pp.</w:t>
      </w:r>
      <w:r w:rsidR="00902BD5">
        <w:rPr>
          <w:szCs w:val="24"/>
        </w:rPr>
        <w:t> </w:t>
      </w:r>
      <w:r w:rsidR="00CF05DC" w:rsidRPr="00D55103">
        <w:rPr>
          <w:szCs w:val="24"/>
        </w:rPr>
        <w:t>5</w:t>
      </w:r>
      <w:r w:rsidR="00B607C5" w:rsidRPr="00D55103">
        <w:rPr>
          <w:szCs w:val="24"/>
        </w:rPr>
        <w:t>–</w:t>
      </w:r>
      <w:r w:rsidR="00CF05DC" w:rsidRPr="00D55103">
        <w:rPr>
          <w:szCs w:val="24"/>
        </w:rPr>
        <w:t>6</w:t>
      </w:r>
      <w:r w:rsidR="00532A75" w:rsidRPr="00D55103">
        <w:rPr>
          <w:szCs w:val="24"/>
        </w:rPr>
        <w:t xml:space="preserve">.)  </w:t>
      </w:r>
      <w:r w:rsidR="001A6923" w:rsidRPr="00D55103">
        <w:rPr>
          <w:szCs w:val="24"/>
        </w:rPr>
        <w:t>At all times relevant to th</w:t>
      </w:r>
      <w:r w:rsidR="009C7686">
        <w:rPr>
          <w:szCs w:val="24"/>
        </w:rPr>
        <w:t>is</w:t>
      </w:r>
      <w:r w:rsidR="001A6923" w:rsidRPr="00D55103">
        <w:rPr>
          <w:szCs w:val="24"/>
        </w:rPr>
        <w:t xml:space="preserve"> matter, a</w:t>
      </w:r>
      <w:r w:rsidR="00532A75" w:rsidRPr="00D55103">
        <w:rPr>
          <w:szCs w:val="24"/>
        </w:rPr>
        <w:t xml:space="preserve"> violation of either </w:t>
      </w:r>
      <w:r w:rsidR="001A6923" w:rsidRPr="00D55103">
        <w:rPr>
          <w:szCs w:val="24"/>
        </w:rPr>
        <w:t>Civil Code provision constituted</w:t>
      </w:r>
      <w:r w:rsidR="00532A75" w:rsidRPr="00D55103">
        <w:rPr>
          <w:szCs w:val="24"/>
        </w:rPr>
        <w:t xml:space="preserve"> a misdemeanor (Civ. Code, §§</w:t>
      </w:r>
      <w:r w:rsidR="00902BD5">
        <w:rPr>
          <w:szCs w:val="24"/>
        </w:rPr>
        <w:t> </w:t>
      </w:r>
      <w:r w:rsidR="00532A75" w:rsidRPr="00D55103">
        <w:rPr>
          <w:szCs w:val="24"/>
        </w:rPr>
        <w:t>2944.6, subd.</w:t>
      </w:r>
      <w:r w:rsidR="00902BD5">
        <w:rPr>
          <w:szCs w:val="24"/>
        </w:rPr>
        <w:t> </w:t>
      </w:r>
      <w:r w:rsidR="001A6923" w:rsidRPr="00D55103">
        <w:rPr>
          <w:szCs w:val="24"/>
        </w:rPr>
        <w:t>(c), 2944.7, subd.</w:t>
      </w:r>
      <w:r w:rsidR="00902BD5">
        <w:rPr>
          <w:szCs w:val="24"/>
        </w:rPr>
        <w:t> </w:t>
      </w:r>
      <w:r w:rsidR="001A6923" w:rsidRPr="00D55103">
        <w:rPr>
          <w:szCs w:val="24"/>
        </w:rPr>
        <w:t xml:space="preserve">(b)), </w:t>
      </w:r>
      <w:r w:rsidR="00886417">
        <w:rPr>
          <w:szCs w:val="24"/>
        </w:rPr>
        <w:t>which</w:t>
      </w:r>
      <w:r w:rsidR="001A6923" w:rsidRPr="00D55103">
        <w:rPr>
          <w:szCs w:val="24"/>
        </w:rPr>
        <w:t xml:space="preserve"> is</w:t>
      </w:r>
      <w:r w:rsidR="00532A75" w:rsidRPr="00D55103">
        <w:rPr>
          <w:szCs w:val="24"/>
        </w:rPr>
        <w:t xml:space="preserve"> cause for imposing attorney d</w:t>
      </w:r>
      <w:r w:rsidR="000A3E1D" w:rsidRPr="00D55103">
        <w:rPr>
          <w:szCs w:val="24"/>
        </w:rPr>
        <w:t>iscipline.  (</w:t>
      </w:r>
      <w:r w:rsidR="00532A75" w:rsidRPr="00D55103">
        <w:rPr>
          <w:szCs w:val="24"/>
        </w:rPr>
        <w:t>§</w:t>
      </w:r>
      <w:r w:rsidR="00902BD5">
        <w:rPr>
          <w:szCs w:val="24"/>
        </w:rPr>
        <w:t> </w:t>
      </w:r>
      <w:r w:rsidR="00532A75" w:rsidRPr="00D55103">
        <w:rPr>
          <w:szCs w:val="24"/>
        </w:rPr>
        <w:t>6106.3.)</w:t>
      </w:r>
      <w:r w:rsidR="00532A75" w:rsidRPr="00D55103">
        <w:rPr>
          <w:rStyle w:val="FootnoteReference"/>
          <w:szCs w:val="24"/>
        </w:rPr>
        <w:footnoteReference w:id="6"/>
      </w:r>
    </w:p>
    <w:p w14:paraId="58ECF29E" w14:textId="2A4541B9" w:rsidR="00532A75" w:rsidRPr="00D55103" w:rsidRDefault="0085787C" w:rsidP="0095224F">
      <w:pPr>
        <w:spacing w:line="480" w:lineRule="auto"/>
        <w:jc w:val="center"/>
        <w:rPr>
          <w:szCs w:val="24"/>
        </w:rPr>
      </w:pPr>
      <w:r w:rsidRPr="00D55103">
        <w:rPr>
          <w:b/>
          <w:szCs w:val="24"/>
        </w:rPr>
        <w:t>I</w:t>
      </w:r>
      <w:r w:rsidR="0095224F" w:rsidRPr="00D55103">
        <w:rPr>
          <w:b/>
          <w:szCs w:val="24"/>
        </w:rPr>
        <w:t>I</w:t>
      </w:r>
      <w:r w:rsidRPr="00D55103">
        <w:rPr>
          <w:b/>
          <w:szCs w:val="24"/>
        </w:rPr>
        <w:t xml:space="preserve">I.  </w:t>
      </w:r>
      <w:r w:rsidR="001918E4" w:rsidRPr="00D55103">
        <w:rPr>
          <w:b/>
          <w:szCs w:val="24"/>
        </w:rPr>
        <w:t>FACTUAL FINDING</w:t>
      </w:r>
      <w:r w:rsidR="0026195B" w:rsidRPr="00D55103">
        <w:rPr>
          <w:b/>
          <w:szCs w:val="24"/>
        </w:rPr>
        <w:t>S</w:t>
      </w:r>
      <w:r w:rsidR="00F61194" w:rsidRPr="00D55103">
        <w:rPr>
          <w:rStyle w:val="FootnoteReference"/>
          <w:b/>
          <w:szCs w:val="24"/>
        </w:rPr>
        <w:footnoteReference w:id="7"/>
      </w:r>
    </w:p>
    <w:p w14:paraId="1E7E9E47" w14:textId="31C8DD30" w:rsidR="00922844" w:rsidRDefault="00D074AC" w:rsidP="002656D9">
      <w:pPr>
        <w:spacing w:line="480" w:lineRule="auto"/>
        <w:ind w:firstLine="720"/>
        <w:rPr>
          <w:szCs w:val="24"/>
        </w:rPr>
      </w:pPr>
      <w:r w:rsidRPr="00D55103">
        <w:rPr>
          <w:szCs w:val="24"/>
        </w:rPr>
        <w:t>The hearing judge’s factual findings are, for the most part, undisputed by the parties and supported by the record.</w:t>
      </w:r>
      <w:r w:rsidR="000A2760" w:rsidRPr="00D55103">
        <w:rPr>
          <w:szCs w:val="24"/>
        </w:rPr>
        <w:t xml:space="preserve"> </w:t>
      </w:r>
      <w:r w:rsidRPr="00D55103">
        <w:rPr>
          <w:szCs w:val="24"/>
        </w:rPr>
        <w:t xml:space="preserve"> </w:t>
      </w:r>
      <w:r w:rsidR="0026195B" w:rsidRPr="00D55103">
        <w:rPr>
          <w:szCs w:val="24"/>
        </w:rPr>
        <w:t>We adopt these findings with minor modifications</w:t>
      </w:r>
      <w:r w:rsidR="00C977B2">
        <w:rPr>
          <w:szCs w:val="24"/>
        </w:rPr>
        <w:t>,</w:t>
      </w:r>
      <w:r w:rsidR="0026195B" w:rsidRPr="00D55103">
        <w:rPr>
          <w:szCs w:val="24"/>
        </w:rPr>
        <w:t xml:space="preserve"> as summarized  below.  </w:t>
      </w:r>
      <w:r w:rsidRPr="00D55103">
        <w:rPr>
          <w:szCs w:val="24"/>
        </w:rPr>
        <w:t xml:space="preserve">Notably, the judge found </w:t>
      </w:r>
      <w:r w:rsidR="00B61201">
        <w:rPr>
          <w:szCs w:val="24"/>
        </w:rPr>
        <w:t xml:space="preserve">that </w:t>
      </w:r>
      <w:r w:rsidRPr="00D55103">
        <w:rPr>
          <w:szCs w:val="24"/>
        </w:rPr>
        <w:t xml:space="preserve">the testimony of Golden and his staff lacked credibility.  The judge based </w:t>
      </w:r>
      <w:r w:rsidR="00D54586" w:rsidRPr="00D55103">
        <w:rPr>
          <w:szCs w:val="24"/>
        </w:rPr>
        <w:t>this</w:t>
      </w:r>
      <w:r w:rsidRPr="00D55103">
        <w:rPr>
          <w:szCs w:val="24"/>
        </w:rPr>
        <w:t xml:space="preserve"> conclusion “on, among other things, the fact that their testimony directly contradicted the overwhelming credible evidence before this court on various issues.”  We give great weight to the judge’s credibility findings.  (</w:t>
      </w:r>
      <w:r w:rsidRPr="00D55103">
        <w:rPr>
          <w:i/>
          <w:szCs w:val="24"/>
        </w:rPr>
        <w:t>McKnight v. State Bar</w:t>
      </w:r>
      <w:r w:rsidRPr="00D55103">
        <w:rPr>
          <w:szCs w:val="24"/>
        </w:rPr>
        <w:t xml:space="preserve"> (1991) 53 Cal.3d 1025, 1032 [hearing judge best suited to resolve credibility questions].)</w:t>
      </w:r>
    </w:p>
    <w:p w14:paraId="6EEA665C" w14:textId="69D66BDE" w:rsidR="009475BD" w:rsidRDefault="002656D9" w:rsidP="007729F5">
      <w:pPr>
        <w:spacing w:line="480" w:lineRule="auto"/>
        <w:ind w:firstLine="720"/>
        <w:rPr>
          <w:szCs w:val="24"/>
        </w:rPr>
      </w:pPr>
      <w:r w:rsidRPr="00D55103">
        <w:rPr>
          <w:szCs w:val="24"/>
        </w:rPr>
        <w:t>Golde</w:t>
      </w:r>
      <w:r w:rsidR="004C1DA0">
        <w:rPr>
          <w:szCs w:val="24"/>
        </w:rPr>
        <w:t xml:space="preserve">n stipulated that clients in 11 </w:t>
      </w:r>
      <w:r w:rsidRPr="00D55103">
        <w:rPr>
          <w:szCs w:val="24"/>
        </w:rPr>
        <w:t xml:space="preserve">matters (collectively, the clients) sought his services to help them </w:t>
      </w:r>
      <w:r w:rsidR="00315908">
        <w:rPr>
          <w:szCs w:val="24"/>
        </w:rPr>
        <w:t>keep</w:t>
      </w:r>
      <w:r w:rsidRPr="00D55103">
        <w:rPr>
          <w:szCs w:val="24"/>
        </w:rPr>
        <w:t xml:space="preserve"> their homes or properties</w:t>
      </w:r>
      <w:r w:rsidR="00861458">
        <w:rPr>
          <w:szCs w:val="24"/>
        </w:rPr>
        <w:t xml:space="preserve">.  </w:t>
      </w:r>
      <w:r w:rsidR="004A78E8">
        <w:rPr>
          <w:szCs w:val="24"/>
        </w:rPr>
        <w:t>Several of the clients contacted Golden</w:t>
      </w:r>
      <w:r w:rsidR="00FE6AD7">
        <w:rPr>
          <w:szCs w:val="24"/>
        </w:rPr>
        <w:t xml:space="preserve"> after</w:t>
      </w:r>
      <w:r w:rsidR="00921067">
        <w:rPr>
          <w:szCs w:val="24"/>
        </w:rPr>
        <w:t xml:space="preserve"> </w:t>
      </w:r>
      <w:r w:rsidR="004A78E8">
        <w:rPr>
          <w:szCs w:val="24"/>
        </w:rPr>
        <w:t>having been</w:t>
      </w:r>
      <w:r w:rsidRPr="00D55103">
        <w:rPr>
          <w:szCs w:val="24"/>
        </w:rPr>
        <w:t xml:space="preserve"> unsuccessful</w:t>
      </w:r>
      <w:r w:rsidR="00315908">
        <w:rPr>
          <w:szCs w:val="24"/>
        </w:rPr>
        <w:t xml:space="preserve"> in</w:t>
      </w:r>
      <w:r w:rsidRPr="00D55103">
        <w:rPr>
          <w:szCs w:val="24"/>
        </w:rPr>
        <w:t xml:space="preserve"> obtain</w:t>
      </w:r>
      <w:r w:rsidR="00315908">
        <w:rPr>
          <w:szCs w:val="24"/>
        </w:rPr>
        <w:t>ing</w:t>
      </w:r>
      <w:r w:rsidRPr="00D55103">
        <w:rPr>
          <w:szCs w:val="24"/>
        </w:rPr>
        <w:t xml:space="preserve"> loan modification</w:t>
      </w:r>
      <w:r w:rsidR="00FE6AD7">
        <w:rPr>
          <w:szCs w:val="24"/>
        </w:rPr>
        <w:t>s</w:t>
      </w:r>
      <w:r w:rsidRPr="00D55103">
        <w:rPr>
          <w:szCs w:val="24"/>
        </w:rPr>
        <w:t xml:space="preserve"> </w:t>
      </w:r>
      <w:r w:rsidR="00FE6AD7">
        <w:rPr>
          <w:szCs w:val="24"/>
        </w:rPr>
        <w:t>themselves</w:t>
      </w:r>
      <w:r w:rsidRPr="00D55103">
        <w:rPr>
          <w:szCs w:val="24"/>
        </w:rPr>
        <w:t xml:space="preserve">.  </w:t>
      </w:r>
      <w:r w:rsidR="009475BD" w:rsidRPr="00D55103">
        <w:rPr>
          <w:szCs w:val="24"/>
        </w:rPr>
        <w:t>Golden discussed with the clients all available remedies, including a loan modification and litigation</w:t>
      </w:r>
      <w:r w:rsidR="009475BD">
        <w:rPr>
          <w:szCs w:val="24"/>
        </w:rPr>
        <w:t xml:space="preserve">.  He </w:t>
      </w:r>
      <w:r w:rsidR="009475BD" w:rsidRPr="00D55103">
        <w:rPr>
          <w:szCs w:val="24"/>
        </w:rPr>
        <w:t xml:space="preserve">advised </w:t>
      </w:r>
      <w:r w:rsidR="009475BD">
        <w:rPr>
          <w:szCs w:val="24"/>
        </w:rPr>
        <w:t xml:space="preserve">the clients </w:t>
      </w:r>
      <w:r w:rsidR="009475BD" w:rsidRPr="00D55103">
        <w:rPr>
          <w:szCs w:val="24"/>
        </w:rPr>
        <w:t>that he anticipated filing litigation on their behalf in the event that their respective lenders denied their loan modification applications or for other reasons.</w:t>
      </w:r>
    </w:p>
    <w:p w14:paraId="17AE1B75" w14:textId="709E748F" w:rsidR="002656D9" w:rsidRPr="00D55103" w:rsidRDefault="00FE6AD7" w:rsidP="007729F5">
      <w:pPr>
        <w:spacing w:line="480" w:lineRule="auto"/>
        <w:ind w:firstLine="720"/>
        <w:rPr>
          <w:szCs w:val="24"/>
        </w:rPr>
      </w:pPr>
      <w:r>
        <w:rPr>
          <w:szCs w:val="24"/>
        </w:rPr>
        <w:lastRenderedPageBreak/>
        <w:t>E</w:t>
      </w:r>
      <w:r w:rsidR="002656D9" w:rsidRPr="00D55103">
        <w:rPr>
          <w:szCs w:val="24"/>
        </w:rPr>
        <w:t xml:space="preserve">ach </w:t>
      </w:r>
      <w:r>
        <w:rPr>
          <w:szCs w:val="24"/>
        </w:rPr>
        <w:t xml:space="preserve">client </w:t>
      </w:r>
      <w:r w:rsidR="002656D9" w:rsidRPr="00D55103">
        <w:rPr>
          <w:szCs w:val="24"/>
        </w:rPr>
        <w:t xml:space="preserve">signed </w:t>
      </w:r>
      <w:r w:rsidR="005D00B2">
        <w:rPr>
          <w:szCs w:val="24"/>
        </w:rPr>
        <w:t xml:space="preserve">a </w:t>
      </w:r>
      <w:r w:rsidR="002656D9" w:rsidRPr="00D55103">
        <w:rPr>
          <w:szCs w:val="24"/>
        </w:rPr>
        <w:t xml:space="preserve">retainer agreement </w:t>
      </w:r>
      <w:r w:rsidR="00AF7691">
        <w:rPr>
          <w:szCs w:val="24"/>
        </w:rPr>
        <w:t>committing</w:t>
      </w:r>
      <w:r w:rsidR="002656D9" w:rsidRPr="00D55103">
        <w:rPr>
          <w:szCs w:val="24"/>
        </w:rPr>
        <w:t xml:space="preserve"> to pay Golden a </w:t>
      </w:r>
      <w:r w:rsidR="007826A8">
        <w:rPr>
          <w:szCs w:val="24"/>
        </w:rPr>
        <w:t xml:space="preserve">monthly advance fee.  </w:t>
      </w:r>
      <w:r w:rsidR="009475BD">
        <w:rPr>
          <w:szCs w:val="24"/>
        </w:rPr>
        <w:t>While t</w:t>
      </w:r>
      <w:r w:rsidR="007826A8">
        <w:rPr>
          <w:szCs w:val="24"/>
        </w:rPr>
        <w:t>he</w:t>
      </w:r>
      <w:r w:rsidR="007572E2">
        <w:rPr>
          <w:szCs w:val="24"/>
        </w:rPr>
        <w:t>se</w:t>
      </w:r>
      <w:r w:rsidR="007826A8">
        <w:rPr>
          <w:szCs w:val="24"/>
        </w:rPr>
        <w:t xml:space="preserve"> </w:t>
      </w:r>
      <w:r w:rsidR="002656D9" w:rsidRPr="00D55103">
        <w:rPr>
          <w:szCs w:val="24"/>
        </w:rPr>
        <w:t xml:space="preserve">agreements </w:t>
      </w:r>
      <w:r w:rsidR="007572E2">
        <w:rPr>
          <w:szCs w:val="24"/>
        </w:rPr>
        <w:t>were largely similar,</w:t>
      </w:r>
      <w:r w:rsidR="00A1784D">
        <w:rPr>
          <w:szCs w:val="24"/>
        </w:rPr>
        <w:t xml:space="preserve"> </w:t>
      </w:r>
      <w:r w:rsidR="009475BD">
        <w:rPr>
          <w:szCs w:val="24"/>
        </w:rPr>
        <w:t xml:space="preserve">some differences existed, notably </w:t>
      </w:r>
      <w:r w:rsidR="000478BE">
        <w:rPr>
          <w:szCs w:val="24"/>
        </w:rPr>
        <w:t>only s</w:t>
      </w:r>
      <w:r w:rsidR="002656D9" w:rsidRPr="00D55103">
        <w:rPr>
          <w:szCs w:val="24"/>
        </w:rPr>
        <w:t xml:space="preserve">ix included the </w:t>
      </w:r>
      <w:r w:rsidR="007729F5" w:rsidRPr="00D55103">
        <w:rPr>
          <w:szCs w:val="24"/>
        </w:rPr>
        <w:t>Civil Code section</w:t>
      </w:r>
      <w:r w:rsidR="00C977B2">
        <w:rPr>
          <w:szCs w:val="24"/>
        </w:rPr>
        <w:t> </w:t>
      </w:r>
      <w:r w:rsidR="007729F5" w:rsidRPr="00D55103">
        <w:rPr>
          <w:szCs w:val="24"/>
        </w:rPr>
        <w:t>2944.6 disclaimer</w:t>
      </w:r>
      <w:r w:rsidR="00C72E3F">
        <w:rPr>
          <w:szCs w:val="24"/>
        </w:rPr>
        <w:t xml:space="preserve"> language (§ 2944.6 disclaimer)</w:t>
      </w:r>
      <w:r w:rsidR="00D303D4">
        <w:rPr>
          <w:szCs w:val="24"/>
        </w:rPr>
        <w:t>,</w:t>
      </w:r>
      <w:r w:rsidR="000478BE">
        <w:rPr>
          <w:szCs w:val="24"/>
        </w:rPr>
        <w:t xml:space="preserve"> and t</w:t>
      </w:r>
      <w:r w:rsidR="007572E2">
        <w:rPr>
          <w:szCs w:val="24"/>
        </w:rPr>
        <w:t>hree s</w:t>
      </w:r>
      <w:r w:rsidR="00A1784D">
        <w:rPr>
          <w:szCs w:val="24"/>
        </w:rPr>
        <w:t xml:space="preserve">tated </w:t>
      </w:r>
      <w:r w:rsidR="007572E2">
        <w:rPr>
          <w:szCs w:val="24"/>
        </w:rPr>
        <w:t xml:space="preserve">that </w:t>
      </w:r>
      <w:r w:rsidR="002656D9" w:rsidRPr="00D55103">
        <w:rPr>
          <w:szCs w:val="24"/>
        </w:rPr>
        <w:t xml:space="preserve">the monthly fee would be billed during the “loan mod/litigation process” while the others </w:t>
      </w:r>
      <w:r w:rsidR="006145F1">
        <w:rPr>
          <w:szCs w:val="24"/>
        </w:rPr>
        <w:t>used</w:t>
      </w:r>
      <w:r w:rsidR="002656D9" w:rsidRPr="00D55103">
        <w:rPr>
          <w:szCs w:val="24"/>
        </w:rPr>
        <w:t xml:space="preserve"> different language.  Golden submitted loan modification applications for all but one of the c</w:t>
      </w:r>
      <w:r w:rsidR="007572E2">
        <w:rPr>
          <w:szCs w:val="24"/>
        </w:rPr>
        <w:t>lients,</w:t>
      </w:r>
      <w:r w:rsidR="00A1784D">
        <w:rPr>
          <w:rStyle w:val="FootnoteReference"/>
          <w:szCs w:val="24"/>
        </w:rPr>
        <w:footnoteReference w:id="8"/>
      </w:r>
      <w:r w:rsidR="00A1784D">
        <w:rPr>
          <w:szCs w:val="24"/>
        </w:rPr>
        <w:t xml:space="preserve"> and negotiated with th</w:t>
      </w:r>
      <w:r w:rsidR="000478BE">
        <w:rPr>
          <w:szCs w:val="24"/>
        </w:rPr>
        <w:t>eir</w:t>
      </w:r>
      <w:r w:rsidR="002656D9" w:rsidRPr="00D55103">
        <w:rPr>
          <w:szCs w:val="24"/>
        </w:rPr>
        <w:t xml:space="preserve"> </w:t>
      </w:r>
      <w:r w:rsidR="00D303D4">
        <w:rPr>
          <w:szCs w:val="24"/>
        </w:rPr>
        <w:t xml:space="preserve">various </w:t>
      </w:r>
      <w:r w:rsidR="002656D9" w:rsidRPr="00D55103">
        <w:rPr>
          <w:szCs w:val="24"/>
        </w:rPr>
        <w:t>l</w:t>
      </w:r>
      <w:r w:rsidR="00A1784D">
        <w:rPr>
          <w:szCs w:val="24"/>
        </w:rPr>
        <w:t>enders.</w:t>
      </w:r>
    </w:p>
    <w:p w14:paraId="0D165717" w14:textId="09EA9201" w:rsidR="006A2487" w:rsidRDefault="002656D9" w:rsidP="00922844">
      <w:pPr>
        <w:spacing w:line="480" w:lineRule="auto"/>
        <w:ind w:firstLine="720"/>
        <w:rPr>
          <w:szCs w:val="24"/>
        </w:rPr>
      </w:pPr>
      <w:r w:rsidRPr="00D55103">
        <w:rPr>
          <w:szCs w:val="24"/>
        </w:rPr>
        <w:t>Golden also stipulated that</w:t>
      </w:r>
      <w:r w:rsidR="006A2487">
        <w:rPr>
          <w:szCs w:val="24"/>
        </w:rPr>
        <w:t>, after termination of his employment,</w:t>
      </w:r>
      <w:r w:rsidRPr="00D55103">
        <w:rPr>
          <w:szCs w:val="24"/>
        </w:rPr>
        <w:t xml:space="preserve"> he failed to render appropriate accounting</w:t>
      </w:r>
      <w:r w:rsidR="005D00B2">
        <w:rPr>
          <w:szCs w:val="24"/>
        </w:rPr>
        <w:t>s</w:t>
      </w:r>
      <w:r w:rsidRPr="00D55103">
        <w:rPr>
          <w:szCs w:val="24"/>
        </w:rPr>
        <w:t xml:space="preserve"> to the clients </w:t>
      </w:r>
      <w:r w:rsidR="005D00B2">
        <w:rPr>
          <w:szCs w:val="24"/>
        </w:rPr>
        <w:t>for</w:t>
      </w:r>
      <w:r w:rsidRPr="00D55103">
        <w:rPr>
          <w:szCs w:val="24"/>
        </w:rPr>
        <w:t xml:space="preserve"> the fees </w:t>
      </w:r>
      <w:r w:rsidR="005D00B2">
        <w:rPr>
          <w:szCs w:val="24"/>
        </w:rPr>
        <w:t>they paid</w:t>
      </w:r>
      <w:r w:rsidRPr="00D55103">
        <w:rPr>
          <w:szCs w:val="24"/>
        </w:rPr>
        <w:t>, in violation of rule</w:t>
      </w:r>
      <w:r w:rsidR="00C977B2">
        <w:rPr>
          <w:szCs w:val="24"/>
        </w:rPr>
        <w:t> </w:t>
      </w:r>
      <w:r w:rsidRPr="00D55103">
        <w:rPr>
          <w:szCs w:val="24"/>
        </w:rPr>
        <w:t>4-100(B)(3) of the Rules of Professional Conduct.</w:t>
      </w:r>
      <w:r w:rsidRPr="00D55103">
        <w:rPr>
          <w:rStyle w:val="FootnoteReference"/>
          <w:szCs w:val="24"/>
        </w:rPr>
        <w:footnoteReference w:id="9"/>
      </w:r>
    </w:p>
    <w:p w14:paraId="31510016" w14:textId="2D17D54A" w:rsidR="00CD2984" w:rsidRDefault="00893053" w:rsidP="00922844">
      <w:pPr>
        <w:spacing w:line="480" w:lineRule="auto"/>
        <w:ind w:firstLine="720"/>
        <w:rPr>
          <w:szCs w:val="24"/>
        </w:rPr>
      </w:pPr>
      <w:r>
        <w:rPr>
          <w:szCs w:val="24"/>
        </w:rPr>
        <w:t>In addition, with one ex</w:t>
      </w:r>
      <w:r w:rsidR="00F82D74">
        <w:rPr>
          <w:szCs w:val="24"/>
        </w:rPr>
        <w:t>ception</w:t>
      </w:r>
      <w:r w:rsidR="007826A8">
        <w:rPr>
          <w:szCs w:val="24"/>
        </w:rPr>
        <w:t xml:space="preserve"> detailed</w:t>
      </w:r>
      <w:r w:rsidR="00F82D74">
        <w:rPr>
          <w:szCs w:val="24"/>
        </w:rPr>
        <w:t xml:space="preserve"> below,</w:t>
      </w:r>
      <w:r>
        <w:rPr>
          <w:szCs w:val="24"/>
        </w:rPr>
        <w:t xml:space="preserve"> Golden </w:t>
      </w:r>
      <w:r w:rsidRPr="00922844">
        <w:rPr>
          <w:szCs w:val="24"/>
        </w:rPr>
        <w:t xml:space="preserve">failed to refund any advance fees </w:t>
      </w:r>
      <w:r w:rsidR="00F82D74">
        <w:rPr>
          <w:szCs w:val="24"/>
        </w:rPr>
        <w:t xml:space="preserve">he </w:t>
      </w:r>
      <w:r w:rsidRPr="00922844">
        <w:rPr>
          <w:szCs w:val="24"/>
        </w:rPr>
        <w:t>received</w:t>
      </w:r>
      <w:r>
        <w:rPr>
          <w:szCs w:val="24"/>
        </w:rPr>
        <w:t xml:space="preserve"> from </w:t>
      </w:r>
      <w:r w:rsidR="00F82D74">
        <w:rPr>
          <w:szCs w:val="24"/>
        </w:rPr>
        <w:t>the clients.</w:t>
      </w:r>
    </w:p>
    <w:p w14:paraId="32863DEB" w14:textId="5A3BA628" w:rsidR="00CC6A04" w:rsidRPr="00D55103" w:rsidRDefault="00CC6A04" w:rsidP="00E8552A">
      <w:pPr>
        <w:tabs>
          <w:tab w:val="left" w:pos="720"/>
        </w:tabs>
        <w:spacing w:line="480" w:lineRule="auto"/>
        <w:rPr>
          <w:b/>
          <w:szCs w:val="24"/>
        </w:rPr>
      </w:pPr>
      <w:r w:rsidRPr="00D55103">
        <w:rPr>
          <w:b/>
          <w:szCs w:val="24"/>
        </w:rPr>
        <w:t>A.</w:t>
      </w:r>
      <w:r w:rsidRPr="00D55103">
        <w:rPr>
          <w:b/>
          <w:szCs w:val="24"/>
        </w:rPr>
        <w:tab/>
      </w:r>
      <w:r w:rsidR="004B47BB" w:rsidRPr="00D55103">
        <w:rPr>
          <w:b/>
          <w:szCs w:val="24"/>
        </w:rPr>
        <w:t xml:space="preserve">McDonough Matter </w:t>
      </w:r>
      <w:r w:rsidRPr="00D55103">
        <w:rPr>
          <w:b/>
          <w:szCs w:val="24"/>
        </w:rPr>
        <w:t>(Case No. 1</w:t>
      </w:r>
      <w:r w:rsidR="009422E1" w:rsidRPr="00D55103">
        <w:rPr>
          <w:b/>
          <w:szCs w:val="24"/>
        </w:rPr>
        <w:t>6</w:t>
      </w:r>
      <w:r w:rsidRPr="00D55103">
        <w:rPr>
          <w:b/>
          <w:szCs w:val="24"/>
        </w:rPr>
        <w:t>-O-10</w:t>
      </w:r>
      <w:r w:rsidR="009422E1" w:rsidRPr="00D55103">
        <w:rPr>
          <w:b/>
          <w:szCs w:val="24"/>
        </w:rPr>
        <w:t>2</w:t>
      </w:r>
      <w:r w:rsidRPr="00D55103">
        <w:rPr>
          <w:b/>
          <w:szCs w:val="24"/>
        </w:rPr>
        <w:t>6</w:t>
      </w:r>
      <w:r w:rsidR="009422E1" w:rsidRPr="00D55103">
        <w:rPr>
          <w:b/>
          <w:szCs w:val="24"/>
        </w:rPr>
        <w:t>0</w:t>
      </w:r>
      <w:r w:rsidRPr="00D55103">
        <w:rPr>
          <w:b/>
          <w:szCs w:val="24"/>
        </w:rPr>
        <w:t xml:space="preserve">, </w:t>
      </w:r>
      <w:r w:rsidR="000628FB">
        <w:rPr>
          <w:b/>
          <w:szCs w:val="24"/>
        </w:rPr>
        <w:t>A</w:t>
      </w:r>
      <w:r w:rsidR="00355FFC" w:rsidRPr="00D55103">
        <w:rPr>
          <w:b/>
          <w:szCs w:val="24"/>
        </w:rPr>
        <w:t>NDC-</w:t>
      </w:r>
      <w:r w:rsidR="009422E1" w:rsidRPr="00D55103">
        <w:rPr>
          <w:b/>
          <w:szCs w:val="24"/>
        </w:rPr>
        <w:t>2</w:t>
      </w:r>
      <w:r w:rsidRPr="00D55103">
        <w:rPr>
          <w:b/>
          <w:szCs w:val="24"/>
        </w:rPr>
        <w:t>, Count</w:t>
      </w:r>
      <w:r w:rsidR="004B47BB" w:rsidRPr="00D55103">
        <w:rPr>
          <w:b/>
          <w:szCs w:val="24"/>
        </w:rPr>
        <w:t>s One–Four</w:t>
      </w:r>
      <w:r w:rsidRPr="00D55103">
        <w:rPr>
          <w:b/>
          <w:szCs w:val="24"/>
        </w:rPr>
        <w:t>)</w:t>
      </w:r>
    </w:p>
    <w:p w14:paraId="6302369D" w14:textId="474888DA" w:rsidR="00ED7673" w:rsidRPr="00D55103" w:rsidRDefault="00B4552A" w:rsidP="00ED7673">
      <w:pPr>
        <w:spacing w:line="480" w:lineRule="auto"/>
        <w:ind w:firstLine="720"/>
        <w:rPr>
          <w:szCs w:val="24"/>
        </w:rPr>
      </w:pPr>
      <w:r w:rsidRPr="00D55103">
        <w:rPr>
          <w:szCs w:val="24"/>
        </w:rPr>
        <w:t>O</w:t>
      </w:r>
      <w:r w:rsidR="00E8552A" w:rsidRPr="00D55103">
        <w:rPr>
          <w:szCs w:val="24"/>
        </w:rPr>
        <w:t>n November</w:t>
      </w:r>
      <w:r w:rsidR="00C977B2">
        <w:rPr>
          <w:szCs w:val="24"/>
        </w:rPr>
        <w:t> </w:t>
      </w:r>
      <w:r w:rsidR="00E8552A" w:rsidRPr="00D55103">
        <w:rPr>
          <w:szCs w:val="24"/>
        </w:rPr>
        <w:t xml:space="preserve">18, 2010, </w:t>
      </w:r>
      <w:r w:rsidR="00D54586" w:rsidRPr="00D55103">
        <w:rPr>
          <w:szCs w:val="24"/>
        </w:rPr>
        <w:t xml:space="preserve">Joshua McDonough </w:t>
      </w:r>
      <w:r w:rsidR="00E8552A" w:rsidRPr="00D55103">
        <w:rPr>
          <w:szCs w:val="24"/>
        </w:rPr>
        <w:t xml:space="preserve">employed </w:t>
      </w:r>
      <w:r w:rsidRPr="00D55103">
        <w:rPr>
          <w:szCs w:val="24"/>
        </w:rPr>
        <w:t xml:space="preserve">Golden </w:t>
      </w:r>
      <w:r w:rsidR="00E8552A" w:rsidRPr="00D55103">
        <w:rPr>
          <w:szCs w:val="24"/>
        </w:rPr>
        <w:t>and paid him an advance</w:t>
      </w:r>
      <w:r w:rsidR="006C38B1" w:rsidRPr="00D55103">
        <w:rPr>
          <w:szCs w:val="24"/>
        </w:rPr>
        <w:t xml:space="preserve"> </w:t>
      </w:r>
      <w:r w:rsidR="00E8552A" w:rsidRPr="00D55103">
        <w:rPr>
          <w:szCs w:val="24"/>
        </w:rPr>
        <w:t xml:space="preserve">fee of $500. </w:t>
      </w:r>
      <w:r w:rsidRPr="00D55103">
        <w:rPr>
          <w:szCs w:val="24"/>
        </w:rPr>
        <w:t xml:space="preserve"> </w:t>
      </w:r>
      <w:r w:rsidR="003B5019">
        <w:rPr>
          <w:szCs w:val="24"/>
        </w:rPr>
        <w:t>Their</w:t>
      </w:r>
      <w:r w:rsidR="00E8552A" w:rsidRPr="00D55103">
        <w:rPr>
          <w:szCs w:val="24"/>
        </w:rPr>
        <w:t xml:space="preserve"> fee agreement did not </w:t>
      </w:r>
      <w:r w:rsidR="000478BE">
        <w:rPr>
          <w:szCs w:val="24"/>
        </w:rPr>
        <w:t>contain</w:t>
      </w:r>
      <w:r w:rsidR="00E8552A" w:rsidRPr="00D55103">
        <w:rPr>
          <w:szCs w:val="24"/>
        </w:rPr>
        <w:t xml:space="preserve"> the</w:t>
      </w:r>
      <w:r w:rsidRPr="00D55103">
        <w:rPr>
          <w:szCs w:val="24"/>
        </w:rPr>
        <w:t xml:space="preserve"> </w:t>
      </w:r>
      <w:r w:rsidR="00C72E3F" w:rsidRPr="00C72E3F">
        <w:rPr>
          <w:szCs w:val="24"/>
        </w:rPr>
        <w:t>§ 2944.6 disclaimer</w:t>
      </w:r>
      <w:r w:rsidR="00E8552A" w:rsidRPr="00D55103">
        <w:rPr>
          <w:szCs w:val="24"/>
        </w:rPr>
        <w:t xml:space="preserve">. </w:t>
      </w:r>
      <w:r w:rsidR="009465E2" w:rsidRPr="00D55103">
        <w:rPr>
          <w:szCs w:val="24"/>
        </w:rPr>
        <w:t xml:space="preserve"> On March</w:t>
      </w:r>
      <w:r w:rsidR="00C977B2">
        <w:rPr>
          <w:szCs w:val="24"/>
        </w:rPr>
        <w:t> </w:t>
      </w:r>
      <w:r w:rsidR="009465E2" w:rsidRPr="00D55103">
        <w:rPr>
          <w:szCs w:val="24"/>
        </w:rPr>
        <w:t xml:space="preserve">19, </w:t>
      </w:r>
      <w:r w:rsidR="009465E2" w:rsidRPr="006656B1">
        <w:rPr>
          <w:szCs w:val="24"/>
        </w:rPr>
        <w:t>2012</w:t>
      </w:r>
      <w:r w:rsidR="009465E2" w:rsidRPr="00D55103">
        <w:rPr>
          <w:szCs w:val="24"/>
        </w:rPr>
        <w:t>, McDonough paid Golden an</w:t>
      </w:r>
      <w:r w:rsidR="0078385D">
        <w:rPr>
          <w:szCs w:val="24"/>
        </w:rPr>
        <w:t>other</w:t>
      </w:r>
      <w:r w:rsidR="009465E2" w:rsidRPr="00D55103">
        <w:rPr>
          <w:szCs w:val="24"/>
        </w:rPr>
        <w:t xml:space="preserve"> $2,500</w:t>
      </w:r>
      <w:r w:rsidR="000478BE">
        <w:rPr>
          <w:szCs w:val="24"/>
        </w:rPr>
        <w:t>, and</w:t>
      </w:r>
      <w:r w:rsidR="009465E2" w:rsidRPr="00D55103">
        <w:rPr>
          <w:szCs w:val="24"/>
        </w:rPr>
        <w:t xml:space="preserve"> subsequently </w:t>
      </w:r>
      <w:r w:rsidR="003B5019">
        <w:rPr>
          <w:szCs w:val="24"/>
        </w:rPr>
        <w:t>made</w:t>
      </w:r>
      <w:r w:rsidR="009465E2" w:rsidRPr="00D55103">
        <w:rPr>
          <w:szCs w:val="24"/>
        </w:rPr>
        <w:t xml:space="preserve"> monthly payments </w:t>
      </w:r>
      <w:r w:rsidR="00BA51A7" w:rsidRPr="00D55103">
        <w:rPr>
          <w:szCs w:val="24"/>
        </w:rPr>
        <w:t>of $1,200</w:t>
      </w:r>
      <w:r w:rsidR="00ED7673" w:rsidRPr="00D55103">
        <w:rPr>
          <w:szCs w:val="24"/>
        </w:rPr>
        <w:t>.</w:t>
      </w:r>
    </w:p>
    <w:p w14:paraId="66F6017F" w14:textId="6C2B3424" w:rsidR="004A3E9D" w:rsidRPr="00D55103" w:rsidRDefault="00363175" w:rsidP="00ED7673">
      <w:pPr>
        <w:spacing w:line="480" w:lineRule="auto"/>
        <w:ind w:firstLine="720"/>
        <w:rPr>
          <w:szCs w:val="24"/>
        </w:rPr>
      </w:pPr>
      <w:r>
        <w:rPr>
          <w:szCs w:val="24"/>
        </w:rPr>
        <w:t>Golden’s firm sent</w:t>
      </w:r>
      <w:r w:rsidR="009465E2" w:rsidRPr="00D55103">
        <w:rPr>
          <w:szCs w:val="24"/>
        </w:rPr>
        <w:t xml:space="preserve"> several loan modification applications to McDonough’s lender</w:t>
      </w:r>
      <w:r>
        <w:rPr>
          <w:szCs w:val="24"/>
        </w:rPr>
        <w:t xml:space="preserve"> </w:t>
      </w:r>
      <w:r w:rsidR="00B40196">
        <w:rPr>
          <w:szCs w:val="24"/>
        </w:rPr>
        <w:t>but was</w:t>
      </w:r>
      <w:r>
        <w:rPr>
          <w:szCs w:val="24"/>
        </w:rPr>
        <w:t xml:space="preserve"> un</w:t>
      </w:r>
      <w:r w:rsidR="003176F2">
        <w:rPr>
          <w:szCs w:val="24"/>
        </w:rPr>
        <w:t xml:space="preserve">successful </w:t>
      </w:r>
      <w:r w:rsidR="009465E2" w:rsidRPr="00D55103">
        <w:rPr>
          <w:szCs w:val="24"/>
        </w:rPr>
        <w:t xml:space="preserve">for approximately two years.  </w:t>
      </w:r>
      <w:r w:rsidR="002D1855">
        <w:rPr>
          <w:szCs w:val="24"/>
        </w:rPr>
        <w:t xml:space="preserve">On June 8, 2012, </w:t>
      </w:r>
      <w:r w:rsidR="009465E2" w:rsidRPr="00D55103">
        <w:rPr>
          <w:szCs w:val="24"/>
        </w:rPr>
        <w:t>Golden filed a lawsuit</w:t>
      </w:r>
      <w:r w:rsidR="002D1855">
        <w:rPr>
          <w:szCs w:val="24"/>
        </w:rPr>
        <w:t xml:space="preserve"> on McDonough’s behalf</w:t>
      </w:r>
      <w:r w:rsidR="009465E2" w:rsidRPr="00D55103">
        <w:rPr>
          <w:szCs w:val="24"/>
        </w:rPr>
        <w:t xml:space="preserve"> in Los Angeles County Superior Court.  On August</w:t>
      </w:r>
      <w:r w:rsidR="00C977B2">
        <w:rPr>
          <w:szCs w:val="24"/>
        </w:rPr>
        <w:t> </w:t>
      </w:r>
      <w:r w:rsidR="009465E2" w:rsidRPr="00D55103">
        <w:rPr>
          <w:szCs w:val="24"/>
        </w:rPr>
        <w:t>8, the lawsuit was removed to federal court</w:t>
      </w:r>
      <w:r w:rsidR="00B40196">
        <w:rPr>
          <w:szCs w:val="24"/>
        </w:rPr>
        <w:t>, and o</w:t>
      </w:r>
      <w:r w:rsidR="009465E2" w:rsidRPr="00D55103">
        <w:rPr>
          <w:szCs w:val="24"/>
        </w:rPr>
        <w:t>n November</w:t>
      </w:r>
      <w:r w:rsidR="00C977B2">
        <w:rPr>
          <w:szCs w:val="24"/>
        </w:rPr>
        <w:t> </w:t>
      </w:r>
      <w:r w:rsidR="009465E2" w:rsidRPr="00D55103">
        <w:rPr>
          <w:szCs w:val="24"/>
        </w:rPr>
        <w:t xml:space="preserve">21, Golden dismissed </w:t>
      </w:r>
      <w:r w:rsidR="00B40196">
        <w:rPr>
          <w:szCs w:val="24"/>
        </w:rPr>
        <w:t>it</w:t>
      </w:r>
      <w:r w:rsidR="009465E2" w:rsidRPr="00D55103">
        <w:rPr>
          <w:szCs w:val="24"/>
        </w:rPr>
        <w:t xml:space="preserve">. </w:t>
      </w:r>
      <w:r w:rsidR="00960638" w:rsidRPr="00D55103">
        <w:rPr>
          <w:szCs w:val="24"/>
        </w:rPr>
        <w:t xml:space="preserve"> </w:t>
      </w:r>
      <w:r w:rsidR="009465E2" w:rsidRPr="00D55103">
        <w:rPr>
          <w:szCs w:val="24"/>
        </w:rPr>
        <w:t>On April</w:t>
      </w:r>
      <w:r w:rsidR="00C977B2">
        <w:rPr>
          <w:szCs w:val="24"/>
        </w:rPr>
        <w:t> </w:t>
      </w:r>
      <w:r w:rsidR="009465E2" w:rsidRPr="00D55103">
        <w:rPr>
          <w:szCs w:val="24"/>
        </w:rPr>
        <w:t xml:space="preserve">11, 2013, Golden filed a second lawsuit </w:t>
      </w:r>
      <w:r w:rsidR="00B40196">
        <w:rPr>
          <w:szCs w:val="24"/>
        </w:rPr>
        <w:t>for</w:t>
      </w:r>
      <w:r w:rsidR="009465E2" w:rsidRPr="00D55103">
        <w:rPr>
          <w:szCs w:val="24"/>
        </w:rPr>
        <w:t xml:space="preserve"> McDonough</w:t>
      </w:r>
      <w:r w:rsidR="005C4E26" w:rsidRPr="00D55103">
        <w:rPr>
          <w:szCs w:val="24"/>
        </w:rPr>
        <w:t xml:space="preserve">, </w:t>
      </w:r>
      <w:r w:rsidR="002D1855">
        <w:rPr>
          <w:szCs w:val="24"/>
        </w:rPr>
        <w:t>but again</w:t>
      </w:r>
      <w:r w:rsidR="004A3E9D" w:rsidRPr="00D55103">
        <w:rPr>
          <w:szCs w:val="24"/>
        </w:rPr>
        <w:t xml:space="preserve"> </w:t>
      </w:r>
      <w:r w:rsidR="009465E2" w:rsidRPr="00D55103">
        <w:rPr>
          <w:szCs w:val="24"/>
        </w:rPr>
        <w:t>late</w:t>
      </w:r>
      <w:r w:rsidR="004A3E9D" w:rsidRPr="00D55103">
        <w:rPr>
          <w:szCs w:val="24"/>
        </w:rPr>
        <w:t>r dismissed</w:t>
      </w:r>
      <w:r w:rsidR="002D1855">
        <w:rPr>
          <w:szCs w:val="24"/>
        </w:rPr>
        <w:t xml:space="preserve"> it</w:t>
      </w:r>
      <w:r w:rsidR="004A3E9D" w:rsidRPr="00D55103">
        <w:rPr>
          <w:szCs w:val="24"/>
        </w:rPr>
        <w:t>.</w:t>
      </w:r>
    </w:p>
    <w:p w14:paraId="6DD405A6" w14:textId="7579CC69" w:rsidR="002D1855" w:rsidRDefault="009465E2" w:rsidP="00960638">
      <w:pPr>
        <w:spacing w:line="480" w:lineRule="auto"/>
        <w:ind w:firstLine="720"/>
        <w:rPr>
          <w:szCs w:val="24"/>
        </w:rPr>
      </w:pPr>
      <w:r w:rsidRPr="00D55103">
        <w:rPr>
          <w:szCs w:val="24"/>
        </w:rPr>
        <w:lastRenderedPageBreak/>
        <w:t xml:space="preserve">In March 2014, </w:t>
      </w:r>
      <w:r w:rsidR="004A3E9D" w:rsidRPr="00D55103">
        <w:rPr>
          <w:szCs w:val="24"/>
        </w:rPr>
        <w:t xml:space="preserve">Golden </w:t>
      </w:r>
      <w:r w:rsidRPr="00D55103">
        <w:rPr>
          <w:szCs w:val="24"/>
        </w:rPr>
        <w:t xml:space="preserve">submitted another application </w:t>
      </w:r>
      <w:r w:rsidR="003176F2">
        <w:rPr>
          <w:szCs w:val="24"/>
        </w:rPr>
        <w:t>for</w:t>
      </w:r>
      <w:r w:rsidR="004A3E9D" w:rsidRPr="00D55103">
        <w:rPr>
          <w:szCs w:val="24"/>
        </w:rPr>
        <w:t xml:space="preserve"> McDonough</w:t>
      </w:r>
      <w:r w:rsidR="00C800C2">
        <w:rPr>
          <w:szCs w:val="24"/>
        </w:rPr>
        <w:t xml:space="preserve">.  In April </w:t>
      </w:r>
      <w:r w:rsidR="00C800C2" w:rsidRPr="00D55103">
        <w:rPr>
          <w:szCs w:val="24"/>
        </w:rPr>
        <w:t>2014</w:t>
      </w:r>
      <w:r w:rsidR="00FE23A3">
        <w:rPr>
          <w:szCs w:val="24"/>
        </w:rPr>
        <w:t>,</w:t>
      </w:r>
      <w:r w:rsidRPr="00D55103">
        <w:rPr>
          <w:szCs w:val="24"/>
        </w:rPr>
        <w:t xml:space="preserve"> </w:t>
      </w:r>
      <w:r w:rsidR="00C800C2">
        <w:rPr>
          <w:szCs w:val="24"/>
        </w:rPr>
        <w:t xml:space="preserve">Golden </w:t>
      </w:r>
      <w:r w:rsidRPr="00D55103">
        <w:rPr>
          <w:szCs w:val="24"/>
        </w:rPr>
        <w:t>entered into another fee</w:t>
      </w:r>
      <w:r w:rsidR="004A3E9D" w:rsidRPr="00D55103">
        <w:rPr>
          <w:szCs w:val="24"/>
        </w:rPr>
        <w:t xml:space="preserve"> </w:t>
      </w:r>
      <w:r w:rsidRPr="00D55103">
        <w:rPr>
          <w:szCs w:val="24"/>
        </w:rPr>
        <w:t>agreement</w:t>
      </w:r>
      <w:r w:rsidR="008914B0">
        <w:rPr>
          <w:szCs w:val="24"/>
        </w:rPr>
        <w:t xml:space="preserve"> with </w:t>
      </w:r>
      <w:r w:rsidR="00D939BF">
        <w:rPr>
          <w:szCs w:val="24"/>
        </w:rPr>
        <w:t>him that</w:t>
      </w:r>
      <w:r w:rsidRPr="00D55103">
        <w:rPr>
          <w:szCs w:val="24"/>
        </w:rPr>
        <w:t xml:space="preserve"> included the </w:t>
      </w:r>
      <w:r w:rsidR="0078385D" w:rsidRPr="0078385D">
        <w:rPr>
          <w:szCs w:val="24"/>
        </w:rPr>
        <w:t>§ 2944.6 disclaimer</w:t>
      </w:r>
      <w:r w:rsidR="00FE23A3">
        <w:rPr>
          <w:szCs w:val="24"/>
        </w:rPr>
        <w:t>, and thereafter</w:t>
      </w:r>
      <w:r w:rsidR="004A3E9D" w:rsidRPr="00D55103">
        <w:rPr>
          <w:szCs w:val="24"/>
        </w:rPr>
        <w:t xml:space="preserve"> </w:t>
      </w:r>
      <w:r w:rsidRPr="00D55103">
        <w:rPr>
          <w:szCs w:val="24"/>
        </w:rPr>
        <w:t>continued to try to obtain a loan modification.</w:t>
      </w:r>
    </w:p>
    <w:p w14:paraId="7113F643" w14:textId="35458300" w:rsidR="00905105" w:rsidRPr="00D55103" w:rsidRDefault="000048F1" w:rsidP="0037754E">
      <w:pPr>
        <w:spacing w:line="480" w:lineRule="auto"/>
        <w:ind w:firstLine="720"/>
        <w:rPr>
          <w:szCs w:val="24"/>
        </w:rPr>
      </w:pPr>
      <w:r>
        <w:rPr>
          <w:szCs w:val="24"/>
        </w:rPr>
        <w:t>Before</w:t>
      </w:r>
      <w:r w:rsidR="009465E2" w:rsidRPr="00D55103">
        <w:rPr>
          <w:szCs w:val="24"/>
        </w:rPr>
        <w:t xml:space="preserve"> terminati</w:t>
      </w:r>
      <w:r>
        <w:rPr>
          <w:szCs w:val="24"/>
        </w:rPr>
        <w:t>ng</w:t>
      </w:r>
      <w:r w:rsidR="009465E2" w:rsidRPr="00D55103">
        <w:rPr>
          <w:szCs w:val="24"/>
        </w:rPr>
        <w:t xml:space="preserve"> </w:t>
      </w:r>
      <w:r w:rsidR="004A3E9D" w:rsidRPr="00D55103">
        <w:rPr>
          <w:szCs w:val="24"/>
        </w:rPr>
        <w:t>Golden’</w:t>
      </w:r>
      <w:r w:rsidR="009465E2" w:rsidRPr="00D55103">
        <w:rPr>
          <w:szCs w:val="24"/>
        </w:rPr>
        <w:t>s employment, McDonough paid</w:t>
      </w:r>
      <w:r w:rsidR="004A3E9D" w:rsidRPr="00D55103">
        <w:rPr>
          <w:szCs w:val="24"/>
        </w:rPr>
        <w:t xml:space="preserve"> fees totaling $35,117.</w:t>
      </w:r>
      <w:r w:rsidR="002D1855">
        <w:rPr>
          <w:szCs w:val="24"/>
        </w:rPr>
        <w:t xml:space="preserve">  After</w:t>
      </w:r>
      <w:r w:rsidR="002D1855" w:rsidRPr="00D55103">
        <w:rPr>
          <w:szCs w:val="24"/>
        </w:rPr>
        <w:t xml:space="preserve"> his termination, Golden failed to render an appropriate accounting to McDonough</w:t>
      </w:r>
      <w:r w:rsidR="002D1855">
        <w:rPr>
          <w:szCs w:val="24"/>
        </w:rPr>
        <w:t xml:space="preserve"> </w:t>
      </w:r>
      <w:r w:rsidR="002D1855" w:rsidRPr="00922844">
        <w:rPr>
          <w:szCs w:val="24"/>
        </w:rPr>
        <w:t>and failed to refund any advance fees received</w:t>
      </w:r>
      <w:r w:rsidR="002D1855">
        <w:rPr>
          <w:szCs w:val="24"/>
        </w:rPr>
        <w:t xml:space="preserve"> from him</w:t>
      </w:r>
      <w:r w:rsidR="002D1855" w:rsidRPr="00922844">
        <w:rPr>
          <w:szCs w:val="24"/>
        </w:rPr>
        <w:t>.</w:t>
      </w:r>
    </w:p>
    <w:p w14:paraId="5CB2F57C" w14:textId="6A0997B0" w:rsidR="00A26C4E" w:rsidRPr="00D55103" w:rsidRDefault="00A26C4E" w:rsidP="00A26C4E">
      <w:pPr>
        <w:tabs>
          <w:tab w:val="left" w:pos="720"/>
        </w:tabs>
        <w:spacing w:line="480" w:lineRule="auto"/>
        <w:rPr>
          <w:b/>
          <w:szCs w:val="24"/>
        </w:rPr>
      </w:pPr>
      <w:r w:rsidRPr="00D55103">
        <w:rPr>
          <w:b/>
          <w:szCs w:val="24"/>
        </w:rPr>
        <w:t>B.</w:t>
      </w:r>
      <w:r w:rsidRPr="00D55103">
        <w:rPr>
          <w:b/>
          <w:szCs w:val="24"/>
        </w:rPr>
        <w:tab/>
        <w:t>Mazziotti</w:t>
      </w:r>
      <w:r w:rsidR="005436C8" w:rsidRPr="00D55103">
        <w:rPr>
          <w:b/>
          <w:szCs w:val="24"/>
        </w:rPr>
        <w:t xml:space="preserve"> Matter (Case No. 16-O-10</w:t>
      </w:r>
      <w:r w:rsidRPr="00D55103">
        <w:rPr>
          <w:b/>
          <w:szCs w:val="24"/>
        </w:rPr>
        <w:t>597</w:t>
      </w:r>
      <w:r w:rsidR="00191883">
        <w:rPr>
          <w:b/>
          <w:szCs w:val="24"/>
        </w:rPr>
        <w:t>, A</w:t>
      </w:r>
      <w:r w:rsidR="00452F41" w:rsidRPr="00D55103">
        <w:rPr>
          <w:b/>
          <w:szCs w:val="24"/>
        </w:rPr>
        <w:t>NDC-</w:t>
      </w:r>
      <w:r w:rsidR="005436C8" w:rsidRPr="00D55103">
        <w:rPr>
          <w:b/>
          <w:szCs w:val="24"/>
        </w:rPr>
        <w:t>2, Count</w:t>
      </w:r>
      <w:r w:rsidRPr="00D55103">
        <w:rPr>
          <w:b/>
          <w:szCs w:val="24"/>
        </w:rPr>
        <w:t>s Five</w:t>
      </w:r>
      <w:r w:rsidR="005436C8" w:rsidRPr="00D55103">
        <w:rPr>
          <w:b/>
          <w:szCs w:val="24"/>
        </w:rPr>
        <w:t>–</w:t>
      </w:r>
      <w:r w:rsidRPr="00D55103">
        <w:rPr>
          <w:b/>
          <w:szCs w:val="24"/>
        </w:rPr>
        <w:t>Seven</w:t>
      </w:r>
      <w:r w:rsidR="005436C8" w:rsidRPr="00D55103">
        <w:rPr>
          <w:b/>
          <w:szCs w:val="24"/>
        </w:rPr>
        <w:t>)</w:t>
      </w:r>
    </w:p>
    <w:p w14:paraId="5880901B" w14:textId="3EE8B2BA" w:rsidR="006F6A13" w:rsidRPr="00D55103" w:rsidRDefault="00A26C4E" w:rsidP="006F6A13">
      <w:pPr>
        <w:tabs>
          <w:tab w:val="left" w:pos="720"/>
        </w:tabs>
        <w:spacing w:line="480" w:lineRule="auto"/>
        <w:rPr>
          <w:szCs w:val="24"/>
        </w:rPr>
      </w:pPr>
      <w:r w:rsidRPr="00D55103">
        <w:rPr>
          <w:b/>
          <w:szCs w:val="24"/>
        </w:rPr>
        <w:tab/>
      </w:r>
      <w:r w:rsidR="00CF1140" w:rsidRPr="00D55103">
        <w:rPr>
          <w:szCs w:val="24"/>
        </w:rPr>
        <w:t>Tim Mazziotti and Suzann</w:t>
      </w:r>
      <w:r w:rsidR="00C32190" w:rsidRPr="00D55103">
        <w:rPr>
          <w:szCs w:val="24"/>
        </w:rPr>
        <w:t>e Wells Schurman (</w:t>
      </w:r>
      <w:r w:rsidR="00CF1140" w:rsidRPr="00D55103">
        <w:rPr>
          <w:szCs w:val="24"/>
        </w:rPr>
        <w:t xml:space="preserve">the Mazziottis) </w:t>
      </w:r>
      <w:r w:rsidRPr="00D55103">
        <w:rPr>
          <w:szCs w:val="24"/>
        </w:rPr>
        <w:t xml:space="preserve">employed </w:t>
      </w:r>
      <w:r w:rsidR="006F6A13" w:rsidRPr="00D55103">
        <w:rPr>
          <w:szCs w:val="24"/>
        </w:rPr>
        <w:t>Golden</w:t>
      </w:r>
      <w:r w:rsidR="00087CBA">
        <w:rPr>
          <w:szCs w:val="24"/>
        </w:rPr>
        <w:t xml:space="preserve"> and paid him an advance fee of $1,500</w:t>
      </w:r>
      <w:r w:rsidR="006F6A13" w:rsidRPr="00D55103">
        <w:rPr>
          <w:szCs w:val="24"/>
        </w:rPr>
        <w:t xml:space="preserve"> </w:t>
      </w:r>
      <w:r w:rsidRPr="00D55103">
        <w:rPr>
          <w:szCs w:val="24"/>
        </w:rPr>
        <w:t>on August</w:t>
      </w:r>
      <w:r w:rsidR="00C977B2">
        <w:rPr>
          <w:szCs w:val="24"/>
        </w:rPr>
        <w:t> </w:t>
      </w:r>
      <w:r w:rsidRPr="00D55103">
        <w:rPr>
          <w:szCs w:val="24"/>
        </w:rPr>
        <w:t>28,</w:t>
      </w:r>
      <w:r w:rsidR="006F6A13" w:rsidRPr="00D55103">
        <w:rPr>
          <w:szCs w:val="24"/>
        </w:rPr>
        <w:t xml:space="preserve"> </w:t>
      </w:r>
      <w:r w:rsidRPr="00D55103">
        <w:rPr>
          <w:szCs w:val="24"/>
        </w:rPr>
        <w:t xml:space="preserve">2012. </w:t>
      </w:r>
      <w:r w:rsidR="006F6A13" w:rsidRPr="00D55103">
        <w:rPr>
          <w:szCs w:val="24"/>
        </w:rPr>
        <w:t xml:space="preserve"> </w:t>
      </w:r>
      <w:r w:rsidR="003176F2">
        <w:rPr>
          <w:szCs w:val="24"/>
        </w:rPr>
        <w:t>Their</w:t>
      </w:r>
      <w:r w:rsidR="006F6A13" w:rsidRPr="00D55103">
        <w:rPr>
          <w:szCs w:val="24"/>
        </w:rPr>
        <w:t xml:space="preserve"> f</w:t>
      </w:r>
      <w:r w:rsidRPr="00D55103">
        <w:rPr>
          <w:szCs w:val="24"/>
        </w:rPr>
        <w:t>ee agreement did not</w:t>
      </w:r>
      <w:r w:rsidR="006F6A13" w:rsidRPr="00D55103">
        <w:rPr>
          <w:szCs w:val="24"/>
        </w:rPr>
        <w:t xml:space="preserve"> </w:t>
      </w:r>
      <w:r w:rsidR="003176F2">
        <w:rPr>
          <w:szCs w:val="24"/>
        </w:rPr>
        <w:t>contain</w:t>
      </w:r>
      <w:r w:rsidRPr="00D55103">
        <w:rPr>
          <w:szCs w:val="24"/>
        </w:rPr>
        <w:t xml:space="preserve"> the </w:t>
      </w:r>
      <w:r w:rsidR="00F74220" w:rsidRPr="00F74220">
        <w:rPr>
          <w:szCs w:val="24"/>
        </w:rPr>
        <w:t>§ 2944.6 disclaimer</w:t>
      </w:r>
      <w:r w:rsidR="006F6A13" w:rsidRPr="00D55103">
        <w:rPr>
          <w:szCs w:val="24"/>
        </w:rPr>
        <w:t>.</w:t>
      </w:r>
    </w:p>
    <w:p w14:paraId="57253187" w14:textId="0C506E38" w:rsidR="00DF6927" w:rsidRPr="00D55103" w:rsidRDefault="006F6A13" w:rsidP="00DF6927">
      <w:pPr>
        <w:tabs>
          <w:tab w:val="left" w:pos="720"/>
        </w:tabs>
        <w:spacing w:line="480" w:lineRule="auto"/>
        <w:rPr>
          <w:szCs w:val="24"/>
        </w:rPr>
      </w:pPr>
      <w:r w:rsidRPr="00D55103">
        <w:rPr>
          <w:szCs w:val="24"/>
        </w:rPr>
        <w:tab/>
      </w:r>
      <w:r w:rsidR="00A26C4E" w:rsidRPr="00D55103">
        <w:rPr>
          <w:szCs w:val="24"/>
        </w:rPr>
        <w:t>On February</w:t>
      </w:r>
      <w:r w:rsidR="00C977B2">
        <w:rPr>
          <w:szCs w:val="24"/>
        </w:rPr>
        <w:t> </w:t>
      </w:r>
      <w:r w:rsidR="00A26C4E" w:rsidRPr="00D55103">
        <w:rPr>
          <w:szCs w:val="24"/>
        </w:rPr>
        <w:t>2,</w:t>
      </w:r>
      <w:r w:rsidR="00DF6927" w:rsidRPr="00D55103">
        <w:rPr>
          <w:szCs w:val="24"/>
        </w:rPr>
        <w:t xml:space="preserve"> 201</w:t>
      </w:r>
      <w:r w:rsidR="00A26C4E" w:rsidRPr="00D55103">
        <w:rPr>
          <w:szCs w:val="24"/>
        </w:rPr>
        <w:t xml:space="preserve">3, </w:t>
      </w:r>
      <w:r w:rsidR="00DF6927" w:rsidRPr="00D55103">
        <w:rPr>
          <w:szCs w:val="24"/>
        </w:rPr>
        <w:t xml:space="preserve">Golden </w:t>
      </w:r>
      <w:r w:rsidR="00A26C4E" w:rsidRPr="00D55103">
        <w:rPr>
          <w:szCs w:val="24"/>
        </w:rPr>
        <w:t xml:space="preserve">submitted a loan modification </w:t>
      </w:r>
      <w:r w:rsidR="00F74220">
        <w:rPr>
          <w:szCs w:val="24"/>
        </w:rPr>
        <w:t>application</w:t>
      </w:r>
      <w:r w:rsidR="00A26C4E" w:rsidRPr="00D55103">
        <w:rPr>
          <w:szCs w:val="24"/>
        </w:rPr>
        <w:t xml:space="preserve"> </w:t>
      </w:r>
      <w:r w:rsidR="00087CBA">
        <w:rPr>
          <w:szCs w:val="24"/>
        </w:rPr>
        <w:t>for</w:t>
      </w:r>
      <w:r w:rsidR="00A26C4E" w:rsidRPr="00D55103">
        <w:rPr>
          <w:szCs w:val="24"/>
        </w:rPr>
        <w:t xml:space="preserve"> the</w:t>
      </w:r>
      <w:r w:rsidR="00DF6927" w:rsidRPr="00D55103">
        <w:rPr>
          <w:szCs w:val="24"/>
        </w:rPr>
        <w:t xml:space="preserve"> </w:t>
      </w:r>
      <w:r w:rsidR="00A26C4E" w:rsidRPr="00D55103">
        <w:rPr>
          <w:szCs w:val="24"/>
        </w:rPr>
        <w:t xml:space="preserve">Mazziottis. </w:t>
      </w:r>
      <w:r w:rsidR="00DF6927" w:rsidRPr="00D55103">
        <w:rPr>
          <w:szCs w:val="24"/>
        </w:rPr>
        <w:t xml:space="preserve"> </w:t>
      </w:r>
      <w:r w:rsidR="00A26C4E" w:rsidRPr="00D55103">
        <w:rPr>
          <w:szCs w:val="24"/>
        </w:rPr>
        <w:t>At the</w:t>
      </w:r>
      <w:r w:rsidR="00087CBA">
        <w:rPr>
          <w:szCs w:val="24"/>
        </w:rPr>
        <w:t>ir lender’s</w:t>
      </w:r>
      <w:r w:rsidR="00A26C4E" w:rsidRPr="00D55103">
        <w:rPr>
          <w:szCs w:val="24"/>
        </w:rPr>
        <w:t xml:space="preserve"> request,</w:t>
      </w:r>
      <w:r w:rsidR="00DF6927" w:rsidRPr="00D55103">
        <w:rPr>
          <w:szCs w:val="24"/>
        </w:rPr>
        <w:t xml:space="preserve"> Golden</w:t>
      </w:r>
      <w:r w:rsidR="00A26C4E" w:rsidRPr="00D55103">
        <w:rPr>
          <w:szCs w:val="24"/>
        </w:rPr>
        <w:t xml:space="preserve"> later submitted </w:t>
      </w:r>
      <w:r w:rsidR="005B7B73">
        <w:rPr>
          <w:szCs w:val="24"/>
        </w:rPr>
        <w:t>additional</w:t>
      </w:r>
      <w:r w:rsidR="008969FF">
        <w:rPr>
          <w:szCs w:val="24"/>
        </w:rPr>
        <w:t xml:space="preserve"> documents</w:t>
      </w:r>
      <w:r w:rsidR="00131818">
        <w:rPr>
          <w:szCs w:val="24"/>
        </w:rPr>
        <w:t>,</w:t>
      </w:r>
      <w:r w:rsidR="00A26C4E" w:rsidRPr="00D55103">
        <w:rPr>
          <w:szCs w:val="24"/>
        </w:rPr>
        <w:t xml:space="preserve"> </w:t>
      </w:r>
      <w:r w:rsidR="008969FF">
        <w:rPr>
          <w:szCs w:val="24"/>
        </w:rPr>
        <w:t xml:space="preserve">but </w:t>
      </w:r>
      <w:r w:rsidR="00A26C4E" w:rsidRPr="00D55103">
        <w:rPr>
          <w:szCs w:val="24"/>
        </w:rPr>
        <w:t xml:space="preserve">the </w:t>
      </w:r>
      <w:r w:rsidR="00F74220">
        <w:rPr>
          <w:szCs w:val="24"/>
        </w:rPr>
        <w:t>application</w:t>
      </w:r>
      <w:r w:rsidR="005B7B73">
        <w:rPr>
          <w:szCs w:val="24"/>
        </w:rPr>
        <w:t xml:space="preserve"> </w:t>
      </w:r>
      <w:r w:rsidR="00E41048">
        <w:rPr>
          <w:szCs w:val="24"/>
        </w:rPr>
        <w:t xml:space="preserve">was </w:t>
      </w:r>
      <w:r w:rsidR="00DF6927" w:rsidRPr="00D55103">
        <w:rPr>
          <w:szCs w:val="24"/>
        </w:rPr>
        <w:t>denied</w:t>
      </w:r>
      <w:r w:rsidR="00A26C4E" w:rsidRPr="00D55103">
        <w:rPr>
          <w:szCs w:val="24"/>
        </w:rPr>
        <w:t xml:space="preserve"> on June</w:t>
      </w:r>
      <w:r w:rsidR="00C977B2">
        <w:rPr>
          <w:szCs w:val="24"/>
        </w:rPr>
        <w:t> </w:t>
      </w:r>
      <w:r w:rsidR="00A26C4E" w:rsidRPr="00D55103">
        <w:rPr>
          <w:szCs w:val="24"/>
        </w:rPr>
        <w:t>10</w:t>
      </w:r>
      <w:r w:rsidR="0011002A">
        <w:rPr>
          <w:szCs w:val="24"/>
        </w:rPr>
        <w:t>, 2013</w:t>
      </w:r>
      <w:r w:rsidR="00DF6927" w:rsidRPr="00D55103">
        <w:rPr>
          <w:szCs w:val="24"/>
        </w:rPr>
        <w:t>.</w:t>
      </w:r>
    </w:p>
    <w:p w14:paraId="48E9DA17" w14:textId="61F5013B" w:rsidR="00397CE1" w:rsidRPr="00D55103" w:rsidRDefault="00DF6927" w:rsidP="00DF6927">
      <w:pPr>
        <w:tabs>
          <w:tab w:val="left" w:pos="720"/>
        </w:tabs>
        <w:spacing w:line="480" w:lineRule="auto"/>
        <w:rPr>
          <w:szCs w:val="24"/>
        </w:rPr>
      </w:pPr>
      <w:r w:rsidRPr="00D55103">
        <w:rPr>
          <w:szCs w:val="24"/>
        </w:rPr>
        <w:tab/>
      </w:r>
      <w:r w:rsidR="00A26C4E" w:rsidRPr="00D55103">
        <w:rPr>
          <w:szCs w:val="24"/>
        </w:rPr>
        <w:t>On August</w:t>
      </w:r>
      <w:r w:rsidR="00C977B2">
        <w:rPr>
          <w:szCs w:val="24"/>
        </w:rPr>
        <w:t> </w:t>
      </w:r>
      <w:r w:rsidR="00A26C4E" w:rsidRPr="00D55103">
        <w:rPr>
          <w:szCs w:val="24"/>
        </w:rPr>
        <w:t>29,</w:t>
      </w:r>
      <w:r w:rsidRPr="00D55103">
        <w:rPr>
          <w:szCs w:val="24"/>
        </w:rPr>
        <w:t xml:space="preserve"> </w:t>
      </w:r>
      <w:r w:rsidR="0011002A">
        <w:rPr>
          <w:szCs w:val="24"/>
        </w:rPr>
        <w:t xml:space="preserve">2013, </w:t>
      </w:r>
      <w:r w:rsidRPr="00D55103">
        <w:rPr>
          <w:szCs w:val="24"/>
        </w:rPr>
        <w:t xml:space="preserve">Golden </w:t>
      </w:r>
      <w:r w:rsidR="00A26C4E" w:rsidRPr="00D55103">
        <w:rPr>
          <w:szCs w:val="24"/>
        </w:rPr>
        <w:t xml:space="preserve">filed a lawsuit and </w:t>
      </w:r>
      <w:r w:rsidR="00187011" w:rsidRPr="00D55103">
        <w:rPr>
          <w:szCs w:val="24"/>
        </w:rPr>
        <w:t xml:space="preserve">recorded </w:t>
      </w:r>
      <w:r w:rsidR="00A26C4E" w:rsidRPr="00D55103">
        <w:rPr>
          <w:szCs w:val="24"/>
        </w:rPr>
        <w:t>a lis pendens on behalf of the</w:t>
      </w:r>
      <w:r w:rsidRPr="00D55103">
        <w:rPr>
          <w:szCs w:val="24"/>
        </w:rPr>
        <w:t xml:space="preserve"> </w:t>
      </w:r>
      <w:r w:rsidR="00A26C4E" w:rsidRPr="00D55103">
        <w:rPr>
          <w:szCs w:val="24"/>
        </w:rPr>
        <w:t>Mazziottis.</w:t>
      </w:r>
      <w:r w:rsidRPr="00D55103">
        <w:rPr>
          <w:szCs w:val="24"/>
        </w:rPr>
        <w:t xml:space="preserve"> </w:t>
      </w:r>
      <w:r w:rsidR="00A26C4E" w:rsidRPr="00D55103">
        <w:rPr>
          <w:szCs w:val="24"/>
        </w:rPr>
        <w:t xml:space="preserve"> On March</w:t>
      </w:r>
      <w:r w:rsidR="00C977B2">
        <w:rPr>
          <w:szCs w:val="24"/>
        </w:rPr>
        <w:t> </w:t>
      </w:r>
      <w:r w:rsidR="00A26C4E" w:rsidRPr="00D55103">
        <w:rPr>
          <w:szCs w:val="24"/>
        </w:rPr>
        <w:t>14,</w:t>
      </w:r>
      <w:r w:rsidRPr="00D55103">
        <w:rPr>
          <w:szCs w:val="24"/>
        </w:rPr>
        <w:t xml:space="preserve"> 201</w:t>
      </w:r>
      <w:r w:rsidR="00A26C4E" w:rsidRPr="00D55103">
        <w:rPr>
          <w:szCs w:val="24"/>
        </w:rPr>
        <w:t xml:space="preserve">4, </w:t>
      </w:r>
      <w:r w:rsidR="005B7B73">
        <w:rPr>
          <w:szCs w:val="24"/>
        </w:rPr>
        <w:t>he</w:t>
      </w:r>
      <w:r w:rsidRPr="00D55103">
        <w:rPr>
          <w:szCs w:val="24"/>
        </w:rPr>
        <w:t xml:space="preserve"> </w:t>
      </w:r>
      <w:r w:rsidR="00A26C4E" w:rsidRPr="00D55103">
        <w:rPr>
          <w:szCs w:val="24"/>
        </w:rPr>
        <w:t>filed a First Amended Complaint</w:t>
      </w:r>
      <w:r w:rsidR="005B7B73">
        <w:rPr>
          <w:szCs w:val="24"/>
        </w:rPr>
        <w:t>, and o</w:t>
      </w:r>
      <w:r w:rsidR="00A26C4E" w:rsidRPr="00D55103">
        <w:rPr>
          <w:szCs w:val="24"/>
        </w:rPr>
        <w:t>n October</w:t>
      </w:r>
      <w:r w:rsidR="00C977B2">
        <w:rPr>
          <w:szCs w:val="24"/>
        </w:rPr>
        <w:t> </w:t>
      </w:r>
      <w:r w:rsidR="00A26C4E" w:rsidRPr="00D55103">
        <w:rPr>
          <w:szCs w:val="24"/>
        </w:rPr>
        <w:t>22,</w:t>
      </w:r>
      <w:r w:rsidR="00131818">
        <w:rPr>
          <w:szCs w:val="24"/>
        </w:rPr>
        <w:t xml:space="preserve"> </w:t>
      </w:r>
      <w:r w:rsidRPr="00D55103">
        <w:rPr>
          <w:szCs w:val="24"/>
        </w:rPr>
        <w:t>a Second Amended Complaint.</w:t>
      </w:r>
      <w:r w:rsidR="00397CE1" w:rsidRPr="00D55103">
        <w:rPr>
          <w:szCs w:val="24"/>
        </w:rPr>
        <w:t xml:space="preserve">  </w:t>
      </w:r>
      <w:r w:rsidR="005B7B73">
        <w:rPr>
          <w:szCs w:val="24"/>
        </w:rPr>
        <w:t>T</w:t>
      </w:r>
      <w:r w:rsidR="00960638" w:rsidRPr="00D55103">
        <w:rPr>
          <w:szCs w:val="24"/>
        </w:rPr>
        <w:t>he Mazziottis made monthly payments from August 2012 to June 2015</w:t>
      </w:r>
      <w:r w:rsidR="00732E6C">
        <w:rPr>
          <w:szCs w:val="24"/>
        </w:rPr>
        <w:t>,</w:t>
      </w:r>
      <w:r w:rsidR="00DC68B4" w:rsidRPr="00D55103">
        <w:rPr>
          <w:szCs w:val="24"/>
        </w:rPr>
        <w:t xml:space="preserve"> and </w:t>
      </w:r>
      <w:r w:rsidR="008969FF">
        <w:rPr>
          <w:szCs w:val="24"/>
        </w:rPr>
        <w:t xml:space="preserve">ultimately </w:t>
      </w:r>
      <w:r w:rsidR="00960638" w:rsidRPr="00D55103">
        <w:rPr>
          <w:szCs w:val="24"/>
        </w:rPr>
        <w:t>paid Golden a total of $51,000.</w:t>
      </w:r>
    </w:p>
    <w:p w14:paraId="4E607A39" w14:textId="46C8019E" w:rsidR="00397CE1" w:rsidRDefault="00397CE1" w:rsidP="00191883">
      <w:pPr>
        <w:tabs>
          <w:tab w:val="left" w:pos="720"/>
        </w:tabs>
        <w:spacing w:line="480" w:lineRule="auto"/>
        <w:rPr>
          <w:szCs w:val="24"/>
        </w:rPr>
      </w:pPr>
      <w:r w:rsidRPr="00D55103">
        <w:rPr>
          <w:szCs w:val="24"/>
        </w:rPr>
        <w:tab/>
      </w:r>
      <w:r w:rsidR="00A26C4E" w:rsidRPr="00D55103">
        <w:rPr>
          <w:szCs w:val="24"/>
        </w:rPr>
        <w:t>On June</w:t>
      </w:r>
      <w:r w:rsidR="00C977B2">
        <w:rPr>
          <w:szCs w:val="24"/>
        </w:rPr>
        <w:t> </w:t>
      </w:r>
      <w:r w:rsidR="00A26C4E" w:rsidRPr="00D55103">
        <w:rPr>
          <w:szCs w:val="24"/>
        </w:rPr>
        <w:t>3,</w:t>
      </w:r>
      <w:r w:rsidR="00DF6927" w:rsidRPr="00D55103">
        <w:rPr>
          <w:szCs w:val="24"/>
        </w:rPr>
        <w:t xml:space="preserve"> </w:t>
      </w:r>
      <w:r w:rsidR="00A26C4E" w:rsidRPr="00D55103">
        <w:rPr>
          <w:szCs w:val="24"/>
        </w:rPr>
        <w:t>2015, the</w:t>
      </w:r>
      <w:r w:rsidR="00DF6927" w:rsidRPr="00D55103">
        <w:rPr>
          <w:szCs w:val="24"/>
        </w:rPr>
        <w:t xml:space="preserve"> </w:t>
      </w:r>
      <w:r w:rsidR="00A26C4E" w:rsidRPr="00D55103">
        <w:rPr>
          <w:szCs w:val="24"/>
        </w:rPr>
        <w:t>Mazziottis decided to sell their ho</w:t>
      </w:r>
      <w:r w:rsidR="00DF6927" w:rsidRPr="00D55103">
        <w:rPr>
          <w:szCs w:val="24"/>
        </w:rPr>
        <w:t>me</w:t>
      </w:r>
      <w:r w:rsidR="005B7B73">
        <w:rPr>
          <w:szCs w:val="24"/>
        </w:rPr>
        <w:t xml:space="preserve"> and</w:t>
      </w:r>
      <w:r w:rsidR="00DF6927" w:rsidRPr="00D55103">
        <w:rPr>
          <w:szCs w:val="24"/>
        </w:rPr>
        <w:t xml:space="preserve"> </w:t>
      </w:r>
      <w:r w:rsidR="005B7B73">
        <w:rPr>
          <w:szCs w:val="24"/>
        </w:rPr>
        <w:t>asked</w:t>
      </w:r>
      <w:r w:rsidR="00DF6927" w:rsidRPr="00D55103">
        <w:rPr>
          <w:szCs w:val="24"/>
        </w:rPr>
        <w:t xml:space="preserve"> Golden </w:t>
      </w:r>
      <w:r w:rsidR="005B7B73">
        <w:rPr>
          <w:szCs w:val="24"/>
        </w:rPr>
        <w:t xml:space="preserve">to </w:t>
      </w:r>
      <w:r w:rsidR="00A26C4E" w:rsidRPr="00D55103">
        <w:rPr>
          <w:szCs w:val="24"/>
        </w:rPr>
        <w:t>represent them in</w:t>
      </w:r>
      <w:r w:rsidR="00DB3D66" w:rsidRPr="00D55103">
        <w:rPr>
          <w:szCs w:val="24"/>
        </w:rPr>
        <w:t xml:space="preserve"> the escrow</w:t>
      </w:r>
      <w:r w:rsidR="005B7B73">
        <w:rPr>
          <w:szCs w:val="24"/>
        </w:rPr>
        <w:t>, which</w:t>
      </w:r>
      <w:r w:rsidR="00187011" w:rsidRPr="00D55103">
        <w:rPr>
          <w:szCs w:val="24"/>
        </w:rPr>
        <w:t xml:space="preserve"> he did.</w:t>
      </w:r>
      <w:r w:rsidR="00A26C4E" w:rsidRPr="00D55103">
        <w:rPr>
          <w:szCs w:val="24"/>
        </w:rPr>
        <w:t xml:space="preserve"> </w:t>
      </w:r>
      <w:r w:rsidR="00DF6927" w:rsidRPr="00D55103">
        <w:rPr>
          <w:szCs w:val="24"/>
        </w:rPr>
        <w:t xml:space="preserve"> </w:t>
      </w:r>
      <w:r w:rsidR="008969FF">
        <w:rPr>
          <w:szCs w:val="24"/>
        </w:rPr>
        <w:t>They</w:t>
      </w:r>
      <w:r w:rsidR="00A26C4E" w:rsidRPr="00D55103">
        <w:rPr>
          <w:szCs w:val="24"/>
        </w:rPr>
        <w:t xml:space="preserve"> discussed</w:t>
      </w:r>
      <w:r w:rsidR="00DF6927" w:rsidRPr="00D55103">
        <w:rPr>
          <w:szCs w:val="24"/>
        </w:rPr>
        <w:t xml:space="preserve"> </w:t>
      </w:r>
      <w:r w:rsidR="00DB3D66" w:rsidRPr="00D55103">
        <w:rPr>
          <w:szCs w:val="24"/>
        </w:rPr>
        <w:t xml:space="preserve">settling </w:t>
      </w:r>
      <w:r w:rsidR="00A26C4E" w:rsidRPr="00D55103">
        <w:rPr>
          <w:szCs w:val="24"/>
        </w:rPr>
        <w:t>an outstanding cause of act</w:t>
      </w:r>
      <w:r w:rsidR="00DF6927" w:rsidRPr="00D55103">
        <w:rPr>
          <w:szCs w:val="24"/>
        </w:rPr>
        <w:t>ion with the lender for $2,500.</w:t>
      </w:r>
      <w:r w:rsidR="0075437C" w:rsidRPr="00D55103">
        <w:rPr>
          <w:szCs w:val="24"/>
        </w:rPr>
        <w:t xml:space="preserve">  </w:t>
      </w:r>
      <w:r w:rsidR="00F32F39">
        <w:rPr>
          <w:szCs w:val="24"/>
        </w:rPr>
        <w:t>O</w:t>
      </w:r>
      <w:r w:rsidR="00DF6927" w:rsidRPr="00D55103">
        <w:rPr>
          <w:szCs w:val="24"/>
        </w:rPr>
        <w:t>n February</w:t>
      </w:r>
      <w:r w:rsidR="00F32F39">
        <w:rPr>
          <w:szCs w:val="24"/>
        </w:rPr>
        <w:t> 8,</w:t>
      </w:r>
      <w:r w:rsidR="00DF6927" w:rsidRPr="00D55103">
        <w:rPr>
          <w:szCs w:val="24"/>
        </w:rPr>
        <w:t xml:space="preserve"> 2016, </w:t>
      </w:r>
      <w:r w:rsidR="00A26C4E" w:rsidRPr="00D55103">
        <w:rPr>
          <w:szCs w:val="24"/>
        </w:rPr>
        <w:t>the</w:t>
      </w:r>
      <w:r w:rsidR="00DF6927" w:rsidRPr="00D55103">
        <w:rPr>
          <w:szCs w:val="24"/>
        </w:rPr>
        <w:t xml:space="preserve"> </w:t>
      </w:r>
      <w:r w:rsidR="00A26C4E" w:rsidRPr="00D55103">
        <w:rPr>
          <w:szCs w:val="24"/>
        </w:rPr>
        <w:t xml:space="preserve">Mazziottis called </w:t>
      </w:r>
      <w:r w:rsidR="001D6BE3" w:rsidRPr="00D55103">
        <w:rPr>
          <w:szCs w:val="24"/>
        </w:rPr>
        <w:t>a</w:t>
      </w:r>
      <w:r w:rsidR="00A26C4E" w:rsidRPr="00D55103">
        <w:rPr>
          <w:szCs w:val="24"/>
        </w:rPr>
        <w:t>bout th</w:t>
      </w:r>
      <w:r w:rsidR="008969FF">
        <w:rPr>
          <w:szCs w:val="24"/>
        </w:rPr>
        <w:t>at</w:t>
      </w:r>
      <w:r w:rsidR="00DF6927" w:rsidRPr="00D55103">
        <w:rPr>
          <w:szCs w:val="24"/>
        </w:rPr>
        <w:t xml:space="preserve"> </w:t>
      </w:r>
      <w:r w:rsidR="00A26C4E" w:rsidRPr="00D55103">
        <w:rPr>
          <w:szCs w:val="24"/>
        </w:rPr>
        <w:t>settlement.</w:t>
      </w:r>
      <w:r w:rsidR="00DF6927" w:rsidRPr="00D55103">
        <w:rPr>
          <w:szCs w:val="24"/>
        </w:rPr>
        <w:t xml:space="preserve"> </w:t>
      </w:r>
      <w:r w:rsidR="00A26C4E" w:rsidRPr="00D55103">
        <w:rPr>
          <w:szCs w:val="24"/>
        </w:rPr>
        <w:t xml:space="preserve"> </w:t>
      </w:r>
      <w:r w:rsidR="00DF6927" w:rsidRPr="00D55103">
        <w:rPr>
          <w:szCs w:val="24"/>
        </w:rPr>
        <w:t xml:space="preserve">Golden’s </w:t>
      </w:r>
      <w:r w:rsidR="00A26C4E" w:rsidRPr="00D55103">
        <w:rPr>
          <w:szCs w:val="24"/>
        </w:rPr>
        <w:t>off</w:t>
      </w:r>
      <w:r w:rsidR="00D07F70" w:rsidRPr="00D55103">
        <w:rPr>
          <w:szCs w:val="24"/>
        </w:rPr>
        <w:t xml:space="preserve">ice accountant </w:t>
      </w:r>
      <w:r w:rsidR="008969FF">
        <w:rPr>
          <w:szCs w:val="24"/>
        </w:rPr>
        <w:t>responded</w:t>
      </w:r>
      <w:r w:rsidR="00F3011A">
        <w:rPr>
          <w:szCs w:val="24"/>
        </w:rPr>
        <w:t xml:space="preserve"> by email</w:t>
      </w:r>
      <w:r w:rsidRPr="00D55103">
        <w:rPr>
          <w:szCs w:val="24"/>
        </w:rPr>
        <w:t xml:space="preserve">, </w:t>
      </w:r>
      <w:r w:rsidR="00210BC2" w:rsidRPr="00D55103">
        <w:rPr>
          <w:szCs w:val="24"/>
        </w:rPr>
        <w:t>“</w:t>
      </w:r>
      <w:r w:rsidR="00A26C4E" w:rsidRPr="00D55103">
        <w:rPr>
          <w:szCs w:val="24"/>
        </w:rPr>
        <w:t>You had a</w:t>
      </w:r>
      <w:r w:rsidR="00210BC2" w:rsidRPr="00D55103">
        <w:rPr>
          <w:szCs w:val="24"/>
        </w:rPr>
        <w:t xml:space="preserve"> </w:t>
      </w:r>
      <w:r w:rsidR="00A26C4E" w:rsidRPr="00D55103">
        <w:rPr>
          <w:szCs w:val="24"/>
        </w:rPr>
        <w:t xml:space="preserve">balance due of $5,487.93 at the time that we received the settlement check. </w:t>
      </w:r>
      <w:r w:rsidR="00210BC2" w:rsidRPr="00D55103">
        <w:rPr>
          <w:szCs w:val="24"/>
        </w:rPr>
        <w:t xml:space="preserve"> </w:t>
      </w:r>
      <w:r w:rsidR="00A26C4E" w:rsidRPr="00D55103">
        <w:rPr>
          <w:szCs w:val="24"/>
        </w:rPr>
        <w:t>We applied the</w:t>
      </w:r>
      <w:r w:rsidR="00210BC2" w:rsidRPr="00D55103">
        <w:rPr>
          <w:szCs w:val="24"/>
        </w:rPr>
        <w:t xml:space="preserve"> </w:t>
      </w:r>
      <w:r w:rsidR="00A26C4E" w:rsidRPr="00D55103">
        <w:rPr>
          <w:szCs w:val="24"/>
        </w:rPr>
        <w:t xml:space="preserve">$2,500 </w:t>
      </w:r>
      <w:r w:rsidR="00A26C4E" w:rsidRPr="006656B1">
        <w:rPr>
          <w:szCs w:val="24"/>
        </w:rPr>
        <w:t>balance</w:t>
      </w:r>
      <w:r w:rsidR="00A26C4E" w:rsidRPr="00D55103">
        <w:rPr>
          <w:szCs w:val="24"/>
        </w:rPr>
        <w:t xml:space="preserve"> and you still have a balance remaining for $2,987.93. </w:t>
      </w:r>
      <w:r w:rsidR="00210BC2" w:rsidRPr="00D55103">
        <w:rPr>
          <w:szCs w:val="24"/>
        </w:rPr>
        <w:t xml:space="preserve"> </w:t>
      </w:r>
      <w:r w:rsidR="00A26C4E" w:rsidRPr="00D55103">
        <w:rPr>
          <w:szCs w:val="24"/>
        </w:rPr>
        <w:t>We are actually owed</w:t>
      </w:r>
      <w:r w:rsidR="00210BC2" w:rsidRPr="00D55103">
        <w:rPr>
          <w:szCs w:val="24"/>
        </w:rPr>
        <w:t xml:space="preserve"> </w:t>
      </w:r>
      <w:r w:rsidR="00A26C4E" w:rsidRPr="00D55103">
        <w:rPr>
          <w:szCs w:val="24"/>
        </w:rPr>
        <w:t>money from you which is why we</w:t>
      </w:r>
      <w:r w:rsidR="00210BC2" w:rsidRPr="00D55103">
        <w:rPr>
          <w:szCs w:val="24"/>
        </w:rPr>
        <w:t xml:space="preserve"> did </w:t>
      </w:r>
      <w:r w:rsidR="00210BC2" w:rsidRPr="00D55103">
        <w:rPr>
          <w:szCs w:val="24"/>
        </w:rPr>
        <w:lastRenderedPageBreak/>
        <w:t xml:space="preserve">not send any funds to you.”  </w:t>
      </w:r>
      <w:r w:rsidR="00131818">
        <w:rPr>
          <w:szCs w:val="24"/>
        </w:rPr>
        <w:t>After</w:t>
      </w:r>
      <w:r w:rsidR="00A26C4E" w:rsidRPr="00D55103">
        <w:rPr>
          <w:szCs w:val="24"/>
        </w:rPr>
        <w:t xml:space="preserve"> </w:t>
      </w:r>
      <w:r w:rsidR="00F3011A">
        <w:rPr>
          <w:szCs w:val="24"/>
        </w:rPr>
        <w:t>his</w:t>
      </w:r>
      <w:r w:rsidR="0075437C" w:rsidRPr="00D55103">
        <w:rPr>
          <w:szCs w:val="24"/>
        </w:rPr>
        <w:t xml:space="preserve"> </w:t>
      </w:r>
      <w:r w:rsidR="00A26C4E" w:rsidRPr="00D55103">
        <w:rPr>
          <w:szCs w:val="24"/>
        </w:rPr>
        <w:t xml:space="preserve">termination, </w:t>
      </w:r>
      <w:r w:rsidR="00210BC2" w:rsidRPr="00D55103">
        <w:rPr>
          <w:szCs w:val="24"/>
        </w:rPr>
        <w:t xml:space="preserve">Golden </w:t>
      </w:r>
      <w:r w:rsidR="00A26C4E" w:rsidRPr="00D55103">
        <w:rPr>
          <w:szCs w:val="24"/>
        </w:rPr>
        <w:t>failed to render an appropriate</w:t>
      </w:r>
      <w:r w:rsidR="00210BC2" w:rsidRPr="00D55103">
        <w:rPr>
          <w:szCs w:val="24"/>
        </w:rPr>
        <w:t xml:space="preserve"> </w:t>
      </w:r>
      <w:r w:rsidR="00A26C4E" w:rsidRPr="00D55103">
        <w:rPr>
          <w:szCs w:val="24"/>
        </w:rPr>
        <w:t>accounting to the Mazziottis</w:t>
      </w:r>
      <w:r w:rsidR="00A20C49" w:rsidRPr="00A20C49">
        <w:rPr>
          <w:szCs w:val="24"/>
        </w:rPr>
        <w:t xml:space="preserve"> </w:t>
      </w:r>
      <w:r w:rsidR="0023661D" w:rsidRPr="00922844">
        <w:rPr>
          <w:szCs w:val="24"/>
        </w:rPr>
        <w:t>and failed to refund any advance fees received</w:t>
      </w:r>
      <w:r w:rsidR="0023661D">
        <w:rPr>
          <w:szCs w:val="24"/>
        </w:rPr>
        <w:t xml:space="preserve"> from them</w:t>
      </w:r>
      <w:r w:rsidR="00A26C4E" w:rsidRPr="00D55103">
        <w:rPr>
          <w:szCs w:val="24"/>
        </w:rPr>
        <w:t>.</w:t>
      </w:r>
    </w:p>
    <w:p w14:paraId="663DBCB0" w14:textId="2734C9CE" w:rsidR="00293A00" w:rsidRPr="00D55103" w:rsidRDefault="00293A00" w:rsidP="00191883">
      <w:pPr>
        <w:tabs>
          <w:tab w:val="left" w:pos="720"/>
        </w:tabs>
        <w:spacing w:line="480" w:lineRule="auto"/>
        <w:ind w:left="720" w:hanging="720"/>
        <w:rPr>
          <w:b/>
          <w:szCs w:val="24"/>
        </w:rPr>
      </w:pPr>
      <w:r w:rsidRPr="00D55103">
        <w:rPr>
          <w:b/>
          <w:szCs w:val="24"/>
        </w:rPr>
        <w:t>C.</w:t>
      </w:r>
      <w:r w:rsidRPr="00D55103">
        <w:rPr>
          <w:b/>
          <w:szCs w:val="24"/>
        </w:rPr>
        <w:tab/>
        <w:t>Johnson</w:t>
      </w:r>
      <w:r w:rsidR="00E3052B" w:rsidRPr="00D55103">
        <w:rPr>
          <w:b/>
          <w:szCs w:val="24"/>
        </w:rPr>
        <w:t xml:space="preserve"> </w:t>
      </w:r>
      <w:r w:rsidRPr="00D55103">
        <w:rPr>
          <w:b/>
          <w:szCs w:val="24"/>
        </w:rPr>
        <w:t>Bennett Matter (Ca</w:t>
      </w:r>
      <w:r w:rsidR="00355FFC" w:rsidRPr="00D55103">
        <w:rPr>
          <w:b/>
          <w:szCs w:val="24"/>
        </w:rPr>
        <w:t xml:space="preserve">se No. 16-O-10896, </w:t>
      </w:r>
      <w:r w:rsidR="000628FB">
        <w:rPr>
          <w:b/>
          <w:szCs w:val="24"/>
        </w:rPr>
        <w:t>A</w:t>
      </w:r>
      <w:r w:rsidR="00355FFC" w:rsidRPr="00D55103">
        <w:rPr>
          <w:b/>
          <w:szCs w:val="24"/>
        </w:rPr>
        <w:t>NDC-</w:t>
      </w:r>
      <w:r w:rsidRPr="00D55103">
        <w:rPr>
          <w:b/>
          <w:szCs w:val="24"/>
        </w:rPr>
        <w:t>2</w:t>
      </w:r>
      <w:r w:rsidR="00D07F70" w:rsidRPr="00D55103">
        <w:rPr>
          <w:b/>
          <w:szCs w:val="24"/>
        </w:rPr>
        <w:t xml:space="preserve">, </w:t>
      </w:r>
      <w:r w:rsidRPr="00D55103">
        <w:rPr>
          <w:b/>
          <w:szCs w:val="24"/>
        </w:rPr>
        <w:t>Count</w:t>
      </w:r>
      <w:r w:rsidR="00D07F70" w:rsidRPr="00D55103">
        <w:rPr>
          <w:b/>
          <w:szCs w:val="24"/>
        </w:rPr>
        <w:t>s</w:t>
      </w:r>
      <w:r w:rsidR="000628FB">
        <w:rPr>
          <w:b/>
          <w:szCs w:val="24"/>
        </w:rPr>
        <w:t xml:space="preserve"> </w:t>
      </w:r>
      <w:r w:rsidRPr="00D55103">
        <w:rPr>
          <w:b/>
          <w:szCs w:val="24"/>
        </w:rPr>
        <w:t>Eight and Nine)</w:t>
      </w:r>
    </w:p>
    <w:p w14:paraId="6D1027D4" w14:textId="189C3ABB" w:rsidR="00010AE8" w:rsidRPr="00D55103" w:rsidRDefault="00010AE8" w:rsidP="00191883">
      <w:pPr>
        <w:tabs>
          <w:tab w:val="left" w:pos="720"/>
        </w:tabs>
        <w:spacing w:line="480" w:lineRule="auto"/>
        <w:rPr>
          <w:szCs w:val="24"/>
        </w:rPr>
      </w:pPr>
      <w:r w:rsidRPr="00D55103">
        <w:rPr>
          <w:szCs w:val="24"/>
        </w:rPr>
        <w:tab/>
      </w:r>
      <w:r w:rsidR="00CF1140" w:rsidRPr="00D55103">
        <w:rPr>
          <w:szCs w:val="24"/>
        </w:rPr>
        <w:t>Doris Johnson</w:t>
      </w:r>
      <w:r w:rsidR="00E3052B" w:rsidRPr="00D55103">
        <w:rPr>
          <w:szCs w:val="24"/>
        </w:rPr>
        <w:t xml:space="preserve"> </w:t>
      </w:r>
      <w:r w:rsidR="00CF1140" w:rsidRPr="00D55103">
        <w:rPr>
          <w:szCs w:val="24"/>
        </w:rPr>
        <w:t xml:space="preserve">Bennett </w:t>
      </w:r>
      <w:r w:rsidR="00D07F70" w:rsidRPr="00D55103">
        <w:rPr>
          <w:szCs w:val="24"/>
        </w:rPr>
        <w:t xml:space="preserve">employed </w:t>
      </w:r>
      <w:r w:rsidRPr="00D55103">
        <w:rPr>
          <w:szCs w:val="24"/>
        </w:rPr>
        <w:t xml:space="preserve">Golden </w:t>
      </w:r>
      <w:r w:rsidR="00FD7FDA">
        <w:rPr>
          <w:szCs w:val="24"/>
        </w:rPr>
        <w:t xml:space="preserve">and paid him </w:t>
      </w:r>
      <w:r w:rsidR="00F3011A">
        <w:rPr>
          <w:szCs w:val="24"/>
        </w:rPr>
        <w:t xml:space="preserve">an </w:t>
      </w:r>
      <w:r w:rsidR="00FD7FDA">
        <w:rPr>
          <w:szCs w:val="24"/>
        </w:rPr>
        <w:t>advance fee of $1,650</w:t>
      </w:r>
      <w:r w:rsidR="00F3011A">
        <w:rPr>
          <w:szCs w:val="24"/>
        </w:rPr>
        <w:t xml:space="preserve"> </w:t>
      </w:r>
      <w:r w:rsidRPr="00D55103">
        <w:rPr>
          <w:szCs w:val="24"/>
        </w:rPr>
        <w:t>on Decemb</w:t>
      </w:r>
      <w:r w:rsidR="00D07F70" w:rsidRPr="00D55103">
        <w:rPr>
          <w:szCs w:val="24"/>
        </w:rPr>
        <w:t>er</w:t>
      </w:r>
      <w:r w:rsidR="00C977B2">
        <w:rPr>
          <w:szCs w:val="24"/>
        </w:rPr>
        <w:t> </w:t>
      </w:r>
      <w:r w:rsidR="00D07F70" w:rsidRPr="00D55103">
        <w:rPr>
          <w:szCs w:val="24"/>
        </w:rPr>
        <w:t>4,</w:t>
      </w:r>
      <w:r w:rsidRPr="00D55103">
        <w:rPr>
          <w:szCs w:val="24"/>
        </w:rPr>
        <w:t xml:space="preserve"> </w:t>
      </w:r>
      <w:r w:rsidR="00D07F70" w:rsidRPr="00D55103">
        <w:rPr>
          <w:szCs w:val="24"/>
        </w:rPr>
        <w:t xml:space="preserve">2014. </w:t>
      </w:r>
      <w:r w:rsidRPr="00D55103">
        <w:rPr>
          <w:szCs w:val="24"/>
        </w:rPr>
        <w:t xml:space="preserve"> </w:t>
      </w:r>
      <w:r w:rsidR="00D07F70" w:rsidRPr="00D55103">
        <w:rPr>
          <w:szCs w:val="24"/>
        </w:rPr>
        <w:t xml:space="preserve">From </w:t>
      </w:r>
      <w:r w:rsidR="00D706FE">
        <w:rPr>
          <w:szCs w:val="24"/>
        </w:rPr>
        <w:t>February 2</w:t>
      </w:r>
      <w:r w:rsidR="00D07F70" w:rsidRPr="00D55103">
        <w:rPr>
          <w:szCs w:val="24"/>
        </w:rPr>
        <w:t xml:space="preserve"> to November 2015,</w:t>
      </w:r>
      <w:r w:rsidRPr="00D55103">
        <w:rPr>
          <w:szCs w:val="24"/>
        </w:rPr>
        <w:t xml:space="preserve"> </w:t>
      </w:r>
      <w:r w:rsidR="00D07F70" w:rsidRPr="00D55103">
        <w:rPr>
          <w:szCs w:val="24"/>
        </w:rPr>
        <w:t>Johnson</w:t>
      </w:r>
      <w:r w:rsidR="00E3052B" w:rsidRPr="00D55103">
        <w:rPr>
          <w:szCs w:val="24"/>
        </w:rPr>
        <w:t xml:space="preserve"> </w:t>
      </w:r>
      <w:r w:rsidR="00D07F70" w:rsidRPr="00D55103">
        <w:rPr>
          <w:szCs w:val="24"/>
        </w:rPr>
        <w:t xml:space="preserve">Bennett made monthly payments to </w:t>
      </w:r>
      <w:r w:rsidRPr="00D55103">
        <w:rPr>
          <w:szCs w:val="24"/>
        </w:rPr>
        <w:t>Golden</w:t>
      </w:r>
      <w:r w:rsidR="00AD38E1">
        <w:rPr>
          <w:szCs w:val="24"/>
        </w:rPr>
        <w:t xml:space="preserve"> and ultimately </w:t>
      </w:r>
      <w:r w:rsidR="00D07F70" w:rsidRPr="00D55103">
        <w:rPr>
          <w:szCs w:val="24"/>
        </w:rPr>
        <w:t>paid</w:t>
      </w:r>
      <w:r w:rsidRPr="00D55103">
        <w:rPr>
          <w:szCs w:val="24"/>
        </w:rPr>
        <w:t xml:space="preserve"> </w:t>
      </w:r>
      <w:r w:rsidR="00AD38E1">
        <w:rPr>
          <w:szCs w:val="24"/>
        </w:rPr>
        <w:t>a total of</w:t>
      </w:r>
      <w:r w:rsidRPr="00D55103">
        <w:rPr>
          <w:szCs w:val="24"/>
        </w:rPr>
        <w:t xml:space="preserve"> $18,150.</w:t>
      </w:r>
    </w:p>
    <w:p w14:paraId="1FD4DCF7" w14:textId="198AD778" w:rsidR="00210BC2" w:rsidRPr="00D55103" w:rsidRDefault="00010AE8" w:rsidP="00191883">
      <w:pPr>
        <w:tabs>
          <w:tab w:val="left" w:pos="720"/>
        </w:tabs>
        <w:spacing w:line="480" w:lineRule="auto"/>
        <w:rPr>
          <w:szCs w:val="24"/>
        </w:rPr>
      </w:pPr>
      <w:r w:rsidRPr="00D55103">
        <w:rPr>
          <w:szCs w:val="24"/>
        </w:rPr>
        <w:tab/>
      </w:r>
      <w:r w:rsidR="00D07F70" w:rsidRPr="00D55103">
        <w:rPr>
          <w:szCs w:val="24"/>
        </w:rPr>
        <w:t>On April</w:t>
      </w:r>
      <w:r w:rsidR="00C977B2">
        <w:rPr>
          <w:szCs w:val="24"/>
        </w:rPr>
        <w:t> </w:t>
      </w:r>
      <w:r w:rsidR="00D07F70" w:rsidRPr="00D55103">
        <w:rPr>
          <w:szCs w:val="24"/>
        </w:rPr>
        <w:t>17,</w:t>
      </w:r>
      <w:r w:rsidRPr="00D55103">
        <w:rPr>
          <w:szCs w:val="24"/>
        </w:rPr>
        <w:t xml:space="preserve"> </w:t>
      </w:r>
      <w:r w:rsidR="00D07F70" w:rsidRPr="00D55103">
        <w:rPr>
          <w:szCs w:val="24"/>
        </w:rPr>
        <w:t xml:space="preserve">2015, </w:t>
      </w:r>
      <w:r w:rsidRPr="00D55103">
        <w:rPr>
          <w:szCs w:val="24"/>
        </w:rPr>
        <w:t xml:space="preserve">Golden </w:t>
      </w:r>
      <w:r w:rsidR="00D07F70" w:rsidRPr="00D55103">
        <w:rPr>
          <w:szCs w:val="24"/>
        </w:rPr>
        <w:t>submitted a loan modification application on Johnson</w:t>
      </w:r>
      <w:r w:rsidR="00E3052B" w:rsidRPr="00D55103">
        <w:rPr>
          <w:szCs w:val="24"/>
        </w:rPr>
        <w:t xml:space="preserve"> </w:t>
      </w:r>
      <w:r w:rsidRPr="00D55103">
        <w:rPr>
          <w:szCs w:val="24"/>
        </w:rPr>
        <w:t>Bennett’</w:t>
      </w:r>
      <w:r w:rsidR="00D07F70" w:rsidRPr="00D55103">
        <w:rPr>
          <w:szCs w:val="24"/>
        </w:rPr>
        <w:t xml:space="preserve">s behalf. </w:t>
      </w:r>
      <w:r w:rsidRPr="00D55103">
        <w:rPr>
          <w:szCs w:val="24"/>
        </w:rPr>
        <w:t xml:space="preserve"> </w:t>
      </w:r>
      <w:r w:rsidR="00D07F70" w:rsidRPr="00D55103">
        <w:rPr>
          <w:szCs w:val="24"/>
        </w:rPr>
        <w:t>On June</w:t>
      </w:r>
      <w:r w:rsidR="00C977B2">
        <w:rPr>
          <w:szCs w:val="24"/>
        </w:rPr>
        <w:t> </w:t>
      </w:r>
      <w:r w:rsidR="00D07F70" w:rsidRPr="00D55103">
        <w:rPr>
          <w:szCs w:val="24"/>
        </w:rPr>
        <w:t>15,</w:t>
      </w:r>
      <w:r w:rsidRPr="00D55103">
        <w:rPr>
          <w:szCs w:val="24"/>
        </w:rPr>
        <w:t xml:space="preserve"> </w:t>
      </w:r>
      <w:r w:rsidR="0061174C" w:rsidRPr="00D55103">
        <w:rPr>
          <w:szCs w:val="24"/>
        </w:rPr>
        <w:t xml:space="preserve">2015, </w:t>
      </w:r>
      <w:r w:rsidRPr="00D55103">
        <w:rPr>
          <w:szCs w:val="24"/>
        </w:rPr>
        <w:t xml:space="preserve">Golden </w:t>
      </w:r>
      <w:r w:rsidR="00D07F70" w:rsidRPr="00D55103">
        <w:rPr>
          <w:szCs w:val="24"/>
        </w:rPr>
        <w:t xml:space="preserve">filed a lawsuit </w:t>
      </w:r>
      <w:r w:rsidR="00FD7FDA">
        <w:rPr>
          <w:szCs w:val="24"/>
        </w:rPr>
        <w:t xml:space="preserve">against her loan servicer </w:t>
      </w:r>
      <w:r w:rsidR="00D07F70" w:rsidRPr="00D55103">
        <w:rPr>
          <w:szCs w:val="24"/>
        </w:rPr>
        <w:t>in Los Angeles County Superior</w:t>
      </w:r>
      <w:r w:rsidRPr="00D55103">
        <w:rPr>
          <w:szCs w:val="24"/>
        </w:rPr>
        <w:t xml:space="preserve"> Court</w:t>
      </w:r>
      <w:r w:rsidR="00FD7FDA">
        <w:rPr>
          <w:szCs w:val="24"/>
        </w:rPr>
        <w:t>,</w:t>
      </w:r>
      <w:r w:rsidRPr="00D55103">
        <w:rPr>
          <w:szCs w:val="24"/>
        </w:rPr>
        <w:t xml:space="preserve"> </w:t>
      </w:r>
      <w:r w:rsidR="00FD7FDA">
        <w:rPr>
          <w:szCs w:val="24"/>
        </w:rPr>
        <w:t>which</w:t>
      </w:r>
      <w:r w:rsidR="00D07F70" w:rsidRPr="00D55103">
        <w:rPr>
          <w:szCs w:val="24"/>
        </w:rPr>
        <w:t xml:space="preserve"> was </w:t>
      </w:r>
      <w:r w:rsidRPr="00D55103">
        <w:rPr>
          <w:szCs w:val="24"/>
        </w:rPr>
        <w:t>removed to federal court</w:t>
      </w:r>
      <w:r w:rsidR="00D07F70" w:rsidRPr="00D55103">
        <w:rPr>
          <w:szCs w:val="24"/>
        </w:rPr>
        <w:t xml:space="preserve"> in July</w:t>
      </w:r>
      <w:r w:rsidR="00AD38E1">
        <w:rPr>
          <w:szCs w:val="24"/>
        </w:rPr>
        <w:t xml:space="preserve"> and dismissed with prejudice i</w:t>
      </w:r>
      <w:r w:rsidR="009D313B">
        <w:rPr>
          <w:szCs w:val="24"/>
        </w:rPr>
        <w:t>n November</w:t>
      </w:r>
      <w:r w:rsidR="00D07F70" w:rsidRPr="00D55103">
        <w:rPr>
          <w:szCs w:val="24"/>
        </w:rPr>
        <w:t xml:space="preserve">. </w:t>
      </w:r>
      <w:r w:rsidRPr="00D55103">
        <w:rPr>
          <w:szCs w:val="24"/>
        </w:rPr>
        <w:t xml:space="preserve"> Golden </w:t>
      </w:r>
      <w:r w:rsidR="00D07F70" w:rsidRPr="00D55103">
        <w:rPr>
          <w:szCs w:val="24"/>
        </w:rPr>
        <w:t>appealed</w:t>
      </w:r>
      <w:r w:rsidR="009D313B">
        <w:rPr>
          <w:szCs w:val="24"/>
        </w:rPr>
        <w:t>,</w:t>
      </w:r>
      <w:r w:rsidR="00D07F70" w:rsidRPr="00D55103">
        <w:rPr>
          <w:szCs w:val="24"/>
        </w:rPr>
        <w:t xml:space="preserve"> but the appeal was dismissed on January</w:t>
      </w:r>
      <w:r w:rsidR="00C977B2">
        <w:rPr>
          <w:szCs w:val="24"/>
        </w:rPr>
        <w:t> </w:t>
      </w:r>
      <w:r w:rsidR="00D07F70" w:rsidRPr="00D55103">
        <w:rPr>
          <w:szCs w:val="24"/>
        </w:rPr>
        <w:t>20,</w:t>
      </w:r>
      <w:r w:rsidRPr="00D55103">
        <w:rPr>
          <w:szCs w:val="24"/>
        </w:rPr>
        <w:t xml:space="preserve"> 2016, for failure to prosecute.</w:t>
      </w:r>
      <w:r w:rsidR="00DF3612" w:rsidRPr="00D55103">
        <w:rPr>
          <w:szCs w:val="24"/>
        </w:rPr>
        <w:t xml:space="preserve">  </w:t>
      </w:r>
      <w:r w:rsidR="00CC62AD">
        <w:rPr>
          <w:szCs w:val="24"/>
        </w:rPr>
        <w:t>After</w:t>
      </w:r>
      <w:r w:rsidR="00D07F70" w:rsidRPr="00D55103">
        <w:rPr>
          <w:szCs w:val="24"/>
        </w:rPr>
        <w:t xml:space="preserve"> </w:t>
      </w:r>
      <w:r w:rsidR="00CC62AD">
        <w:rPr>
          <w:szCs w:val="24"/>
        </w:rPr>
        <w:t>his</w:t>
      </w:r>
      <w:r w:rsidRPr="00D55103">
        <w:rPr>
          <w:szCs w:val="24"/>
        </w:rPr>
        <w:t xml:space="preserve"> termination</w:t>
      </w:r>
      <w:r w:rsidR="00D07F70" w:rsidRPr="00D55103">
        <w:rPr>
          <w:szCs w:val="24"/>
        </w:rPr>
        <w:t xml:space="preserve">, </w:t>
      </w:r>
      <w:r w:rsidRPr="00D55103">
        <w:rPr>
          <w:szCs w:val="24"/>
        </w:rPr>
        <w:t xml:space="preserve">Golden </w:t>
      </w:r>
      <w:r w:rsidR="00D07F70" w:rsidRPr="00D55103">
        <w:rPr>
          <w:szCs w:val="24"/>
        </w:rPr>
        <w:t>failed to render an appropriate</w:t>
      </w:r>
      <w:r w:rsidRPr="00D55103">
        <w:rPr>
          <w:szCs w:val="24"/>
        </w:rPr>
        <w:t xml:space="preserve"> </w:t>
      </w:r>
      <w:r w:rsidR="00D07F70" w:rsidRPr="00D55103">
        <w:rPr>
          <w:szCs w:val="24"/>
        </w:rPr>
        <w:t>accounting to Johnson</w:t>
      </w:r>
      <w:r w:rsidR="00E3052B" w:rsidRPr="00D55103">
        <w:rPr>
          <w:szCs w:val="24"/>
        </w:rPr>
        <w:t xml:space="preserve"> </w:t>
      </w:r>
      <w:r w:rsidR="00D07F70" w:rsidRPr="00D55103">
        <w:rPr>
          <w:szCs w:val="24"/>
        </w:rPr>
        <w:t>Bennett</w:t>
      </w:r>
      <w:r w:rsidR="00A20C49" w:rsidRPr="00A20C49">
        <w:rPr>
          <w:szCs w:val="24"/>
        </w:rPr>
        <w:t xml:space="preserve"> </w:t>
      </w:r>
      <w:r w:rsidR="0023661D" w:rsidRPr="00922844">
        <w:rPr>
          <w:szCs w:val="24"/>
        </w:rPr>
        <w:t>and failed to refund any advance fees received</w:t>
      </w:r>
      <w:r w:rsidR="0023661D">
        <w:rPr>
          <w:szCs w:val="24"/>
        </w:rPr>
        <w:t xml:space="preserve"> from her</w:t>
      </w:r>
      <w:r w:rsidR="00D07F70" w:rsidRPr="00D55103">
        <w:rPr>
          <w:szCs w:val="24"/>
        </w:rPr>
        <w:t>.</w:t>
      </w:r>
    </w:p>
    <w:p w14:paraId="442DA767" w14:textId="599A8603" w:rsidR="003364D8" w:rsidRPr="00D55103" w:rsidRDefault="00DF38D9" w:rsidP="00043553">
      <w:pPr>
        <w:tabs>
          <w:tab w:val="left" w:pos="720"/>
        </w:tabs>
        <w:spacing w:line="480" w:lineRule="auto"/>
        <w:rPr>
          <w:b/>
          <w:szCs w:val="24"/>
        </w:rPr>
      </w:pPr>
      <w:r w:rsidRPr="00D55103">
        <w:rPr>
          <w:b/>
          <w:szCs w:val="24"/>
        </w:rPr>
        <w:t>D.</w:t>
      </w:r>
      <w:r w:rsidRPr="00D55103">
        <w:rPr>
          <w:b/>
          <w:szCs w:val="24"/>
        </w:rPr>
        <w:tab/>
        <w:t>Bartlett Matter (Ca</w:t>
      </w:r>
      <w:r w:rsidR="00191883">
        <w:rPr>
          <w:b/>
          <w:szCs w:val="24"/>
        </w:rPr>
        <w:t>se No. 16-O-11152, A</w:t>
      </w:r>
      <w:r w:rsidR="00355FFC" w:rsidRPr="00D55103">
        <w:rPr>
          <w:b/>
          <w:szCs w:val="24"/>
        </w:rPr>
        <w:t>NDC-</w:t>
      </w:r>
      <w:r w:rsidRPr="00D55103">
        <w:rPr>
          <w:b/>
          <w:szCs w:val="24"/>
        </w:rPr>
        <w:t>2, Counts Ten and Eleven)</w:t>
      </w:r>
    </w:p>
    <w:p w14:paraId="52CC61A5" w14:textId="11CBB0E9" w:rsidR="005F2C70" w:rsidRDefault="003364D8" w:rsidP="00043553">
      <w:pPr>
        <w:tabs>
          <w:tab w:val="left" w:pos="720"/>
        </w:tabs>
        <w:spacing w:line="480" w:lineRule="auto"/>
        <w:rPr>
          <w:szCs w:val="24"/>
        </w:rPr>
      </w:pPr>
      <w:r w:rsidRPr="00D55103">
        <w:rPr>
          <w:b/>
          <w:szCs w:val="24"/>
        </w:rPr>
        <w:tab/>
      </w:r>
      <w:r w:rsidR="00043553" w:rsidRPr="00D55103">
        <w:rPr>
          <w:szCs w:val="24"/>
        </w:rPr>
        <w:t xml:space="preserve">Jonathan Bartlett employed </w:t>
      </w:r>
      <w:r w:rsidRPr="00D55103">
        <w:rPr>
          <w:szCs w:val="24"/>
        </w:rPr>
        <w:t xml:space="preserve">Golden </w:t>
      </w:r>
      <w:r w:rsidR="00E627C6" w:rsidRPr="00D55103">
        <w:rPr>
          <w:szCs w:val="24"/>
        </w:rPr>
        <w:t>on September</w:t>
      </w:r>
      <w:r w:rsidR="00C977B2">
        <w:rPr>
          <w:szCs w:val="24"/>
        </w:rPr>
        <w:t> </w:t>
      </w:r>
      <w:r w:rsidR="00E627C6" w:rsidRPr="00D55103">
        <w:rPr>
          <w:szCs w:val="24"/>
        </w:rPr>
        <w:t>6, 2013</w:t>
      </w:r>
      <w:r w:rsidR="00043553" w:rsidRPr="00D55103">
        <w:rPr>
          <w:szCs w:val="24"/>
        </w:rPr>
        <w:t>.</w:t>
      </w:r>
      <w:r w:rsidRPr="00D55103">
        <w:rPr>
          <w:szCs w:val="24"/>
        </w:rPr>
        <w:t xml:space="preserve"> </w:t>
      </w:r>
      <w:r w:rsidR="00043553" w:rsidRPr="00D55103">
        <w:rPr>
          <w:szCs w:val="24"/>
        </w:rPr>
        <w:t xml:space="preserve"> </w:t>
      </w:r>
      <w:r w:rsidR="00AD38E1">
        <w:rPr>
          <w:szCs w:val="24"/>
        </w:rPr>
        <w:t>Their</w:t>
      </w:r>
      <w:r w:rsidR="00043553" w:rsidRPr="00D55103">
        <w:rPr>
          <w:szCs w:val="24"/>
        </w:rPr>
        <w:t xml:space="preserve"> fee agreement did not </w:t>
      </w:r>
      <w:r w:rsidR="00AD38E1">
        <w:rPr>
          <w:szCs w:val="24"/>
        </w:rPr>
        <w:t>contain</w:t>
      </w:r>
      <w:r w:rsidR="00043553" w:rsidRPr="00D55103">
        <w:rPr>
          <w:szCs w:val="24"/>
        </w:rPr>
        <w:t xml:space="preserve"> the </w:t>
      </w:r>
      <w:r w:rsidR="00852878" w:rsidRPr="00852878">
        <w:rPr>
          <w:szCs w:val="24"/>
        </w:rPr>
        <w:t>§ 2944.6 disclaimer</w:t>
      </w:r>
      <w:r w:rsidRPr="00D55103">
        <w:rPr>
          <w:szCs w:val="24"/>
        </w:rPr>
        <w:t>.</w:t>
      </w:r>
      <w:r w:rsidRPr="00D55103">
        <w:rPr>
          <w:rStyle w:val="FootnoteReference"/>
          <w:szCs w:val="24"/>
        </w:rPr>
        <w:footnoteReference w:id="10"/>
      </w:r>
      <w:r w:rsidR="00FF4B48" w:rsidRPr="00D55103">
        <w:rPr>
          <w:szCs w:val="24"/>
        </w:rPr>
        <w:t xml:space="preserve">  </w:t>
      </w:r>
      <w:r w:rsidR="00043553" w:rsidRPr="00D55103">
        <w:rPr>
          <w:szCs w:val="24"/>
        </w:rPr>
        <w:t xml:space="preserve">Between </w:t>
      </w:r>
      <w:r w:rsidRPr="00D55103">
        <w:rPr>
          <w:szCs w:val="24"/>
        </w:rPr>
        <w:t>September</w:t>
      </w:r>
      <w:r w:rsidR="00C977B2">
        <w:rPr>
          <w:szCs w:val="24"/>
        </w:rPr>
        <w:t> </w:t>
      </w:r>
      <w:r w:rsidRPr="00D55103">
        <w:rPr>
          <w:szCs w:val="24"/>
        </w:rPr>
        <w:t>6, 2013</w:t>
      </w:r>
      <w:r w:rsidR="00CC62AD">
        <w:rPr>
          <w:szCs w:val="24"/>
        </w:rPr>
        <w:t>,</w:t>
      </w:r>
      <w:r w:rsidRPr="00D55103">
        <w:rPr>
          <w:szCs w:val="24"/>
        </w:rPr>
        <w:t xml:space="preserve"> and January</w:t>
      </w:r>
      <w:r w:rsidR="00C977B2">
        <w:rPr>
          <w:szCs w:val="24"/>
        </w:rPr>
        <w:t> </w:t>
      </w:r>
      <w:r w:rsidRPr="00D55103">
        <w:rPr>
          <w:szCs w:val="24"/>
        </w:rPr>
        <w:t>21</w:t>
      </w:r>
      <w:r w:rsidR="00043553" w:rsidRPr="00D55103">
        <w:rPr>
          <w:szCs w:val="24"/>
        </w:rPr>
        <w:t xml:space="preserve">, 2014, Bartlett paid </w:t>
      </w:r>
      <w:r w:rsidRPr="00D55103">
        <w:rPr>
          <w:szCs w:val="24"/>
        </w:rPr>
        <w:t xml:space="preserve">Golden </w:t>
      </w:r>
      <w:r w:rsidR="00043553" w:rsidRPr="00D55103">
        <w:rPr>
          <w:szCs w:val="24"/>
        </w:rPr>
        <w:t>fees totaling</w:t>
      </w:r>
      <w:r w:rsidRPr="00D55103">
        <w:rPr>
          <w:szCs w:val="24"/>
        </w:rPr>
        <w:t xml:space="preserve"> $1</w:t>
      </w:r>
      <w:r w:rsidR="00043553" w:rsidRPr="00D55103">
        <w:rPr>
          <w:szCs w:val="24"/>
        </w:rPr>
        <w:t xml:space="preserve">7,623.06. </w:t>
      </w:r>
      <w:r w:rsidRPr="00D55103">
        <w:rPr>
          <w:szCs w:val="24"/>
        </w:rPr>
        <w:t xml:space="preserve"> Golden </w:t>
      </w:r>
      <w:r w:rsidR="00043553" w:rsidRPr="00D55103">
        <w:rPr>
          <w:szCs w:val="24"/>
        </w:rPr>
        <w:t>submitted a loan modification applic</w:t>
      </w:r>
      <w:r w:rsidRPr="00D55103">
        <w:rPr>
          <w:szCs w:val="24"/>
        </w:rPr>
        <w:t>ation on Bartlett’</w:t>
      </w:r>
      <w:r w:rsidR="00043553" w:rsidRPr="00D55103">
        <w:rPr>
          <w:szCs w:val="24"/>
        </w:rPr>
        <w:t>s</w:t>
      </w:r>
      <w:r w:rsidRPr="00D55103">
        <w:rPr>
          <w:szCs w:val="24"/>
        </w:rPr>
        <w:t xml:space="preserve"> </w:t>
      </w:r>
      <w:r w:rsidR="00043553" w:rsidRPr="00D55103">
        <w:rPr>
          <w:szCs w:val="24"/>
        </w:rPr>
        <w:t>behalf.</w:t>
      </w:r>
      <w:r w:rsidR="00DF3612" w:rsidRPr="00D55103">
        <w:rPr>
          <w:szCs w:val="24"/>
        </w:rPr>
        <w:t xml:space="preserve">  </w:t>
      </w:r>
      <w:r w:rsidR="00852878">
        <w:rPr>
          <w:szCs w:val="24"/>
        </w:rPr>
        <w:t>After</w:t>
      </w:r>
      <w:r w:rsidR="00043553" w:rsidRPr="00D55103">
        <w:rPr>
          <w:szCs w:val="24"/>
        </w:rPr>
        <w:t xml:space="preserve"> </w:t>
      </w:r>
      <w:r w:rsidR="00CC62AD">
        <w:rPr>
          <w:szCs w:val="24"/>
        </w:rPr>
        <w:t>his</w:t>
      </w:r>
      <w:r w:rsidR="00043553" w:rsidRPr="00D55103">
        <w:rPr>
          <w:szCs w:val="24"/>
        </w:rPr>
        <w:t xml:space="preserve"> termination, </w:t>
      </w:r>
      <w:r w:rsidRPr="00D55103">
        <w:rPr>
          <w:szCs w:val="24"/>
        </w:rPr>
        <w:t xml:space="preserve">Golden </w:t>
      </w:r>
      <w:r w:rsidR="00043553" w:rsidRPr="00D55103">
        <w:rPr>
          <w:szCs w:val="24"/>
        </w:rPr>
        <w:t>failed to render an</w:t>
      </w:r>
      <w:r w:rsidR="00276176" w:rsidRPr="00D55103">
        <w:rPr>
          <w:szCs w:val="24"/>
        </w:rPr>
        <w:t xml:space="preserve"> </w:t>
      </w:r>
      <w:r w:rsidR="00043553" w:rsidRPr="00D55103">
        <w:rPr>
          <w:szCs w:val="24"/>
        </w:rPr>
        <w:t>appropriate accounting to Bartlett</w:t>
      </w:r>
      <w:r w:rsidR="00A20C49" w:rsidRPr="00A20C49">
        <w:rPr>
          <w:szCs w:val="24"/>
        </w:rPr>
        <w:t xml:space="preserve"> </w:t>
      </w:r>
      <w:r w:rsidR="009D313B" w:rsidRPr="00922844">
        <w:rPr>
          <w:szCs w:val="24"/>
        </w:rPr>
        <w:t>and failed to refund any advance fees received</w:t>
      </w:r>
      <w:r w:rsidR="009D313B">
        <w:rPr>
          <w:szCs w:val="24"/>
        </w:rPr>
        <w:t xml:space="preserve"> from him</w:t>
      </w:r>
      <w:r w:rsidR="00043553" w:rsidRPr="00D55103">
        <w:rPr>
          <w:szCs w:val="24"/>
        </w:rPr>
        <w:t>.</w:t>
      </w:r>
    </w:p>
    <w:p w14:paraId="7C19FC5C" w14:textId="5A589A9C" w:rsidR="00276176" w:rsidRPr="00D55103" w:rsidRDefault="00276176" w:rsidP="00191883">
      <w:pPr>
        <w:tabs>
          <w:tab w:val="left" w:pos="720"/>
        </w:tabs>
        <w:spacing w:line="480" w:lineRule="auto"/>
        <w:ind w:left="720" w:hanging="720"/>
        <w:rPr>
          <w:b/>
          <w:szCs w:val="24"/>
        </w:rPr>
      </w:pPr>
      <w:r w:rsidRPr="00D55103">
        <w:rPr>
          <w:b/>
          <w:szCs w:val="24"/>
        </w:rPr>
        <w:t>E.</w:t>
      </w:r>
      <w:r w:rsidRPr="00D55103">
        <w:rPr>
          <w:b/>
          <w:szCs w:val="24"/>
        </w:rPr>
        <w:tab/>
        <w:t>Schneiders Matter (Ca</w:t>
      </w:r>
      <w:r w:rsidR="00191883">
        <w:rPr>
          <w:b/>
          <w:szCs w:val="24"/>
        </w:rPr>
        <w:t>se No. 16-O-11971, A</w:t>
      </w:r>
      <w:r w:rsidR="00355FFC" w:rsidRPr="00D55103">
        <w:rPr>
          <w:b/>
          <w:szCs w:val="24"/>
        </w:rPr>
        <w:t>NDC-</w:t>
      </w:r>
      <w:r w:rsidRPr="00D55103">
        <w:rPr>
          <w:b/>
          <w:szCs w:val="24"/>
        </w:rPr>
        <w:t>2, Counts Twelve and Thirteen)</w:t>
      </w:r>
    </w:p>
    <w:p w14:paraId="4D32656F" w14:textId="459C7E64" w:rsidR="008353A4" w:rsidRPr="00D55103" w:rsidRDefault="00FF4B48" w:rsidP="00191883">
      <w:pPr>
        <w:tabs>
          <w:tab w:val="left" w:pos="720"/>
        </w:tabs>
        <w:spacing w:line="480" w:lineRule="auto"/>
        <w:rPr>
          <w:b/>
          <w:szCs w:val="24"/>
        </w:rPr>
      </w:pPr>
      <w:r w:rsidRPr="00D55103">
        <w:rPr>
          <w:szCs w:val="24"/>
        </w:rPr>
        <w:tab/>
        <w:t>Raymond and Su</w:t>
      </w:r>
      <w:r w:rsidR="00C32190" w:rsidRPr="00D55103">
        <w:rPr>
          <w:szCs w:val="24"/>
        </w:rPr>
        <w:t xml:space="preserve">zanne Schneiders </w:t>
      </w:r>
      <w:r w:rsidR="005C7B3B" w:rsidRPr="00D55103">
        <w:rPr>
          <w:szCs w:val="24"/>
        </w:rPr>
        <w:t>(the Schneiders</w:t>
      </w:r>
      <w:r w:rsidR="005C7B3B">
        <w:rPr>
          <w:szCs w:val="24"/>
        </w:rPr>
        <w:t>es</w:t>
      </w:r>
      <w:r w:rsidR="005C7B3B" w:rsidRPr="00D55103">
        <w:rPr>
          <w:szCs w:val="24"/>
        </w:rPr>
        <w:t xml:space="preserve">) </w:t>
      </w:r>
      <w:r w:rsidR="00C977B2">
        <w:rPr>
          <w:szCs w:val="24"/>
        </w:rPr>
        <w:t>employed Golden on February </w:t>
      </w:r>
      <w:r w:rsidR="00276176" w:rsidRPr="00D55103">
        <w:rPr>
          <w:szCs w:val="24"/>
        </w:rPr>
        <w:t>10, 2014</w:t>
      </w:r>
      <w:r w:rsidR="00CC62AD">
        <w:rPr>
          <w:szCs w:val="24"/>
        </w:rPr>
        <w:t>, and paid him an advance fee of $1,500 o</w:t>
      </w:r>
      <w:r w:rsidR="00276176" w:rsidRPr="00D55103">
        <w:rPr>
          <w:szCs w:val="24"/>
        </w:rPr>
        <w:t>n February</w:t>
      </w:r>
      <w:r w:rsidR="00C977B2">
        <w:rPr>
          <w:szCs w:val="24"/>
        </w:rPr>
        <w:t> </w:t>
      </w:r>
      <w:r w:rsidR="00276176" w:rsidRPr="00D55103">
        <w:rPr>
          <w:szCs w:val="24"/>
        </w:rPr>
        <w:t>24.  On July</w:t>
      </w:r>
      <w:r w:rsidR="00C977B2">
        <w:rPr>
          <w:szCs w:val="24"/>
        </w:rPr>
        <w:t> </w:t>
      </w:r>
      <w:r w:rsidR="00276176" w:rsidRPr="00D55103">
        <w:rPr>
          <w:szCs w:val="24"/>
        </w:rPr>
        <w:t>15, 2015, Golden submitted a loan modification request, which was denied on July 23.</w:t>
      </w:r>
      <w:r w:rsidRPr="00D55103">
        <w:rPr>
          <w:szCs w:val="24"/>
        </w:rPr>
        <w:t xml:space="preserve">  </w:t>
      </w:r>
      <w:r w:rsidR="00276176" w:rsidRPr="00D55103">
        <w:rPr>
          <w:szCs w:val="24"/>
        </w:rPr>
        <w:t>Between February 2014 and November 2015, the Schneiders</w:t>
      </w:r>
      <w:r w:rsidR="005F2C70">
        <w:rPr>
          <w:szCs w:val="24"/>
        </w:rPr>
        <w:t>es</w:t>
      </w:r>
      <w:r w:rsidR="00276176" w:rsidRPr="00D55103">
        <w:rPr>
          <w:szCs w:val="24"/>
        </w:rPr>
        <w:t xml:space="preserve"> paid </w:t>
      </w:r>
      <w:r w:rsidR="00327A27" w:rsidRPr="00D55103">
        <w:rPr>
          <w:szCs w:val="24"/>
        </w:rPr>
        <w:t xml:space="preserve">Golden </w:t>
      </w:r>
      <w:r w:rsidR="00276176" w:rsidRPr="00D55103">
        <w:rPr>
          <w:szCs w:val="24"/>
        </w:rPr>
        <w:t>fees</w:t>
      </w:r>
      <w:r w:rsidR="00327A27" w:rsidRPr="00D55103">
        <w:rPr>
          <w:szCs w:val="24"/>
        </w:rPr>
        <w:t xml:space="preserve"> </w:t>
      </w:r>
      <w:r w:rsidR="00276176" w:rsidRPr="00D55103">
        <w:rPr>
          <w:szCs w:val="24"/>
        </w:rPr>
        <w:t xml:space="preserve">totaling </w:t>
      </w:r>
      <w:r w:rsidR="00327A27" w:rsidRPr="00D55103">
        <w:rPr>
          <w:szCs w:val="24"/>
        </w:rPr>
        <w:t>$3</w:t>
      </w:r>
      <w:r w:rsidR="00DF3612" w:rsidRPr="00D55103">
        <w:rPr>
          <w:szCs w:val="24"/>
        </w:rPr>
        <w:t xml:space="preserve">7,422.29.  </w:t>
      </w:r>
      <w:r w:rsidR="00852878">
        <w:rPr>
          <w:szCs w:val="24"/>
        </w:rPr>
        <w:t>After</w:t>
      </w:r>
      <w:r w:rsidR="00276176" w:rsidRPr="00D55103">
        <w:rPr>
          <w:szCs w:val="24"/>
        </w:rPr>
        <w:t xml:space="preserve"> </w:t>
      </w:r>
      <w:r w:rsidR="00CC62AD">
        <w:rPr>
          <w:szCs w:val="24"/>
        </w:rPr>
        <w:t>his</w:t>
      </w:r>
      <w:r w:rsidR="00276176" w:rsidRPr="00D55103">
        <w:rPr>
          <w:szCs w:val="24"/>
        </w:rPr>
        <w:t xml:space="preserve"> </w:t>
      </w:r>
      <w:r w:rsidR="00276176" w:rsidRPr="00D55103">
        <w:rPr>
          <w:szCs w:val="24"/>
        </w:rPr>
        <w:lastRenderedPageBreak/>
        <w:t xml:space="preserve">termination, </w:t>
      </w:r>
      <w:r w:rsidR="00327A27" w:rsidRPr="00D55103">
        <w:rPr>
          <w:szCs w:val="24"/>
        </w:rPr>
        <w:t xml:space="preserve">Golden </w:t>
      </w:r>
      <w:r w:rsidR="00276176" w:rsidRPr="00D55103">
        <w:rPr>
          <w:szCs w:val="24"/>
        </w:rPr>
        <w:t>failed to render</w:t>
      </w:r>
      <w:r w:rsidR="00327A27" w:rsidRPr="00D55103">
        <w:rPr>
          <w:szCs w:val="24"/>
        </w:rPr>
        <w:t xml:space="preserve"> </w:t>
      </w:r>
      <w:r w:rsidR="00276176" w:rsidRPr="00D55103">
        <w:rPr>
          <w:szCs w:val="24"/>
        </w:rPr>
        <w:t>an appropriate accounting to the Schneiders</w:t>
      </w:r>
      <w:r w:rsidR="005F2C70">
        <w:rPr>
          <w:szCs w:val="24"/>
        </w:rPr>
        <w:t>es</w:t>
      </w:r>
      <w:r w:rsidR="00A20C49" w:rsidRPr="00A20C49">
        <w:rPr>
          <w:szCs w:val="24"/>
        </w:rPr>
        <w:t xml:space="preserve"> </w:t>
      </w:r>
      <w:r w:rsidR="009D313B" w:rsidRPr="00922844">
        <w:rPr>
          <w:szCs w:val="24"/>
        </w:rPr>
        <w:t>and failed to refund any advance fees received</w:t>
      </w:r>
      <w:r w:rsidR="009D313B">
        <w:rPr>
          <w:szCs w:val="24"/>
        </w:rPr>
        <w:t xml:space="preserve"> from them</w:t>
      </w:r>
      <w:r w:rsidR="00276176" w:rsidRPr="00D55103">
        <w:rPr>
          <w:szCs w:val="24"/>
        </w:rPr>
        <w:t>.</w:t>
      </w:r>
    </w:p>
    <w:p w14:paraId="216A382E" w14:textId="77777777" w:rsidR="008353A4" w:rsidRPr="00D55103" w:rsidRDefault="00174B04" w:rsidP="00174B04">
      <w:pPr>
        <w:tabs>
          <w:tab w:val="left" w:pos="720"/>
        </w:tabs>
        <w:spacing w:line="480" w:lineRule="auto"/>
        <w:rPr>
          <w:b/>
          <w:szCs w:val="24"/>
        </w:rPr>
      </w:pPr>
      <w:r w:rsidRPr="00D55103">
        <w:rPr>
          <w:b/>
          <w:szCs w:val="24"/>
        </w:rPr>
        <w:t>F.</w:t>
      </w:r>
      <w:r w:rsidRPr="00D55103">
        <w:rPr>
          <w:b/>
          <w:szCs w:val="24"/>
        </w:rPr>
        <w:tab/>
        <w:t>Arellano Ma</w:t>
      </w:r>
      <w:r w:rsidR="00355FFC" w:rsidRPr="00D55103">
        <w:rPr>
          <w:b/>
          <w:szCs w:val="24"/>
        </w:rPr>
        <w:t>tter (Case No. 14-O-06366, NDC-</w:t>
      </w:r>
      <w:r w:rsidRPr="00D55103">
        <w:rPr>
          <w:b/>
          <w:szCs w:val="24"/>
        </w:rPr>
        <w:t>1, Counts One and Two)</w:t>
      </w:r>
    </w:p>
    <w:p w14:paraId="1DF60528" w14:textId="100DF301" w:rsidR="004F2FA2" w:rsidRDefault="00174B04" w:rsidP="00174B04">
      <w:pPr>
        <w:tabs>
          <w:tab w:val="left" w:pos="720"/>
        </w:tabs>
        <w:spacing w:line="480" w:lineRule="auto"/>
        <w:rPr>
          <w:szCs w:val="24"/>
        </w:rPr>
      </w:pPr>
      <w:r w:rsidRPr="00D55103">
        <w:rPr>
          <w:b/>
          <w:szCs w:val="24"/>
        </w:rPr>
        <w:tab/>
      </w:r>
      <w:r w:rsidR="00F1711B" w:rsidRPr="00D55103">
        <w:rPr>
          <w:szCs w:val="24"/>
        </w:rPr>
        <w:t xml:space="preserve">Oscar Arellano </w:t>
      </w:r>
      <w:r w:rsidRPr="00D55103">
        <w:rPr>
          <w:szCs w:val="24"/>
        </w:rPr>
        <w:t>employed Golden on August</w:t>
      </w:r>
      <w:r w:rsidR="00C977B2">
        <w:rPr>
          <w:szCs w:val="24"/>
        </w:rPr>
        <w:t> </w:t>
      </w:r>
      <w:r w:rsidRPr="00D55103">
        <w:rPr>
          <w:szCs w:val="24"/>
        </w:rPr>
        <w:t xml:space="preserve">22, 2012.  </w:t>
      </w:r>
      <w:r w:rsidR="00570E62">
        <w:rPr>
          <w:szCs w:val="24"/>
        </w:rPr>
        <w:t>Their</w:t>
      </w:r>
      <w:r w:rsidRPr="00D55103">
        <w:rPr>
          <w:szCs w:val="24"/>
        </w:rPr>
        <w:t xml:space="preserve"> fee agreement did not </w:t>
      </w:r>
      <w:r w:rsidR="00570E62">
        <w:rPr>
          <w:szCs w:val="24"/>
        </w:rPr>
        <w:t>contain</w:t>
      </w:r>
      <w:r w:rsidRPr="00D55103">
        <w:rPr>
          <w:szCs w:val="24"/>
        </w:rPr>
        <w:t xml:space="preserve"> the </w:t>
      </w:r>
      <w:r w:rsidR="00852878" w:rsidRPr="00852878">
        <w:rPr>
          <w:szCs w:val="24"/>
        </w:rPr>
        <w:t>§ 2944.6 disclaimer</w:t>
      </w:r>
      <w:r w:rsidRPr="00D55103">
        <w:rPr>
          <w:szCs w:val="24"/>
        </w:rPr>
        <w:t>.</w:t>
      </w:r>
      <w:r w:rsidRPr="00D55103">
        <w:rPr>
          <w:rStyle w:val="FootnoteReference"/>
          <w:szCs w:val="24"/>
        </w:rPr>
        <w:footnoteReference w:id="11"/>
      </w:r>
    </w:p>
    <w:p w14:paraId="2DD1E20E" w14:textId="1E4085CF" w:rsidR="00282763" w:rsidRDefault="004F2FA2" w:rsidP="00174B04">
      <w:pPr>
        <w:tabs>
          <w:tab w:val="left" w:pos="720"/>
        </w:tabs>
        <w:spacing w:line="480" w:lineRule="auto"/>
        <w:rPr>
          <w:szCs w:val="24"/>
        </w:rPr>
      </w:pPr>
      <w:r>
        <w:rPr>
          <w:szCs w:val="24"/>
        </w:rPr>
        <w:tab/>
      </w:r>
      <w:r w:rsidR="002F460B" w:rsidRPr="00D55103">
        <w:rPr>
          <w:szCs w:val="24"/>
        </w:rPr>
        <w:t>On February</w:t>
      </w:r>
      <w:r w:rsidR="00C977B2">
        <w:rPr>
          <w:szCs w:val="24"/>
        </w:rPr>
        <w:t> </w:t>
      </w:r>
      <w:r w:rsidR="002F460B" w:rsidRPr="00D55103">
        <w:rPr>
          <w:szCs w:val="24"/>
        </w:rPr>
        <w:t>1</w:t>
      </w:r>
      <w:r w:rsidR="00174B04" w:rsidRPr="00D55103">
        <w:rPr>
          <w:szCs w:val="24"/>
        </w:rPr>
        <w:t>3,</w:t>
      </w:r>
      <w:r w:rsidR="002F460B" w:rsidRPr="00D55103">
        <w:rPr>
          <w:szCs w:val="24"/>
        </w:rPr>
        <w:t xml:space="preserve"> 201</w:t>
      </w:r>
      <w:r w:rsidR="00174B04" w:rsidRPr="00D55103">
        <w:rPr>
          <w:szCs w:val="24"/>
        </w:rPr>
        <w:t xml:space="preserve">3, </w:t>
      </w:r>
      <w:r w:rsidR="002F460B" w:rsidRPr="00D55103">
        <w:rPr>
          <w:szCs w:val="24"/>
        </w:rPr>
        <w:t xml:space="preserve">Golden </w:t>
      </w:r>
      <w:r w:rsidR="00174B04" w:rsidRPr="00D55103">
        <w:rPr>
          <w:szCs w:val="24"/>
        </w:rPr>
        <w:t>submitted a loan mo</w:t>
      </w:r>
      <w:r w:rsidR="002F460B" w:rsidRPr="00D55103">
        <w:rPr>
          <w:szCs w:val="24"/>
        </w:rPr>
        <w:t xml:space="preserve">dification request to Arellano’s </w:t>
      </w:r>
      <w:r w:rsidR="00174B04" w:rsidRPr="00D55103">
        <w:rPr>
          <w:szCs w:val="24"/>
        </w:rPr>
        <w:t xml:space="preserve">lender and loan servicer. </w:t>
      </w:r>
      <w:r w:rsidR="002F460B" w:rsidRPr="00D55103">
        <w:rPr>
          <w:szCs w:val="24"/>
        </w:rPr>
        <w:t xml:space="preserve"> </w:t>
      </w:r>
      <w:r w:rsidR="00570E62">
        <w:rPr>
          <w:szCs w:val="24"/>
        </w:rPr>
        <w:t xml:space="preserve">In July, </w:t>
      </w:r>
      <w:r w:rsidR="00D35672">
        <w:rPr>
          <w:szCs w:val="24"/>
        </w:rPr>
        <w:t>he</w:t>
      </w:r>
      <w:r w:rsidR="002F460B" w:rsidRPr="00D55103">
        <w:rPr>
          <w:szCs w:val="24"/>
        </w:rPr>
        <w:t xml:space="preserve"> </w:t>
      </w:r>
      <w:r w:rsidR="00174B04" w:rsidRPr="00D55103">
        <w:rPr>
          <w:szCs w:val="24"/>
        </w:rPr>
        <w:t>withdrew from Arellano</w:t>
      </w:r>
      <w:r w:rsidR="00570E62">
        <w:rPr>
          <w:szCs w:val="24"/>
        </w:rPr>
        <w:t>’s representation</w:t>
      </w:r>
      <w:r w:rsidR="00174B04" w:rsidRPr="00D55103">
        <w:rPr>
          <w:szCs w:val="24"/>
        </w:rPr>
        <w:t xml:space="preserve"> </w:t>
      </w:r>
      <w:r w:rsidR="00570E62">
        <w:rPr>
          <w:szCs w:val="24"/>
        </w:rPr>
        <w:t>without</w:t>
      </w:r>
      <w:r w:rsidR="00174B04" w:rsidRPr="00D55103">
        <w:rPr>
          <w:szCs w:val="24"/>
        </w:rPr>
        <w:t xml:space="preserve"> inform</w:t>
      </w:r>
      <w:r w:rsidR="00570E62">
        <w:rPr>
          <w:szCs w:val="24"/>
        </w:rPr>
        <w:t>ing</w:t>
      </w:r>
      <w:r w:rsidR="00174B04" w:rsidRPr="00D55103">
        <w:rPr>
          <w:szCs w:val="24"/>
        </w:rPr>
        <w:t xml:space="preserve"> Arellano, who c</w:t>
      </w:r>
      <w:r w:rsidR="002F460B" w:rsidRPr="00D55103">
        <w:rPr>
          <w:szCs w:val="24"/>
        </w:rPr>
        <w:t>ontinued to make monthly fee payments.</w:t>
      </w:r>
      <w:r w:rsidR="000257C7" w:rsidRPr="00D55103">
        <w:rPr>
          <w:szCs w:val="24"/>
        </w:rPr>
        <w:t xml:space="preserve">  </w:t>
      </w:r>
      <w:r w:rsidR="002F460B" w:rsidRPr="00D55103">
        <w:rPr>
          <w:szCs w:val="24"/>
        </w:rPr>
        <w:t>I</w:t>
      </w:r>
      <w:r w:rsidR="00174B04" w:rsidRPr="00D55103">
        <w:rPr>
          <w:szCs w:val="24"/>
        </w:rPr>
        <w:t xml:space="preserve">n January 2014, Arellano </w:t>
      </w:r>
      <w:r w:rsidR="00FA05FD">
        <w:rPr>
          <w:szCs w:val="24"/>
        </w:rPr>
        <w:t>visited</w:t>
      </w:r>
      <w:r w:rsidR="00174B04" w:rsidRPr="00D55103">
        <w:rPr>
          <w:szCs w:val="24"/>
        </w:rPr>
        <w:t xml:space="preserve"> </w:t>
      </w:r>
      <w:r w:rsidR="002F460B" w:rsidRPr="00D55103">
        <w:rPr>
          <w:szCs w:val="24"/>
        </w:rPr>
        <w:t xml:space="preserve">Golden’s </w:t>
      </w:r>
      <w:r w:rsidR="007800D5" w:rsidRPr="00D55103">
        <w:rPr>
          <w:szCs w:val="24"/>
        </w:rPr>
        <w:t xml:space="preserve">office and </w:t>
      </w:r>
      <w:r w:rsidR="00174B04" w:rsidRPr="00D55103">
        <w:rPr>
          <w:szCs w:val="24"/>
        </w:rPr>
        <w:t>was</w:t>
      </w:r>
      <w:r w:rsidR="002F460B" w:rsidRPr="00D55103">
        <w:rPr>
          <w:szCs w:val="24"/>
        </w:rPr>
        <w:t xml:space="preserve"> </w:t>
      </w:r>
      <w:r w:rsidR="000257C7" w:rsidRPr="00D55103">
        <w:rPr>
          <w:szCs w:val="24"/>
        </w:rPr>
        <w:t xml:space="preserve">informed </w:t>
      </w:r>
      <w:r w:rsidR="00174B04" w:rsidRPr="00D55103">
        <w:rPr>
          <w:szCs w:val="24"/>
        </w:rPr>
        <w:t xml:space="preserve">his case had been closed. </w:t>
      </w:r>
      <w:r w:rsidR="002F460B" w:rsidRPr="00D55103">
        <w:rPr>
          <w:szCs w:val="24"/>
        </w:rPr>
        <w:t xml:space="preserve"> </w:t>
      </w:r>
      <w:r w:rsidR="00174B04" w:rsidRPr="00D55103">
        <w:rPr>
          <w:szCs w:val="24"/>
        </w:rPr>
        <w:t xml:space="preserve">In March 2015, </w:t>
      </w:r>
      <w:r w:rsidR="002F460B" w:rsidRPr="00D55103">
        <w:rPr>
          <w:szCs w:val="24"/>
        </w:rPr>
        <w:t xml:space="preserve">Golden </w:t>
      </w:r>
      <w:r w:rsidR="00174B04" w:rsidRPr="00D55103">
        <w:rPr>
          <w:szCs w:val="24"/>
        </w:rPr>
        <w:t xml:space="preserve">refunded $7,500 </w:t>
      </w:r>
      <w:r w:rsidR="007A7FC8">
        <w:rPr>
          <w:szCs w:val="24"/>
        </w:rPr>
        <w:t>for</w:t>
      </w:r>
      <w:r w:rsidR="007F2627">
        <w:rPr>
          <w:szCs w:val="24"/>
        </w:rPr>
        <w:t xml:space="preserve"> </w:t>
      </w:r>
      <w:r w:rsidR="002F460B" w:rsidRPr="00D55103">
        <w:rPr>
          <w:szCs w:val="24"/>
        </w:rPr>
        <w:t xml:space="preserve">the </w:t>
      </w:r>
      <w:r w:rsidR="00570E62">
        <w:rPr>
          <w:szCs w:val="24"/>
        </w:rPr>
        <w:t>fees</w:t>
      </w:r>
      <w:r w:rsidR="00174B04" w:rsidRPr="00D55103">
        <w:rPr>
          <w:szCs w:val="24"/>
        </w:rPr>
        <w:t xml:space="preserve"> collected after </w:t>
      </w:r>
      <w:r w:rsidR="00FA05FD">
        <w:rPr>
          <w:szCs w:val="24"/>
        </w:rPr>
        <w:t>Golden’s</w:t>
      </w:r>
      <w:r w:rsidR="000257C7" w:rsidRPr="00D55103">
        <w:rPr>
          <w:szCs w:val="24"/>
        </w:rPr>
        <w:t xml:space="preserve"> </w:t>
      </w:r>
      <w:r w:rsidR="002F460B" w:rsidRPr="00D55103">
        <w:rPr>
          <w:szCs w:val="24"/>
        </w:rPr>
        <w:t>w</w:t>
      </w:r>
      <w:r w:rsidR="00174B04" w:rsidRPr="00D55103">
        <w:rPr>
          <w:szCs w:val="24"/>
        </w:rPr>
        <w:t xml:space="preserve">ithdrawal. </w:t>
      </w:r>
      <w:r w:rsidR="002F460B" w:rsidRPr="00D55103">
        <w:rPr>
          <w:szCs w:val="24"/>
        </w:rPr>
        <w:t xml:space="preserve"> Arellano</w:t>
      </w:r>
      <w:r w:rsidR="00174B04" w:rsidRPr="00D55103">
        <w:rPr>
          <w:szCs w:val="24"/>
        </w:rPr>
        <w:t xml:space="preserve"> paid </w:t>
      </w:r>
      <w:r w:rsidR="002F460B" w:rsidRPr="00D55103">
        <w:rPr>
          <w:szCs w:val="24"/>
        </w:rPr>
        <w:t xml:space="preserve">Golden </w:t>
      </w:r>
      <w:r w:rsidR="006713D1">
        <w:rPr>
          <w:szCs w:val="24"/>
        </w:rPr>
        <w:t xml:space="preserve">a </w:t>
      </w:r>
      <w:r w:rsidR="002F460B" w:rsidRPr="00D55103">
        <w:rPr>
          <w:szCs w:val="24"/>
        </w:rPr>
        <w:t>total</w:t>
      </w:r>
      <w:r w:rsidR="006713D1">
        <w:rPr>
          <w:szCs w:val="24"/>
        </w:rPr>
        <w:t xml:space="preserve"> of</w:t>
      </w:r>
      <w:r w:rsidR="002F460B" w:rsidRPr="00D55103">
        <w:rPr>
          <w:szCs w:val="24"/>
        </w:rPr>
        <w:t xml:space="preserve"> $18,250</w:t>
      </w:r>
      <w:r w:rsidR="002F460B" w:rsidRPr="00D55103">
        <w:rPr>
          <w:rStyle w:val="FootnoteReference"/>
          <w:szCs w:val="24"/>
        </w:rPr>
        <w:footnoteReference w:id="12"/>
      </w:r>
      <w:r w:rsidR="007A7FC8">
        <w:rPr>
          <w:szCs w:val="24"/>
        </w:rPr>
        <w:t xml:space="preserve"> (after deducting the refund).</w:t>
      </w:r>
      <w:r w:rsidR="00F1711B" w:rsidRPr="00D55103">
        <w:rPr>
          <w:szCs w:val="24"/>
        </w:rPr>
        <w:t xml:space="preserve"> </w:t>
      </w:r>
      <w:r w:rsidR="00DF3612" w:rsidRPr="00D55103">
        <w:rPr>
          <w:szCs w:val="24"/>
        </w:rPr>
        <w:t xml:space="preserve"> </w:t>
      </w:r>
      <w:r w:rsidR="00F01A59">
        <w:rPr>
          <w:szCs w:val="24"/>
        </w:rPr>
        <w:t>After</w:t>
      </w:r>
      <w:r w:rsidR="00174B04" w:rsidRPr="00D55103">
        <w:rPr>
          <w:szCs w:val="24"/>
        </w:rPr>
        <w:t xml:space="preserve"> </w:t>
      </w:r>
      <w:r w:rsidR="00FA05FD">
        <w:rPr>
          <w:szCs w:val="24"/>
        </w:rPr>
        <w:t>his</w:t>
      </w:r>
      <w:r w:rsidR="00174B04" w:rsidRPr="00D55103">
        <w:rPr>
          <w:szCs w:val="24"/>
        </w:rPr>
        <w:t xml:space="preserve"> termination, </w:t>
      </w:r>
      <w:r w:rsidR="002F460B" w:rsidRPr="00D55103">
        <w:rPr>
          <w:szCs w:val="24"/>
        </w:rPr>
        <w:t xml:space="preserve">Golden </w:t>
      </w:r>
      <w:r w:rsidR="00174B04" w:rsidRPr="00D55103">
        <w:rPr>
          <w:szCs w:val="24"/>
        </w:rPr>
        <w:t>did not render an appropriate accounting to Arellano</w:t>
      </w:r>
      <w:r w:rsidR="00A20C49" w:rsidRPr="00A20C49">
        <w:rPr>
          <w:szCs w:val="24"/>
        </w:rPr>
        <w:t xml:space="preserve"> </w:t>
      </w:r>
      <w:r w:rsidR="009D313B">
        <w:rPr>
          <w:szCs w:val="24"/>
        </w:rPr>
        <w:t>and</w:t>
      </w:r>
      <w:r w:rsidR="009D313B" w:rsidRPr="00922844">
        <w:rPr>
          <w:szCs w:val="24"/>
        </w:rPr>
        <w:t xml:space="preserve"> failed to refund any advance fees </w:t>
      </w:r>
      <w:r w:rsidR="009D313B">
        <w:rPr>
          <w:szCs w:val="24"/>
        </w:rPr>
        <w:t>other than the $7,500</w:t>
      </w:r>
      <w:r w:rsidR="00174B04" w:rsidRPr="00D55103">
        <w:rPr>
          <w:szCs w:val="24"/>
        </w:rPr>
        <w:t>.</w:t>
      </w:r>
    </w:p>
    <w:p w14:paraId="3889806F" w14:textId="77777777" w:rsidR="006D4914" w:rsidRPr="00D55103" w:rsidRDefault="006D4914" w:rsidP="006D4914">
      <w:pPr>
        <w:tabs>
          <w:tab w:val="left" w:pos="720"/>
        </w:tabs>
        <w:spacing w:line="480" w:lineRule="auto"/>
        <w:rPr>
          <w:b/>
          <w:szCs w:val="24"/>
        </w:rPr>
      </w:pPr>
      <w:r w:rsidRPr="00D55103">
        <w:rPr>
          <w:b/>
          <w:szCs w:val="24"/>
        </w:rPr>
        <w:t>G.</w:t>
      </w:r>
      <w:r w:rsidRPr="00D55103">
        <w:rPr>
          <w:b/>
          <w:szCs w:val="24"/>
        </w:rPr>
        <w:tab/>
        <w:t>McCarthy Matter (Case No. 15-O-10090, NDC</w:t>
      </w:r>
      <w:r w:rsidR="00452F41" w:rsidRPr="00D55103">
        <w:rPr>
          <w:b/>
          <w:szCs w:val="24"/>
        </w:rPr>
        <w:t>-</w:t>
      </w:r>
      <w:r w:rsidRPr="00D55103">
        <w:rPr>
          <w:b/>
          <w:szCs w:val="24"/>
        </w:rPr>
        <w:t>1, Counts Three and Four)</w:t>
      </w:r>
    </w:p>
    <w:p w14:paraId="4D5D3A62" w14:textId="44BD99EA" w:rsidR="008353A4" w:rsidRDefault="006D4914" w:rsidP="00D72412">
      <w:pPr>
        <w:tabs>
          <w:tab w:val="left" w:pos="720"/>
        </w:tabs>
        <w:spacing w:line="480" w:lineRule="auto"/>
        <w:rPr>
          <w:szCs w:val="24"/>
        </w:rPr>
      </w:pPr>
      <w:r w:rsidRPr="00D55103">
        <w:rPr>
          <w:szCs w:val="24"/>
        </w:rPr>
        <w:tab/>
      </w:r>
      <w:r w:rsidR="00C32190" w:rsidRPr="00D55103">
        <w:rPr>
          <w:szCs w:val="24"/>
        </w:rPr>
        <w:t>Bo and Grace McCarthy (</w:t>
      </w:r>
      <w:r w:rsidR="007800D5" w:rsidRPr="00D55103">
        <w:rPr>
          <w:szCs w:val="24"/>
        </w:rPr>
        <w:t xml:space="preserve">the McCarthys) </w:t>
      </w:r>
      <w:r w:rsidRPr="00D55103">
        <w:rPr>
          <w:szCs w:val="24"/>
        </w:rPr>
        <w:t xml:space="preserve">employed </w:t>
      </w:r>
      <w:r w:rsidR="007800D5" w:rsidRPr="00D55103">
        <w:rPr>
          <w:szCs w:val="24"/>
        </w:rPr>
        <w:t>Golden</w:t>
      </w:r>
      <w:r w:rsidRPr="00D55103">
        <w:rPr>
          <w:szCs w:val="24"/>
        </w:rPr>
        <w:t xml:space="preserve"> on January</w:t>
      </w:r>
      <w:r w:rsidR="00C977B2">
        <w:rPr>
          <w:szCs w:val="24"/>
        </w:rPr>
        <w:t> </w:t>
      </w:r>
      <w:r w:rsidRPr="00D55103">
        <w:rPr>
          <w:szCs w:val="24"/>
        </w:rPr>
        <w:t>15, 2014.  Between January and October 2014, they paid</w:t>
      </w:r>
      <w:r w:rsidR="007800D5" w:rsidRPr="00D55103">
        <w:rPr>
          <w:szCs w:val="24"/>
        </w:rPr>
        <w:t xml:space="preserve"> Golden fees totaling $13,500.</w:t>
      </w:r>
      <w:r w:rsidR="009A222C">
        <w:rPr>
          <w:szCs w:val="24"/>
        </w:rPr>
        <w:t xml:space="preserve">  </w:t>
      </w:r>
      <w:r w:rsidRPr="00D55103">
        <w:rPr>
          <w:szCs w:val="24"/>
        </w:rPr>
        <w:t>On May</w:t>
      </w:r>
      <w:r w:rsidR="009A222C" w:rsidRPr="00D55103">
        <w:rPr>
          <w:szCs w:val="24"/>
        </w:rPr>
        <w:t> </w:t>
      </w:r>
      <w:r w:rsidRPr="00D55103">
        <w:rPr>
          <w:szCs w:val="24"/>
        </w:rPr>
        <w:t>14, Golden submitted a loan modification request to the McCarthys’</w:t>
      </w:r>
      <w:r w:rsidR="00BA7613" w:rsidRPr="00D55103">
        <w:rPr>
          <w:szCs w:val="24"/>
        </w:rPr>
        <w:t xml:space="preserve"> lender</w:t>
      </w:r>
      <w:r w:rsidR="002D1134">
        <w:rPr>
          <w:szCs w:val="24"/>
        </w:rPr>
        <w:t xml:space="preserve">.  </w:t>
      </w:r>
      <w:r w:rsidR="00495ECA">
        <w:rPr>
          <w:szCs w:val="24"/>
        </w:rPr>
        <w:t xml:space="preserve">Golden </w:t>
      </w:r>
      <w:r w:rsidR="00495ECA" w:rsidRPr="00D55103">
        <w:rPr>
          <w:szCs w:val="24"/>
        </w:rPr>
        <w:t>did not file litigation for the</w:t>
      </w:r>
      <w:r w:rsidR="00495ECA">
        <w:rPr>
          <w:szCs w:val="24"/>
        </w:rPr>
        <w:t xml:space="preserve"> McCarthys.  </w:t>
      </w:r>
      <w:r w:rsidR="002D1134">
        <w:rPr>
          <w:szCs w:val="24"/>
        </w:rPr>
        <w:t>The</w:t>
      </w:r>
      <w:r w:rsidR="00495ECA">
        <w:rPr>
          <w:szCs w:val="24"/>
        </w:rPr>
        <w:t>y</w:t>
      </w:r>
      <w:r w:rsidRPr="00D55103">
        <w:rPr>
          <w:szCs w:val="24"/>
        </w:rPr>
        <w:t xml:space="preserve"> terminated </w:t>
      </w:r>
      <w:r w:rsidR="00BA7613" w:rsidRPr="00D55103">
        <w:rPr>
          <w:szCs w:val="24"/>
        </w:rPr>
        <w:t xml:space="preserve">Golden’s </w:t>
      </w:r>
      <w:r w:rsidRPr="00D55103">
        <w:rPr>
          <w:szCs w:val="24"/>
        </w:rPr>
        <w:t xml:space="preserve">employment </w:t>
      </w:r>
      <w:r w:rsidR="002D1134">
        <w:rPr>
          <w:szCs w:val="24"/>
        </w:rPr>
        <w:t>around</w:t>
      </w:r>
      <w:r w:rsidRPr="00D55103">
        <w:rPr>
          <w:szCs w:val="24"/>
        </w:rPr>
        <w:t xml:space="preserve"> December 2014.</w:t>
      </w:r>
      <w:r w:rsidR="00397CE1" w:rsidRPr="00D55103">
        <w:rPr>
          <w:szCs w:val="24"/>
        </w:rPr>
        <w:t xml:space="preserve">  </w:t>
      </w:r>
      <w:r w:rsidR="00F01A59">
        <w:rPr>
          <w:szCs w:val="24"/>
        </w:rPr>
        <w:t>After</w:t>
      </w:r>
      <w:r w:rsidRPr="00D55103">
        <w:rPr>
          <w:szCs w:val="24"/>
        </w:rPr>
        <w:t xml:space="preserve"> </w:t>
      </w:r>
      <w:r w:rsidR="00A312B3">
        <w:rPr>
          <w:szCs w:val="24"/>
        </w:rPr>
        <w:t>his</w:t>
      </w:r>
      <w:r w:rsidRPr="00D55103">
        <w:rPr>
          <w:szCs w:val="24"/>
        </w:rPr>
        <w:t xml:space="preserve"> termination, </w:t>
      </w:r>
      <w:r w:rsidR="00BA7613" w:rsidRPr="00D55103">
        <w:rPr>
          <w:szCs w:val="24"/>
        </w:rPr>
        <w:t xml:space="preserve">Golden </w:t>
      </w:r>
      <w:r w:rsidRPr="00D55103">
        <w:rPr>
          <w:szCs w:val="24"/>
        </w:rPr>
        <w:t xml:space="preserve">did not render an appropriate accounting </w:t>
      </w:r>
      <w:r w:rsidR="00893053" w:rsidRPr="00922844">
        <w:rPr>
          <w:szCs w:val="24"/>
        </w:rPr>
        <w:t>and failed to refund any advance fees received</w:t>
      </w:r>
      <w:r w:rsidR="00893053">
        <w:rPr>
          <w:szCs w:val="24"/>
        </w:rPr>
        <w:t xml:space="preserve"> from them</w:t>
      </w:r>
      <w:r w:rsidRPr="00D55103">
        <w:rPr>
          <w:szCs w:val="24"/>
        </w:rPr>
        <w:t>.</w:t>
      </w:r>
    </w:p>
    <w:p w14:paraId="0C95A975" w14:textId="77777777" w:rsidR="008353A4" w:rsidRPr="00D55103" w:rsidRDefault="00D72412" w:rsidP="00D72412">
      <w:pPr>
        <w:tabs>
          <w:tab w:val="left" w:pos="720"/>
        </w:tabs>
        <w:spacing w:line="480" w:lineRule="auto"/>
        <w:rPr>
          <w:b/>
          <w:szCs w:val="24"/>
        </w:rPr>
      </w:pPr>
      <w:r w:rsidRPr="00D55103">
        <w:rPr>
          <w:b/>
          <w:szCs w:val="24"/>
        </w:rPr>
        <w:t>H.</w:t>
      </w:r>
      <w:r w:rsidRPr="00D55103">
        <w:rPr>
          <w:b/>
          <w:szCs w:val="24"/>
        </w:rPr>
        <w:tab/>
        <w:t>Garcia Ma</w:t>
      </w:r>
      <w:r w:rsidR="00452F41" w:rsidRPr="00D55103">
        <w:rPr>
          <w:b/>
          <w:szCs w:val="24"/>
        </w:rPr>
        <w:t>tter (Case No. 15-O-10686, NDC-</w:t>
      </w:r>
      <w:r w:rsidRPr="00D55103">
        <w:rPr>
          <w:b/>
          <w:szCs w:val="24"/>
        </w:rPr>
        <w:t>1, Counts Five and Six)</w:t>
      </w:r>
    </w:p>
    <w:p w14:paraId="3B182B63" w14:textId="34739EDD" w:rsidR="00F82D74" w:rsidRPr="00D55103" w:rsidRDefault="00D72412" w:rsidP="00D72412">
      <w:pPr>
        <w:tabs>
          <w:tab w:val="left" w:pos="720"/>
        </w:tabs>
        <w:spacing w:line="480" w:lineRule="auto"/>
        <w:rPr>
          <w:szCs w:val="24"/>
        </w:rPr>
      </w:pPr>
      <w:r w:rsidRPr="00D55103">
        <w:rPr>
          <w:b/>
          <w:szCs w:val="24"/>
        </w:rPr>
        <w:tab/>
      </w:r>
      <w:r w:rsidR="00DF3612" w:rsidRPr="00D55103">
        <w:rPr>
          <w:szCs w:val="24"/>
        </w:rPr>
        <w:t xml:space="preserve">Robert Garcia </w:t>
      </w:r>
      <w:r w:rsidRPr="00D55103">
        <w:rPr>
          <w:szCs w:val="24"/>
        </w:rPr>
        <w:t xml:space="preserve">employed Golden </w:t>
      </w:r>
      <w:r w:rsidR="00DF3612" w:rsidRPr="00D55103">
        <w:rPr>
          <w:szCs w:val="24"/>
        </w:rPr>
        <w:t>on July</w:t>
      </w:r>
      <w:r w:rsidR="00E40DE8">
        <w:rPr>
          <w:szCs w:val="24"/>
        </w:rPr>
        <w:t> </w:t>
      </w:r>
      <w:r w:rsidR="00DF3612" w:rsidRPr="00D55103">
        <w:rPr>
          <w:szCs w:val="24"/>
        </w:rPr>
        <w:t>30, 2014, a</w:t>
      </w:r>
      <w:r w:rsidRPr="00D55103">
        <w:rPr>
          <w:szCs w:val="24"/>
        </w:rPr>
        <w:t xml:space="preserve">nd </w:t>
      </w:r>
      <w:r w:rsidR="00A312B3">
        <w:rPr>
          <w:szCs w:val="24"/>
        </w:rPr>
        <w:t>paid him</w:t>
      </w:r>
      <w:r w:rsidRPr="00D55103">
        <w:rPr>
          <w:szCs w:val="24"/>
        </w:rPr>
        <w:t xml:space="preserve"> a </w:t>
      </w:r>
      <w:r w:rsidR="00FB2D59" w:rsidRPr="00D55103">
        <w:rPr>
          <w:szCs w:val="24"/>
        </w:rPr>
        <w:t xml:space="preserve">$1,650 </w:t>
      </w:r>
      <w:r w:rsidRPr="00D55103">
        <w:rPr>
          <w:szCs w:val="24"/>
        </w:rPr>
        <w:t xml:space="preserve">advance fee.  </w:t>
      </w:r>
      <w:r w:rsidR="00F01A59">
        <w:rPr>
          <w:szCs w:val="24"/>
        </w:rPr>
        <w:t>By S</w:t>
      </w:r>
      <w:r w:rsidRPr="00D55103">
        <w:rPr>
          <w:szCs w:val="24"/>
        </w:rPr>
        <w:t xml:space="preserve">eptember 2014, </w:t>
      </w:r>
      <w:r w:rsidR="007C35A2" w:rsidRPr="00D55103">
        <w:rPr>
          <w:szCs w:val="24"/>
        </w:rPr>
        <w:t>he</w:t>
      </w:r>
      <w:r w:rsidRPr="00D55103">
        <w:rPr>
          <w:szCs w:val="24"/>
        </w:rPr>
        <w:t xml:space="preserve"> </w:t>
      </w:r>
      <w:r w:rsidR="00F01A59">
        <w:rPr>
          <w:szCs w:val="24"/>
        </w:rPr>
        <w:t xml:space="preserve">had </w:t>
      </w:r>
      <w:r w:rsidRPr="00D55103">
        <w:rPr>
          <w:szCs w:val="24"/>
        </w:rPr>
        <w:t>paid Golden fees totaling $4,950.</w:t>
      </w:r>
      <w:r w:rsidR="002D1134">
        <w:rPr>
          <w:szCs w:val="24"/>
        </w:rPr>
        <w:t xml:space="preserve">  </w:t>
      </w:r>
      <w:r w:rsidRPr="00D55103">
        <w:rPr>
          <w:szCs w:val="24"/>
        </w:rPr>
        <w:t xml:space="preserve">In August 2014, Golden started </w:t>
      </w:r>
      <w:r w:rsidRPr="00D55103">
        <w:rPr>
          <w:szCs w:val="24"/>
        </w:rPr>
        <w:lastRenderedPageBreak/>
        <w:t>preparing a loan modification application for Garcia.  Garcia terminated Golden’s employment effective October</w:t>
      </w:r>
      <w:r w:rsidR="00E40DE8">
        <w:rPr>
          <w:szCs w:val="24"/>
        </w:rPr>
        <w:t> </w:t>
      </w:r>
      <w:r w:rsidRPr="00D55103">
        <w:rPr>
          <w:szCs w:val="24"/>
        </w:rPr>
        <w:t>16, 2014</w:t>
      </w:r>
      <w:r w:rsidR="00A312B3">
        <w:rPr>
          <w:szCs w:val="24"/>
        </w:rPr>
        <w:t>, but</w:t>
      </w:r>
      <w:r w:rsidR="002D1134">
        <w:rPr>
          <w:szCs w:val="24"/>
        </w:rPr>
        <w:t xml:space="preserve"> </w:t>
      </w:r>
      <w:r w:rsidRPr="00D55103">
        <w:rPr>
          <w:szCs w:val="24"/>
        </w:rPr>
        <w:t xml:space="preserve">reinstated </w:t>
      </w:r>
      <w:r w:rsidR="00A312B3">
        <w:rPr>
          <w:szCs w:val="24"/>
        </w:rPr>
        <w:t>it</w:t>
      </w:r>
      <w:r w:rsidRPr="00D55103">
        <w:rPr>
          <w:szCs w:val="24"/>
        </w:rPr>
        <w:t xml:space="preserve"> on November</w:t>
      </w:r>
      <w:r w:rsidR="00E40DE8">
        <w:rPr>
          <w:szCs w:val="24"/>
        </w:rPr>
        <w:t> </w:t>
      </w:r>
      <w:r w:rsidRPr="00D55103">
        <w:rPr>
          <w:szCs w:val="24"/>
        </w:rPr>
        <w:t xml:space="preserve">21.  In February 2015, Garcia again terminated </w:t>
      </w:r>
      <w:r w:rsidR="0067165F" w:rsidRPr="00D55103">
        <w:rPr>
          <w:szCs w:val="24"/>
        </w:rPr>
        <w:t xml:space="preserve">Golden’s employment.  </w:t>
      </w:r>
      <w:r w:rsidR="00E14FAE" w:rsidRPr="00D55103">
        <w:rPr>
          <w:szCs w:val="24"/>
        </w:rPr>
        <w:t xml:space="preserve">Golden </w:t>
      </w:r>
      <w:r w:rsidR="009065AA">
        <w:rPr>
          <w:szCs w:val="24"/>
        </w:rPr>
        <w:t xml:space="preserve">did not </w:t>
      </w:r>
      <w:r w:rsidRPr="00D55103">
        <w:rPr>
          <w:szCs w:val="24"/>
        </w:rPr>
        <w:t>submit</w:t>
      </w:r>
      <w:r w:rsidR="009065AA">
        <w:rPr>
          <w:szCs w:val="24"/>
        </w:rPr>
        <w:t xml:space="preserve"> </w:t>
      </w:r>
      <w:r w:rsidRPr="00D55103">
        <w:rPr>
          <w:szCs w:val="24"/>
        </w:rPr>
        <w:t xml:space="preserve">a loan modification </w:t>
      </w:r>
      <w:r w:rsidR="00F01A59">
        <w:rPr>
          <w:szCs w:val="24"/>
        </w:rPr>
        <w:t xml:space="preserve">request </w:t>
      </w:r>
      <w:r w:rsidR="00945948">
        <w:rPr>
          <w:szCs w:val="24"/>
        </w:rPr>
        <w:t xml:space="preserve">or file litigation </w:t>
      </w:r>
      <w:r w:rsidRPr="00D55103">
        <w:rPr>
          <w:szCs w:val="24"/>
        </w:rPr>
        <w:t>for</w:t>
      </w:r>
      <w:r w:rsidR="00D35672">
        <w:rPr>
          <w:szCs w:val="24"/>
        </w:rPr>
        <w:t xml:space="preserve"> Garcia</w:t>
      </w:r>
      <w:r w:rsidR="009065AA">
        <w:rPr>
          <w:szCs w:val="24"/>
        </w:rPr>
        <w:t xml:space="preserve">.  </w:t>
      </w:r>
      <w:r w:rsidR="00A312B3">
        <w:rPr>
          <w:szCs w:val="24"/>
        </w:rPr>
        <w:t xml:space="preserve">After </w:t>
      </w:r>
      <w:r w:rsidR="00945948">
        <w:rPr>
          <w:szCs w:val="24"/>
        </w:rPr>
        <w:t xml:space="preserve">his </w:t>
      </w:r>
      <w:r w:rsidR="00A312B3">
        <w:rPr>
          <w:szCs w:val="24"/>
        </w:rPr>
        <w:t>termination</w:t>
      </w:r>
      <w:r w:rsidR="008379E7">
        <w:rPr>
          <w:szCs w:val="24"/>
        </w:rPr>
        <w:t xml:space="preserve">, </w:t>
      </w:r>
      <w:r w:rsidR="00945948">
        <w:rPr>
          <w:szCs w:val="24"/>
        </w:rPr>
        <w:t>Golden</w:t>
      </w:r>
      <w:r w:rsidR="00E14FAE" w:rsidRPr="00D55103">
        <w:rPr>
          <w:szCs w:val="24"/>
        </w:rPr>
        <w:t xml:space="preserve"> </w:t>
      </w:r>
      <w:r w:rsidRPr="00D55103">
        <w:rPr>
          <w:szCs w:val="24"/>
        </w:rPr>
        <w:t>did not render an appropriate accounting to Garcia</w:t>
      </w:r>
      <w:r w:rsidR="00893053" w:rsidRPr="00893053">
        <w:rPr>
          <w:szCs w:val="24"/>
        </w:rPr>
        <w:t xml:space="preserve"> </w:t>
      </w:r>
      <w:r w:rsidR="00893053" w:rsidRPr="00922844">
        <w:rPr>
          <w:szCs w:val="24"/>
        </w:rPr>
        <w:t>and failed to refund any advance fees received</w:t>
      </w:r>
      <w:r w:rsidR="00893053">
        <w:rPr>
          <w:szCs w:val="24"/>
        </w:rPr>
        <w:t xml:space="preserve"> from him</w:t>
      </w:r>
      <w:r w:rsidRPr="00D55103">
        <w:rPr>
          <w:szCs w:val="24"/>
        </w:rPr>
        <w:t>.</w:t>
      </w:r>
    </w:p>
    <w:p w14:paraId="496B22B9" w14:textId="77777777" w:rsidR="00F805F1" w:rsidRPr="00D55103" w:rsidRDefault="00F805F1" w:rsidP="00F805F1">
      <w:pPr>
        <w:tabs>
          <w:tab w:val="left" w:pos="720"/>
        </w:tabs>
        <w:spacing w:line="480" w:lineRule="auto"/>
        <w:rPr>
          <w:b/>
          <w:szCs w:val="24"/>
        </w:rPr>
      </w:pPr>
      <w:r w:rsidRPr="00D55103">
        <w:rPr>
          <w:b/>
          <w:szCs w:val="24"/>
        </w:rPr>
        <w:t>I.</w:t>
      </w:r>
      <w:r w:rsidRPr="00D55103">
        <w:rPr>
          <w:b/>
          <w:szCs w:val="24"/>
        </w:rPr>
        <w:tab/>
        <w:t>Kessler Matter (Case No. 15</w:t>
      </w:r>
      <w:r w:rsidR="00452F41" w:rsidRPr="00D55103">
        <w:rPr>
          <w:b/>
          <w:szCs w:val="24"/>
        </w:rPr>
        <w:t>-O-11035, NDC-</w:t>
      </w:r>
      <w:r w:rsidRPr="00D55103">
        <w:rPr>
          <w:b/>
          <w:szCs w:val="24"/>
        </w:rPr>
        <w:t>1, Counts Seven and Eight)</w:t>
      </w:r>
    </w:p>
    <w:p w14:paraId="1C84B820" w14:textId="0805DB07" w:rsidR="001634FE" w:rsidRPr="00D55103" w:rsidRDefault="00F805F1" w:rsidP="00F805F1">
      <w:pPr>
        <w:tabs>
          <w:tab w:val="left" w:pos="720"/>
        </w:tabs>
        <w:spacing w:line="480" w:lineRule="auto"/>
        <w:rPr>
          <w:szCs w:val="24"/>
        </w:rPr>
      </w:pPr>
      <w:r w:rsidRPr="00D55103">
        <w:rPr>
          <w:szCs w:val="24"/>
        </w:rPr>
        <w:tab/>
        <w:t>Adrienne Kessler employed Golden on August</w:t>
      </w:r>
      <w:r w:rsidR="00E40DE8">
        <w:rPr>
          <w:szCs w:val="24"/>
        </w:rPr>
        <w:t> </w:t>
      </w:r>
      <w:r w:rsidRPr="00D55103">
        <w:rPr>
          <w:szCs w:val="24"/>
        </w:rPr>
        <w:t xml:space="preserve">2, 2012.  </w:t>
      </w:r>
      <w:r w:rsidR="00D35672">
        <w:rPr>
          <w:szCs w:val="24"/>
        </w:rPr>
        <w:t>Their</w:t>
      </w:r>
      <w:r w:rsidRPr="00D55103">
        <w:rPr>
          <w:szCs w:val="24"/>
        </w:rPr>
        <w:t xml:space="preserve"> fee agreement did not </w:t>
      </w:r>
      <w:r w:rsidR="00D35672">
        <w:rPr>
          <w:szCs w:val="24"/>
        </w:rPr>
        <w:t>contain</w:t>
      </w:r>
      <w:r w:rsidRPr="00D55103">
        <w:rPr>
          <w:szCs w:val="24"/>
        </w:rPr>
        <w:t xml:space="preserve"> the </w:t>
      </w:r>
      <w:r w:rsidR="00D90D0A" w:rsidRPr="00D90D0A">
        <w:rPr>
          <w:szCs w:val="24"/>
        </w:rPr>
        <w:t>§ 2944.6 disclaimer</w:t>
      </w:r>
      <w:r w:rsidRPr="00D55103">
        <w:rPr>
          <w:szCs w:val="24"/>
        </w:rPr>
        <w:t>.</w:t>
      </w:r>
      <w:r w:rsidRPr="00D55103">
        <w:rPr>
          <w:rStyle w:val="FootnoteReference"/>
          <w:szCs w:val="24"/>
        </w:rPr>
        <w:footnoteReference w:id="13"/>
      </w:r>
      <w:r w:rsidRPr="00D55103">
        <w:rPr>
          <w:szCs w:val="24"/>
        </w:rPr>
        <w:t xml:space="preserve">  Between August 2012 and October 2014, Kessler paid Go</w:t>
      </w:r>
      <w:r w:rsidR="006E63E5" w:rsidRPr="00D55103">
        <w:rPr>
          <w:szCs w:val="24"/>
        </w:rPr>
        <w:t>lden fees totaling $41,599.60.</w:t>
      </w:r>
      <w:r w:rsidR="004F2FA2">
        <w:rPr>
          <w:szCs w:val="24"/>
        </w:rPr>
        <w:t xml:space="preserve">  </w:t>
      </w:r>
      <w:r w:rsidRPr="00D55103">
        <w:rPr>
          <w:szCs w:val="24"/>
        </w:rPr>
        <w:t xml:space="preserve">In November 2012, Golden submitted a loan modification request to </w:t>
      </w:r>
      <w:r w:rsidR="00261CF8">
        <w:rPr>
          <w:szCs w:val="24"/>
        </w:rPr>
        <w:t>Kessler’s</w:t>
      </w:r>
      <w:r w:rsidRPr="00D55103">
        <w:rPr>
          <w:szCs w:val="24"/>
        </w:rPr>
        <w:t xml:space="preserve"> lender.  Golden later submitted</w:t>
      </w:r>
      <w:r w:rsidR="001634FE" w:rsidRPr="00D55103">
        <w:rPr>
          <w:szCs w:val="24"/>
        </w:rPr>
        <w:t xml:space="preserve"> </w:t>
      </w:r>
      <w:r w:rsidRPr="00D55103">
        <w:rPr>
          <w:szCs w:val="24"/>
        </w:rPr>
        <w:t xml:space="preserve">further </w:t>
      </w:r>
      <w:r w:rsidR="00D35672">
        <w:rPr>
          <w:szCs w:val="24"/>
        </w:rPr>
        <w:t>documentation</w:t>
      </w:r>
      <w:r w:rsidRPr="00D55103">
        <w:rPr>
          <w:szCs w:val="24"/>
        </w:rPr>
        <w:t xml:space="preserve"> </w:t>
      </w:r>
      <w:r w:rsidR="00102DCC">
        <w:rPr>
          <w:szCs w:val="24"/>
        </w:rPr>
        <w:t>for</w:t>
      </w:r>
      <w:r w:rsidRPr="00D55103">
        <w:rPr>
          <w:szCs w:val="24"/>
        </w:rPr>
        <w:t xml:space="preserve"> the request</w:t>
      </w:r>
      <w:r w:rsidR="001F71D6" w:rsidRPr="00D55103">
        <w:rPr>
          <w:szCs w:val="24"/>
        </w:rPr>
        <w:t xml:space="preserve">, which </w:t>
      </w:r>
      <w:r w:rsidR="001634FE" w:rsidRPr="00D55103">
        <w:rPr>
          <w:szCs w:val="24"/>
        </w:rPr>
        <w:t>was eventually denied.</w:t>
      </w:r>
    </w:p>
    <w:p w14:paraId="33211D4C" w14:textId="293D1217" w:rsidR="008353A4" w:rsidRPr="00D55103" w:rsidRDefault="001634FE" w:rsidP="009F3AF4">
      <w:pPr>
        <w:tabs>
          <w:tab w:val="left" w:pos="720"/>
        </w:tabs>
        <w:spacing w:line="480" w:lineRule="auto"/>
        <w:rPr>
          <w:b/>
          <w:szCs w:val="24"/>
        </w:rPr>
      </w:pPr>
      <w:r w:rsidRPr="00D55103">
        <w:rPr>
          <w:szCs w:val="24"/>
        </w:rPr>
        <w:tab/>
      </w:r>
      <w:r w:rsidR="00261CF8">
        <w:rPr>
          <w:szCs w:val="24"/>
        </w:rPr>
        <w:t xml:space="preserve">In March 2014, </w:t>
      </w:r>
      <w:r w:rsidRPr="00D55103">
        <w:rPr>
          <w:szCs w:val="24"/>
        </w:rPr>
        <w:t xml:space="preserve">Golden </w:t>
      </w:r>
      <w:r w:rsidR="00F805F1" w:rsidRPr="00D55103">
        <w:rPr>
          <w:szCs w:val="24"/>
        </w:rPr>
        <w:t>fil</w:t>
      </w:r>
      <w:r w:rsidRPr="00D55103">
        <w:rPr>
          <w:szCs w:val="24"/>
        </w:rPr>
        <w:t xml:space="preserve">ed a civil complaint </w:t>
      </w:r>
      <w:r w:rsidR="00261CF8">
        <w:rPr>
          <w:szCs w:val="24"/>
        </w:rPr>
        <w:t>for</w:t>
      </w:r>
      <w:r w:rsidRPr="00D55103">
        <w:rPr>
          <w:szCs w:val="24"/>
        </w:rPr>
        <w:t xml:space="preserve"> Kessler</w:t>
      </w:r>
      <w:r w:rsidR="00F805F1" w:rsidRPr="00D55103">
        <w:rPr>
          <w:szCs w:val="24"/>
        </w:rPr>
        <w:t>, which was</w:t>
      </w:r>
      <w:r w:rsidRPr="00D55103">
        <w:rPr>
          <w:szCs w:val="24"/>
        </w:rPr>
        <w:t xml:space="preserve"> </w:t>
      </w:r>
      <w:r w:rsidR="00F805F1" w:rsidRPr="00D55103">
        <w:rPr>
          <w:szCs w:val="24"/>
        </w:rPr>
        <w:t>removed t</w:t>
      </w:r>
      <w:r w:rsidRPr="00D55103">
        <w:rPr>
          <w:szCs w:val="24"/>
        </w:rPr>
        <w:t>o federal court in December 201</w:t>
      </w:r>
      <w:r w:rsidR="00F805F1" w:rsidRPr="00D55103">
        <w:rPr>
          <w:szCs w:val="24"/>
        </w:rPr>
        <w:t>4</w:t>
      </w:r>
      <w:r w:rsidR="003301C3">
        <w:rPr>
          <w:szCs w:val="24"/>
        </w:rPr>
        <w:t xml:space="preserve"> and thereafter</w:t>
      </w:r>
      <w:r w:rsidRPr="00D55103">
        <w:rPr>
          <w:szCs w:val="24"/>
        </w:rPr>
        <w:t xml:space="preserve"> </w:t>
      </w:r>
      <w:r w:rsidR="00F805F1" w:rsidRPr="00D55103">
        <w:rPr>
          <w:szCs w:val="24"/>
        </w:rPr>
        <w:t xml:space="preserve">dismissed </w:t>
      </w:r>
      <w:r w:rsidR="003301C3">
        <w:rPr>
          <w:szCs w:val="24"/>
        </w:rPr>
        <w:t>by Golden</w:t>
      </w:r>
      <w:r w:rsidR="00F805F1" w:rsidRPr="00D55103">
        <w:rPr>
          <w:szCs w:val="24"/>
        </w:rPr>
        <w:t xml:space="preserve">. </w:t>
      </w:r>
      <w:r w:rsidRPr="00D55103">
        <w:rPr>
          <w:szCs w:val="24"/>
        </w:rPr>
        <w:t xml:space="preserve"> </w:t>
      </w:r>
      <w:r w:rsidR="00F805F1" w:rsidRPr="00D55103">
        <w:rPr>
          <w:szCs w:val="24"/>
        </w:rPr>
        <w:t xml:space="preserve">Kessler terminated </w:t>
      </w:r>
      <w:r w:rsidRPr="00D55103">
        <w:rPr>
          <w:szCs w:val="24"/>
        </w:rPr>
        <w:t xml:space="preserve">Golden’s representation in January 2015.  </w:t>
      </w:r>
      <w:r w:rsidR="00D90D0A">
        <w:rPr>
          <w:szCs w:val="24"/>
        </w:rPr>
        <w:t>After</w:t>
      </w:r>
      <w:r w:rsidR="00F805F1" w:rsidRPr="00D55103">
        <w:rPr>
          <w:szCs w:val="24"/>
        </w:rPr>
        <w:t xml:space="preserve"> </w:t>
      </w:r>
      <w:r w:rsidR="00261CF8">
        <w:rPr>
          <w:szCs w:val="24"/>
        </w:rPr>
        <w:t>his</w:t>
      </w:r>
      <w:r w:rsidRPr="00D55103">
        <w:rPr>
          <w:szCs w:val="24"/>
        </w:rPr>
        <w:t xml:space="preserve"> termination</w:t>
      </w:r>
      <w:r w:rsidR="00F805F1" w:rsidRPr="00D55103">
        <w:rPr>
          <w:szCs w:val="24"/>
        </w:rPr>
        <w:t xml:space="preserve">, </w:t>
      </w:r>
      <w:r w:rsidRPr="00D55103">
        <w:rPr>
          <w:szCs w:val="24"/>
        </w:rPr>
        <w:t xml:space="preserve">Golden did not render an appropriate </w:t>
      </w:r>
      <w:r w:rsidR="00F805F1" w:rsidRPr="00D55103">
        <w:rPr>
          <w:szCs w:val="24"/>
        </w:rPr>
        <w:t>accounting to Kessler</w:t>
      </w:r>
      <w:r w:rsidR="00893053" w:rsidRPr="00893053">
        <w:rPr>
          <w:szCs w:val="24"/>
        </w:rPr>
        <w:t xml:space="preserve"> </w:t>
      </w:r>
      <w:r w:rsidR="00893053" w:rsidRPr="00922844">
        <w:rPr>
          <w:szCs w:val="24"/>
        </w:rPr>
        <w:t>and failed to refund any advance fees received</w:t>
      </w:r>
      <w:r w:rsidR="00893053">
        <w:rPr>
          <w:szCs w:val="24"/>
        </w:rPr>
        <w:t xml:space="preserve"> from her</w:t>
      </w:r>
      <w:r w:rsidR="00F805F1" w:rsidRPr="00D55103">
        <w:rPr>
          <w:szCs w:val="24"/>
        </w:rPr>
        <w:t>.</w:t>
      </w:r>
    </w:p>
    <w:p w14:paraId="186DBAB0" w14:textId="77777777" w:rsidR="009F3AF4" w:rsidRPr="00D55103" w:rsidRDefault="009F3AF4" w:rsidP="009F3AF4">
      <w:pPr>
        <w:tabs>
          <w:tab w:val="left" w:pos="720"/>
        </w:tabs>
        <w:spacing w:line="480" w:lineRule="auto"/>
        <w:rPr>
          <w:b/>
          <w:szCs w:val="24"/>
        </w:rPr>
      </w:pPr>
      <w:r w:rsidRPr="00D55103">
        <w:rPr>
          <w:b/>
          <w:szCs w:val="24"/>
        </w:rPr>
        <w:t>J.</w:t>
      </w:r>
      <w:r w:rsidRPr="00D55103">
        <w:rPr>
          <w:b/>
          <w:szCs w:val="24"/>
        </w:rPr>
        <w:tab/>
        <w:t>Soule Ma</w:t>
      </w:r>
      <w:r w:rsidR="00452F41" w:rsidRPr="00D55103">
        <w:rPr>
          <w:b/>
          <w:szCs w:val="24"/>
        </w:rPr>
        <w:t>tter (Case No. 15-O-11090, NDC-</w:t>
      </w:r>
      <w:r w:rsidRPr="00D55103">
        <w:rPr>
          <w:b/>
          <w:szCs w:val="24"/>
        </w:rPr>
        <w:t>1, Counts Nine–Eleven)</w:t>
      </w:r>
    </w:p>
    <w:p w14:paraId="449FAFC1" w14:textId="436201CD" w:rsidR="00AD5B25" w:rsidRPr="00D55103" w:rsidRDefault="006E63E5" w:rsidP="009F3AF4">
      <w:pPr>
        <w:tabs>
          <w:tab w:val="left" w:pos="720"/>
        </w:tabs>
        <w:spacing w:line="480" w:lineRule="auto"/>
        <w:rPr>
          <w:szCs w:val="24"/>
        </w:rPr>
      </w:pPr>
      <w:r w:rsidRPr="00D55103">
        <w:rPr>
          <w:szCs w:val="24"/>
        </w:rPr>
        <w:tab/>
        <w:t xml:space="preserve">Felice Soule </w:t>
      </w:r>
      <w:r w:rsidR="009F3AF4" w:rsidRPr="00D55103">
        <w:rPr>
          <w:szCs w:val="24"/>
        </w:rPr>
        <w:t xml:space="preserve">employed </w:t>
      </w:r>
      <w:r w:rsidR="00AD5B25" w:rsidRPr="00D55103">
        <w:rPr>
          <w:szCs w:val="24"/>
        </w:rPr>
        <w:t xml:space="preserve">Golden </w:t>
      </w:r>
      <w:r w:rsidR="009F3AF4" w:rsidRPr="00D55103">
        <w:rPr>
          <w:szCs w:val="24"/>
        </w:rPr>
        <w:t xml:space="preserve">on </w:t>
      </w:r>
      <w:r w:rsidR="00E40DE8">
        <w:rPr>
          <w:szCs w:val="24"/>
        </w:rPr>
        <w:t>September </w:t>
      </w:r>
      <w:r w:rsidR="009F3AF4" w:rsidRPr="00D55103">
        <w:rPr>
          <w:szCs w:val="24"/>
        </w:rPr>
        <w:t>21,</w:t>
      </w:r>
      <w:r w:rsidR="00AD5B25" w:rsidRPr="00D55103">
        <w:rPr>
          <w:szCs w:val="24"/>
        </w:rPr>
        <w:t xml:space="preserve"> </w:t>
      </w:r>
      <w:r w:rsidR="009F3AF4" w:rsidRPr="00D55103">
        <w:rPr>
          <w:szCs w:val="24"/>
        </w:rPr>
        <w:t>2012, and paid him an advance fee</w:t>
      </w:r>
      <w:r w:rsidR="00AD5B25" w:rsidRPr="00D55103">
        <w:rPr>
          <w:szCs w:val="24"/>
        </w:rPr>
        <w:t xml:space="preserve"> </w:t>
      </w:r>
      <w:r w:rsidR="009F3AF4" w:rsidRPr="00D55103">
        <w:rPr>
          <w:szCs w:val="24"/>
        </w:rPr>
        <w:t>of $1,500 on September</w:t>
      </w:r>
      <w:r w:rsidR="00E40DE8">
        <w:rPr>
          <w:szCs w:val="24"/>
        </w:rPr>
        <w:t> </w:t>
      </w:r>
      <w:r w:rsidR="009F3AF4" w:rsidRPr="00D55103">
        <w:rPr>
          <w:szCs w:val="24"/>
        </w:rPr>
        <w:t xml:space="preserve">30, 2012. </w:t>
      </w:r>
      <w:r w:rsidR="00AD5B25" w:rsidRPr="00D55103">
        <w:rPr>
          <w:szCs w:val="24"/>
        </w:rPr>
        <w:t xml:space="preserve"> </w:t>
      </w:r>
      <w:r w:rsidR="00102DCC">
        <w:rPr>
          <w:szCs w:val="24"/>
        </w:rPr>
        <w:t>Their</w:t>
      </w:r>
      <w:r w:rsidR="00AD5B25" w:rsidRPr="00D55103">
        <w:rPr>
          <w:szCs w:val="24"/>
        </w:rPr>
        <w:t xml:space="preserve"> </w:t>
      </w:r>
      <w:r w:rsidR="009F3AF4" w:rsidRPr="00D55103">
        <w:rPr>
          <w:szCs w:val="24"/>
        </w:rPr>
        <w:t xml:space="preserve">fee agreement did not </w:t>
      </w:r>
      <w:r w:rsidR="00102DCC">
        <w:rPr>
          <w:szCs w:val="24"/>
        </w:rPr>
        <w:t>contain</w:t>
      </w:r>
      <w:r w:rsidR="009F3AF4" w:rsidRPr="00D55103">
        <w:rPr>
          <w:szCs w:val="24"/>
        </w:rPr>
        <w:t xml:space="preserve"> the</w:t>
      </w:r>
      <w:r w:rsidR="00AD5B25" w:rsidRPr="00D55103">
        <w:rPr>
          <w:szCs w:val="24"/>
        </w:rPr>
        <w:t xml:space="preserve"> </w:t>
      </w:r>
      <w:r w:rsidR="00D90D0A" w:rsidRPr="00D90D0A">
        <w:rPr>
          <w:szCs w:val="24"/>
        </w:rPr>
        <w:t>§ 2944.6 disclaimer</w:t>
      </w:r>
      <w:r w:rsidR="009F3AF4" w:rsidRPr="00D55103">
        <w:rPr>
          <w:szCs w:val="24"/>
        </w:rPr>
        <w:t xml:space="preserve">. </w:t>
      </w:r>
      <w:r w:rsidR="00AD5B25" w:rsidRPr="00D55103">
        <w:rPr>
          <w:szCs w:val="24"/>
        </w:rPr>
        <w:t xml:space="preserve"> From November 2012</w:t>
      </w:r>
      <w:r w:rsidR="009F3AF4" w:rsidRPr="00D55103">
        <w:rPr>
          <w:szCs w:val="24"/>
        </w:rPr>
        <w:t xml:space="preserve"> to</w:t>
      </w:r>
      <w:r w:rsidR="00AD5B25" w:rsidRPr="00D55103">
        <w:rPr>
          <w:szCs w:val="24"/>
        </w:rPr>
        <w:t xml:space="preserve"> October 2014</w:t>
      </w:r>
      <w:r w:rsidR="009F3AF4" w:rsidRPr="00D55103">
        <w:rPr>
          <w:szCs w:val="24"/>
        </w:rPr>
        <w:t xml:space="preserve">, Soule made monthly payments to </w:t>
      </w:r>
      <w:r w:rsidR="00AD5B25" w:rsidRPr="00D55103">
        <w:rPr>
          <w:szCs w:val="24"/>
        </w:rPr>
        <w:t>Golden</w:t>
      </w:r>
      <w:r w:rsidR="009F3AF4" w:rsidRPr="00D55103">
        <w:rPr>
          <w:szCs w:val="24"/>
        </w:rPr>
        <w:t xml:space="preserve">. </w:t>
      </w:r>
      <w:r w:rsidR="00AD5B25" w:rsidRPr="00D55103">
        <w:rPr>
          <w:szCs w:val="24"/>
        </w:rPr>
        <w:t xml:space="preserve"> </w:t>
      </w:r>
      <w:r w:rsidR="009F3AF4" w:rsidRPr="00D55103">
        <w:rPr>
          <w:szCs w:val="24"/>
        </w:rPr>
        <w:t xml:space="preserve">In total, Soule paid </w:t>
      </w:r>
      <w:r w:rsidR="00AD5B25" w:rsidRPr="00D55103">
        <w:rPr>
          <w:szCs w:val="24"/>
        </w:rPr>
        <w:t xml:space="preserve">Golden </w:t>
      </w:r>
      <w:r w:rsidR="009F3AF4" w:rsidRPr="00D55103">
        <w:rPr>
          <w:szCs w:val="24"/>
        </w:rPr>
        <w:t>$32,000.</w:t>
      </w:r>
    </w:p>
    <w:p w14:paraId="3D265355" w14:textId="66ED9879" w:rsidR="006E63E5" w:rsidRPr="00D55103" w:rsidRDefault="00AD5B25" w:rsidP="006A1492">
      <w:pPr>
        <w:tabs>
          <w:tab w:val="left" w:pos="720"/>
        </w:tabs>
        <w:spacing w:line="480" w:lineRule="auto"/>
        <w:ind w:right="-144"/>
        <w:rPr>
          <w:szCs w:val="24"/>
        </w:rPr>
      </w:pPr>
      <w:r w:rsidRPr="00D55103">
        <w:rPr>
          <w:szCs w:val="24"/>
        </w:rPr>
        <w:tab/>
      </w:r>
      <w:r w:rsidR="00E40DE8">
        <w:rPr>
          <w:szCs w:val="24"/>
        </w:rPr>
        <w:t>On November </w:t>
      </w:r>
      <w:r w:rsidR="009F3AF4" w:rsidRPr="00D55103">
        <w:rPr>
          <w:szCs w:val="24"/>
        </w:rPr>
        <w:t>27,</w:t>
      </w:r>
      <w:r w:rsidRPr="00D55103">
        <w:rPr>
          <w:szCs w:val="24"/>
        </w:rPr>
        <w:t xml:space="preserve"> </w:t>
      </w:r>
      <w:r w:rsidR="009F3AF4" w:rsidRPr="00D55103">
        <w:rPr>
          <w:szCs w:val="24"/>
        </w:rPr>
        <w:t>20</w:t>
      </w:r>
      <w:r w:rsidRPr="00D55103">
        <w:rPr>
          <w:szCs w:val="24"/>
        </w:rPr>
        <w:t>1</w:t>
      </w:r>
      <w:r w:rsidR="009F3AF4" w:rsidRPr="00D55103">
        <w:rPr>
          <w:szCs w:val="24"/>
        </w:rPr>
        <w:t xml:space="preserve">2, </w:t>
      </w:r>
      <w:r w:rsidRPr="00D55103">
        <w:rPr>
          <w:szCs w:val="24"/>
        </w:rPr>
        <w:t xml:space="preserve">Golden </w:t>
      </w:r>
      <w:r w:rsidR="009F3AF4" w:rsidRPr="00D55103">
        <w:rPr>
          <w:szCs w:val="24"/>
        </w:rPr>
        <w:t xml:space="preserve">submitted a loan modification request to </w:t>
      </w:r>
      <w:r w:rsidR="00261CF8">
        <w:rPr>
          <w:szCs w:val="24"/>
        </w:rPr>
        <w:t>Soule’s</w:t>
      </w:r>
      <w:r w:rsidR="009F3AF4" w:rsidRPr="00D55103">
        <w:rPr>
          <w:szCs w:val="24"/>
        </w:rPr>
        <w:t xml:space="preserve"> lender. </w:t>
      </w:r>
      <w:r w:rsidRPr="00D55103">
        <w:rPr>
          <w:szCs w:val="24"/>
        </w:rPr>
        <w:t xml:space="preserve"> Golden l</w:t>
      </w:r>
      <w:r w:rsidR="009F3AF4" w:rsidRPr="00D55103">
        <w:rPr>
          <w:szCs w:val="24"/>
        </w:rPr>
        <w:t>ater submitted</w:t>
      </w:r>
      <w:r w:rsidRPr="00D55103">
        <w:rPr>
          <w:szCs w:val="24"/>
        </w:rPr>
        <w:t xml:space="preserve"> </w:t>
      </w:r>
      <w:r w:rsidR="009F3AF4" w:rsidRPr="00D55103">
        <w:rPr>
          <w:szCs w:val="24"/>
        </w:rPr>
        <w:t xml:space="preserve">further </w:t>
      </w:r>
      <w:r w:rsidR="00102DCC">
        <w:rPr>
          <w:szCs w:val="24"/>
        </w:rPr>
        <w:t xml:space="preserve">documentation </w:t>
      </w:r>
      <w:r w:rsidR="00D706FE">
        <w:rPr>
          <w:szCs w:val="24"/>
        </w:rPr>
        <w:t>in support of the loan modification reques</w:t>
      </w:r>
      <w:r w:rsidRPr="00D55103">
        <w:rPr>
          <w:szCs w:val="24"/>
        </w:rPr>
        <w:t>t</w:t>
      </w:r>
      <w:r w:rsidR="00261CF8">
        <w:rPr>
          <w:szCs w:val="24"/>
        </w:rPr>
        <w:t>, which was</w:t>
      </w:r>
      <w:r w:rsidRPr="00D55103">
        <w:rPr>
          <w:szCs w:val="24"/>
        </w:rPr>
        <w:t xml:space="preserve"> denied</w:t>
      </w:r>
      <w:r w:rsidR="006E63E5" w:rsidRPr="00D55103">
        <w:rPr>
          <w:szCs w:val="24"/>
        </w:rPr>
        <w:t>.</w:t>
      </w:r>
    </w:p>
    <w:p w14:paraId="0257C404" w14:textId="371F2254" w:rsidR="009F3AF4" w:rsidRPr="00D55103" w:rsidRDefault="006E63E5" w:rsidP="009F3AF4">
      <w:pPr>
        <w:tabs>
          <w:tab w:val="left" w:pos="720"/>
        </w:tabs>
        <w:spacing w:line="480" w:lineRule="auto"/>
        <w:rPr>
          <w:szCs w:val="24"/>
        </w:rPr>
      </w:pPr>
      <w:r w:rsidRPr="00D55103">
        <w:rPr>
          <w:szCs w:val="24"/>
        </w:rPr>
        <w:lastRenderedPageBreak/>
        <w:tab/>
      </w:r>
      <w:r w:rsidR="00AD5B25" w:rsidRPr="00D55103">
        <w:rPr>
          <w:szCs w:val="24"/>
        </w:rPr>
        <w:t xml:space="preserve">Golden </w:t>
      </w:r>
      <w:r w:rsidR="009F3AF4" w:rsidRPr="00D55103">
        <w:rPr>
          <w:szCs w:val="24"/>
        </w:rPr>
        <w:t>f</w:t>
      </w:r>
      <w:r w:rsidR="00AD5B25" w:rsidRPr="00D55103">
        <w:rPr>
          <w:szCs w:val="24"/>
        </w:rPr>
        <w:t>iled a civil complaint on Soule’</w:t>
      </w:r>
      <w:r w:rsidR="009F3AF4" w:rsidRPr="00D55103">
        <w:rPr>
          <w:szCs w:val="24"/>
        </w:rPr>
        <w:t>s behalf in Los A</w:t>
      </w:r>
      <w:r w:rsidR="00AD5B25" w:rsidRPr="00D55103">
        <w:rPr>
          <w:szCs w:val="24"/>
        </w:rPr>
        <w:t>ngeles Superior Court in December 2014.</w:t>
      </w:r>
      <w:r w:rsidRPr="00D55103">
        <w:rPr>
          <w:szCs w:val="24"/>
        </w:rPr>
        <w:t xml:space="preserve">  </w:t>
      </w:r>
      <w:r w:rsidR="009F3AF4" w:rsidRPr="00D55103">
        <w:rPr>
          <w:szCs w:val="24"/>
        </w:rPr>
        <w:t xml:space="preserve">Soule terminated </w:t>
      </w:r>
      <w:r w:rsidR="00AD5B25" w:rsidRPr="00D55103">
        <w:rPr>
          <w:szCs w:val="24"/>
        </w:rPr>
        <w:t xml:space="preserve">Golden’s </w:t>
      </w:r>
      <w:r w:rsidR="009F3AF4" w:rsidRPr="00D55103">
        <w:rPr>
          <w:szCs w:val="24"/>
        </w:rPr>
        <w:t>employment on February</w:t>
      </w:r>
      <w:r w:rsidR="00E40DE8">
        <w:rPr>
          <w:szCs w:val="24"/>
        </w:rPr>
        <w:t> </w:t>
      </w:r>
      <w:r w:rsidR="009F3AF4" w:rsidRPr="00D55103">
        <w:rPr>
          <w:szCs w:val="24"/>
        </w:rPr>
        <w:t>2,</w:t>
      </w:r>
      <w:r w:rsidR="00AD5B25" w:rsidRPr="00D55103">
        <w:rPr>
          <w:szCs w:val="24"/>
        </w:rPr>
        <w:t xml:space="preserve"> </w:t>
      </w:r>
      <w:r w:rsidR="009F3AF4" w:rsidRPr="00D55103">
        <w:rPr>
          <w:szCs w:val="24"/>
        </w:rPr>
        <w:t>2015.</w:t>
      </w:r>
      <w:r w:rsidR="00AD5B25" w:rsidRPr="00D55103">
        <w:rPr>
          <w:szCs w:val="24"/>
        </w:rPr>
        <w:t xml:space="preserve">  </w:t>
      </w:r>
      <w:r w:rsidR="00D90D0A">
        <w:rPr>
          <w:szCs w:val="24"/>
        </w:rPr>
        <w:t>After</w:t>
      </w:r>
      <w:r w:rsidR="009F3AF4" w:rsidRPr="00D55103">
        <w:rPr>
          <w:szCs w:val="24"/>
        </w:rPr>
        <w:t xml:space="preserve"> </w:t>
      </w:r>
      <w:r w:rsidR="00261CF8">
        <w:rPr>
          <w:szCs w:val="24"/>
        </w:rPr>
        <w:t>his</w:t>
      </w:r>
      <w:r w:rsidR="009F3AF4" w:rsidRPr="00D55103">
        <w:rPr>
          <w:szCs w:val="24"/>
        </w:rPr>
        <w:t xml:space="preserve"> termination, </w:t>
      </w:r>
      <w:r w:rsidR="00AD5B25" w:rsidRPr="00D55103">
        <w:rPr>
          <w:szCs w:val="24"/>
        </w:rPr>
        <w:t xml:space="preserve">Golden did not render an appropriate </w:t>
      </w:r>
      <w:r w:rsidR="0067165F" w:rsidRPr="00D55103">
        <w:rPr>
          <w:szCs w:val="24"/>
        </w:rPr>
        <w:t>accounting to Soule</w:t>
      </w:r>
      <w:r w:rsidR="00893053" w:rsidRPr="00893053">
        <w:rPr>
          <w:szCs w:val="24"/>
        </w:rPr>
        <w:t xml:space="preserve"> </w:t>
      </w:r>
      <w:r w:rsidR="00893053" w:rsidRPr="00922844">
        <w:rPr>
          <w:szCs w:val="24"/>
        </w:rPr>
        <w:t>and failed to refund any advance fees received</w:t>
      </w:r>
      <w:r w:rsidR="00893053">
        <w:rPr>
          <w:szCs w:val="24"/>
        </w:rPr>
        <w:t xml:space="preserve"> from her</w:t>
      </w:r>
      <w:r w:rsidR="009F3AF4" w:rsidRPr="00D55103">
        <w:rPr>
          <w:szCs w:val="24"/>
        </w:rPr>
        <w:t>.</w:t>
      </w:r>
    </w:p>
    <w:p w14:paraId="7C0782A6" w14:textId="77777777" w:rsidR="006525E6" w:rsidRPr="00D55103" w:rsidRDefault="006525E6" w:rsidP="006525E6">
      <w:pPr>
        <w:tabs>
          <w:tab w:val="left" w:pos="720"/>
        </w:tabs>
        <w:spacing w:line="480" w:lineRule="auto"/>
        <w:rPr>
          <w:b/>
          <w:szCs w:val="24"/>
        </w:rPr>
      </w:pPr>
      <w:r w:rsidRPr="00D55103">
        <w:rPr>
          <w:b/>
          <w:szCs w:val="24"/>
        </w:rPr>
        <w:t>K.</w:t>
      </w:r>
      <w:r w:rsidRPr="00D55103">
        <w:rPr>
          <w:b/>
          <w:szCs w:val="24"/>
        </w:rPr>
        <w:tab/>
        <w:t>Adams Ma</w:t>
      </w:r>
      <w:r w:rsidR="00452F41" w:rsidRPr="00D55103">
        <w:rPr>
          <w:b/>
          <w:szCs w:val="24"/>
        </w:rPr>
        <w:t>tter (Case No. 15-O-11237, NDC-</w:t>
      </w:r>
      <w:r w:rsidRPr="00D55103">
        <w:rPr>
          <w:b/>
          <w:szCs w:val="24"/>
        </w:rPr>
        <w:t>1, Counts Twelve and Thirteen)</w:t>
      </w:r>
    </w:p>
    <w:p w14:paraId="01CE183C" w14:textId="618EC72B" w:rsidR="00D24B05" w:rsidRPr="00D55103" w:rsidRDefault="006525E6" w:rsidP="003E3FD1">
      <w:pPr>
        <w:tabs>
          <w:tab w:val="left" w:pos="720"/>
        </w:tabs>
        <w:spacing w:line="480" w:lineRule="auto"/>
        <w:rPr>
          <w:szCs w:val="24"/>
        </w:rPr>
      </w:pPr>
      <w:r w:rsidRPr="00D55103">
        <w:rPr>
          <w:b/>
          <w:szCs w:val="24"/>
        </w:rPr>
        <w:tab/>
      </w:r>
      <w:r w:rsidRPr="00D55103">
        <w:rPr>
          <w:szCs w:val="24"/>
        </w:rPr>
        <w:t xml:space="preserve">Cherie Adams </w:t>
      </w:r>
      <w:r w:rsidR="00E75F85" w:rsidRPr="00D55103">
        <w:rPr>
          <w:szCs w:val="24"/>
        </w:rPr>
        <w:t>employed Golden</w:t>
      </w:r>
      <w:r w:rsidRPr="00D55103">
        <w:rPr>
          <w:szCs w:val="24"/>
        </w:rPr>
        <w:t xml:space="preserve"> on March</w:t>
      </w:r>
      <w:r w:rsidR="00E40DE8">
        <w:rPr>
          <w:szCs w:val="24"/>
        </w:rPr>
        <w:t> </w:t>
      </w:r>
      <w:r w:rsidRPr="00D55103">
        <w:rPr>
          <w:szCs w:val="24"/>
        </w:rPr>
        <w:t>4, 2014.  From March to July 2014, Adams paid Golden fees totaling $6,250.  On July</w:t>
      </w:r>
      <w:r w:rsidR="00E40DE8">
        <w:rPr>
          <w:szCs w:val="24"/>
        </w:rPr>
        <w:t> </w:t>
      </w:r>
      <w:r w:rsidRPr="00D55103">
        <w:rPr>
          <w:szCs w:val="24"/>
        </w:rPr>
        <w:t>2, 2014, Golden submitted a loan modific</w:t>
      </w:r>
      <w:r w:rsidR="00E75F85" w:rsidRPr="00D55103">
        <w:rPr>
          <w:szCs w:val="24"/>
        </w:rPr>
        <w:t xml:space="preserve">ation request, which </w:t>
      </w:r>
      <w:r w:rsidRPr="00D55103">
        <w:rPr>
          <w:szCs w:val="24"/>
        </w:rPr>
        <w:t>was denied on July</w:t>
      </w:r>
      <w:r w:rsidR="00E40DE8">
        <w:rPr>
          <w:szCs w:val="24"/>
        </w:rPr>
        <w:t> </w:t>
      </w:r>
      <w:r w:rsidRPr="00D55103">
        <w:rPr>
          <w:szCs w:val="24"/>
        </w:rPr>
        <w:t>7.</w:t>
      </w:r>
      <w:r w:rsidR="00E75F85" w:rsidRPr="00D55103">
        <w:rPr>
          <w:szCs w:val="24"/>
        </w:rPr>
        <w:t xml:space="preserve">  </w:t>
      </w:r>
      <w:r w:rsidR="00D90D0A">
        <w:rPr>
          <w:szCs w:val="24"/>
        </w:rPr>
        <w:t>After</w:t>
      </w:r>
      <w:r w:rsidRPr="00D55103">
        <w:rPr>
          <w:szCs w:val="24"/>
        </w:rPr>
        <w:t xml:space="preserve"> </w:t>
      </w:r>
      <w:r w:rsidR="00307D03">
        <w:rPr>
          <w:szCs w:val="24"/>
        </w:rPr>
        <w:t>his</w:t>
      </w:r>
      <w:r w:rsidRPr="00D55103">
        <w:rPr>
          <w:szCs w:val="24"/>
        </w:rPr>
        <w:t xml:space="preserve"> termination, Golden did not render an </w:t>
      </w:r>
      <w:r w:rsidR="0067165F" w:rsidRPr="00D55103">
        <w:rPr>
          <w:szCs w:val="24"/>
        </w:rPr>
        <w:t>appropriate accounting to Adams</w:t>
      </w:r>
      <w:r w:rsidR="00893053" w:rsidRPr="00893053">
        <w:rPr>
          <w:szCs w:val="24"/>
        </w:rPr>
        <w:t xml:space="preserve"> </w:t>
      </w:r>
      <w:r w:rsidR="00893053" w:rsidRPr="00922844">
        <w:rPr>
          <w:szCs w:val="24"/>
        </w:rPr>
        <w:t>and failed to refund any advance fees received</w:t>
      </w:r>
      <w:r w:rsidR="00893053">
        <w:rPr>
          <w:szCs w:val="24"/>
        </w:rPr>
        <w:t xml:space="preserve"> from her</w:t>
      </w:r>
      <w:r w:rsidRPr="00D55103">
        <w:rPr>
          <w:szCs w:val="24"/>
        </w:rPr>
        <w:t>.</w:t>
      </w:r>
    </w:p>
    <w:p w14:paraId="5A845D35" w14:textId="77777777" w:rsidR="00217CC4" w:rsidRPr="00D55103" w:rsidRDefault="00217CC4" w:rsidP="003E3FD1">
      <w:pPr>
        <w:tabs>
          <w:tab w:val="left" w:pos="720"/>
          <w:tab w:val="left" w:pos="1080"/>
        </w:tabs>
        <w:spacing w:line="480" w:lineRule="auto"/>
        <w:jc w:val="center"/>
        <w:rPr>
          <w:b/>
          <w:szCs w:val="24"/>
        </w:rPr>
      </w:pPr>
      <w:r w:rsidRPr="00D55103">
        <w:rPr>
          <w:b/>
          <w:szCs w:val="24"/>
        </w:rPr>
        <w:t>I</w:t>
      </w:r>
      <w:r w:rsidR="00F22AC2" w:rsidRPr="00D55103">
        <w:rPr>
          <w:b/>
          <w:szCs w:val="24"/>
        </w:rPr>
        <w:t>V</w:t>
      </w:r>
      <w:r w:rsidRPr="00D55103">
        <w:rPr>
          <w:b/>
          <w:szCs w:val="24"/>
        </w:rPr>
        <w:t xml:space="preserve">.  </w:t>
      </w:r>
      <w:r w:rsidR="00E8101C" w:rsidRPr="00D55103">
        <w:rPr>
          <w:b/>
          <w:szCs w:val="24"/>
        </w:rPr>
        <w:t>GOLDEN IS CULPABLE OF 25 COUNTS OF MISCONDUCT</w:t>
      </w:r>
    </w:p>
    <w:p w14:paraId="22F8A8ED" w14:textId="77777777" w:rsidR="00217CC4" w:rsidRPr="00D55103" w:rsidRDefault="00217CC4" w:rsidP="003E3FD1">
      <w:pPr>
        <w:tabs>
          <w:tab w:val="left" w:pos="720"/>
          <w:tab w:val="left" w:pos="1080"/>
        </w:tabs>
        <w:spacing w:line="480" w:lineRule="auto"/>
        <w:rPr>
          <w:b/>
          <w:szCs w:val="24"/>
        </w:rPr>
      </w:pPr>
      <w:r w:rsidRPr="00D55103">
        <w:rPr>
          <w:b/>
          <w:szCs w:val="24"/>
        </w:rPr>
        <w:t>A.</w:t>
      </w:r>
      <w:r w:rsidRPr="00D55103">
        <w:rPr>
          <w:b/>
          <w:szCs w:val="24"/>
        </w:rPr>
        <w:tab/>
        <w:t>Summary</w:t>
      </w:r>
    </w:p>
    <w:p w14:paraId="38756171" w14:textId="3EE4EBD0" w:rsidR="00457120" w:rsidRPr="00D55103" w:rsidRDefault="00217CC4" w:rsidP="00217CC4">
      <w:pPr>
        <w:tabs>
          <w:tab w:val="left" w:pos="720"/>
          <w:tab w:val="left" w:pos="1080"/>
        </w:tabs>
        <w:spacing w:line="480" w:lineRule="auto"/>
        <w:rPr>
          <w:szCs w:val="24"/>
        </w:rPr>
      </w:pPr>
      <w:r w:rsidRPr="00D55103">
        <w:rPr>
          <w:szCs w:val="24"/>
        </w:rPr>
        <w:tab/>
        <w:t xml:space="preserve">OCTC charged Golden with 26 counts of misconduct in 11 client matters.  The hearing judge found Golden culpable of 25 counts, including </w:t>
      </w:r>
      <w:r w:rsidR="00DE4CFE" w:rsidRPr="00D55103">
        <w:rPr>
          <w:szCs w:val="24"/>
        </w:rPr>
        <w:t>14</w:t>
      </w:r>
      <w:r w:rsidRPr="00D55103">
        <w:rPr>
          <w:szCs w:val="24"/>
        </w:rPr>
        <w:t xml:space="preserve"> violations o</w:t>
      </w:r>
      <w:r w:rsidR="00CA11DC" w:rsidRPr="00D55103">
        <w:rPr>
          <w:szCs w:val="24"/>
        </w:rPr>
        <w:t>f section</w:t>
      </w:r>
      <w:r w:rsidR="00E40DE8">
        <w:rPr>
          <w:szCs w:val="24"/>
        </w:rPr>
        <w:t> </w:t>
      </w:r>
      <w:r w:rsidR="00CA11DC" w:rsidRPr="00D55103">
        <w:rPr>
          <w:szCs w:val="24"/>
        </w:rPr>
        <w:t>6106.3</w:t>
      </w:r>
      <w:r w:rsidR="00D54508" w:rsidRPr="00D55103">
        <w:rPr>
          <w:szCs w:val="24"/>
        </w:rPr>
        <w:t>, subdivision</w:t>
      </w:r>
      <w:r w:rsidR="000A783D" w:rsidRPr="00D55103">
        <w:rPr>
          <w:szCs w:val="24"/>
        </w:rPr>
        <w:t> </w:t>
      </w:r>
      <w:r w:rsidR="00D54508" w:rsidRPr="00D55103">
        <w:rPr>
          <w:szCs w:val="24"/>
        </w:rPr>
        <w:t>(a)</w:t>
      </w:r>
      <w:r w:rsidR="00CA11DC" w:rsidRPr="00D55103">
        <w:rPr>
          <w:szCs w:val="24"/>
        </w:rPr>
        <w:t>.</w:t>
      </w:r>
      <w:r w:rsidR="009C1803" w:rsidRPr="00D55103">
        <w:rPr>
          <w:szCs w:val="24"/>
        </w:rPr>
        <w:t xml:space="preserve"> </w:t>
      </w:r>
      <w:r w:rsidR="00CA11DC" w:rsidRPr="00D55103">
        <w:rPr>
          <w:szCs w:val="24"/>
        </w:rPr>
        <w:t xml:space="preserve"> </w:t>
      </w:r>
      <w:r w:rsidRPr="00D55103">
        <w:rPr>
          <w:szCs w:val="24"/>
        </w:rPr>
        <w:t xml:space="preserve">Specifically, the judge found </w:t>
      </w:r>
      <w:r w:rsidR="00552E73" w:rsidRPr="00D55103">
        <w:rPr>
          <w:szCs w:val="24"/>
        </w:rPr>
        <w:t>11</w:t>
      </w:r>
      <w:r w:rsidRPr="00D55103">
        <w:rPr>
          <w:szCs w:val="24"/>
        </w:rPr>
        <w:t xml:space="preserve"> violations of Civil Code section</w:t>
      </w:r>
      <w:r w:rsidR="00E40DE8">
        <w:rPr>
          <w:szCs w:val="24"/>
        </w:rPr>
        <w:t> </w:t>
      </w:r>
      <w:r w:rsidRPr="00D55103">
        <w:rPr>
          <w:szCs w:val="24"/>
        </w:rPr>
        <w:t>2944.7</w:t>
      </w:r>
      <w:r w:rsidR="000A783D" w:rsidRPr="00D55103">
        <w:rPr>
          <w:szCs w:val="24"/>
        </w:rPr>
        <w:t>, subdivision</w:t>
      </w:r>
      <w:r w:rsidR="00E40DE8">
        <w:rPr>
          <w:szCs w:val="24"/>
        </w:rPr>
        <w:t> </w:t>
      </w:r>
      <w:r w:rsidR="000A783D" w:rsidRPr="00D55103">
        <w:rPr>
          <w:szCs w:val="24"/>
        </w:rPr>
        <w:t>(a)(1)</w:t>
      </w:r>
      <w:r w:rsidRPr="00D55103">
        <w:rPr>
          <w:szCs w:val="24"/>
        </w:rPr>
        <w:t xml:space="preserve"> (charging pre-perfor</w:t>
      </w:r>
      <w:r w:rsidR="009C1803" w:rsidRPr="00D55103">
        <w:rPr>
          <w:szCs w:val="24"/>
        </w:rPr>
        <w:t>mance fees)</w:t>
      </w:r>
      <w:r w:rsidR="000A783D" w:rsidRPr="00D55103">
        <w:rPr>
          <w:szCs w:val="24"/>
        </w:rPr>
        <w:t>,</w:t>
      </w:r>
      <w:r w:rsidR="009C1803" w:rsidRPr="00D55103">
        <w:rPr>
          <w:szCs w:val="24"/>
        </w:rPr>
        <w:t xml:space="preserve"> and</w:t>
      </w:r>
      <w:r w:rsidRPr="00D55103">
        <w:rPr>
          <w:szCs w:val="24"/>
        </w:rPr>
        <w:t xml:space="preserve"> </w:t>
      </w:r>
      <w:r w:rsidR="00552E73" w:rsidRPr="00D55103">
        <w:rPr>
          <w:szCs w:val="24"/>
        </w:rPr>
        <w:t>three</w:t>
      </w:r>
      <w:r w:rsidRPr="00D55103">
        <w:rPr>
          <w:szCs w:val="24"/>
        </w:rPr>
        <w:t xml:space="preserve"> violations of Civil Code section</w:t>
      </w:r>
      <w:r w:rsidR="00E40DE8">
        <w:rPr>
          <w:szCs w:val="24"/>
        </w:rPr>
        <w:t> </w:t>
      </w:r>
      <w:r w:rsidRPr="00D55103">
        <w:rPr>
          <w:szCs w:val="24"/>
        </w:rPr>
        <w:t>2944.6</w:t>
      </w:r>
      <w:r w:rsidR="000A783D" w:rsidRPr="00D55103">
        <w:rPr>
          <w:szCs w:val="24"/>
        </w:rPr>
        <w:t>, subdivision</w:t>
      </w:r>
      <w:r w:rsidR="00E40DE8">
        <w:rPr>
          <w:szCs w:val="24"/>
        </w:rPr>
        <w:t> </w:t>
      </w:r>
      <w:r w:rsidR="000A783D" w:rsidRPr="00D55103">
        <w:rPr>
          <w:szCs w:val="24"/>
        </w:rPr>
        <w:t>(a)</w:t>
      </w:r>
      <w:r w:rsidRPr="00D55103">
        <w:rPr>
          <w:szCs w:val="24"/>
        </w:rPr>
        <w:t xml:space="preserve"> (failing to provide a separate statement disclosing that a third-party representative was unnecessary for loan modifications).  </w:t>
      </w:r>
      <w:r w:rsidR="00CA11DC" w:rsidRPr="00D55103">
        <w:rPr>
          <w:szCs w:val="24"/>
        </w:rPr>
        <w:t xml:space="preserve">In addition, </w:t>
      </w:r>
      <w:r w:rsidR="00FF1AA6" w:rsidRPr="00D55103">
        <w:rPr>
          <w:szCs w:val="24"/>
        </w:rPr>
        <w:t>a</w:t>
      </w:r>
      <w:r w:rsidR="00800347" w:rsidRPr="00D55103">
        <w:rPr>
          <w:szCs w:val="24"/>
        </w:rPr>
        <w:t>nd a</w:t>
      </w:r>
      <w:r w:rsidR="00FF1AA6" w:rsidRPr="00D55103">
        <w:rPr>
          <w:szCs w:val="24"/>
        </w:rPr>
        <w:t xml:space="preserve">s </w:t>
      </w:r>
      <w:r w:rsidR="00800347" w:rsidRPr="00D55103">
        <w:rPr>
          <w:szCs w:val="24"/>
        </w:rPr>
        <w:t xml:space="preserve">stipulated to by </w:t>
      </w:r>
      <w:r w:rsidR="00E777D7" w:rsidRPr="00D55103">
        <w:rPr>
          <w:szCs w:val="24"/>
        </w:rPr>
        <w:t xml:space="preserve">Golden, </w:t>
      </w:r>
      <w:r w:rsidR="00CA11DC" w:rsidRPr="00D55103">
        <w:rPr>
          <w:szCs w:val="24"/>
        </w:rPr>
        <w:t>t</w:t>
      </w:r>
      <w:r w:rsidR="009C1803" w:rsidRPr="00D55103">
        <w:rPr>
          <w:szCs w:val="24"/>
        </w:rPr>
        <w:t>he judge found</w:t>
      </w:r>
      <w:r w:rsidR="00552E73" w:rsidRPr="00D55103">
        <w:rPr>
          <w:szCs w:val="24"/>
        </w:rPr>
        <w:t xml:space="preserve"> </w:t>
      </w:r>
      <w:r w:rsidR="00307D03">
        <w:rPr>
          <w:szCs w:val="24"/>
        </w:rPr>
        <w:t>him</w:t>
      </w:r>
      <w:r w:rsidR="00552E73" w:rsidRPr="00D55103">
        <w:rPr>
          <w:szCs w:val="24"/>
        </w:rPr>
        <w:t xml:space="preserve"> culpable of 11 counts of failing to render </w:t>
      </w:r>
      <w:r w:rsidR="00E75F85" w:rsidRPr="00D55103">
        <w:rPr>
          <w:szCs w:val="24"/>
        </w:rPr>
        <w:t xml:space="preserve">an </w:t>
      </w:r>
      <w:r w:rsidR="00552E73" w:rsidRPr="00D55103">
        <w:rPr>
          <w:szCs w:val="24"/>
        </w:rPr>
        <w:t>appropriate accounting</w:t>
      </w:r>
      <w:r w:rsidR="009C1803" w:rsidRPr="00D55103">
        <w:rPr>
          <w:szCs w:val="24"/>
        </w:rPr>
        <w:t>, in violation of rule</w:t>
      </w:r>
      <w:r w:rsidR="00E40DE8">
        <w:rPr>
          <w:szCs w:val="24"/>
        </w:rPr>
        <w:t> </w:t>
      </w:r>
      <w:r w:rsidR="009C1803" w:rsidRPr="00D55103">
        <w:rPr>
          <w:szCs w:val="24"/>
        </w:rPr>
        <w:t>4-100(B)(3)</w:t>
      </w:r>
      <w:r w:rsidR="00552E73" w:rsidRPr="00D55103">
        <w:rPr>
          <w:szCs w:val="24"/>
        </w:rPr>
        <w:t xml:space="preserve">.  </w:t>
      </w:r>
      <w:r w:rsidR="00E75F85" w:rsidRPr="00D55103">
        <w:rPr>
          <w:szCs w:val="24"/>
        </w:rPr>
        <w:t>However, t</w:t>
      </w:r>
      <w:r w:rsidR="000A4D4A" w:rsidRPr="00D55103">
        <w:rPr>
          <w:szCs w:val="24"/>
        </w:rPr>
        <w:t xml:space="preserve">he judge </w:t>
      </w:r>
      <w:r w:rsidR="00E44152" w:rsidRPr="00D55103">
        <w:rPr>
          <w:szCs w:val="24"/>
        </w:rPr>
        <w:t xml:space="preserve">found that OCTC did not prove that Golden obtained an </w:t>
      </w:r>
      <w:r w:rsidR="00E75F85" w:rsidRPr="00D55103">
        <w:rPr>
          <w:szCs w:val="24"/>
        </w:rPr>
        <w:t xml:space="preserve">interest </w:t>
      </w:r>
      <w:r w:rsidR="00E44152" w:rsidRPr="00D55103">
        <w:rPr>
          <w:szCs w:val="24"/>
        </w:rPr>
        <w:t xml:space="preserve">adverse to his client, McDonough, </w:t>
      </w:r>
      <w:r w:rsidR="00A51234" w:rsidRPr="00D55103">
        <w:rPr>
          <w:szCs w:val="24"/>
        </w:rPr>
        <w:t>in violation of rule</w:t>
      </w:r>
      <w:r w:rsidR="00E40DE8">
        <w:rPr>
          <w:szCs w:val="24"/>
        </w:rPr>
        <w:t> </w:t>
      </w:r>
      <w:r w:rsidR="00A51234" w:rsidRPr="00D55103">
        <w:rPr>
          <w:szCs w:val="24"/>
        </w:rPr>
        <w:t>3-300, and</w:t>
      </w:r>
      <w:r w:rsidR="00457120" w:rsidRPr="00D55103">
        <w:rPr>
          <w:szCs w:val="24"/>
        </w:rPr>
        <w:t xml:space="preserve"> therefore</w:t>
      </w:r>
      <w:r w:rsidR="00A51234" w:rsidRPr="00D55103">
        <w:rPr>
          <w:szCs w:val="24"/>
        </w:rPr>
        <w:t xml:space="preserve"> dismissed</w:t>
      </w:r>
      <w:r w:rsidR="00282763">
        <w:rPr>
          <w:szCs w:val="24"/>
        </w:rPr>
        <w:t xml:space="preserve"> one count (A</w:t>
      </w:r>
      <w:r w:rsidR="00452F41" w:rsidRPr="00D55103">
        <w:rPr>
          <w:szCs w:val="24"/>
        </w:rPr>
        <w:t>NDC-</w:t>
      </w:r>
      <w:r w:rsidR="00A51234" w:rsidRPr="00D55103">
        <w:rPr>
          <w:szCs w:val="24"/>
        </w:rPr>
        <w:t xml:space="preserve">2, count four) with prejudice.  OCTC does not </w:t>
      </w:r>
      <w:r w:rsidR="00E44152" w:rsidRPr="00D55103">
        <w:rPr>
          <w:szCs w:val="24"/>
        </w:rPr>
        <w:t>challenge this dismissal</w:t>
      </w:r>
      <w:r w:rsidR="00A51234" w:rsidRPr="00D55103">
        <w:rPr>
          <w:szCs w:val="24"/>
        </w:rPr>
        <w:t xml:space="preserve"> on review</w:t>
      </w:r>
      <w:r w:rsidR="00E44152" w:rsidRPr="00D55103">
        <w:rPr>
          <w:szCs w:val="24"/>
        </w:rPr>
        <w:t>.</w:t>
      </w:r>
    </w:p>
    <w:p w14:paraId="61B3B913" w14:textId="14EE812F" w:rsidR="00DC5858" w:rsidRDefault="00457120" w:rsidP="006656B1">
      <w:pPr>
        <w:tabs>
          <w:tab w:val="left" w:pos="720"/>
          <w:tab w:val="left" w:pos="1080"/>
        </w:tabs>
        <w:spacing w:line="480" w:lineRule="auto"/>
        <w:rPr>
          <w:szCs w:val="24"/>
        </w:rPr>
      </w:pPr>
      <w:r w:rsidRPr="00D55103">
        <w:rPr>
          <w:szCs w:val="24"/>
        </w:rPr>
        <w:lastRenderedPageBreak/>
        <w:tab/>
      </w:r>
      <w:r w:rsidR="00217CC4" w:rsidRPr="00D55103">
        <w:rPr>
          <w:szCs w:val="24"/>
        </w:rPr>
        <w:t xml:space="preserve">We agree with </w:t>
      </w:r>
      <w:r w:rsidR="000A4D4A" w:rsidRPr="00D55103">
        <w:rPr>
          <w:szCs w:val="24"/>
        </w:rPr>
        <w:t>and affirm all of the</w:t>
      </w:r>
      <w:r w:rsidR="00E8101C" w:rsidRPr="00D55103">
        <w:rPr>
          <w:szCs w:val="24"/>
        </w:rPr>
        <w:t xml:space="preserve"> </w:t>
      </w:r>
      <w:r w:rsidRPr="00D55103">
        <w:rPr>
          <w:szCs w:val="24"/>
        </w:rPr>
        <w:t xml:space="preserve">hearing </w:t>
      </w:r>
      <w:r w:rsidR="000A4D4A" w:rsidRPr="00D55103">
        <w:rPr>
          <w:szCs w:val="24"/>
        </w:rPr>
        <w:t xml:space="preserve">judge’s </w:t>
      </w:r>
      <w:r w:rsidR="00217CC4" w:rsidRPr="00D55103">
        <w:rPr>
          <w:szCs w:val="24"/>
        </w:rPr>
        <w:t>culpability findings</w:t>
      </w:r>
      <w:r w:rsidR="000A4D4A" w:rsidRPr="00D55103">
        <w:rPr>
          <w:szCs w:val="24"/>
        </w:rPr>
        <w:t>, and</w:t>
      </w:r>
      <w:r w:rsidRPr="00D55103">
        <w:rPr>
          <w:szCs w:val="24"/>
        </w:rPr>
        <w:t>, thus,</w:t>
      </w:r>
      <w:r w:rsidR="000A4D4A" w:rsidRPr="00D55103">
        <w:rPr>
          <w:szCs w:val="24"/>
        </w:rPr>
        <w:t xml:space="preserve"> find </w:t>
      </w:r>
      <w:r w:rsidR="00732E6C">
        <w:rPr>
          <w:szCs w:val="24"/>
        </w:rPr>
        <w:t xml:space="preserve">that </w:t>
      </w:r>
      <w:r w:rsidR="000A4D4A" w:rsidRPr="00D55103">
        <w:rPr>
          <w:szCs w:val="24"/>
        </w:rPr>
        <w:t xml:space="preserve">Golden </w:t>
      </w:r>
      <w:r w:rsidR="00732E6C">
        <w:rPr>
          <w:szCs w:val="24"/>
        </w:rPr>
        <w:t xml:space="preserve">is </w:t>
      </w:r>
      <w:r w:rsidR="000A4D4A" w:rsidRPr="00D55103">
        <w:rPr>
          <w:szCs w:val="24"/>
        </w:rPr>
        <w:t>culpable of 25 counts</w:t>
      </w:r>
      <w:r w:rsidR="00E8101C" w:rsidRPr="00D55103">
        <w:rPr>
          <w:szCs w:val="24"/>
        </w:rPr>
        <w:t xml:space="preserve"> of misconduct and </w:t>
      </w:r>
      <w:r w:rsidR="00732E6C">
        <w:rPr>
          <w:szCs w:val="24"/>
        </w:rPr>
        <w:t xml:space="preserve">is </w:t>
      </w:r>
      <w:r w:rsidR="00E8101C" w:rsidRPr="00D55103">
        <w:rPr>
          <w:szCs w:val="24"/>
        </w:rPr>
        <w:t>subject to discipline</w:t>
      </w:r>
      <w:r w:rsidR="000A4D4A" w:rsidRPr="00D55103">
        <w:rPr>
          <w:szCs w:val="24"/>
        </w:rPr>
        <w:t>.</w:t>
      </w:r>
      <w:r w:rsidR="00217CC4" w:rsidRPr="00D55103">
        <w:rPr>
          <w:rStyle w:val="FootnoteReference"/>
          <w:szCs w:val="24"/>
        </w:rPr>
        <w:footnoteReference w:id="14"/>
      </w:r>
    </w:p>
    <w:p w14:paraId="3BD2F4DF" w14:textId="1AECE078" w:rsidR="00217CC4" w:rsidRPr="00D55103" w:rsidRDefault="00217CC4" w:rsidP="00282763">
      <w:pPr>
        <w:tabs>
          <w:tab w:val="left" w:pos="720"/>
          <w:tab w:val="left" w:pos="1080"/>
        </w:tabs>
        <w:ind w:left="720" w:hanging="720"/>
        <w:rPr>
          <w:b/>
          <w:szCs w:val="24"/>
        </w:rPr>
      </w:pPr>
      <w:r w:rsidRPr="00D55103">
        <w:rPr>
          <w:b/>
          <w:szCs w:val="24"/>
        </w:rPr>
        <w:t>B.</w:t>
      </w:r>
      <w:r w:rsidRPr="00D55103">
        <w:rPr>
          <w:b/>
          <w:szCs w:val="24"/>
        </w:rPr>
        <w:tab/>
        <w:t>Section 6106.3</w:t>
      </w:r>
      <w:r w:rsidR="000A783D" w:rsidRPr="00D55103">
        <w:rPr>
          <w:b/>
          <w:szCs w:val="24"/>
        </w:rPr>
        <w:t>, Subdivision (a)</w:t>
      </w:r>
      <w:r w:rsidRPr="00D55103">
        <w:rPr>
          <w:b/>
          <w:szCs w:val="24"/>
        </w:rPr>
        <w:t xml:space="preserve">: Charging Fees Before Completing All </w:t>
      </w:r>
      <w:r w:rsidR="00282763">
        <w:rPr>
          <w:b/>
          <w:szCs w:val="24"/>
        </w:rPr>
        <w:t xml:space="preserve">Contracted-For </w:t>
      </w:r>
      <w:r w:rsidRPr="00D55103">
        <w:rPr>
          <w:b/>
          <w:szCs w:val="24"/>
        </w:rPr>
        <w:t>Loan</w:t>
      </w:r>
      <w:r w:rsidR="00282763">
        <w:rPr>
          <w:b/>
          <w:szCs w:val="24"/>
        </w:rPr>
        <w:t xml:space="preserve"> </w:t>
      </w:r>
      <w:r w:rsidRPr="00D55103">
        <w:rPr>
          <w:b/>
          <w:szCs w:val="24"/>
        </w:rPr>
        <w:t>Modification Services (Civ. Code, § 2944.7, subd. (a)</w:t>
      </w:r>
      <w:r w:rsidR="000A783D" w:rsidRPr="00D55103">
        <w:rPr>
          <w:b/>
          <w:szCs w:val="24"/>
        </w:rPr>
        <w:t>(1)</w:t>
      </w:r>
      <w:r w:rsidRPr="00D55103">
        <w:rPr>
          <w:b/>
          <w:szCs w:val="24"/>
        </w:rPr>
        <w:t>) [</w:t>
      </w:r>
      <w:r w:rsidR="00355FFC" w:rsidRPr="00D55103">
        <w:rPr>
          <w:b/>
          <w:szCs w:val="24"/>
        </w:rPr>
        <w:t>NDC-</w:t>
      </w:r>
      <w:r w:rsidR="00B635A2" w:rsidRPr="00D55103">
        <w:rPr>
          <w:b/>
          <w:szCs w:val="24"/>
        </w:rPr>
        <w:t>1</w:t>
      </w:r>
      <w:r w:rsidR="00457120" w:rsidRPr="00D55103">
        <w:rPr>
          <w:b/>
          <w:szCs w:val="24"/>
        </w:rPr>
        <w:t>,</w:t>
      </w:r>
      <w:r w:rsidR="00B635A2" w:rsidRPr="00D55103">
        <w:rPr>
          <w:b/>
          <w:szCs w:val="24"/>
        </w:rPr>
        <w:t xml:space="preserve"> </w:t>
      </w:r>
      <w:r w:rsidRPr="00D55103">
        <w:rPr>
          <w:b/>
          <w:szCs w:val="24"/>
        </w:rPr>
        <w:t xml:space="preserve">Counts </w:t>
      </w:r>
      <w:r w:rsidR="00B635A2" w:rsidRPr="00D55103">
        <w:rPr>
          <w:b/>
          <w:szCs w:val="24"/>
        </w:rPr>
        <w:t>One,</w:t>
      </w:r>
      <w:r w:rsidR="00282763">
        <w:rPr>
          <w:b/>
          <w:szCs w:val="24"/>
        </w:rPr>
        <w:t xml:space="preserve"> </w:t>
      </w:r>
      <w:r w:rsidR="00B635A2" w:rsidRPr="00D55103">
        <w:rPr>
          <w:b/>
          <w:szCs w:val="24"/>
        </w:rPr>
        <w:t>Three, Five, Seven</w:t>
      </w:r>
      <w:r w:rsidR="00355FFC" w:rsidRPr="00D55103">
        <w:rPr>
          <w:b/>
          <w:szCs w:val="24"/>
        </w:rPr>
        <w:t>, Nine and</w:t>
      </w:r>
      <w:r w:rsidR="000A783D" w:rsidRPr="00D55103">
        <w:rPr>
          <w:b/>
          <w:szCs w:val="24"/>
        </w:rPr>
        <w:t xml:space="preserve"> </w:t>
      </w:r>
      <w:r w:rsidR="00282763">
        <w:rPr>
          <w:b/>
          <w:szCs w:val="24"/>
        </w:rPr>
        <w:t>Twelve; A</w:t>
      </w:r>
      <w:r w:rsidR="00355FFC" w:rsidRPr="00D55103">
        <w:rPr>
          <w:b/>
          <w:szCs w:val="24"/>
        </w:rPr>
        <w:t>NDC-</w:t>
      </w:r>
      <w:r w:rsidR="00B635A2" w:rsidRPr="00D55103">
        <w:rPr>
          <w:b/>
          <w:szCs w:val="24"/>
        </w:rPr>
        <w:t>2</w:t>
      </w:r>
      <w:r w:rsidR="001237F2" w:rsidRPr="00D55103">
        <w:rPr>
          <w:b/>
          <w:szCs w:val="24"/>
        </w:rPr>
        <w:t>,</w:t>
      </w:r>
      <w:r w:rsidR="00B635A2" w:rsidRPr="00D55103">
        <w:rPr>
          <w:b/>
          <w:szCs w:val="24"/>
        </w:rPr>
        <w:t xml:space="preserve"> Counts One, Five, Eight,</w:t>
      </w:r>
      <w:r w:rsidR="00282763">
        <w:rPr>
          <w:b/>
          <w:szCs w:val="24"/>
        </w:rPr>
        <w:t xml:space="preserve"> Ten, and </w:t>
      </w:r>
      <w:r w:rsidR="00B635A2" w:rsidRPr="00D55103">
        <w:rPr>
          <w:b/>
          <w:szCs w:val="24"/>
        </w:rPr>
        <w:t>Twelve</w:t>
      </w:r>
      <w:r w:rsidRPr="00D55103">
        <w:rPr>
          <w:b/>
          <w:szCs w:val="24"/>
        </w:rPr>
        <w:t>]</w:t>
      </w:r>
    </w:p>
    <w:p w14:paraId="2708ED20" w14:textId="77777777" w:rsidR="00217CC4" w:rsidRPr="00D55103" w:rsidRDefault="00217CC4" w:rsidP="00217CC4">
      <w:pPr>
        <w:tabs>
          <w:tab w:val="left" w:pos="720"/>
          <w:tab w:val="left" w:pos="1080"/>
        </w:tabs>
        <w:rPr>
          <w:b/>
          <w:szCs w:val="24"/>
        </w:rPr>
      </w:pPr>
    </w:p>
    <w:p w14:paraId="1C7D9D80" w14:textId="4BA11D7E" w:rsidR="00B94B8D" w:rsidRPr="00D55103" w:rsidRDefault="00217CC4" w:rsidP="00B94B8D">
      <w:pPr>
        <w:tabs>
          <w:tab w:val="left" w:pos="720"/>
          <w:tab w:val="left" w:pos="1080"/>
        </w:tabs>
        <w:spacing w:line="480" w:lineRule="auto"/>
        <w:rPr>
          <w:szCs w:val="24"/>
        </w:rPr>
      </w:pPr>
      <w:r w:rsidRPr="00D55103">
        <w:rPr>
          <w:szCs w:val="24"/>
        </w:rPr>
        <w:tab/>
      </w:r>
      <w:r w:rsidR="00B94B8D" w:rsidRPr="00D55103">
        <w:rPr>
          <w:szCs w:val="24"/>
        </w:rPr>
        <w:t>OCTC charged Golden with 11 counts of violating section</w:t>
      </w:r>
      <w:r w:rsidR="00E40DE8">
        <w:rPr>
          <w:szCs w:val="24"/>
        </w:rPr>
        <w:t> </w:t>
      </w:r>
      <w:r w:rsidR="00B94B8D" w:rsidRPr="00D55103">
        <w:rPr>
          <w:szCs w:val="24"/>
        </w:rPr>
        <w:t>6106.3 by charging and collecting fees for loan modifications before performing all contracted services, as prohibited by Civil Code section</w:t>
      </w:r>
      <w:r w:rsidR="00E40DE8">
        <w:rPr>
          <w:szCs w:val="24"/>
        </w:rPr>
        <w:t> </w:t>
      </w:r>
      <w:r w:rsidR="00B94B8D" w:rsidRPr="00D55103">
        <w:rPr>
          <w:szCs w:val="24"/>
        </w:rPr>
        <w:t>2944.7.  The hearing judge found him culpable of all 11 counts.  We agree.</w:t>
      </w:r>
    </w:p>
    <w:p w14:paraId="1A0FE5CF" w14:textId="54F864DA" w:rsidR="00BD23C9" w:rsidRPr="00D55103" w:rsidRDefault="00E8101C" w:rsidP="00B94B8D">
      <w:pPr>
        <w:tabs>
          <w:tab w:val="left" w:pos="720"/>
          <w:tab w:val="left" w:pos="1080"/>
        </w:tabs>
        <w:spacing w:line="480" w:lineRule="auto"/>
        <w:rPr>
          <w:szCs w:val="24"/>
        </w:rPr>
      </w:pPr>
      <w:r w:rsidRPr="00D55103">
        <w:rPr>
          <w:szCs w:val="24"/>
        </w:rPr>
        <w:tab/>
      </w:r>
      <w:r w:rsidR="00D91FB1" w:rsidRPr="00D55103">
        <w:rPr>
          <w:szCs w:val="24"/>
        </w:rPr>
        <w:t>We</w:t>
      </w:r>
      <w:r w:rsidR="00B94B8D" w:rsidRPr="00D55103">
        <w:rPr>
          <w:szCs w:val="24"/>
        </w:rPr>
        <w:t xml:space="preserve"> first interpreted Civil Code section</w:t>
      </w:r>
      <w:r w:rsidR="00E40DE8">
        <w:rPr>
          <w:szCs w:val="24"/>
        </w:rPr>
        <w:t> </w:t>
      </w:r>
      <w:r w:rsidR="00B94B8D" w:rsidRPr="00D55103">
        <w:rPr>
          <w:szCs w:val="24"/>
        </w:rPr>
        <w:t xml:space="preserve">2944.7 for purposes of attorney discipline in </w:t>
      </w:r>
      <w:r w:rsidR="00B94B8D" w:rsidRPr="00D55103">
        <w:rPr>
          <w:i/>
          <w:szCs w:val="24"/>
        </w:rPr>
        <w:t>In the Matter of Taylor</w:t>
      </w:r>
      <w:r w:rsidR="00D05732" w:rsidRPr="00D55103">
        <w:rPr>
          <w:szCs w:val="24"/>
        </w:rPr>
        <w:t xml:space="preserve"> (Review Dept. 2012) </w:t>
      </w:r>
      <w:r w:rsidR="00B94B8D" w:rsidRPr="00D55103">
        <w:rPr>
          <w:szCs w:val="24"/>
        </w:rPr>
        <w:t>5</w:t>
      </w:r>
      <w:r w:rsidR="00E40DE8">
        <w:rPr>
          <w:szCs w:val="24"/>
        </w:rPr>
        <w:t> </w:t>
      </w:r>
      <w:r w:rsidR="00B94B8D" w:rsidRPr="00D55103">
        <w:rPr>
          <w:szCs w:val="24"/>
        </w:rPr>
        <w:t>Cal. State Bar Ct. Rptr. 221</w:t>
      </w:r>
      <w:r w:rsidR="00A55CCE" w:rsidRPr="00D55103">
        <w:rPr>
          <w:szCs w:val="24"/>
        </w:rPr>
        <w:t xml:space="preserve"> (</w:t>
      </w:r>
      <w:r w:rsidR="00A55CCE" w:rsidRPr="00D55103">
        <w:rPr>
          <w:i/>
          <w:szCs w:val="24"/>
        </w:rPr>
        <w:t>Taylor</w:t>
      </w:r>
      <w:r w:rsidR="00A55CCE" w:rsidRPr="00D55103">
        <w:rPr>
          <w:szCs w:val="24"/>
        </w:rPr>
        <w:t>)</w:t>
      </w:r>
      <w:r w:rsidR="00D91FB1" w:rsidRPr="00D55103">
        <w:rPr>
          <w:szCs w:val="24"/>
        </w:rPr>
        <w:t>.  There, we concluded that the</w:t>
      </w:r>
      <w:r w:rsidR="00B94B8D" w:rsidRPr="00D55103">
        <w:rPr>
          <w:szCs w:val="24"/>
        </w:rPr>
        <w:t xml:space="preserve"> statute clearly prohibited collecting any fees in advance of completing all loan modification services.  (</w:t>
      </w:r>
      <w:r w:rsidR="00B94B8D" w:rsidRPr="00D55103">
        <w:rPr>
          <w:i/>
          <w:szCs w:val="24"/>
        </w:rPr>
        <w:t xml:space="preserve">Id. </w:t>
      </w:r>
      <w:r w:rsidR="00B94B8D" w:rsidRPr="00D55103">
        <w:rPr>
          <w:szCs w:val="24"/>
        </w:rPr>
        <w:t>at p.</w:t>
      </w:r>
      <w:r w:rsidR="00E40DE8">
        <w:rPr>
          <w:szCs w:val="24"/>
        </w:rPr>
        <w:t> </w:t>
      </w:r>
      <w:r w:rsidR="00B94B8D" w:rsidRPr="00D55103">
        <w:rPr>
          <w:szCs w:val="24"/>
        </w:rPr>
        <w:t xml:space="preserve">232.)  Furthermore, we found that the </w:t>
      </w:r>
      <w:r w:rsidR="00B94B8D" w:rsidRPr="00D55103">
        <w:rPr>
          <w:i/>
          <w:szCs w:val="24"/>
        </w:rPr>
        <w:t xml:space="preserve">Taylor </w:t>
      </w:r>
      <w:r w:rsidR="00B94B8D" w:rsidRPr="00D55103">
        <w:rPr>
          <w:szCs w:val="24"/>
        </w:rPr>
        <w:t>loan modification agreements, which “unbundle[ed] services within loan modifications and charge[d] separately for them,” ran afoul of the statutory provisions.  (</w:t>
      </w:r>
      <w:r w:rsidR="00B94B8D" w:rsidRPr="00D55103">
        <w:rPr>
          <w:i/>
          <w:szCs w:val="24"/>
        </w:rPr>
        <w:t>Ibid</w:t>
      </w:r>
      <w:r w:rsidR="00BD23C9" w:rsidRPr="00D55103">
        <w:rPr>
          <w:szCs w:val="24"/>
        </w:rPr>
        <w:t>.)</w:t>
      </w:r>
    </w:p>
    <w:p w14:paraId="513BF817" w14:textId="42DD0B7D" w:rsidR="006F3420" w:rsidRDefault="00BD23C9" w:rsidP="00F349A9">
      <w:pPr>
        <w:tabs>
          <w:tab w:val="left" w:pos="720"/>
          <w:tab w:val="left" w:pos="1080"/>
        </w:tabs>
        <w:spacing w:line="480" w:lineRule="auto"/>
        <w:ind w:right="-288"/>
        <w:rPr>
          <w:szCs w:val="24"/>
        </w:rPr>
      </w:pPr>
      <w:r w:rsidRPr="00D55103">
        <w:rPr>
          <w:szCs w:val="24"/>
        </w:rPr>
        <w:tab/>
      </w:r>
      <w:r w:rsidR="00B94B8D" w:rsidRPr="00D55103">
        <w:rPr>
          <w:szCs w:val="24"/>
        </w:rPr>
        <w:t xml:space="preserve">Our analysis in </w:t>
      </w:r>
      <w:r w:rsidR="00B94B8D" w:rsidRPr="00D55103">
        <w:rPr>
          <w:i/>
          <w:szCs w:val="24"/>
        </w:rPr>
        <w:t xml:space="preserve">Taylor </w:t>
      </w:r>
      <w:r w:rsidR="00B94B8D" w:rsidRPr="00D55103">
        <w:rPr>
          <w:szCs w:val="24"/>
        </w:rPr>
        <w:t>applies equally to the</w:t>
      </w:r>
      <w:r w:rsidR="00307D03">
        <w:rPr>
          <w:szCs w:val="24"/>
        </w:rPr>
        <w:t>se</w:t>
      </w:r>
      <w:r w:rsidR="00B94B8D" w:rsidRPr="00D55103">
        <w:rPr>
          <w:szCs w:val="24"/>
        </w:rPr>
        <w:t xml:space="preserve"> 11 </w:t>
      </w:r>
      <w:r w:rsidR="008B5464">
        <w:rPr>
          <w:szCs w:val="24"/>
        </w:rPr>
        <w:t xml:space="preserve">client </w:t>
      </w:r>
      <w:r w:rsidR="00B94B8D" w:rsidRPr="00D55103">
        <w:rPr>
          <w:szCs w:val="24"/>
        </w:rPr>
        <w:t xml:space="preserve">matters.  </w:t>
      </w:r>
      <w:r w:rsidR="005642F7">
        <w:rPr>
          <w:szCs w:val="24"/>
        </w:rPr>
        <w:t>T</w:t>
      </w:r>
      <w:r w:rsidR="00A37B79" w:rsidRPr="00D55103">
        <w:rPr>
          <w:szCs w:val="24"/>
        </w:rPr>
        <w:t>he</w:t>
      </w:r>
      <w:r w:rsidR="005642F7">
        <w:rPr>
          <w:szCs w:val="24"/>
        </w:rPr>
        <w:t>se</w:t>
      </w:r>
      <w:r w:rsidR="00A37B79" w:rsidRPr="00D55103">
        <w:rPr>
          <w:szCs w:val="24"/>
        </w:rPr>
        <w:t xml:space="preserve"> clients </w:t>
      </w:r>
      <w:r w:rsidR="005642F7">
        <w:rPr>
          <w:szCs w:val="24"/>
        </w:rPr>
        <w:t>sought</w:t>
      </w:r>
      <w:r w:rsidR="00A37B79" w:rsidRPr="00D55103">
        <w:rPr>
          <w:szCs w:val="24"/>
        </w:rPr>
        <w:t xml:space="preserve"> loan modification</w:t>
      </w:r>
      <w:r w:rsidR="005642F7">
        <w:rPr>
          <w:szCs w:val="24"/>
        </w:rPr>
        <w:t>s</w:t>
      </w:r>
      <w:r w:rsidR="00A37B79" w:rsidRPr="00D55103">
        <w:rPr>
          <w:szCs w:val="24"/>
        </w:rPr>
        <w:t xml:space="preserve"> and paid Golden monthly advance fee</w:t>
      </w:r>
      <w:r w:rsidR="005642F7">
        <w:rPr>
          <w:szCs w:val="24"/>
        </w:rPr>
        <w:t>s</w:t>
      </w:r>
      <w:r w:rsidR="00A37B79" w:rsidRPr="00D55103">
        <w:rPr>
          <w:szCs w:val="24"/>
        </w:rPr>
        <w:t xml:space="preserve"> to </w:t>
      </w:r>
      <w:r w:rsidR="007D3BC8">
        <w:rPr>
          <w:szCs w:val="24"/>
        </w:rPr>
        <w:t xml:space="preserve">obtain </w:t>
      </w:r>
      <w:r w:rsidR="005642F7">
        <w:rPr>
          <w:szCs w:val="24"/>
        </w:rPr>
        <w:t>them</w:t>
      </w:r>
      <w:r w:rsidR="00A37B79" w:rsidRPr="00D55103">
        <w:rPr>
          <w:szCs w:val="24"/>
        </w:rPr>
        <w:t xml:space="preserve">.  </w:t>
      </w:r>
      <w:r w:rsidR="00D91FB1" w:rsidRPr="00D55103">
        <w:rPr>
          <w:szCs w:val="24"/>
        </w:rPr>
        <w:t>Golden stipulated that:</w:t>
      </w:r>
      <w:r w:rsidR="00A37B79" w:rsidRPr="00D55103">
        <w:rPr>
          <w:szCs w:val="24"/>
        </w:rPr>
        <w:t xml:space="preserve"> the clients </w:t>
      </w:r>
      <w:r w:rsidR="005642F7">
        <w:rPr>
          <w:szCs w:val="24"/>
        </w:rPr>
        <w:t>retained</w:t>
      </w:r>
      <w:r w:rsidR="00A37B79" w:rsidRPr="00D55103">
        <w:rPr>
          <w:szCs w:val="24"/>
        </w:rPr>
        <w:t xml:space="preserve"> his services to keep their </w:t>
      </w:r>
      <w:r w:rsidR="007D3BC8">
        <w:rPr>
          <w:szCs w:val="24"/>
        </w:rPr>
        <w:t xml:space="preserve">homes and </w:t>
      </w:r>
      <w:r w:rsidR="00A37B79" w:rsidRPr="00D55103">
        <w:rPr>
          <w:szCs w:val="24"/>
        </w:rPr>
        <w:t>properties; he discussed with the</w:t>
      </w:r>
      <w:r w:rsidR="007D3BC8">
        <w:rPr>
          <w:szCs w:val="24"/>
        </w:rPr>
        <w:t>m</w:t>
      </w:r>
      <w:r w:rsidR="00A37B79" w:rsidRPr="00D55103">
        <w:rPr>
          <w:szCs w:val="24"/>
        </w:rPr>
        <w:t xml:space="preserve"> available remedies, including loan modification</w:t>
      </w:r>
      <w:r w:rsidR="005642F7">
        <w:rPr>
          <w:szCs w:val="24"/>
        </w:rPr>
        <w:t>s</w:t>
      </w:r>
      <w:r w:rsidR="00A37B79" w:rsidRPr="00D55103">
        <w:rPr>
          <w:szCs w:val="24"/>
        </w:rPr>
        <w:t xml:space="preserve"> and litigation; he advised </w:t>
      </w:r>
      <w:r w:rsidR="00A94B83">
        <w:rPr>
          <w:szCs w:val="24"/>
        </w:rPr>
        <w:t xml:space="preserve">them </w:t>
      </w:r>
      <w:r w:rsidR="00A37B79" w:rsidRPr="00D55103">
        <w:rPr>
          <w:szCs w:val="24"/>
        </w:rPr>
        <w:t xml:space="preserve">that he </w:t>
      </w:r>
      <w:r w:rsidR="00A94B83">
        <w:rPr>
          <w:szCs w:val="24"/>
        </w:rPr>
        <w:t>would file</w:t>
      </w:r>
      <w:r w:rsidR="00A37B79" w:rsidRPr="00D55103">
        <w:rPr>
          <w:szCs w:val="24"/>
        </w:rPr>
        <w:t xml:space="preserve"> litigation on their behalf i</w:t>
      </w:r>
      <w:r w:rsidR="00A94B83">
        <w:rPr>
          <w:szCs w:val="24"/>
        </w:rPr>
        <w:t>f</w:t>
      </w:r>
      <w:r w:rsidR="00A37B79" w:rsidRPr="00D55103">
        <w:rPr>
          <w:szCs w:val="24"/>
        </w:rPr>
        <w:t xml:space="preserve"> their lenders denied their applications</w:t>
      </w:r>
      <w:r w:rsidR="00D9751B" w:rsidRPr="00D55103">
        <w:rPr>
          <w:szCs w:val="24"/>
        </w:rPr>
        <w:t>; he</w:t>
      </w:r>
      <w:r w:rsidR="00A37B79" w:rsidRPr="00D55103">
        <w:rPr>
          <w:szCs w:val="24"/>
        </w:rPr>
        <w:t xml:space="preserve"> submitted loan modification applications for all </w:t>
      </w:r>
      <w:r w:rsidR="00D9751B" w:rsidRPr="00D55103">
        <w:rPr>
          <w:szCs w:val="24"/>
        </w:rPr>
        <w:t>o</w:t>
      </w:r>
      <w:r w:rsidR="00A37B79" w:rsidRPr="00D55103">
        <w:rPr>
          <w:szCs w:val="24"/>
        </w:rPr>
        <w:t>f the</w:t>
      </w:r>
      <w:r w:rsidR="00656216">
        <w:rPr>
          <w:szCs w:val="24"/>
        </w:rPr>
        <w:t>m</w:t>
      </w:r>
      <w:r w:rsidR="00D9751B" w:rsidRPr="00D55103">
        <w:rPr>
          <w:szCs w:val="24"/>
        </w:rPr>
        <w:t xml:space="preserve">, except Garcia; </w:t>
      </w:r>
      <w:r w:rsidR="00A37B79" w:rsidRPr="00D55103">
        <w:rPr>
          <w:szCs w:val="24"/>
        </w:rPr>
        <w:t xml:space="preserve">and </w:t>
      </w:r>
      <w:r w:rsidR="00D9751B" w:rsidRPr="00D55103">
        <w:rPr>
          <w:szCs w:val="24"/>
        </w:rPr>
        <w:t xml:space="preserve">he </w:t>
      </w:r>
      <w:r w:rsidR="00A37B79" w:rsidRPr="00D55103">
        <w:rPr>
          <w:szCs w:val="24"/>
        </w:rPr>
        <w:t>negotiated with the</w:t>
      </w:r>
      <w:r w:rsidR="00857F38">
        <w:rPr>
          <w:szCs w:val="24"/>
        </w:rPr>
        <w:t>ir</w:t>
      </w:r>
      <w:r w:rsidR="00A37B79" w:rsidRPr="00D55103">
        <w:rPr>
          <w:szCs w:val="24"/>
        </w:rPr>
        <w:t xml:space="preserve"> lenders.</w:t>
      </w:r>
    </w:p>
    <w:p w14:paraId="6EEFF36A" w14:textId="5EDE88DC" w:rsidR="00B94B8D" w:rsidRDefault="006F3420" w:rsidP="00B94B8D">
      <w:pPr>
        <w:tabs>
          <w:tab w:val="left" w:pos="720"/>
          <w:tab w:val="left" w:pos="1080"/>
        </w:tabs>
        <w:spacing w:line="480" w:lineRule="auto"/>
        <w:rPr>
          <w:szCs w:val="24"/>
        </w:rPr>
      </w:pPr>
      <w:r>
        <w:rPr>
          <w:szCs w:val="24"/>
        </w:rPr>
        <w:tab/>
      </w:r>
      <w:r w:rsidR="007B48E6" w:rsidRPr="00D55103">
        <w:rPr>
          <w:szCs w:val="24"/>
        </w:rPr>
        <w:t xml:space="preserve">Golden </w:t>
      </w:r>
      <w:r w:rsidR="00A94B83">
        <w:rPr>
          <w:szCs w:val="24"/>
        </w:rPr>
        <w:t xml:space="preserve">also </w:t>
      </w:r>
      <w:r w:rsidR="00B94B8D" w:rsidRPr="00D55103">
        <w:rPr>
          <w:szCs w:val="24"/>
        </w:rPr>
        <w:t xml:space="preserve">stipulated to facts establishing that he collected fees in each client matter before </w:t>
      </w:r>
      <w:r w:rsidR="00F83ED8" w:rsidRPr="00D55103">
        <w:rPr>
          <w:szCs w:val="24"/>
        </w:rPr>
        <w:t>completing all loan modification services</w:t>
      </w:r>
      <w:r w:rsidR="00BD23C9" w:rsidRPr="00D55103">
        <w:rPr>
          <w:szCs w:val="24"/>
        </w:rPr>
        <w:t>.</w:t>
      </w:r>
      <w:r w:rsidR="0022157C" w:rsidRPr="00D55103">
        <w:rPr>
          <w:szCs w:val="24"/>
        </w:rPr>
        <w:t xml:space="preserve">  </w:t>
      </w:r>
      <w:r>
        <w:rPr>
          <w:szCs w:val="24"/>
        </w:rPr>
        <w:t>His</w:t>
      </w:r>
      <w:r w:rsidR="00B94B8D" w:rsidRPr="00D55103">
        <w:rPr>
          <w:szCs w:val="24"/>
        </w:rPr>
        <w:t xml:space="preserve"> admitted conduct violated </w:t>
      </w:r>
      <w:r w:rsidR="00BD23C9" w:rsidRPr="00D55103">
        <w:rPr>
          <w:szCs w:val="24"/>
        </w:rPr>
        <w:t>Civil Code section</w:t>
      </w:r>
      <w:r w:rsidR="00E40DE8">
        <w:rPr>
          <w:szCs w:val="24"/>
        </w:rPr>
        <w:t> </w:t>
      </w:r>
      <w:r w:rsidR="00B94B8D" w:rsidRPr="00D55103">
        <w:rPr>
          <w:szCs w:val="24"/>
        </w:rPr>
        <w:t>2944.7,</w:t>
      </w:r>
      <w:r w:rsidR="00415FE9">
        <w:rPr>
          <w:szCs w:val="24"/>
        </w:rPr>
        <w:t xml:space="preserve"> and hence section 6106.3.  Therefore,</w:t>
      </w:r>
      <w:r w:rsidR="00B94B8D" w:rsidRPr="00D55103">
        <w:rPr>
          <w:szCs w:val="24"/>
        </w:rPr>
        <w:t xml:space="preserve"> we</w:t>
      </w:r>
      <w:r w:rsidR="00BD23C9" w:rsidRPr="00D55103">
        <w:rPr>
          <w:szCs w:val="24"/>
        </w:rPr>
        <w:t xml:space="preserve"> find him culpable as charged.</w:t>
      </w:r>
    </w:p>
    <w:p w14:paraId="065A12B6" w14:textId="62A3F16A" w:rsidR="00217CC4" w:rsidRPr="00D55103" w:rsidRDefault="00217CC4" w:rsidP="002F74AF">
      <w:pPr>
        <w:tabs>
          <w:tab w:val="left" w:pos="720"/>
          <w:tab w:val="left" w:pos="1080"/>
        </w:tabs>
        <w:ind w:left="720" w:hanging="720"/>
        <w:rPr>
          <w:b/>
          <w:szCs w:val="24"/>
        </w:rPr>
      </w:pPr>
      <w:r w:rsidRPr="00D55103">
        <w:rPr>
          <w:b/>
          <w:szCs w:val="24"/>
        </w:rPr>
        <w:lastRenderedPageBreak/>
        <w:t>C.</w:t>
      </w:r>
      <w:r w:rsidRPr="00D55103">
        <w:rPr>
          <w:b/>
          <w:szCs w:val="24"/>
        </w:rPr>
        <w:tab/>
        <w:t>Section 6106.3</w:t>
      </w:r>
      <w:r w:rsidR="000A783D" w:rsidRPr="00D55103">
        <w:rPr>
          <w:b/>
          <w:szCs w:val="24"/>
        </w:rPr>
        <w:t>, Subdivision (a)</w:t>
      </w:r>
      <w:r w:rsidR="002F74AF">
        <w:rPr>
          <w:b/>
          <w:szCs w:val="24"/>
        </w:rPr>
        <w:t>: Fail</w:t>
      </w:r>
      <w:r w:rsidR="00117DC4">
        <w:rPr>
          <w:b/>
          <w:szCs w:val="24"/>
        </w:rPr>
        <w:t>ing</w:t>
      </w:r>
      <w:r w:rsidRPr="00D55103">
        <w:rPr>
          <w:b/>
          <w:szCs w:val="24"/>
        </w:rPr>
        <w:t xml:space="preserve"> to Pro</w:t>
      </w:r>
      <w:r w:rsidR="002F74AF">
        <w:rPr>
          <w:b/>
          <w:szCs w:val="24"/>
        </w:rPr>
        <w:t xml:space="preserve">vide Required Separate Statement Containing Disclaimer Language </w:t>
      </w:r>
      <w:r w:rsidRPr="00D55103">
        <w:rPr>
          <w:b/>
          <w:szCs w:val="24"/>
        </w:rPr>
        <w:t>(Civ. Code, § 2944.6, subd. (a)) [</w:t>
      </w:r>
      <w:r w:rsidR="00355FFC" w:rsidRPr="00D55103">
        <w:rPr>
          <w:b/>
          <w:szCs w:val="24"/>
        </w:rPr>
        <w:t>NDC-</w:t>
      </w:r>
      <w:r w:rsidR="00FD4C7C" w:rsidRPr="00D55103">
        <w:rPr>
          <w:b/>
          <w:szCs w:val="24"/>
        </w:rPr>
        <w:t>1</w:t>
      </w:r>
      <w:r w:rsidR="00FA4362" w:rsidRPr="00D55103">
        <w:rPr>
          <w:b/>
          <w:szCs w:val="24"/>
        </w:rPr>
        <w:t>,</w:t>
      </w:r>
      <w:r w:rsidR="00282763">
        <w:rPr>
          <w:b/>
          <w:szCs w:val="24"/>
        </w:rPr>
        <w:t xml:space="preserve"> Count Eleven; A</w:t>
      </w:r>
      <w:r w:rsidR="00355FFC" w:rsidRPr="00D55103">
        <w:rPr>
          <w:b/>
          <w:szCs w:val="24"/>
        </w:rPr>
        <w:t>NDC-</w:t>
      </w:r>
      <w:r w:rsidR="00FD4C7C" w:rsidRPr="00D55103">
        <w:rPr>
          <w:b/>
          <w:szCs w:val="24"/>
        </w:rPr>
        <w:t>2</w:t>
      </w:r>
      <w:r w:rsidR="00FA4362" w:rsidRPr="00D55103">
        <w:rPr>
          <w:b/>
          <w:szCs w:val="24"/>
        </w:rPr>
        <w:t>,</w:t>
      </w:r>
      <w:r w:rsidR="00FD4C7C" w:rsidRPr="00D55103">
        <w:rPr>
          <w:b/>
          <w:szCs w:val="24"/>
        </w:rPr>
        <w:t xml:space="preserve"> Counts</w:t>
      </w:r>
      <w:r w:rsidR="00282763">
        <w:rPr>
          <w:b/>
          <w:szCs w:val="24"/>
        </w:rPr>
        <w:t xml:space="preserve"> </w:t>
      </w:r>
      <w:r w:rsidR="00FD4C7C" w:rsidRPr="00D55103">
        <w:rPr>
          <w:b/>
          <w:szCs w:val="24"/>
        </w:rPr>
        <w:t xml:space="preserve">Two </w:t>
      </w:r>
      <w:r w:rsidR="00282763">
        <w:rPr>
          <w:b/>
          <w:szCs w:val="24"/>
        </w:rPr>
        <w:t>and</w:t>
      </w:r>
      <w:r w:rsidR="00282763">
        <w:rPr>
          <w:b/>
          <w:szCs w:val="24"/>
        </w:rPr>
        <w:tab/>
      </w:r>
      <w:r w:rsidR="00FD4C7C" w:rsidRPr="00D55103">
        <w:rPr>
          <w:b/>
          <w:szCs w:val="24"/>
        </w:rPr>
        <w:t>Six]</w:t>
      </w:r>
    </w:p>
    <w:p w14:paraId="488C847E" w14:textId="77777777" w:rsidR="00217CC4" w:rsidRPr="00D55103" w:rsidRDefault="00217CC4" w:rsidP="00217CC4">
      <w:pPr>
        <w:tabs>
          <w:tab w:val="left" w:pos="720"/>
          <w:tab w:val="left" w:pos="1080"/>
        </w:tabs>
        <w:rPr>
          <w:szCs w:val="24"/>
        </w:rPr>
      </w:pPr>
    </w:p>
    <w:p w14:paraId="51C3AE57" w14:textId="28C7ED9C" w:rsidR="00DF4CBF" w:rsidRPr="00D55103" w:rsidRDefault="00217CC4" w:rsidP="008B5464">
      <w:pPr>
        <w:tabs>
          <w:tab w:val="left" w:pos="720"/>
          <w:tab w:val="left" w:pos="1080"/>
        </w:tabs>
        <w:spacing w:line="480" w:lineRule="auto"/>
        <w:ind w:right="-144"/>
        <w:rPr>
          <w:szCs w:val="24"/>
        </w:rPr>
      </w:pPr>
      <w:r w:rsidRPr="00D55103">
        <w:rPr>
          <w:szCs w:val="24"/>
        </w:rPr>
        <w:tab/>
      </w:r>
      <w:r w:rsidR="00624C55" w:rsidRPr="00D55103">
        <w:rPr>
          <w:szCs w:val="24"/>
        </w:rPr>
        <w:t xml:space="preserve">OCTC charged Golden with </w:t>
      </w:r>
      <w:r w:rsidR="00523756">
        <w:rPr>
          <w:szCs w:val="24"/>
        </w:rPr>
        <w:t>three</w:t>
      </w:r>
      <w:r w:rsidR="00624C55" w:rsidRPr="00D55103">
        <w:rPr>
          <w:szCs w:val="24"/>
        </w:rPr>
        <w:t xml:space="preserve"> counts of violating section</w:t>
      </w:r>
      <w:r w:rsidR="00E40DE8">
        <w:rPr>
          <w:szCs w:val="24"/>
        </w:rPr>
        <w:t> </w:t>
      </w:r>
      <w:r w:rsidR="00624C55" w:rsidRPr="00D55103">
        <w:rPr>
          <w:szCs w:val="24"/>
        </w:rPr>
        <w:t xml:space="preserve">6106.3 by failing to provide a separate statement </w:t>
      </w:r>
      <w:r w:rsidR="006F3420">
        <w:rPr>
          <w:szCs w:val="24"/>
        </w:rPr>
        <w:t>th</w:t>
      </w:r>
      <w:r w:rsidR="00913AE4">
        <w:rPr>
          <w:szCs w:val="24"/>
        </w:rPr>
        <w:t>a</w:t>
      </w:r>
      <w:r w:rsidR="006F3420">
        <w:rPr>
          <w:szCs w:val="24"/>
        </w:rPr>
        <w:t>t</w:t>
      </w:r>
      <w:r w:rsidR="00624C55" w:rsidRPr="00D55103">
        <w:rPr>
          <w:szCs w:val="24"/>
        </w:rPr>
        <w:t xml:space="preserve"> a third-party negotiator</w:t>
      </w:r>
      <w:r w:rsidR="006F3420">
        <w:rPr>
          <w:szCs w:val="24"/>
        </w:rPr>
        <w:t xml:space="preserve"> was </w:t>
      </w:r>
      <w:r w:rsidR="008B5464">
        <w:rPr>
          <w:szCs w:val="24"/>
        </w:rPr>
        <w:t>un</w:t>
      </w:r>
      <w:r w:rsidR="006F3420">
        <w:rPr>
          <w:szCs w:val="24"/>
        </w:rPr>
        <w:t>necessary</w:t>
      </w:r>
      <w:r w:rsidRPr="00D55103">
        <w:rPr>
          <w:szCs w:val="24"/>
        </w:rPr>
        <w:t xml:space="preserve">.  </w:t>
      </w:r>
      <w:r w:rsidR="00FA4362" w:rsidRPr="00D55103">
        <w:rPr>
          <w:szCs w:val="24"/>
        </w:rPr>
        <w:t xml:space="preserve">OCTC alleged those </w:t>
      </w:r>
      <w:r w:rsidRPr="00D55103">
        <w:rPr>
          <w:szCs w:val="24"/>
        </w:rPr>
        <w:t xml:space="preserve">violations </w:t>
      </w:r>
      <w:r w:rsidR="00FA4362" w:rsidRPr="00D55103">
        <w:rPr>
          <w:szCs w:val="24"/>
        </w:rPr>
        <w:t>in the Soule</w:t>
      </w:r>
      <w:r w:rsidRPr="00D55103">
        <w:rPr>
          <w:szCs w:val="24"/>
        </w:rPr>
        <w:t xml:space="preserve"> </w:t>
      </w:r>
      <w:r w:rsidR="00452F41" w:rsidRPr="00D55103">
        <w:rPr>
          <w:szCs w:val="24"/>
        </w:rPr>
        <w:t xml:space="preserve">matter </w:t>
      </w:r>
      <w:r w:rsidRPr="00D55103">
        <w:rPr>
          <w:szCs w:val="24"/>
        </w:rPr>
        <w:t>(</w:t>
      </w:r>
      <w:r w:rsidR="00355FFC" w:rsidRPr="00D55103">
        <w:rPr>
          <w:szCs w:val="24"/>
        </w:rPr>
        <w:t>NDC-</w:t>
      </w:r>
      <w:r w:rsidR="00FA4362" w:rsidRPr="00D55103">
        <w:rPr>
          <w:szCs w:val="24"/>
        </w:rPr>
        <w:t xml:space="preserve">1, count </w:t>
      </w:r>
      <w:r w:rsidR="00452F41" w:rsidRPr="00D55103">
        <w:rPr>
          <w:szCs w:val="24"/>
        </w:rPr>
        <w:t>eleven</w:t>
      </w:r>
      <w:r w:rsidRPr="00D55103">
        <w:rPr>
          <w:szCs w:val="24"/>
        </w:rPr>
        <w:t>)</w:t>
      </w:r>
      <w:r w:rsidR="00FA4362" w:rsidRPr="00D55103">
        <w:rPr>
          <w:szCs w:val="24"/>
        </w:rPr>
        <w:t xml:space="preserve">, McDonough </w:t>
      </w:r>
      <w:r w:rsidR="00452F41" w:rsidRPr="00D55103">
        <w:rPr>
          <w:szCs w:val="24"/>
        </w:rPr>
        <w:t xml:space="preserve">matter </w:t>
      </w:r>
      <w:r w:rsidR="00282763">
        <w:rPr>
          <w:szCs w:val="24"/>
        </w:rPr>
        <w:t>(A</w:t>
      </w:r>
      <w:r w:rsidR="00355FFC" w:rsidRPr="00D55103">
        <w:rPr>
          <w:szCs w:val="24"/>
        </w:rPr>
        <w:t>NDC-</w:t>
      </w:r>
      <w:r w:rsidR="00FA4362" w:rsidRPr="00D55103">
        <w:rPr>
          <w:szCs w:val="24"/>
        </w:rPr>
        <w:t>2</w:t>
      </w:r>
      <w:r w:rsidR="00452F41" w:rsidRPr="00D55103">
        <w:rPr>
          <w:szCs w:val="24"/>
        </w:rPr>
        <w:t>,</w:t>
      </w:r>
      <w:r w:rsidR="00FA4362" w:rsidRPr="00D55103">
        <w:rPr>
          <w:szCs w:val="24"/>
        </w:rPr>
        <w:t xml:space="preserve"> count two), and Mazziotti </w:t>
      </w:r>
      <w:r w:rsidR="00452F41" w:rsidRPr="00D55103">
        <w:rPr>
          <w:szCs w:val="24"/>
        </w:rPr>
        <w:t xml:space="preserve">matter </w:t>
      </w:r>
      <w:r w:rsidRPr="00D55103">
        <w:rPr>
          <w:szCs w:val="24"/>
        </w:rPr>
        <w:t>(</w:t>
      </w:r>
      <w:r w:rsidR="00452F41" w:rsidRPr="00D55103">
        <w:rPr>
          <w:szCs w:val="24"/>
        </w:rPr>
        <w:t xml:space="preserve">ANDC-2, count </w:t>
      </w:r>
      <w:r w:rsidR="00FA4362" w:rsidRPr="00D55103">
        <w:rPr>
          <w:szCs w:val="24"/>
        </w:rPr>
        <w:t>six).</w:t>
      </w:r>
      <w:r w:rsidR="0022157C" w:rsidRPr="00D55103">
        <w:rPr>
          <w:szCs w:val="24"/>
        </w:rPr>
        <w:t xml:space="preserve">  The hearing judge found Golden culpable</w:t>
      </w:r>
      <w:r w:rsidR="004B599F" w:rsidRPr="00D55103">
        <w:rPr>
          <w:szCs w:val="24"/>
        </w:rPr>
        <w:t xml:space="preserve"> as charged.  We agree</w:t>
      </w:r>
      <w:r w:rsidR="00A94B83">
        <w:rPr>
          <w:szCs w:val="24"/>
        </w:rPr>
        <w:t xml:space="preserve">.  </w:t>
      </w:r>
      <w:r w:rsidR="004B599F" w:rsidRPr="00D55103">
        <w:rPr>
          <w:szCs w:val="24"/>
        </w:rPr>
        <w:t>Golden</w:t>
      </w:r>
      <w:r w:rsidR="00DF4CBF" w:rsidRPr="00D55103">
        <w:rPr>
          <w:szCs w:val="24"/>
        </w:rPr>
        <w:t xml:space="preserve"> negotiat</w:t>
      </w:r>
      <w:r w:rsidR="004B599F" w:rsidRPr="00D55103">
        <w:rPr>
          <w:szCs w:val="24"/>
        </w:rPr>
        <w:t>ed</w:t>
      </w:r>
      <w:r w:rsidR="00DF4CBF" w:rsidRPr="00D55103">
        <w:rPr>
          <w:szCs w:val="24"/>
        </w:rPr>
        <w:t>, arrang</w:t>
      </w:r>
      <w:r w:rsidR="004B599F" w:rsidRPr="00D55103">
        <w:rPr>
          <w:szCs w:val="24"/>
        </w:rPr>
        <w:t>ed</w:t>
      </w:r>
      <w:r w:rsidR="00DF4CBF" w:rsidRPr="00D55103">
        <w:rPr>
          <w:szCs w:val="24"/>
        </w:rPr>
        <w:t>, and offer</w:t>
      </w:r>
      <w:r w:rsidR="004B599F" w:rsidRPr="00D55103">
        <w:rPr>
          <w:szCs w:val="24"/>
        </w:rPr>
        <w:t>ed</w:t>
      </w:r>
      <w:r w:rsidR="00DF4CBF" w:rsidRPr="00D55103">
        <w:rPr>
          <w:szCs w:val="24"/>
        </w:rPr>
        <w:t xml:space="preserve"> to perform a mortgage loan modification or other form of mortgage loan forbearance without providing his clients </w:t>
      </w:r>
      <w:r w:rsidR="00A94B83">
        <w:rPr>
          <w:szCs w:val="24"/>
        </w:rPr>
        <w:t xml:space="preserve">with </w:t>
      </w:r>
      <w:r w:rsidR="00DF4CBF" w:rsidRPr="00D55103">
        <w:rPr>
          <w:szCs w:val="24"/>
        </w:rPr>
        <w:t xml:space="preserve">the </w:t>
      </w:r>
      <w:r w:rsidR="00AF6EF8" w:rsidRPr="00852878">
        <w:rPr>
          <w:szCs w:val="24"/>
        </w:rPr>
        <w:t>§ 2944.6 disclaimer</w:t>
      </w:r>
      <w:r w:rsidR="00701426" w:rsidRPr="00D55103">
        <w:rPr>
          <w:szCs w:val="24"/>
        </w:rPr>
        <w:t>.</w:t>
      </w:r>
    </w:p>
    <w:p w14:paraId="5B040DE7" w14:textId="4C7F26DE" w:rsidR="00823C7E" w:rsidRPr="00D55103" w:rsidRDefault="00117DC4" w:rsidP="00823C7E">
      <w:pPr>
        <w:tabs>
          <w:tab w:val="left" w:pos="720"/>
          <w:tab w:val="left" w:pos="1080"/>
        </w:tabs>
        <w:rPr>
          <w:b/>
          <w:szCs w:val="24"/>
        </w:rPr>
      </w:pPr>
      <w:r>
        <w:rPr>
          <w:b/>
          <w:szCs w:val="24"/>
        </w:rPr>
        <w:t>D.</w:t>
      </w:r>
      <w:r>
        <w:rPr>
          <w:b/>
          <w:szCs w:val="24"/>
        </w:rPr>
        <w:tab/>
        <w:t>Rule 4-100(B)(3): Failing</w:t>
      </w:r>
      <w:r w:rsidR="00823C7E" w:rsidRPr="00D55103">
        <w:rPr>
          <w:b/>
          <w:szCs w:val="24"/>
        </w:rPr>
        <w:t xml:space="preserve"> to Rend</w:t>
      </w:r>
      <w:r w:rsidR="00452F41" w:rsidRPr="00D55103">
        <w:rPr>
          <w:b/>
          <w:szCs w:val="24"/>
        </w:rPr>
        <w:t>er Appropriate Accounting [NDC-</w:t>
      </w:r>
      <w:r w:rsidR="00823C7E" w:rsidRPr="00D55103">
        <w:rPr>
          <w:b/>
          <w:szCs w:val="24"/>
        </w:rPr>
        <w:t>1</w:t>
      </w:r>
      <w:r w:rsidR="001237F2" w:rsidRPr="00D55103">
        <w:rPr>
          <w:b/>
          <w:szCs w:val="24"/>
        </w:rPr>
        <w:t>,</w:t>
      </w:r>
      <w:r w:rsidR="00823C7E" w:rsidRPr="00D55103">
        <w:rPr>
          <w:b/>
          <w:szCs w:val="24"/>
        </w:rPr>
        <w:t xml:space="preserve"> Counts Two</w:t>
      </w:r>
      <w:r w:rsidR="00572722">
        <w:rPr>
          <w:b/>
          <w:szCs w:val="24"/>
        </w:rPr>
        <w:t>,</w:t>
      </w:r>
      <w:r w:rsidR="00572722">
        <w:rPr>
          <w:b/>
          <w:szCs w:val="24"/>
        </w:rPr>
        <w:tab/>
      </w:r>
      <w:r w:rsidR="00823C7E" w:rsidRPr="00D55103">
        <w:rPr>
          <w:b/>
          <w:szCs w:val="24"/>
        </w:rPr>
        <w:t xml:space="preserve">Four, Six, Eight, </w:t>
      </w:r>
      <w:r w:rsidR="00282763">
        <w:rPr>
          <w:b/>
          <w:szCs w:val="24"/>
        </w:rPr>
        <w:t>Ten, and Thirteen; A</w:t>
      </w:r>
      <w:r w:rsidR="00452F41" w:rsidRPr="00D55103">
        <w:rPr>
          <w:b/>
          <w:szCs w:val="24"/>
        </w:rPr>
        <w:t>NDC-</w:t>
      </w:r>
      <w:r w:rsidR="00823C7E" w:rsidRPr="00D55103">
        <w:rPr>
          <w:b/>
          <w:szCs w:val="24"/>
        </w:rPr>
        <w:t>2</w:t>
      </w:r>
      <w:r w:rsidR="001237F2" w:rsidRPr="00D55103">
        <w:rPr>
          <w:b/>
          <w:szCs w:val="24"/>
        </w:rPr>
        <w:t>,</w:t>
      </w:r>
      <w:r w:rsidR="00823C7E" w:rsidRPr="00D55103">
        <w:rPr>
          <w:b/>
          <w:szCs w:val="24"/>
        </w:rPr>
        <w:t xml:space="preserve"> Counts </w:t>
      </w:r>
      <w:r w:rsidR="00CD1E73" w:rsidRPr="00D55103">
        <w:rPr>
          <w:b/>
          <w:szCs w:val="24"/>
        </w:rPr>
        <w:t>Three, Seven, Nine,</w:t>
      </w:r>
      <w:r w:rsidR="00572722">
        <w:rPr>
          <w:b/>
          <w:szCs w:val="24"/>
        </w:rPr>
        <w:t xml:space="preserve"> Eleven,</w:t>
      </w:r>
      <w:r w:rsidR="00572722">
        <w:rPr>
          <w:b/>
          <w:szCs w:val="24"/>
        </w:rPr>
        <w:tab/>
      </w:r>
      <w:r w:rsidR="007C6997" w:rsidRPr="00D55103">
        <w:rPr>
          <w:b/>
          <w:szCs w:val="24"/>
        </w:rPr>
        <w:t>and Thirteen</w:t>
      </w:r>
      <w:r w:rsidR="00823C7E" w:rsidRPr="00D55103">
        <w:rPr>
          <w:b/>
          <w:szCs w:val="24"/>
        </w:rPr>
        <w:t>]</w:t>
      </w:r>
    </w:p>
    <w:p w14:paraId="45965001" w14:textId="77777777" w:rsidR="00823C7E" w:rsidRPr="00D55103" w:rsidRDefault="00823C7E" w:rsidP="00CD1E73">
      <w:pPr>
        <w:tabs>
          <w:tab w:val="left" w:pos="720"/>
          <w:tab w:val="left" w:pos="1080"/>
        </w:tabs>
        <w:rPr>
          <w:b/>
          <w:szCs w:val="24"/>
        </w:rPr>
      </w:pPr>
    </w:p>
    <w:p w14:paraId="26308B9A" w14:textId="79FDA6A8" w:rsidR="001875E9" w:rsidRDefault="00CD1E73" w:rsidP="00134E91">
      <w:pPr>
        <w:spacing w:line="480" w:lineRule="auto"/>
        <w:ind w:firstLine="720"/>
        <w:rPr>
          <w:szCs w:val="24"/>
        </w:rPr>
      </w:pPr>
      <w:r w:rsidRPr="00D55103">
        <w:rPr>
          <w:szCs w:val="24"/>
        </w:rPr>
        <w:t>Golden stipulated that he failed to render an appropriate accounting to each of the clients regarding the fees he received from them, following their termination of his employment, in violation of rule</w:t>
      </w:r>
      <w:r w:rsidR="00E40DE8">
        <w:rPr>
          <w:szCs w:val="24"/>
        </w:rPr>
        <w:t> </w:t>
      </w:r>
      <w:r w:rsidRPr="00D55103">
        <w:rPr>
          <w:szCs w:val="24"/>
        </w:rPr>
        <w:t>4-100(B)(3).  As such, we find Golden culpable as charged in these 11 counts</w:t>
      </w:r>
      <w:r w:rsidR="000B5DA1" w:rsidRPr="00D55103">
        <w:rPr>
          <w:szCs w:val="24"/>
        </w:rPr>
        <w:t>.</w:t>
      </w:r>
    </w:p>
    <w:p w14:paraId="2F6863F2" w14:textId="77777777" w:rsidR="004A2150" w:rsidRPr="00D55103" w:rsidRDefault="004A2150" w:rsidP="004A2150">
      <w:pPr>
        <w:spacing w:line="480" w:lineRule="auto"/>
        <w:jc w:val="center"/>
        <w:rPr>
          <w:b/>
          <w:szCs w:val="24"/>
        </w:rPr>
      </w:pPr>
      <w:r w:rsidRPr="00D55103">
        <w:rPr>
          <w:b/>
          <w:szCs w:val="24"/>
        </w:rPr>
        <w:t>V.  GOLDEN’S DEFENSES TO CULPABILITY ARE WITHOUT MERIT</w:t>
      </w:r>
    </w:p>
    <w:p w14:paraId="2AF7DB47" w14:textId="0DB88419" w:rsidR="00163BB1" w:rsidRDefault="00076EDD" w:rsidP="00440BF3">
      <w:pPr>
        <w:spacing w:line="480" w:lineRule="auto"/>
        <w:rPr>
          <w:szCs w:val="24"/>
        </w:rPr>
      </w:pPr>
      <w:r w:rsidRPr="00D55103">
        <w:rPr>
          <w:b/>
          <w:szCs w:val="24"/>
        </w:rPr>
        <w:tab/>
      </w:r>
      <w:r w:rsidRPr="00D55103">
        <w:rPr>
          <w:szCs w:val="24"/>
        </w:rPr>
        <w:t xml:space="preserve">On review, </w:t>
      </w:r>
      <w:r w:rsidR="00440BF3" w:rsidRPr="00D55103">
        <w:rPr>
          <w:szCs w:val="24"/>
        </w:rPr>
        <w:t xml:space="preserve">Golden </w:t>
      </w:r>
      <w:r w:rsidR="00D26150">
        <w:rPr>
          <w:szCs w:val="24"/>
        </w:rPr>
        <w:t>asserts that we should consider</w:t>
      </w:r>
      <w:r w:rsidR="00440BF3" w:rsidRPr="00D55103">
        <w:rPr>
          <w:szCs w:val="24"/>
        </w:rPr>
        <w:t xml:space="preserve"> several </w:t>
      </w:r>
      <w:r w:rsidR="00AF1205">
        <w:rPr>
          <w:szCs w:val="24"/>
        </w:rPr>
        <w:t>factors</w:t>
      </w:r>
      <w:r w:rsidR="0007790D" w:rsidRPr="00D55103">
        <w:rPr>
          <w:szCs w:val="24"/>
        </w:rPr>
        <w:t xml:space="preserve"> </w:t>
      </w:r>
      <w:r w:rsidR="00BE6A4E" w:rsidRPr="00D55103">
        <w:rPr>
          <w:szCs w:val="24"/>
        </w:rPr>
        <w:t>related to</w:t>
      </w:r>
      <w:r w:rsidR="00440BF3" w:rsidRPr="00D55103">
        <w:rPr>
          <w:szCs w:val="24"/>
        </w:rPr>
        <w:t xml:space="preserve"> his culpability and appropriate discipline</w:t>
      </w:r>
      <w:r w:rsidR="00D26150">
        <w:rPr>
          <w:szCs w:val="24"/>
        </w:rPr>
        <w:t>.</w:t>
      </w:r>
      <w:r w:rsidR="00440BF3" w:rsidRPr="00D55103">
        <w:rPr>
          <w:szCs w:val="24"/>
        </w:rPr>
        <w:t xml:space="preserve">  </w:t>
      </w:r>
      <w:r w:rsidR="0007790D" w:rsidRPr="00D55103">
        <w:rPr>
          <w:szCs w:val="24"/>
        </w:rPr>
        <w:t xml:space="preserve">We address </w:t>
      </w:r>
      <w:r w:rsidR="00D26150">
        <w:rPr>
          <w:szCs w:val="24"/>
        </w:rPr>
        <w:t xml:space="preserve">his </w:t>
      </w:r>
      <w:r w:rsidR="00BB6583">
        <w:rPr>
          <w:szCs w:val="24"/>
        </w:rPr>
        <w:t xml:space="preserve">culpability </w:t>
      </w:r>
      <w:r w:rsidR="0007790D" w:rsidRPr="00D55103">
        <w:rPr>
          <w:szCs w:val="24"/>
        </w:rPr>
        <w:t xml:space="preserve">arguments </w:t>
      </w:r>
      <w:r w:rsidR="00440BF3" w:rsidRPr="00D55103">
        <w:rPr>
          <w:szCs w:val="24"/>
        </w:rPr>
        <w:t xml:space="preserve">in this section, and </w:t>
      </w:r>
      <w:r w:rsidR="00750ABA" w:rsidRPr="00D55103">
        <w:rPr>
          <w:szCs w:val="24"/>
        </w:rPr>
        <w:t>those</w:t>
      </w:r>
      <w:r w:rsidR="0007790D" w:rsidRPr="00D55103">
        <w:rPr>
          <w:szCs w:val="24"/>
        </w:rPr>
        <w:t xml:space="preserve"> </w:t>
      </w:r>
      <w:r w:rsidR="00BB6583">
        <w:rPr>
          <w:szCs w:val="24"/>
        </w:rPr>
        <w:t>regarding</w:t>
      </w:r>
      <w:r w:rsidR="0007790D" w:rsidRPr="00D55103">
        <w:rPr>
          <w:szCs w:val="24"/>
        </w:rPr>
        <w:t xml:space="preserve"> a </w:t>
      </w:r>
      <w:r w:rsidRPr="00D55103">
        <w:rPr>
          <w:szCs w:val="24"/>
        </w:rPr>
        <w:t xml:space="preserve">reduction in </w:t>
      </w:r>
      <w:r w:rsidR="008A5348" w:rsidRPr="00D55103">
        <w:rPr>
          <w:szCs w:val="24"/>
        </w:rPr>
        <w:t xml:space="preserve">his </w:t>
      </w:r>
      <w:r w:rsidRPr="00D55103">
        <w:rPr>
          <w:szCs w:val="24"/>
        </w:rPr>
        <w:t>discipline</w:t>
      </w:r>
      <w:r w:rsidR="00750ABA" w:rsidRPr="00D55103">
        <w:rPr>
          <w:szCs w:val="24"/>
        </w:rPr>
        <w:t xml:space="preserve"> in</w:t>
      </w:r>
      <w:r w:rsidR="00BE6A4E" w:rsidRPr="00D55103">
        <w:rPr>
          <w:szCs w:val="24"/>
        </w:rPr>
        <w:t xml:space="preserve"> mitigation</w:t>
      </w:r>
      <w:r w:rsidR="0007790D" w:rsidRPr="00D55103">
        <w:rPr>
          <w:szCs w:val="24"/>
        </w:rPr>
        <w:t>.</w:t>
      </w:r>
      <w:r w:rsidR="006B3E5E" w:rsidRPr="00D55103">
        <w:rPr>
          <w:rStyle w:val="FootnoteReference"/>
          <w:szCs w:val="24"/>
        </w:rPr>
        <w:footnoteReference w:id="15"/>
      </w:r>
    </w:p>
    <w:p w14:paraId="69A48C97" w14:textId="77777777" w:rsidR="00F93FA0" w:rsidRPr="00D55103" w:rsidRDefault="004A2150" w:rsidP="004A2150">
      <w:pPr>
        <w:spacing w:line="480" w:lineRule="auto"/>
        <w:rPr>
          <w:b/>
          <w:szCs w:val="24"/>
        </w:rPr>
      </w:pPr>
      <w:r w:rsidRPr="00D55103">
        <w:rPr>
          <w:b/>
          <w:szCs w:val="24"/>
        </w:rPr>
        <w:t>A.</w:t>
      </w:r>
      <w:r w:rsidRPr="00D55103">
        <w:rPr>
          <w:b/>
          <w:szCs w:val="24"/>
        </w:rPr>
        <w:tab/>
      </w:r>
      <w:r w:rsidR="00F93FA0" w:rsidRPr="00D55103">
        <w:rPr>
          <w:b/>
          <w:szCs w:val="24"/>
        </w:rPr>
        <w:t>Litigation Rather</w:t>
      </w:r>
      <w:r w:rsidR="001237F2" w:rsidRPr="00D55103">
        <w:rPr>
          <w:b/>
          <w:szCs w:val="24"/>
        </w:rPr>
        <w:t xml:space="preserve"> </w:t>
      </w:r>
      <w:r w:rsidR="00F93FA0" w:rsidRPr="00D55103">
        <w:rPr>
          <w:b/>
          <w:szCs w:val="24"/>
        </w:rPr>
        <w:t>than Loan Modification Services</w:t>
      </w:r>
    </w:p>
    <w:p w14:paraId="68B26B99" w14:textId="30CAEA8C" w:rsidR="00CB052E" w:rsidRPr="00D55103" w:rsidRDefault="003F5897" w:rsidP="00FC5484">
      <w:pPr>
        <w:spacing w:line="480" w:lineRule="auto"/>
        <w:ind w:firstLine="720"/>
        <w:rPr>
          <w:szCs w:val="24"/>
        </w:rPr>
      </w:pPr>
      <w:r w:rsidRPr="00D55103">
        <w:rPr>
          <w:szCs w:val="24"/>
        </w:rPr>
        <w:t>W</w:t>
      </w:r>
      <w:r w:rsidR="00E05119" w:rsidRPr="00D55103">
        <w:rPr>
          <w:szCs w:val="24"/>
        </w:rPr>
        <w:t xml:space="preserve">e </w:t>
      </w:r>
      <w:r w:rsidR="00290E48" w:rsidRPr="00D55103">
        <w:rPr>
          <w:szCs w:val="24"/>
        </w:rPr>
        <w:t xml:space="preserve">reject </w:t>
      </w:r>
      <w:r w:rsidRPr="00D55103">
        <w:rPr>
          <w:szCs w:val="24"/>
        </w:rPr>
        <w:t>Golden’s argument that he</w:t>
      </w:r>
      <w:r w:rsidR="00E05119" w:rsidRPr="00D55103">
        <w:rPr>
          <w:szCs w:val="24"/>
        </w:rPr>
        <w:t xml:space="preserve"> offer</w:t>
      </w:r>
      <w:r w:rsidRPr="00D55103">
        <w:rPr>
          <w:szCs w:val="24"/>
        </w:rPr>
        <w:t>ed</w:t>
      </w:r>
      <w:r w:rsidR="00E05119" w:rsidRPr="00D55103">
        <w:rPr>
          <w:szCs w:val="24"/>
        </w:rPr>
        <w:t xml:space="preserve"> litigation services rather than loan modification services.  His primary </w:t>
      </w:r>
      <w:r w:rsidR="00187011" w:rsidRPr="00D55103">
        <w:rPr>
          <w:szCs w:val="24"/>
        </w:rPr>
        <w:t>goal</w:t>
      </w:r>
      <w:r w:rsidR="00E05119" w:rsidRPr="00D55103">
        <w:rPr>
          <w:szCs w:val="24"/>
        </w:rPr>
        <w:t xml:space="preserve"> was to obtain loan modification</w:t>
      </w:r>
      <w:r w:rsidR="00656216">
        <w:rPr>
          <w:szCs w:val="24"/>
        </w:rPr>
        <w:t>s</w:t>
      </w:r>
      <w:r w:rsidR="00E05119" w:rsidRPr="00D55103">
        <w:rPr>
          <w:szCs w:val="24"/>
        </w:rPr>
        <w:t>.  Civil Code section</w:t>
      </w:r>
      <w:r w:rsidR="00E40DE8">
        <w:rPr>
          <w:szCs w:val="24"/>
        </w:rPr>
        <w:t> </w:t>
      </w:r>
      <w:r w:rsidR="00E05119" w:rsidRPr="00D55103">
        <w:rPr>
          <w:szCs w:val="24"/>
        </w:rPr>
        <w:t>2944.7 bars up</w:t>
      </w:r>
      <w:r w:rsidR="00BE786C">
        <w:rPr>
          <w:szCs w:val="24"/>
        </w:rPr>
        <w:t>-</w:t>
      </w:r>
      <w:r w:rsidR="00E05119" w:rsidRPr="00D55103">
        <w:rPr>
          <w:szCs w:val="24"/>
        </w:rPr>
        <w:t xml:space="preserve">front fees for loan modification services.  </w:t>
      </w:r>
      <w:r w:rsidR="00290E48" w:rsidRPr="00D55103">
        <w:rPr>
          <w:szCs w:val="24"/>
        </w:rPr>
        <w:t>No exception exists</w:t>
      </w:r>
      <w:r w:rsidR="00E05119" w:rsidRPr="00D55103">
        <w:rPr>
          <w:szCs w:val="24"/>
        </w:rPr>
        <w:t xml:space="preserve"> for attorneys </w:t>
      </w:r>
      <w:r w:rsidR="00290E48" w:rsidRPr="00D55103">
        <w:rPr>
          <w:szCs w:val="24"/>
        </w:rPr>
        <w:t>who</w:t>
      </w:r>
      <w:r w:rsidR="00E05119" w:rsidRPr="00D55103">
        <w:rPr>
          <w:szCs w:val="24"/>
        </w:rPr>
        <w:t xml:space="preserve"> </w:t>
      </w:r>
      <w:r w:rsidR="00290E48" w:rsidRPr="00D55103">
        <w:rPr>
          <w:szCs w:val="24"/>
        </w:rPr>
        <w:t>plan</w:t>
      </w:r>
      <w:r w:rsidR="00E05119" w:rsidRPr="00D55103">
        <w:rPr>
          <w:szCs w:val="24"/>
        </w:rPr>
        <w:t xml:space="preserve"> </w:t>
      </w:r>
      <w:r w:rsidR="00290E48" w:rsidRPr="00D55103">
        <w:rPr>
          <w:szCs w:val="24"/>
        </w:rPr>
        <w:t>to file litigation if a</w:t>
      </w:r>
      <w:r w:rsidR="00E05119" w:rsidRPr="00D55103">
        <w:rPr>
          <w:szCs w:val="24"/>
        </w:rPr>
        <w:t xml:space="preserve"> loan m</w:t>
      </w:r>
      <w:r w:rsidR="00312733" w:rsidRPr="00D55103">
        <w:rPr>
          <w:szCs w:val="24"/>
        </w:rPr>
        <w:t>odification request is denied.</w:t>
      </w:r>
    </w:p>
    <w:p w14:paraId="1FD6B842" w14:textId="6A5CFF7D" w:rsidR="00DD2D16" w:rsidRPr="00D55103" w:rsidRDefault="00312733" w:rsidP="00CB052E">
      <w:pPr>
        <w:spacing w:line="480" w:lineRule="auto"/>
        <w:ind w:firstLine="720"/>
        <w:rPr>
          <w:szCs w:val="24"/>
        </w:rPr>
      </w:pPr>
      <w:r w:rsidRPr="00D55103">
        <w:rPr>
          <w:szCs w:val="24"/>
        </w:rPr>
        <w:lastRenderedPageBreak/>
        <w:t xml:space="preserve">We thus </w:t>
      </w:r>
      <w:r w:rsidR="00F93FA0" w:rsidRPr="00D55103">
        <w:rPr>
          <w:szCs w:val="24"/>
        </w:rPr>
        <w:t>are unpersuaded by Golden’</w:t>
      </w:r>
      <w:r w:rsidR="00162CBD" w:rsidRPr="00D55103">
        <w:rPr>
          <w:szCs w:val="24"/>
        </w:rPr>
        <w:t xml:space="preserve">s </w:t>
      </w:r>
      <w:r w:rsidRPr="00D55103">
        <w:rPr>
          <w:szCs w:val="24"/>
        </w:rPr>
        <w:t>contentions</w:t>
      </w:r>
      <w:r w:rsidR="00F93FA0" w:rsidRPr="00D55103">
        <w:rPr>
          <w:szCs w:val="24"/>
        </w:rPr>
        <w:t xml:space="preserve"> </w:t>
      </w:r>
      <w:r w:rsidR="002727FE" w:rsidRPr="00D55103">
        <w:rPr>
          <w:szCs w:val="24"/>
        </w:rPr>
        <w:t xml:space="preserve">that </w:t>
      </w:r>
      <w:r w:rsidR="00656216">
        <w:rPr>
          <w:szCs w:val="24"/>
        </w:rPr>
        <w:t>his</w:t>
      </w:r>
      <w:r w:rsidR="002727FE" w:rsidRPr="00D55103">
        <w:rPr>
          <w:szCs w:val="24"/>
        </w:rPr>
        <w:t xml:space="preserve"> fee agreements were for the “purposes of litigation and foreclosure defense</w:t>
      </w:r>
      <w:r w:rsidR="00FC5484" w:rsidRPr="00D55103">
        <w:rPr>
          <w:szCs w:val="24"/>
        </w:rPr>
        <w:t>,</w:t>
      </w:r>
      <w:r w:rsidR="002727FE" w:rsidRPr="00D55103">
        <w:rPr>
          <w:szCs w:val="24"/>
        </w:rPr>
        <w:t>”</w:t>
      </w:r>
      <w:r w:rsidR="00FC5484" w:rsidRPr="00D55103">
        <w:rPr>
          <w:szCs w:val="24"/>
        </w:rPr>
        <w:t xml:space="preserve"> and litigation was not </w:t>
      </w:r>
      <w:r w:rsidR="00BE786C">
        <w:rPr>
          <w:szCs w:val="24"/>
        </w:rPr>
        <w:t>in</w:t>
      </w:r>
      <w:r w:rsidR="0084755E">
        <w:rPr>
          <w:szCs w:val="24"/>
        </w:rPr>
        <w:t>tended solely</w:t>
      </w:r>
      <w:r w:rsidR="00CB052E" w:rsidRPr="00D55103">
        <w:rPr>
          <w:szCs w:val="24"/>
        </w:rPr>
        <w:t xml:space="preserve"> to </w:t>
      </w:r>
      <w:r w:rsidR="00545C75">
        <w:rPr>
          <w:szCs w:val="24"/>
        </w:rPr>
        <w:t>secure</w:t>
      </w:r>
      <w:r w:rsidR="00CB052E" w:rsidRPr="00D55103">
        <w:rPr>
          <w:szCs w:val="24"/>
        </w:rPr>
        <w:t xml:space="preserve"> a loan modification.  </w:t>
      </w:r>
      <w:r w:rsidRPr="00D55103">
        <w:rPr>
          <w:szCs w:val="24"/>
        </w:rPr>
        <w:t xml:space="preserve">Even if </w:t>
      </w:r>
      <w:r w:rsidR="008170EB">
        <w:rPr>
          <w:szCs w:val="24"/>
        </w:rPr>
        <w:t>he</w:t>
      </w:r>
      <w:r w:rsidRPr="00D55103">
        <w:rPr>
          <w:szCs w:val="24"/>
        </w:rPr>
        <w:t xml:space="preserve"> </w:t>
      </w:r>
      <w:r w:rsidR="00FC5484" w:rsidRPr="00D55103">
        <w:rPr>
          <w:szCs w:val="24"/>
        </w:rPr>
        <w:t>offer</w:t>
      </w:r>
      <w:r w:rsidRPr="00D55103">
        <w:rPr>
          <w:szCs w:val="24"/>
        </w:rPr>
        <w:t>ed</w:t>
      </w:r>
      <w:r w:rsidR="00FC5484" w:rsidRPr="00D55103">
        <w:rPr>
          <w:szCs w:val="24"/>
        </w:rPr>
        <w:t xml:space="preserve"> </w:t>
      </w:r>
      <w:r w:rsidRPr="00D55103">
        <w:rPr>
          <w:szCs w:val="24"/>
        </w:rPr>
        <w:t>service</w:t>
      </w:r>
      <w:r w:rsidR="00CB052E" w:rsidRPr="00D55103">
        <w:rPr>
          <w:szCs w:val="24"/>
        </w:rPr>
        <w:t>s</w:t>
      </w:r>
      <w:r w:rsidR="00FC5484" w:rsidRPr="00D55103">
        <w:rPr>
          <w:szCs w:val="24"/>
        </w:rPr>
        <w:t xml:space="preserve"> other than loan modifications (e.g., litigation, short sales, bankruptcy),</w:t>
      </w:r>
      <w:r w:rsidR="00165717">
        <w:rPr>
          <w:szCs w:val="24"/>
        </w:rPr>
        <w:t xml:space="preserve"> as he contends on review,</w:t>
      </w:r>
      <w:r w:rsidR="00FC5484" w:rsidRPr="00D55103">
        <w:rPr>
          <w:szCs w:val="24"/>
        </w:rPr>
        <w:t xml:space="preserve"> the services provided </w:t>
      </w:r>
      <w:r w:rsidR="00F65299" w:rsidRPr="00D55103">
        <w:rPr>
          <w:szCs w:val="24"/>
        </w:rPr>
        <w:t xml:space="preserve">in </w:t>
      </w:r>
      <w:r w:rsidR="008170EB">
        <w:rPr>
          <w:szCs w:val="24"/>
        </w:rPr>
        <w:t>all</w:t>
      </w:r>
      <w:r w:rsidR="00F65299" w:rsidRPr="00D55103">
        <w:rPr>
          <w:szCs w:val="24"/>
        </w:rPr>
        <w:t xml:space="preserve"> 11 client matters were </w:t>
      </w:r>
      <w:r w:rsidR="00C57798" w:rsidRPr="00D55103">
        <w:rPr>
          <w:szCs w:val="24"/>
        </w:rPr>
        <w:t xml:space="preserve">solely or primarily </w:t>
      </w:r>
      <w:r w:rsidR="008170EB">
        <w:rPr>
          <w:szCs w:val="24"/>
        </w:rPr>
        <w:t>to</w:t>
      </w:r>
      <w:r w:rsidR="00F65299" w:rsidRPr="00D55103">
        <w:rPr>
          <w:szCs w:val="24"/>
        </w:rPr>
        <w:t xml:space="preserve"> obtain</w:t>
      </w:r>
      <w:r w:rsidR="00CB052E" w:rsidRPr="00D55103">
        <w:rPr>
          <w:szCs w:val="24"/>
        </w:rPr>
        <w:t xml:space="preserve"> loan modifications.</w:t>
      </w:r>
    </w:p>
    <w:p w14:paraId="0B677021" w14:textId="344D6F9C" w:rsidR="00DD2D16" w:rsidRPr="00D55103" w:rsidRDefault="00CB052E" w:rsidP="00F65299">
      <w:pPr>
        <w:spacing w:line="480" w:lineRule="auto"/>
        <w:ind w:firstLine="720"/>
        <w:rPr>
          <w:szCs w:val="24"/>
        </w:rPr>
      </w:pPr>
      <w:r w:rsidRPr="00D55103">
        <w:rPr>
          <w:szCs w:val="24"/>
        </w:rPr>
        <w:t>A</w:t>
      </w:r>
      <w:r w:rsidR="002B548A" w:rsidRPr="00D55103">
        <w:rPr>
          <w:szCs w:val="24"/>
        </w:rPr>
        <w:t xml:space="preserve">s we concluded in </w:t>
      </w:r>
      <w:r w:rsidR="002B548A" w:rsidRPr="00D55103">
        <w:rPr>
          <w:i/>
          <w:szCs w:val="24"/>
        </w:rPr>
        <w:t>Taylor</w:t>
      </w:r>
      <w:r w:rsidR="00A55CCE" w:rsidRPr="00D55103">
        <w:rPr>
          <w:szCs w:val="24"/>
        </w:rPr>
        <w:t xml:space="preserve">, </w:t>
      </w:r>
      <w:r w:rsidR="00A55CCE" w:rsidRPr="00D55103">
        <w:rPr>
          <w:i/>
          <w:szCs w:val="24"/>
        </w:rPr>
        <w:t>supra</w:t>
      </w:r>
      <w:r w:rsidR="00A55CCE" w:rsidRPr="00D55103">
        <w:rPr>
          <w:szCs w:val="24"/>
        </w:rPr>
        <w:t xml:space="preserve">, </w:t>
      </w:r>
      <w:r w:rsidR="002B548A" w:rsidRPr="00D55103">
        <w:rPr>
          <w:szCs w:val="24"/>
        </w:rPr>
        <w:t>5</w:t>
      </w:r>
      <w:r w:rsidR="00E40DE8">
        <w:rPr>
          <w:szCs w:val="24"/>
        </w:rPr>
        <w:t> </w:t>
      </w:r>
      <w:r w:rsidR="002B548A" w:rsidRPr="00D55103">
        <w:rPr>
          <w:szCs w:val="24"/>
        </w:rPr>
        <w:t xml:space="preserve">Cal. State Bar Ct. Rptr. </w:t>
      </w:r>
      <w:r w:rsidR="00A55CCE" w:rsidRPr="00D55103">
        <w:rPr>
          <w:szCs w:val="24"/>
        </w:rPr>
        <w:t>221</w:t>
      </w:r>
      <w:r w:rsidR="002B548A" w:rsidRPr="00D55103">
        <w:rPr>
          <w:szCs w:val="24"/>
        </w:rPr>
        <w:t xml:space="preserve">, </w:t>
      </w:r>
      <w:r w:rsidR="00A55CCE" w:rsidRPr="00D55103">
        <w:rPr>
          <w:szCs w:val="24"/>
        </w:rPr>
        <w:t>“</w:t>
      </w:r>
      <w:r w:rsidR="002B548A" w:rsidRPr="00D55103">
        <w:rPr>
          <w:szCs w:val="24"/>
        </w:rPr>
        <w:t xml:space="preserve">Civil Code </w:t>
      </w:r>
      <w:r w:rsidR="004A2150" w:rsidRPr="00D55103">
        <w:rPr>
          <w:szCs w:val="24"/>
        </w:rPr>
        <w:t>section</w:t>
      </w:r>
      <w:r w:rsidR="00E40DE8">
        <w:rPr>
          <w:szCs w:val="24"/>
        </w:rPr>
        <w:t> </w:t>
      </w:r>
      <w:r w:rsidR="004A2150" w:rsidRPr="00D55103">
        <w:rPr>
          <w:szCs w:val="24"/>
        </w:rPr>
        <w:t>2944.7</w:t>
      </w:r>
      <w:r w:rsidR="00A55CCE" w:rsidRPr="00D55103">
        <w:rPr>
          <w:szCs w:val="24"/>
        </w:rPr>
        <w:t>, subdivision</w:t>
      </w:r>
      <w:r w:rsidR="00E40DE8">
        <w:rPr>
          <w:szCs w:val="24"/>
        </w:rPr>
        <w:t> </w:t>
      </w:r>
      <w:r w:rsidR="00A55CCE" w:rsidRPr="00D55103">
        <w:rPr>
          <w:szCs w:val="24"/>
        </w:rPr>
        <w:t>(a),</w:t>
      </w:r>
      <w:r w:rsidR="004A2150" w:rsidRPr="00D55103">
        <w:rPr>
          <w:szCs w:val="24"/>
        </w:rPr>
        <w:t xml:space="preserve"> plainly prohibits </w:t>
      </w:r>
      <w:r w:rsidR="004A2150" w:rsidRPr="00D55103">
        <w:rPr>
          <w:i/>
          <w:szCs w:val="24"/>
        </w:rPr>
        <w:t>any person</w:t>
      </w:r>
      <w:r w:rsidR="004A2150" w:rsidRPr="00D55103">
        <w:rPr>
          <w:szCs w:val="24"/>
        </w:rPr>
        <w:t xml:space="preserve"> engaging in loan modifications from collecting </w:t>
      </w:r>
      <w:r w:rsidR="004A2150" w:rsidRPr="00D55103">
        <w:rPr>
          <w:i/>
          <w:szCs w:val="24"/>
        </w:rPr>
        <w:t>any fees</w:t>
      </w:r>
      <w:r w:rsidR="004A2150" w:rsidRPr="00D55103">
        <w:rPr>
          <w:szCs w:val="24"/>
        </w:rPr>
        <w:t xml:space="preserve"> related to such modifications until </w:t>
      </w:r>
      <w:r w:rsidR="004A2150" w:rsidRPr="00D55103">
        <w:rPr>
          <w:i/>
          <w:szCs w:val="24"/>
        </w:rPr>
        <w:t>each and every</w:t>
      </w:r>
      <w:r w:rsidR="004A2150" w:rsidRPr="00D55103">
        <w:rPr>
          <w:szCs w:val="24"/>
        </w:rPr>
        <w:t xml:space="preserve"> service contracted for has been completed.  [Citation.]”  (</w:t>
      </w:r>
      <w:r w:rsidR="004A2150" w:rsidRPr="00D55103">
        <w:rPr>
          <w:i/>
          <w:szCs w:val="24"/>
        </w:rPr>
        <w:t>Id.</w:t>
      </w:r>
      <w:r w:rsidR="004A2150" w:rsidRPr="00D55103">
        <w:rPr>
          <w:szCs w:val="24"/>
        </w:rPr>
        <w:t xml:space="preserve"> at p.</w:t>
      </w:r>
      <w:r w:rsidR="00E40DE8">
        <w:rPr>
          <w:szCs w:val="24"/>
        </w:rPr>
        <w:t> </w:t>
      </w:r>
      <w:r w:rsidR="004A2150" w:rsidRPr="00D55103">
        <w:rPr>
          <w:szCs w:val="24"/>
        </w:rPr>
        <w:t xml:space="preserve">232, italics in original.)  </w:t>
      </w:r>
      <w:r w:rsidR="00774185">
        <w:rPr>
          <w:szCs w:val="24"/>
        </w:rPr>
        <w:t>E</w:t>
      </w:r>
      <w:r w:rsidR="001F2928" w:rsidRPr="00D55103">
        <w:rPr>
          <w:szCs w:val="24"/>
        </w:rPr>
        <w:t xml:space="preserve">ven if the purpose of </w:t>
      </w:r>
      <w:r w:rsidR="00A55CCE" w:rsidRPr="00D55103">
        <w:rPr>
          <w:szCs w:val="24"/>
        </w:rPr>
        <w:t>Golden’s</w:t>
      </w:r>
      <w:r w:rsidR="004A2150" w:rsidRPr="00D55103">
        <w:rPr>
          <w:szCs w:val="24"/>
        </w:rPr>
        <w:t xml:space="preserve"> litigation services</w:t>
      </w:r>
      <w:r w:rsidR="001F2928" w:rsidRPr="00D55103">
        <w:rPr>
          <w:szCs w:val="24"/>
        </w:rPr>
        <w:t xml:space="preserve"> was not just to </w:t>
      </w:r>
      <w:r w:rsidR="00545C75">
        <w:rPr>
          <w:szCs w:val="24"/>
        </w:rPr>
        <w:t>obtain</w:t>
      </w:r>
      <w:r w:rsidR="001F2928" w:rsidRPr="00D55103">
        <w:rPr>
          <w:szCs w:val="24"/>
        </w:rPr>
        <w:t xml:space="preserve"> a loan modification, his collection of fees before </w:t>
      </w:r>
      <w:r w:rsidR="001F2928" w:rsidRPr="00D55103">
        <w:rPr>
          <w:i/>
          <w:szCs w:val="24"/>
        </w:rPr>
        <w:t>each and every</w:t>
      </w:r>
      <w:r w:rsidR="001F2928" w:rsidRPr="00D55103">
        <w:rPr>
          <w:szCs w:val="24"/>
        </w:rPr>
        <w:t xml:space="preserve"> service he contracted for was completed</w:t>
      </w:r>
      <w:r w:rsidR="004A2150" w:rsidRPr="00D55103">
        <w:rPr>
          <w:szCs w:val="24"/>
        </w:rPr>
        <w:t xml:space="preserve"> violated the statute.  (</w:t>
      </w:r>
      <w:r w:rsidR="004A2150" w:rsidRPr="00D55103">
        <w:rPr>
          <w:i/>
          <w:szCs w:val="24"/>
        </w:rPr>
        <w:t>Id.</w:t>
      </w:r>
      <w:r w:rsidR="00842B8F" w:rsidRPr="00D55103">
        <w:rPr>
          <w:szCs w:val="24"/>
        </w:rPr>
        <w:t xml:space="preserve"> at pp.</w:t>
      </w:r>
      <w:r w:rsidR="00E40DE8">
        <w:rPr>
          <w:szCs w:val="24"/>
        </w:rPr>
        <w:t> </w:t>
      </w:r>
      <w:r w:rsidR="00842B8F" w:rsidRPr="00D55103">
        <w:rPr>
          <w:szCs w:val="24"/>
        </w:rPr>
        <w:t>231</w:t>
      </w:r>
      <w:r w:rsidR="00F65299" w:rsidRPr="00D55103">
        <w:rPr>
          <w:szCs w:val="24"/>
        </w:rPr>
        <w:t>–</w:t>
      </w:r>
      <w:r w:rsidR="00842B8F" w:rsidRPr="00D55103">
        <w:rPr>
          <w:szCs w:val="24"/>
        </w:rPr>
        <w:t>232.)</w:t>
      </w:r>
      <w:r w:rsidRPr="00D55103">
        <w:rPr>
          <w:rStyle w:val="FootnoteReference"/>
          <w:szCs w:val="24"/>
        </w:rPr>
        <w:footnoteReference w:id="16"/>
      </w:r>
    </w:p>
    <w:p w14:paraId="1A4565A7" w14:textId="77777777" w:rsidR="00FC5484" w:rsidRPr="00D55103" w:rsidRDefault="004018FA" w:rsidP="00FC5484">
      <w:pPr>
        <w:spacing w:line="480" w:lineRule="auto"/>
        <w:rPr>
          <w:b/>
          <w:szCs w:val="24"/>
        </w:rPr>
      </w:pPr>
      <w:bookmarkStart w:id="8" w:name="_Hlk508055863"/>
      <w:r w:rsidRPr="00D55103">
        <w:rPr>
          <w:b/>
          <w:szCs w:val="24"/>
        </w:rPr>
        <w:t>B</w:t>
      </w:r>
      <w:r w:rsidR="00FC5484" w:rsidRPr="00D55103">
        <w:rPr>
          <w:b/>
          <w:szCs w:val="24"/>
        </w:rPr>
        <w:t>.</w:t>
      </w:r>
      <w:r w:rsidR="00FC5484" w:rsidRPr="00D55103">
        <w:rPr>
          <w:b/>
          <w:szCs w:val="24"/>
        </w:rPr>
        <w:tab/>
      </w:r>
      <w:r w:rsidR="003E6628" w:rsidRPr="00D55103">
        <w:rPr>
          <w:b/>
          <w:szCs w:val="24"/>
        </w:rPr>
        <w:t>Allowance for Fees for Litigation as Means to Leverage L</w:t>
      </w:r>
      <w:r w:rsidR="00FC5484" w:rsidRPr="00D55103">
        <w:rPr>
          <w:b/>
          <w:szCs w:val="24"/>
        </w:rPr>
        <w:t>oan Modification</w:t>
      </w:r>
    </w:p>
    <w:bookmarkEnd w:id="8"/>
    <w:p w14:paraId="73596BF7" w14:textId="6F5AE60F" w:rsidR="00CA394A" w:rsidRPr="00D55103" w:rsidRDefault="003E6628" w:rsidP="00A04109">
      <w:pPr>
        <w:spacing w:line="480" w:lineRule="auto"/>
        <w:ind w:right="-288" w:firstLine="720"/>
        <w:rPr>
          <w:szCs w:val="24"/>
        </w:rPr>
      </w:pPr>
      <w:r w:rsidRPr="00D55103">
        <w:rPr>
          <w:szCs w:val="24"/>
        </w:rPr>
        <w:t xml:space="preserve">We also reject </w:t>
      </w:r>
      <w:r w:rsidR="00FC5484" w:rsidRPr="00D55103">
        <w:rPr>
          <w:szCs w:val="24"/>
        </w:rPr>
        <w:t>Golden’s argument</w:t>
      </w:r>
      <w:r w:rsidRPr="00D55103">
        <w:rPr>
          <w:szCs w:val="24"/>
        </w:rPr>
        <w:t xml:space="preserve"> that Civil Code section</w:t>
      </w:r>
      <w:r w:rsidR="00E40DE8">
        <w:rPr>
          <w:szCs w:val="24"/>
        </w:rPr>
        <w:t> </w:t>
      </w:r>
      <w:r w:rsidRPr="00D55103">
        <w:rPr>
          <w:szCs w:val="24"/>
        </w:rPr>
        <w:t>2944.7, subdivision</w:t>
      </w:r>
      <w:r w:rsidR="00E40DE8">
        <w:rPr>
          <w:szCs w:val="24"/>
        </w:rPr>
        <w:t> </w:t>
      </w:r>
      <w:r w:rsidRPr="00D55103">
        <w:rPr>
          <w:szCs w:val="24"/>
        </w:rPr>
        <w:t>(a), should not apply to litigation that attempts to obtain a loan modification.  Golden contend</w:t>
      </w:r>
      <w:r w:rsidR="00040EA2" w:rsidRPr="00D55103">
        <w:rPr>
          <w:szCs w:val="24"/>
        </w:rPr>
        <w:t>s</w:t>
      </w:r>
      <w:r w:rsidRPr="00D55103">
        <w:rPr>
          <w:szCs w:val="24"/>
        </w:rPr>
        <w:t xml:space="preserve"> that </w:t>
      </w:r>
      <w:r w:rsidR="00C36305" w:rsidRPr="00D55103">
        <w:rPr>
          <w:szCs w:val="24"/>
        </w:rPr>
        <w:t xml:space="preserve">the </w:t>
      </w:r>
      <w:r w:rsidR="00040EA2" w:rsidRPr="00D55103">
        <w:rPr>
          <w:szCs w:val="24"/>
        </w:rPr>
        <w:t xml:space="preserve">Homeowner Bill of Rights (HBOR) (A.B. 278 (2011–2012 Reg. Sess.); S.B. 900 (2011–2012 Reg. Sess.)) </w:t>
      </w:r>
      <w:r w:rsidRPr="00D55103">
        <w:rPr>
          <w:szCs w:val="24"/>
        </w:rPr>
        <w:t xml:space="preserve">should be read to “allow[] a lawyer to get paid for preparing to litigate and litigating against </w:t>
      </w:r>
      <w:r w:rsidR="0003042C" w:rsidRPr="00D55103">
        <w:rPr>
          <w:szCs w:val="24"/>
        </w:rPr>
        <w:t>the</w:t>
      </w:r>
      <w:r w:rsidRPr="00D55103">
        <w:rPr>
          <w:szCs w:val="24"/>
        </w:rPr>
        <w:t xml:space="preserve"> client’s lender as a means to leverage a loan modification.”  </w:t>
      </w:r>
      <w:r w:rsidR="00A04109">
        <w:rPr>
          <w:szCs w:val="24"/>
        </w:rPr>
        <w:t>His</w:t>
      </w:r>
      <w:r w:rsidR="00040EA2" w:rsidRPr="00D55103">
        <w:rPr>
          <w:szCs w:val="24"/>
        </w:rPr>
        <w:t xml:space="preserve"> </w:t>
      </w:r>
      <w:r w:rsidRPr="00D55103">
        <w:rPr>
          <w:szCs w:val="24"/>
        </w:rPr>
        <w:t>argument is</w:t>
      </w:r>
      <w:r w:rsidR="00040EA2" w:rsidRPr="00D55103">
        <w:rPr>
          <w:szCs w:val="24"/>
        </w:rPr>
        <w:t xml:space="preserve"> un</w:t>
      </w:r>
      <w:r w:rsidRPr="00D55103">
        <w:rPr>
          <w:szCs w:val="24"/>
        </w:rPr>
        <w:t>persuasive</w:t>
      </w:r>
      <w:r w:rsidR="0003042C" w:rsidRPr="00D55103">
        <w:rPr>
          <w:szCs w:val="24"/>
        </w:rPr>
        <w:t>.</w:t>
      </w:r>
    </w:p>
    <w:p w14:paraId="0C4942C1" w14:textId="696DE1BF" w:rsidR="00163BB1" w:rsidRPr="00D55103" w:rsidRDefault="0003042C" w:rsidP="000B5A8D">
      <w:pPr>
        <w:spacing w:line="480" w:lineRule="auto"/>
        <w:ind w:firstLine="720"/>
        <w:rPr>
          <w:szCs w:val="24"/>
        </w:rPr>
      </w:pPr>
      <w:r w:rsidRPr="00D55103">
        <w:rPr>
          <w:szCs w:val="24"/>
        </w:rPr>
        <w:t>W</w:t>
      </w:r>
      <w:r w:rsidR="00EA3B0C" w:rsidRPr="00D55103">
        <w:rPr>
          <w:szCs w:val="24"/>
        </w:rPr>
        <w:t xml:space="preserve">e find </w:t>
      </w:r>
      <w:r w:rsidRPr="00D55103">
        <w:rPr>
          <w:szCs w:val="24"/>
        </w:rPr>
        <w:t>no conflict between</w:t>
      </w:r>
      <w:r w:rsidR="00EA3B0C" w:rsidRPr="00D55103">
        <w:rPr>
          <w:szCs w:val="24"/>
        </w:rPr>
        <w:t xml:space="preserve"> Civil Code section</w:t>
      </w:r>
      <w:r w:rsidR="00AE6FC8">
        <w:rPr>
          <w:szCs w:val="24"/>
        </w:rPr>
        <w:t> </w:t>
      </w:r>
      <w:r w:rsidR="00EA3B0C" w:rsidRPr="00D55103">
        <w:rPr>
          <w:szCs w:val="24"/>
        </w:rPr>
        <w:t>2944.7, subdivision</w:t>
      </w:r>
      <w:r w:rsidR="00AE6FC8">
        <w:rPr>
          <w:szCs w:val="24"/>
        </w:rPr>
        <w:t> </w:t>
      </w:r>
      <w:r w:rsidR="00EA3B0C" w:rsidRPr="00D55103">
        <w:rPr>
          <w:szCs w:val="24"/>
        </w:rPr>
        <w:t>(</w:t>
      </w:r>
      <w:r w:rsidR="003E6628" w:rsidRPr="00D55103">
        <w:rPr>
          <w:szCs w:val="24"/>
        </w:rPr>
        <w:t>a)</w:t>
      </w:r>
      <w:r w:rsidR="00EA3B0C" w:rsidRPr="00D55103">
        <w:rPr>
          <w:szCs w:val="24"/>
        </w:rPr>
        <w:t>,</w:t>
      </w:r>
      <w:r w:rsidR="003E6628" w:rsidRPr="00D55103">
        <w:rPr>
          <w:szCs w:val="24"/>
        </w:rPr>
        <w:t xml:space="preserve"> </w:t>
      </w:r>
      <w:r w:rsidR="006B322E" w:rsidRPr="00D55103">
        <w:rPr>
          <w:szCs w:val="24"/>
        </w:rPr>
        <w:t xml:space="preserve">which prohibits an </w:t>
      </w:r>
      <w:r w:rsidR="006B322E" w:rsidRPr="00D55103">
        <w:rPr>
          <w:i/>
          <w:szCs w:val="24"/>
        </w:rPr>
        <w:t>attorney</w:t>
      </w:r>
      <w:r w:rsidR="006B322E" w:rsidRPr="00D55103">
        <w:rPr>
          <w:szCs w:val="24"/>
        </w:rPr>
        <w:t xml:space="preserve"> </w:t>
      </w:r>
      <w:r w:rsidR="0045361A">
        <w:rPr>
          <w:szCs w:val="24"/>
        </w:rPr>
        <w:t>from</w:t>
      </w:r>
      <w:r w:rsidR="006B322E" w:rsidRPr="00D55103">
        <w:rPr>
          <w:szCs w:val="24"/>
        </w:rPr>
        <w:t xml:space="preserve"> charg</w:t>
      </w:r>
      <w:r w:rsidR="0045361A">
        <w:rPr>
          <w:szCs w:val="24"/>
        </w:rPr>
        <w:t>ing</w:t>
      </w:r>
      <w:r w:rsidR="006B322E" w:rsidRPr="00D55103">
        <w:rPr>
          <w:szCs w:val="24"/>
        </w:rPr>
        <w:t xml:space="preserve"> pre-performance advance fees for litigation related to a loan modification, </w:t>
      </w:r>
      <w:r w:rsidR="003E6628" w:rsidRPr="00D55103">
        <w:rPr>
          <w:szCs w:val="24"/>
        </w:rPr>
        <w:t>and the HBOR</w:t>
      </w:r>
      <w:r w:rsidR="006B322E" w:rsidRPr="00D55103">
        <w:rPr>
          <w:szCs w:val="24"/>
        </w:rPr>
        <w:t xml:space="preserve">, which provides that a borrower may receive attorney fees from a </w:t>
      </w:r>
      <w:r w:rsidR="006B322E" w:rsidRPr="00D55103">
        <w:rPr>
          <w:i/>
          <w:szCs w:val="24"/>
        </w:rPr>
        <w:t>lender</w:t>
      </w:r>
      <w:r w:rsidR="003E6628" w:rsidRPr="00D55103">
        <w:rPr>
          <w:szCs w:val="24"/>
        </w:rPr>
        <w:t>.</w:t>
      </w:r>
      <w:r w:rsidRPr="00D55103">
        <w:rPr>
          <w:szCs w:val="24"/>
        </w:rPr>
        <w:t xml:space="preserve">  </w:t>
      </w:r>
      <w:r w:rsidR="00AE3847" w:rsidRPr="00D55103">
        <w:rPr>
          <w:szCs w:val="24"/>
        </w:rPr>
        <w:t>T</w:t>
      </w:r>
      <w:r w:rsidR="00EA3B0C" w:rsidRPr="00D55103">
        <w:rPr>
          <w:szCs w:val="24"/>
        </w:rPr>
        <w:t xml:space="preserve">he remedies provided under </w:t>
      </w:r>
      <w:r w:rsidR="00CA394A" w:rsidRPr="00D55103">
        <w:rPr>
          <w:szCs w:val="24"/>
        </w:rPr>
        <w:t xml:space="preserve">the </w:t>
      </w:r>
      <w:r w:rsidR="00EA3B0C" w:rsidRPr="00D55103">
        <w:rPr>
          <w:szCs w:val="24"/>
        </w:rPr>
        <w:t>HBOR include (a)</w:t>
      </w:r>
      <w:r w:rsidR="00AE6FC8">
        <w:rPr>
          <w:szCs w:val="24"/>
        </w:rPr>
        <w:t> </w:t>
      </w:r>
      <w:r w:rsidR="00EA3B0C" w:rsidRPr="00D55103">
        <w:rPr>
          <w:szCs w:val="24"/>
        </w:rPr>
        <w:t xml:space="preserve">injunctive relief potentially available for a borrower </w:t>
      </w:r>
      <w:r w:rsidR="00C36305" w:rsidRPr="00D55103">
        <w:rPr>
          <w:szCs w:val="24"/>
        </w:rPr>
        <w:t xml:space="preserve">still in possession of </w:t>
      </w:r>
      <w:r w:rsidR="00443B49">
        <w:rPr>
          <w:szCs w:val="24"/>
        </w:rPr>
        <w:t>the</w:t>
      </w:r>
      <w:r w:rsidR="00C36305" w:rsidRPr="00D55103">
        <w:rPr>
          <w:szCs w:val="24"/>
        </w:rPr>
        <w:t xml:space="preserve"> home;</w:t>
      </w:r>
      <w:r w:rsidR="00EA3B0C" w:rsidRPr="00D55103">
        <w:rPr>
          <w:szCs w:val="24"/>
        </w:rPr>
        <w:t xml:space="preserve"> (b)</w:t>
      </w:r>
      <w:r w:rsidR="00AE6FC8">
        <w:rPr>
          <w:szCs w:val="24"/>
        </w:rPr>
        <w:t> </w:t>
      </w:r>
      <w:r w:rsidR="00EA3B0C" w:rsidRPr="00D55103">
        <w:rPr>
          <w:szCs w:val="24"/>
        </w:rPr>
        <w:t xml:space="preserve">treble actual damages or $50,000, </w:t>
      </w:r>
      <w:r w:rsidR="00EA3B0C" w:rsidRPr="00D55103">
        <w:rPr>
          <w:szCs w:val="24"/>
        </w:rPr>
        <w:lastRenderedPageBreak/>
        <w:t>whichever is greater, if the lender has already sold the home and if the servicer’s violation was intentional, reckless, or resulted from willful miscondu</w:t>
      </w:r>
      <w:r w:rsidR="00C36305" w:rsidRPr="00D55103">
        <w:rPr>
          <w:szCs w:val="24"/>
        </w:rPr>
        <w:t>ct;</w:t>
      </w:r>
      <w:r w:rsidR="00EA3B0C" w:rsidRPr="00D55103">
        <w:rPr>
          <w:szCs w:val="24"/>
        </w:rPr>
        <w:t xml:space="preserve"> and (c)</w:t>
      </w:r>
      <w:r w:rsidR="00AE6FC8">
        <w:rPr>
          <w:szCs w:val="24"/>
        </w:rPr>
        <w:t> </w:t>
      </w:r>
      <w:r w:rsidR="00EA3B0C" w:rsidRPr="00D55103">
        <w:rPr>
          <w:szCs w:val="24"/>
        </w:rPr>
        <w:t xml:space="preserve">reasonable attorney fees and costs for a prevailing borrower.  </w:t>
      </w:r>
      <w:r w:rsidR="00AE3847" w:rsidRPr="00D55103">
        <w:rPr>
          <w:szCs w:val="24"/>
        </w:rPr>
        <w:t xml:space="preserve">However, nothing in the HBOR permits an </w:t>
      </w:r>
      <w:r w:rsidR="00AE3847" w:rsidRPr="00D55103">
        <w:rPr>
          <w:i/>
          <w:szCs w:val="24"/>
        </w:rPr>
        <w:t>attorney</w:t>
      </w:r>
      <w:r w:rsidR="00AE3847" w:rsidRPr="00D55103">
        <w:rPr>
          <w:szCs w:val="24"/>
        </w:rPr>
        <w:t xml:space="preserve"> to charge pre-performance fees for litigation related to a loan modification, and n</w:t>
      </w:r>
      <w:r w:rsidR="007914BE" w:rsidRPr="00D55103">
        <w:rPr>
          <w:szCs w:val="24"/>
        </w:rPr>
        <w:t xml:space="preserve">one of the </w:t>
      </w:r>
      <w:r w:rsidR="003A65FF">
        <w:rPr>
          <w:szCs w:val="24"/>
        </w:rPr>
        <w:t xml:space="preserve">HBOR </w:t>
      </w:r>
      <w:r w:rsidR="00AE3847" w:rsidRPr="00D55103">
        <w:rPr>
          <w:szCs w:val="24"/>
        </w:rPr>
        <w:t xml:space="preserve">remedies </w:t>
      </w:r>
      <w:r w:rsidR="00187011" w:rsidRPr="00D55103">
        <w:rPr>
          <w:szCs w:val="24"/>
        </w:rPr>
        <w:t>include</w:t>
      </w:r>
      <w:r w:rsidR="00817D48">
        <w:rPr>
          <w:szCs w:val="24"/>
        </w:rPr>
        <w:t>s</w:t>
      </w:r>
      <w:r w:rsidR="007914BE" w:rsidRPr="00D55103">
        <w:rPr>
          <w:szCs w:val="24"/>
        </w:rPr>
        <w:t xml:space="preserve"> the advance fees Golden received</w:t>
      </w:r>
      <w:r w:rsidR="00AE3847" w:rsidRPr="00D55103">
        <w:rPr>
          <w:szCs w:val="24"/>
        </w:rPr>
        <w:t xml:space="preserve"> or p</w:t>
      </w:r>
      <w:r w:rsidR="007914BE" w:rsidRPr="00D55103">
        <w:rPr>
          <w:szCs w:val="24"/>
        </w:rPr>
        <w:t xml:space="preserve">rovides support for </w:t>
      </w:r>
      <w:r w:rsidR="00AE3847" w:rsidRPr="00D55103">
        <w:rPr>
          <w:szCs w:val="24"/>
        </w:rPr>
        <w:t>his</w:t>
      </w:r>
      <w:r w:rsidR="007914BE" w:rsidRPr="00D55103">
        <w:rPr>
          <w:szCs w:val="24"/>
        </w:rPr>
        <w:t xml:space="preserve"> argument that h</w:t>
      </w:r>
      <w:r w:rsidR="00A8290D" w:rsidRPr="00D55103">
        <w:rPr>
          <w:szCs w:val="24"/>
        </w:rPr>
        <w:t>e</w:t>
      </w:r>
      <w:r w:rsidR="007914BE" w:rsidRPr="00D55103">
        <w:rPr>
          <w:szCs w:val="24"/>
        </w:rPr>
        <w:t xml:space="preserve"> was entitled to such fees</w:t>
      </w:r>
      <w:r w:rsidR="00EA3B0C" w:rsidRPr="00D55103">
        <w:rPr>
          <w:szCs w:val="24"/>
        </w:rPr>
        <w:t>.</w:t>
      </w:r>
    </w:p>
    <w:p w14:paraId="51C58ACC" w14:textId="1EE3840B" w:rsidR="00940635" w:rsidRPr="00D55103" w:rsidRDefault="00940635" w:rsidP="00940635">
      <w:pPr>
        <w:spacing w:line="480" w:lineRule="auto"/>
        <w:rPr>
          <w:szCs w:val="24"/>
        </w:rPr>
      </w:pPr>
      <w:r w:rsidRPr="00D55103">
        <w:rPr>
          <w:b/>
          <w:szCs w:val="24"/>
        </w:rPr>
        <w:t>C.</w:t>
      </w:r>
      <w:r w:rsidRPr="00D55103">
        <w:rPr>
          <w:b/>
          <w:szCs w:val="24"/>
        </w:rPr>
        <w:tab/>
      </w:r>
      <w:r w:rsidR="008A5348" w:rsidRPr="00D55103">
        <w:rPr>
          <w:b/>
          <w:szCs w:val="24"/>
        </w:rPr>
        <w:t xml:space="preserve">Reliance on </w:t>
      </w:r>
      <w:r w:rsidR="00106596" w:rsidRPr="00D55103">
        <w:rPr>
          <w:b/>
          <w:szCs w:val="24"/>
        </w:rPr>
        <w:t xml:space="preserve">Hearing Department’s </w:t>
      </w:r>
      <w:r w:rsidR="008A5348" w:rsidRPr="00D55103">
        <w:rPr>
          <w:b/>
          <w:szCs w:val="24"/>
        </w:rPr>
        <w:t>Order Filed in Case N</w:t>
      </w:r>
      <w:r w:rsidR="00AE6FC8">
        <w:rPr>
          <w:b/>
          <w:szCs w:val="24"/>
        </w:rPr>
        <w:t>o. </w:t>
      </w:r>
      <w:r w:rsidR="008A5348" w:rsidRPr="00D55103">
        <w:rPr>
          <w:b/>
          <w:szCs w:val="24"/>
        </w:rPr>
        <w:t>16-TE-14488</w:t>
      </w:r>
    </w:p>
    <w:p w14:paraId="226A8D6D" w14:textId="794D93E0" w:rsidR="00940635" w:rsidRPr="00D55103" w:rsidRDefault="00940635" w:rsidP="00940635">
      <w:pPr>
        <w:spacing w:line="480" w:lineRule="auto"/>
        <w:rPr>
          <w:szCs w:val="24"/>
        </w:rPr>
      </w:pPr>
      <w:r w:rsidRPr="00D55103">
        <w:rPr>
          <w:szCs w:val="24"/>
        </w:rPr>
        <w:tab/>
      </w:r>
      <w:r w:rsidR="00C36305" w:rsidRPr="00D55103">
        <w:rPr>
          <w:szCs w:val="24"/>
        </w:rPr>
        <w:t xml:space="preserve">Golden contends </w:t>
      </w:r>
      <w:r w:rsidRPr="00D55103">
        <w:rPr>
          <w:szCs w:val="24"/>
        </w:rPr>
        <w:t>that “the proper analysis</w:t>
      </w:r>
      <w:r w:rsidR="000F4B1F" w:rsidRPr="00D55103">
        <w:rPr>
          <w:szCs w:val="24"/>
        </w:rPr>
        <w:t xml:space="preserve"> of the main legal issue” in this matter</w:t>
      </w:r>
      <w:r w:rsidRPr="00D55103">
        <w:rPr>
          <w:szCs w:val="24"/>
        </w:rPr>
        <w:t xml:space="preserve"> is included in </w:t>
      </w:r>
      <w:r w:rsidR="00B364E4" w:rsidRPr="00D55103">
        <w:rPr>
          <w:szCs w:val="24"/>
        </w:rPr>
        <w:t>the Hearing Department’s September</w:t>
      </w:r>
      <w:r w:rsidR="00AE6FC8">
        <w:rPr>
          <w:szCs w:val="24"/>
        </w:rPr>
        <w:t> 23, 2016</w:t>
      </w:r>
      <w:r w:rsidR="00B364E4" w:rsidRPr="00D55103">
        <w:rPr>
          <w:szCs w:val="24"/>
        </w:rPr>
        <w:t xml:space="preserve"> order in </w:t>
      </w:r>
      <w:r w:rsidR="00AE6FC8">
        <w:rPr>
          <w:szCs w:val="24"/>
        </w:rPr>
        <w:t>Cas</w:t>
      </w:r>
      <w:r w:rsidR="00B364E4" w:rsidRPr="00D55103">
        <w:rPr>
          <w:szCs w:val="24"/>
        </w:rPr>
        <w:t xml:space="preserve">e </w:t>
      </w:r>
      <w:r w:rsidR="00AE6FC8">
        <w:rPr>
          <w:szCs w:val="24"/>
        </w:rPr>
        <w:t>No. </w:t>
      </w:r>
      <w:r w:rsidR="00B364E4" w:rsidRPr="00D55103">
        <w:rPr>
          <w:szCs w:val="24"/>
        </w:rPr>
        <w:t>16-TE-14488 denying OCTC’s petition for Golden’s involuntary inactive enrollmen</w:t>
      </w:r>
      <w:r w:rsidR="00E25165" w:rsidRPr="00D55103">
        <w:rPr>
          <w:szCs w:val="24"/>
        </w:rPr>
        <w:t>t</w:t>
      </w:r>
      <w:r w:rsidR="00432ED6" w:rsidRPr="00D55103">
        <w:rPr>
          <w:szCs w:val="24"/>
        </w:rPr>
        <w:t xml:space="preserve"> (TE case order)</w:t>
      </w:r>
      <w:r w:rsidR="00E25165" w:rsidRPr="00D55103">
        <w:rPr>
          <w:szCs w:val="24"/>
        </w:rPr>
        <w:t>.  Further, Golden</w:t>
      </w:r>
      <w:r w:rsidRPr="00D55103">
        <w:rPr>
          <w:szCs w:val="24"/>
        </w:rPr>
        <w:t xml:space="preserve"> </w:t>
      </w:r>
      <w:r w:rsidR="009E1E0E" w:rsidRPr="00D55103">
        <w:rPr>
          <w:szCs w:val="24"/>
        </w:rPr>
        <w:t xml:space="preserve">suggests </w:t>
      </w:r>
      <w:r w:rsidRPr="00D55103">
        <w:rPr>
          <w:szCs w:val="24"/>
        </w:rPr>
        <w:t xml:space="preserve">that </w:t>
      </w:r>
      <w:r w:rsidR="000F4B1F" w:rsidRPr="00D55103">
        <w:rPr>
          <w:szCs w:val="24"/>
        </w:rPr>
        <w:t>we</w:t>
      </w:r>
      <w:r w:rsidRPr="00D55103">
        <w:rPr>
          <w:szCs w:val="24"/>
        </w:rPr>
        <w:t xml:space="preserve"> consider </w:t>
      </w:r>
      <w:r w:rsidR="00390880">
        <w:rPr>
          <w:szCs w:val="24"/>
        </w:rPr>
        <w:t xml:space="preserve">the hearing judge’s </w:t>
      </w:r>
      <w:r w:rsidRPr="00D55103">
        <w:rPr>
          <w:szCs w:val="24"/>
        </w:rPr>
        <w:t>“common sense analysis” of SB</w:t>
      </w:r>
      <w:r w:rsidR="00AE6FC8">
        <w:rPr>
          <w:szCs w:val="24"/>
        </w:rPr>
        <w:t> </w:t>
      </w:r>
      <w:r w:rsidRPr="00D55103">
        <w:rPr>
          <w:szCs w:val="24"/>
        </w:rPr>
        <w:t xml:space="preserve">94 </w:t>
      </w:r>
      <w:r w:rsidR="00C45457" w:rsidRPr="00D55103">
        <w:rPr>
          <w:szCs w:val="24"/>
        </w:rPr>
        <w:t xml:space="preserve">in that </w:t>
      </w:r>
      <w:r w:rsidR="009E1E0E" w:rsidRPr="00D55103">
        <w:rPr>
          <w:szCs w:val="24"/>
        </w:rPr>
        <w:t>order</w:t>
      </w:r>
      <w:r w:rsidR="00C45457" w:rsidRPr="00D55103">
        <w:rPr>
          <w:szCs w:val="24"/>
        </w:rPr>
        <w:t>.</w:t>
      </w:r>
      <w:r w:rsidR="00B364E4" w:rsidRPr="00D55103">
        <w:rPr>
          <w:rStyle w:val="FootnoteReference"/>
          <w:szCs w:val="24"/>
        </w:rPr>
        <w:footnoteReference w:id="17"/>
      </w:r>
      <w:r w:rsidR="009E1E0E" w:rsidRPr="00D55103">
        <w:rPr>
          <w:szCs w:val="24"/>
        </w:rPr>
        <w:t xml:space="preserve">  We disagree</w:t>
      </w:r>
      <w:r w:rsidR="00B93A90" w:rsidRPr="00D55103">
        <w:rPr>
          <w:szCs w:val="24"/>
        </w:rPr>
        <w:t xml:space="preserve"> and decline to do so</w:t>
      </w:r>
      <w:r w:rsidR="009E1E0E" w:rsidRPr="00D55103">
        <w:rPr>
          <w:szCs w:val="24"/>
        </w:rPr>
        <w:t>.</w:t>
      </w:r>
    </w:p>
    <w:p w14:paraId="29AA826F" w14:textId="514D427B" w:rsidR="00651946" w:rsidRPr="00D55103" w:rsidRDefault="009E1E0E" w:rsidP="00035BAB">
      <w:pPr>
        <w:spacing w:line="480" w:lineRule="auto"/>
        <w:ind w:firstLine="720"/>
        <w:rPr>
          <w:szCs w:val="24"/>
        </w:rPr>
      </w:pPr>
      <w:r w:rsidRPr="00D55103">
        <w:rPr>
          <w:szCs w:val="24"/>
        </w:rPr>
        <w:t>C</w:t>
      </w:r>
      <w:r w:rsidR="00940635" w:rsidRPr="00D55103">
        <w:rPr>
          <w:szCs w:val="24"/>
        </w:rPr>
        <w:t xml:space="preserve">ase </w:t>
      </w:r>
      <w:r w:rsidR="00AE6FC8">
        <w:rPr>
          <w:szCs w:val="24"/>
        </w:rPr>
        <w:t>No. </w:t>
      </w:r>
      <w:r w:rsidR="00940635" w:rsidRPr="00D55103">
        <w:rPr>
          <w:szCs w:val="24"/>
        </w:rPr>
        <w:t>16-TE-14488 was an abbreviated</w:t>
      </w:r>
      <w:r w:rsidR="002F4DCF" w:rsidRPr="00D55103">
        <w:rPr>
          <w:szCs w:val="24"/>
        </w:rPr>
        <w:t xml:space="preserve"> proceeding in which t</w:t>
      </w:r>
      <w:r w:rsidR="00940635" w:rsidRPr="00D55103">
        <w:rPr>
          <w:szCs w:val="24"/>
        </w:rPr>
        <w:t xml:space="preserve">he principal issue </w:t>
      </w:r>
      <w:r w:rsidR="002F4DCF" w:rsidRPr="00D55103">
        <w:rPr>
          <w:szCs w:val="24"/>
        </w:rPr>
        <w:t>w</w:t>
      </w:r>
      <w:r w:rsidRPr="00D55103">
        <w:rPr>
          <w:szCs w:val="24"/>
        </w:rPr>
        <w:t>a</w:t>
      </w:r>
      <w:r w:rsidR="00940635" w:rsidRPr="00D55103">
        <w:rPr>
          <w:szCs w:val="24"/>
        </w:rPr>
        <w:t xml:space="preserve">s whether OCTC established “exigent circumstances” sufficient to justify </w:t>
      </w:r>
      <w:r w:rsidR="002F4DCF" w:rsidRPr="00D55103">
        <w:rPr>
          <w:szCs w:val="24"/>
        </w:rPr>
        <w:t xml:space="preserve">enrolling Golden involuntarily inactive </w:t>
      </w:r>
      <w:r w:rsidR="00940635" w:rsidRPr="00D55103">
        <w:rPr>
          <w:szCs w:val="24"/>
        </w:rPr>
        <w:t xml:space="preserve">before a formal </w:t>
      </w:r>
      <w:r w:rsidRPr="00D55103">
        <w:rPr>
          <w:szCs w:val="24"/>
        </w:rPr>
        <w:t>di</w:t>
      </w:r>
      <w:r w:rsidR="00106596" w:rsidRPr="00D55103">
        <w:rPr>
          <w:szCs w:val="24"/>
        </w:rPr>
        <w:t>sciplinary proceeding.  As t</w:t>
      </w:r>
      <w:r w:rsidR="00940635" w:rsidRPr="00D55103">
        <w:rPr>
          <w:szCs w:val="24"/>
        </w:rPr>
        <w:t xml:space="preserve">he Supreme Court </w:t>
      </w:r>
      <w:r w:rsidR="00351E0B" w:rsidRPr="00D55103">
        <w:rPr>
          <w:szCs w:val="24"/>
        </w:rPr>
        <w:t>made clear</w:t>
      </w:r>
      <w:r w:rsidR="00BE6591" w:rsidRPr="00D55103">
        <w:rPr>
          <w:szCs w:val="24"/>
        </w:rPr>
        <w:t xml:space="preserve"> </w:t>
      </w:r>
      <w:r w:rsidR="00940635" w:rsidRPr="00D55103">
        <w:rPr>
          <w:szCs w:val="24"/>
        </w:rPr>
        <w:t xml:space="preserve">in </w:t>
      </w:r>
      <w:r w:rsidR="00940635" w:rsidRPr="00D55103">
        <w:rPr>
          <w:i/>
          <w:szCs w:val="24"/>
        </w:rPr>
        <w:t>Conway v. State Bar</w:t>
      </w:r>
      <w:r w:rsidR="000C2564">
        <w:rPr>
          <w:szCs w:val="24"/>
        </w:rPr>
        <w:t xml:space="preserve"> (1989) 47 </w:t>
      </w:r>
      <w:r w:rsidR="00940635" w:rsidRPr="00D55103">
        <w:rPr>
          <w:szCs w:val="24"/>
        </w:rPr>
        <w:t xml:space="preserve">Cal.3d 1107, 1119, “Any subsequent disciplinary proceedings are just that—subsequent, and separate, proceedings.  </w:t>
      </w:r>
      <w:r w:rsidR="00940635" w:rsidRPr="00D55103">
        <w:rPr>
          <w:i/>
          <w:szCs w:val="24"/>
        </w:rPr>
        <w:t>Neither the involuntary inactive enrollment order itself nor any of the findings made in those proceedings is binding or has any probative value in the formal disciplinary case</w:t>
      </w:r>
      <w:r w:rsidR="00940635" w:rsidRPr="00D55103">
        <w:rPr>
          <w:szCs w:val="24"/>
        </w:rPr>
        <w:t>.</w:t>
      </w:r>
      <w:r w:rsidR="00BF4C58">
        <w:rPr>
          <w:szCs w:val="24"/>
        </w:rPr>
        <w:t>”</w:t>
      </w:r>
      <w:r w:rsidR="00940635" w:rsidRPr="00D55103">
        <w:rPr>
          <w:szCs w:val="24"/>
        </w:rPr>
        <w:t xml:space="preserve">  </w:t>
      </w:r>
      <w:r w:rsidR="00940635" w:rsidRPr="00CA25EA">
        <w:rPr>
          <w:szCs w:val="24"/>
        </w:rPr>
        <w:t>(Italics added, footnote omitted.)</w:t>
      </w:r>
      <w:r w:rsidR="00E24403" w:rsidRPr="00D55103">
        <w:rPr>
          <w:szCs w:val="24"/>
        </w:rPr>
        <w:t xml:space="preserve">  </w:t>
      </w:r>
      <w:r w:rsidR="00035BAB" w:rsidRPr="00D55103">
        <w:rPr>
          <w:szCs w:val="24"/>
        </w:rPr>
        <w:t>In addition,</w:t>
      </w:r>
      <w:r w:rsidR="00CA4E70" w:rsidRPr="00D55103">
        <w:rPr>
          <w:szCs w:val="24"/>
        </w:rPr>
        <w:t xml:space="preserve"> </w:t>
      </w:r>
      <w:r w:rsidR="00E24403" w:rsidRPr="00D55103">
        <w:rPr>
          <w:szCs w:val="24"/>
        </w:rPr>
        <w:t>the</w:t>
      </w:r>
      <w:r w:rsidR="00432ED6" w:rsidRPr="00D55103">
        <w:rPr>
          <w:szCs w:val="24"/>
        </w:rPr>
        <w:t xml:space="preserve"> TE case order </w:t>
      </w:r>
      <w:r w:rsidR="00651946" w:rsidRPr="00D55103">
        <w:rPr>
          <w:szCs w:val="24"/>
        </w:rPr>
        <w:t>does not fulfill the requirements of collateral estoppel</w:t>
      </w:r>
      <w:r w:rsidR="00443B49">
        <w:rPr>
          <w:szCs w:val="24"/>
        </w:rPr>
        <w:t>;</w:t>
      </w:r>
      <w:r w:rsidR="00651946" w:rsidRPr="00D55103">
        <w:rPr>
          <w:szCs w:val="24"/>
        </w:rPr>
        <w:t xml:space="preserve"> it was not a final decision on the </w:t>
      </w:r>
      <w:r w:rsidR="00651946" w:rsidRPr="00D55103">
        <w:rPr>
          <w:szCs w:val="24"/>
        </w:rPr>
        <w:lastRenderedPageBreak/>
        <w:t xml:space="preserve">merits.  (See </w:t>
      </w:r>
      <w:r w:rsidR="00651946" w:rsidRPr="00D55103">
        <w:rPr>
          <w:i/>
          <w:szCs w:val="24"/>
        </w:rPr>
        <w:t>Basurto v. Imperial Irrigation Dist</w:t>
      </w:r>
      <w:r w:rsidR="00732E6C">
        <w:rPr>
          <w:i/>
          <w:szCs w:val="24"/>
        </w:rPr>
        <w:t>.</w:t>
      </w:r>
      <w:r w:rsidR="00651946" w:rsidRPr="00D55103">
        <w:rPr>
          <w:szCs w:val="24"/>
        </w:rPr>
        <w:t xml:space="preserve"> (2012) 211</w:t>
      </w:r>
      <w:r w:rsidR="000C2564">
        <w:rPr>
          <w:szCs w:val="24"/>
        </w:rPr>
        <w:t> </w:t>
      </w:r>
      <w:r w:rsidR="00651946" w:rsidRPr="00D55103">
        <w:rPr>
          <w:szCs w:val="24"/>
        </w:rPr>
        <w:t xml:space="preserve">Cal.App.4th 866, 877, citing </w:t>
      </w:r>
      <w:r w:rsidR="00651946" w:rsidRPr="00D55103">
        <w:rPr>
          <w:i/>
          <w:szCs w:val="24"/>
        </w:rPr>
        <w:t>Lucido v. Superior Court</w:t>
      </w:r>
      <w:r w:rsidR="00035BAB" w:rsidRPr="00D55103">
        <w:rPr>
          <w:szCs w:val="24"/>
        </w:rPr>
        <w:t xml:space="preserve"> (1990) 51</w:t>
      </w:r>
      <w:r w:rsidR="000C2564">
        <w:rPr>
          <w:szCs w:val="24"/>
        </w:rPr>
        <w:t> </w:t>
      </w:r>
      <w:r w:rsidR="00035BAB" w:rsidRPr="00D55103">
        <w:rPr>
          <w:szCs w:val="24"/>
        </w:rPr>
        <w:t>Cal.3d 335, 341.)</w:t>
      </w:r>
    </w:p>
    <w:p w14:paraId="0D5AA815" w14:textId="77777777" w:rsidR="00947058" w:rsidRPr="00D55103" w:rsidRDefault="00947058" w:rsidP="00947058">
      <w:pPr>
        <w:spacing w:line="480" w:lineRule="auto"/>
        <w:rPr>
          <w:b/>
          <w:szCs w:val="24"/>
        </w:rPr>
      </w:pPr>
      <w:r w:rsidRPr="00D55103">
        <w:rPr>
          <w:b/>
          <w:szCs w:val="24"/>
        </w:rPr>
        <w:t>D.</w:t>
      </w:r>
      <w:r w:rsidRPr="00D55103">
        <w:rPr>
          <w:b/>
          <w:szCs w:val="24"/>
        </w:rPr>
        <w:tab/>
      </w:r>
      <w:r w:rsidR="007317A1" w:rsidRPr="00D55103">
        <w:rPr>
          <w:b/>
          <w:szCs w:val="24"/>
        </w:rPr>
        <w:t>Reliance on Information from State Bar</w:t>
      </w:r>
    </w:p>
    <w:p w14:paraId="45813098" w14:textId="3F8A3279" w:rsidR="00BA1DB8" w:rsidRDefault="00947058" w:rsidP="00136378">
      <w:pPr>
        <w:spacing w:line="480" w:lineRule="auto"/>
        <w:rPr>
          <w:szCs w:val="24"/>
        </w:rPr>
      </w:pPr>
      <w:r w:rsidRPr="00D55103">
        <w:rPr>
          <w:szCs w:val="24"/>
        </w:rPr>
        <w:tab/>
      </w:r>
      <w:r w:rsidR="00A877C2" w:rsidRPr="00D55103">
        <w:rPr>
          <w:szCs w:val="24"/>
        </w:rPr>
        <w:t>Golden’s arguments that he relied on information provided by the State Bar in a flyer regarding SB</w:t>
      </w:r>
      <w:r w:rsidR="000C2564">
        <w:rPr>
          <w:szCs w:val="24"/>
        </w:rPr>
        <w:t> </w:t>
      </w:r>
      <w:r w:rsidR="00A877C2" w:rsidRPr="00D55103">
        <w:rPr>
          <w:szCs w:val="24"/>
        </w:rPr>
        <w:t>94</w:t>
      </w:r>
      <w:r w:rsidR="003E5A8D" w:rsidRPr="00D55103">
        <w:rPr>
          <w:szCs w:val="24"/>
        </w:rPr>
        <w:t xml:space="preserve">, </w:t>
      </w:r>
      <w:r w:rsidR="00A877C2" w:rsidRPr="00D55103">
        <w:rPr>
          <w:szCs w:val="24"/>
        </w:rPr>
        <w:t xml:space="preserve">and that OCTC purportedly agreed </w:t>
      </w:r>
      <w:r w:rsidR="00C43D5E">
        <w:rPr>
          <w:szCs w:val="24"/>
        </w:rPr>
        <w:t xml:space="preserve">in 2013 </w:t>
      </w:r>
      <w:r w:rsidR="00A877C2" w:rsidRPr="00D55103">
        <w:rPr>
          <w:szCs w:val="24"/>
        </w:rPr>
        <w:t xml:space="preserve">that his services did not violate </w:t>
      </w:r>
      <w:r w:rsidR="003E5A8D" w:rsidRPr="00D55103">
        <w:rPr>
          <w:szCs w:val="24"/>
        </w:rPr>
        <w:t>SB</w:t>
      </w:r>
      <w:r w:rsidR="00E12BA7">
        <w:rPr>
          <w:szCs w:val="24"/>
        </w:rPr>
        <w:t> </w:t>
      </w:r>
      <w:r w:rsidR="00A877C2" w:rsidRPr="00D55103">
        <w:rPr>
          <w:szCs w:val="24"/>
        </w:rPr>
        <w:t>94</w:t>
      </w:r>
      <w:r w:rsidR="00A402C6" w:rsidRPr="00D55103">
        <w:rPr>
          <w:szCs w:val="24"/>
        </w:rPr>
        <w:t xml:space="preserve">, are also unavailing. </w:t>
      </w:r>
      <w:r w:rsidR="00BA1DB8" w:rsidRPr="00D55103">
        <w:rPr>
          <w:szCs w:val="24"/>
        </w:rPr>
        <w:t xml:space="preserve"> Golden</w:t>
      </w:r>
      <w:r w:rsidR="003E5A8D" w:rsidRPr="00D55103">
        <w:rPr>
          <w:szCs w:val="24"/>
        </w:rPr>
        <w:t xml:space="preserve"> </w:t>
      </w:r>
      <w:r w:rsidRPr="00D55103">
        <w:rPr>
          <w:szCs w:val="24"/>
        </w:rPr>
        <w:t>c</w:t>
      </w:r>
      <w:r w:rsidR="00AA4CBE" w:rsidRPr="00D55103">
        <w:rPr>
          <w:szCs w:val="24"/>
        </w:rPr>
        <w:t xml:space="preserve">annot </w:t>
      </w:r>
      <w:r w:rsidR="007317A1" w:rsidRPr="00D55103">
        <w:rPr>
          <w:szCs w:val="24"/>
        </w:rPr>
        <w:t xml:space="preserve">rely on the opinion of </w:t>
      </w:r>
      <w:r w:rsidR="00AA4CBE" w:rsidRPr="00D55103">
        <w:rPr>
          <w:szCs w:val="24"/>
        </w:rPr>
        <w:t>another lawyer</w:t>
      </w:r>
      <w:r w:rsidR="00107E1A" w:rsidRPr="00D55103">
        <w:rPr>
          <w:szCs w:val="24"/>
        </w:rPr>
        <w:t xml:space="preserve"> or</w:t>
      </w:r>
      <w:r w:rsidR="007317A1" w:rsidRPr="00D55103">
        <w:rPr>
          <w:szCs w:val="24"/>
        </w:rPr>
        <w:t xml:space="preserve"> of</w:t>
      </w:r>
      <w:r w:rsidR="00AA4CBE" w:rsidRPr="00D55103">
        <w:rPr>
          <w:szCs w:val="24"/>
        </w:rPr>
        <w:t xml:space="preserve"> </w:t>
      </w:r>
      <w:r w:rsidR="007317A1" w:rsidRPr="00D55103">
        <w:rPr>
          <w:szCs w:val="24"/>
        </w:rPr>
        <w:t xml:space="preserve">State Bar employees as a defense to </w:t>
      </w:r>
      <w:r w:rsidR="00BC1562" w:rsidRPr="00D55103">
        <w:rPr>
          <w:szCs w:val="24"/>
        </w:rPr>
        <w:t>a</w:t>
      </w:r>
      <w:r w:rsidR="00AA4CBE" w:rsidRPr="00D55103">
        <w:rPr>
          <w:szCs w:val="24"/>
        </w:rPr>
        <w:t xml:space="preserve"> </w:t>
      </w:r>
      <w:r w:rsidR="007317A1" w:rsidRPr="00D55103">
        <w:rPr>
          <w:szCs w:val="24"/>
        </w:rPr>
        <w:t xml:space="preserve">professional </w:t>
      </w:r>
      <w:r w:rsidR="003751C3" w:rsidRPr="00D55103">
        <w:rPr>
          <w:szCs w:val="24"/>
        </w:rPr>
        <w:t>mis</w:t>
      </w:r>
      <w:r w:rsidR="007317A1" w:rsidRPr="00D55103">
        <w:rPr>
          <w:szCs w:val="24"/>
        </w:rPr>
        <w:t>conduct</w:t>
      </w:r>
      <w:r w:rsidR="00AA4CBE" w:rsidRPr="00D55103">
        <w:rPr>
          <w:szCs w:val="24"/>
        </w:rPr>
        <w:t xml:space="preserve"> charge.  </w:t>
      </w:r>
      <w:r w:rsidR="00982F28" w:rsidRPr="00D55103">
        <w:rPr>
          <w:szCs w:val="24"/>
        </w:rPr>
        <w:t>T</w:t>
      </w:r>
      <w:r w:rsidR="00AA4CBE" w:rsidRPr="00D55103">
        <w:rPr>
          <w:szCs w:val="24"/>
        </w:rPr>
        <w:t>he Supreme Court has held that “</w:t>
      </w:r>
      <w:r w:rsidR="0020058D" w:rsidRPr="00D55103">
        <w:rPr>
          <w:szCs w:val="24"/>
        </w:rPr>
        <w:t xml:space="preserve">no employee of the State Bar can give an attorney permission to violate the Business and Professions Code or the Rules of Professional Conduct.  An opinion of a fellow attorney is likewise no defense to wrongdoing . . . .”  </w:t>
      </w:r>
      <w:r w:rsidRPr="00D55103">
        <w:rPr>
          <w:szCs w:val="24"/>
        </w:rPr>
        <w:t>(</w:t>
      </w:r>
      <w:r w:rsidRPr="00D55103">
        <w:rPr>
          <w:i/>
          <w:szCs w:val="24"/>
        </w:rPr>
        <w:t xml:space="preserve">Sheffield v. State Bar </w:t>
      </w:r>
      <w:r w:rsidRPr="00D55103">
        <w:rPr>
          <w:szCs w:val="24"/>
        </w:rPr>
        <w:t>(1943) 22</w:t>
      </w:r>
      <w:r w:rsidR="000C2564">
        <w:rPr>
          <w:szCs w:val="24"/>
        </w:rPr>
        <w:t> </w:t>
      </w:r>
      <w:r w:rsidRPr="00D55103">
        <w:rPr>
          <w:szCs w:val="24"/>
        </w:rPr>
        <w:t>Cal.2d 627, 632</w:t>
      </w:r>
      <w:r w:rsidR="003751C3" w:rsidRPr="00D55103">
        <w:rPr>
          <w:szCs w:val="24"/>
        </w:rPr>
        <w:t>.)</w:t>
      </w:r>
      <w:r w:rsidR="00C13A55" w:rsidRPr="00D55103">
        <w:rPr>
          <w:szCs w:val="24"/>
        </w:rPr>
        <w:t xml:space="preserve">  And, regardl</w:t>
      </w:r>
      <w:r w:rsidR="00DF38AC" w:rsidRPr="00D55103">
        <w:rPr>
          <w:szCs w:val="24"/>
        </w:rPr>
        <w:t>ess, in 2013—</w:t>
      </w:r>
      <w:r w:rsidR="00DF38AC" w:rsidRPr="00D55103">
        <w:rPr>
          <w:i/>
          <w:szCs w:val="24"/>
        </w:rPr>
        <w:t>before</w:t>
      </w:r>
      <w:r w:rsidR="00DF38AC" w:rsidRPr="00D55103">
        <w:rPr>
          <w:szCs w:val="24"/>
        </w:rPr>
        <w:t xml:space="preserve"> Golden</w:t>
      </w:r>
      <w:r w:rsidR="00313B33" w:rsidRPr="00D55103">
        <w:rPr>
          <w:szCs w:val="24"/>
        </w:rPr>
        <w:t xml:space="preserve"> committed much of </w:t>
      </w:r>
      <w:r w:rsidR="00443B49">
        <w:rPr>
          <w:szCs w:val="24"/>
        </w:rPr>
        <w:t>his</w:t>
      </w:r>
      <w:r w:rsidR="00DF38AC" w:rsidRPr="00D55103">
        <w:rPr>
          <w:szCs w:val="24"/>
        </w:rPr>
        <w:t xml:space="preserve"> misconduct—t</w:t>
      </w:r>
      <w:r w:rsidR="00C13A55" w:rsidRPr="00D55103">
        <w:rPr>
          <w:szCs w:val="24"/>
        </w:rPr>
        <w:t xml:space="preserve">his court issued </w:t>
      </w:r>
      <w:r w:rsidR="00C13A55" w:rsidRPr="00D55103">
        <w:rPr>
          <w:i/>
          <w:szCs w:val="24"/>
        </w:rPr>
        <w:t>Taylor</w:t>
      </w:r>
      <w:r w:rsidR="00C13A55" w:rsidRPr="00D55103">
        <w:rPr>
          <w:szCs w:val="24"/>
        </w:rPr>
        <w:t>, which mad</w:t>
      </w:r>
      <w:r w:rsidR="000C2564">
        <w:rPr>
          <w:szCs w:val="24"/>
        </w:rPr>
        <w:t>e clear that Civil Code section </w:t>
      </w:r>
      <w:r w:rsidR="00C13A55" w:rsidRPr="00D55103">
        <w:rPr>
          <w:szCs w:val="24"/>
        </w:rPr>
        <w:t xml:space="preserve">2944.7, subdivision (a), </w:t>
      </w:r>
      <w:r w:rsidR="00805577" w:rsidRPr="00D55103">
        <w:rPr>
          <w:szCs w:val="24"/>
        </w:rPr>
        <w:t xml:space="preserve">does not specifically exclude litigation services and defines “service” broadly to include “each and every service the person contracted to perform or represented </w:t>
      </w:r>
      <w:r w:rsidR="00BA1DB8" w:rsidRPr="00D55103">
        <w:rPr>
          <w:szCs w:val="24"/>
        </w:rPr>
        <w:t>that he or she would perform.”</w:t>
      </w:r>
    </w:p>
    <w:p w14:paraId="0A2AD269" w14:textId="77777777" w:rsidR="00F52A9D" w:rsidRPr="00D55103" w:rsidRDefault="00F52A9D" w:rsidP="00F52A9D">
      <w:pPr>
        <w:spacing w:line="480" w:lineRule="auto"/>
        <w:rPr>
          <w:b/>
          <w:szCs w:val="24"/>
        </w:rPr>
      </w:pPr>
      <w:r w:rsidRPr="00D55103">
        <w:rPr>
          <w:b/>
          <w:szCs w:val="24"/>
        </w:rPr>
        <w:t>E.</w:t>
      </w:r>
      <w:r w:rsidRPr="00D55103">
        <w:rPr>
          <w:b/>
          <w:szCs w:val="24"/>
        </w:rPr>
        <w:tab/>
        <w:t>Ambiguity</w:t>
      </w:r>
    </w:p>
    <w:p w14:paraId="27D6B44D" w14:textId="6BAC3F7E" w:rsidR="00BF5E40" w:rsidRDefault="00BC1562" w:rsidP="00F52A9D">
      <w:pPr>
        <w:spacing w:line="480" w:lineRule="auto"/>
        <w:rPr>
          <w:szCs w:val="24"/>
        </w:rPr>
      </w:pPr>
      <w:r w:rsidRPr="00D55103">
        <w:rPr>
          <w:szCs w:val="24"/>
        </w:rPr>
        <w:tab/>
        <w:t>O</w:t>
      </w:r>
      <w:r w:rsidR="00F52A9D" w:rsidRPr="00D55103">
        <w:rPr>
          <w:szCs w:val="24"/>
        </w:rPr>
        <w:t xml:space="preserve">n review, Golden </w:t>
      </w:r>
      <w:r w:rsidR="00C2154A">
        <w:rPr>
          <w:szCs w:val="24"/>
        </w:rPr>
        <w:t>argues</w:t>
      </w:r>
      <w:r w:rsidR="00F52A9D" w:rsidRPr="00D55103">
        <w:rPr>
          <w:szCs w:val="24"/>
        </w:rPr>
        <w:t xml:space="preserve"> that </w:t>
      </w:r>
      <w:r w:rsidR="003F5897" w:rsidRPr="00D55103">
        <w:rPr>
          <w:szCs w:val="24"/>
        </w:rPr>
        <w:t>the</w:t>
      </w:r>
      <w:r w:rsidR="000C2564">
        <w:rPr>
          <w:szCs w:val="24"/>
        </w:rPr>
        <w:t xml:space="preserve"> language of Civil Code section </w:t>
      </w:r>
      <w:r w:rsidR="003F5897" w:rsidRPr="00D55103">
        <w:rPr>
          <w:szCs w:val="24"/>
        </w:rPr>
        <w:t>2944.7</w:t>
      </w:r>
      <w:r w:rsidR="00F52A9D" w:rsidRPr="00D55103">
        <w:rPr>
          <w:szCs w:val="24"/>
        </w:rPr>
        <w:t xml:space="preserve"> is ambiguous and should be interpreted to allow attorneys to charge and receive fees for litigation services.  We disagree.  </w:t>
      </w:r>
      <w:r w:rsidR="00A04109">
        <w:rPr>
          <w:szCs w:val="24"/>
        </w:rPr>
        <w:t>We</w:t>
      </w:r>
      <w:r w:rsidR="00F52A9D" w:rsidRPr="00D55103">
        <w:rPr>
          <w:szCs w:val="24"/>
        </w:rPr>
        <w:t xml:space="preserve"> </w:t>
      </w:r>
      <w:r w:rsidR="004E4B70" w:rsidRPr="00D55103">
        <w:rPr>
          <w:szCs w:val="24"/>
        </w:rPr>
        <w:t>ha</w:t>
      </w:r>
      <w:r w:rsidR="00A04109">
        <w:rPr>
          <w:szCs w:val="24"/>
        </w:rPr>
        <w:t>ve</w:t>
      </w:r>
      <w:r w:rsidR="004E4B70" w:rsidRPr="00D55103">
        <w:rPr>
          <w:szCs w:val="24"/>
        </w:rPr>
        <w:t xml:space="preserve"> </w:t>
      </w:r>
      <w:r w:rsidR="00F52A9D" w:rsidRPr="00D55103">
        <w:rPr>
          <w:szCs w:val="24"/>
        </w:rPr>
        <w:t xml:space="preserve">found that the statute “plainly prohibits </w:t>
      </w:r>
      <w:r w:rsidR="00F52A9D" w:rsidRPr="00D55103">
        <w:rPr>
          <w:i/>
          <w:szCs w:val="24"/>
        </w:rPr>
        <w:t>any person</w:t>
      </w:r>
      <w:r w:rsidR="00F52A9D" w:rsidRPr="00D55103">
        <w:rPr>
          <w:szCs w:val="24"/>
        </w:rPr>
        <w:t xml:space="preserve"> engaging in loan modifications from collecting </w:t>
      </w:r>
      <w:r w:rsidR="00F52A9D" w:rsidRPr="00D55103">
        <w:rPr>
          <w:i/>
          <w:szCs w:val="24"/>
        </w:rPr>
        <w:t xml:space="preserve">any fees </w:t>
      </w:r>
      <w:r w:rsidR="00F52A9D" w:rsidRPr="00D55103">
        <w:rPr>
          <w:szCs w:val="24"/>
        </w:rPr>
        <w:t xml:space="preserve">related to such modifications until </w:t>
      </w:r>
      <w:r w:rsidR="00F52A9D" w:rsidRPr="00D55103">
        <w:rPr>
          <w:i/>
          <w:szCs w:val="24"/>
        </w:rPr>
        <w:t xml:space="preserve">each and every </w:t>
      </w:r>
      <w:r w:rsidR="00F52A9D" w:rsidRPr="00D55103">
        <w:rPr>
          <w:szCs w:val="24"/>
        </w:rPr>
        <w:t>service contracted for has been completed.  [Citation.]  We find nothing ambiguous about the statute’s language . . . .”  (</w:t>
      </w:r>
      <w:r w:rsidR="004E4B70" w:rsidRPr="00D55103">
        <w:rPr>
          <w:i/>
          <w:szCs w:val="24"/>
        </w:rPr>
        <w:t>Taylor</w:t>
      </w:r>
      <w:r w:rsidR="004E4B70" w:rsidRPr="00D55103">
        <w:rPr>
          <w:szCs w:val="24"/>
        </w:rPr>
        <w:t>,</w:t>
      </w:r>
      <w:r w:rsidR="004E4B70" w:rsidRPr="00D55103">
        <w:rPr>
          <w:i/>
          <w:szCs w:val="24"/>
        </w:rPr>
        <w:t xml:space="preserve"> supra</w:t>
      </w:r>
      <w:r w:rsidR="004E4B70" w:rsidRPr="00D55103">
        <w:rPr>
          <w:szCs w:val="24"/>
        </w:rPr>
        <w:t>, 5</w:t>
      </w:r>
      <w:r w:rsidR="000C2564">
        <w:rPr>
          <w:szCs w:val="24"/>
        </w:rPr>
        <w:t> </w:t>
      </w:r>
      <w:r w:rsidR="004E4B70" w:rsidRPr="00D55103">
        <w:rPr>
          <w:szCs w:val="24"/>
        </w:rPr>
        <w:t>Cal. State Bar Ct. Rptr. at p.</w:t>
      </w:r>
      <w:r w:rsidR="000C2564">
        <w:rPr>
          <w:szCs w:val="24"/>
        </w:rPr>
        <w:t> </w:t>
      </w:r>
      <w:r w:rsidR="004E4B70" w:rsidRPr="00D55103">
        <w:rPr>
          <w:szCs w:val="24"/>
        </w:rPr>
        <w:t>232</w:t>
      </w:r>
      <w:r w:rsidR="00F52A9D" w:rsidRPr="00D55103">
        <w:rPr>
          <w:szCs w:val="24"/>
        </w:rPr>
        <w:t>.)</w:t>
      </w:r>
    </w:p>
    <w:p w14:paraId="75C4AB82" w14:textId="77777777" w:rsidR="001773BE" w:rsidRDefault="001773BE" w:rsidP="00F52A9D">
      <w:pPr>
        <w:spacing w:line="480" w:lineRule="auto"/>
        <w:rPr>
          <w:szCs w:val="24"/>
        </w:rPr>
      </w:pPr>
    </w:p>
    <w:p w14:paraId="14F48AC6" w14:textId="77777777" w:rsidR="001773BE" w:rsidRDefault="001773BE" w:rsidP="00F52A9D">
      <w:pPr>
        <w:spacing w:line="480" w:lineRule="auto"/>
        <w:rPr>
          <w:szCs w:val="24"/>
        </w:rPr>
      </w:pPr>
    </w:p>
    <w:p w14:paraId="2D92CDC6" w14:textId="77777777" w:rsidR="00EC2B5B" w:rsidRPr="00D55103" w:rsidRDefault="00EC2B5B" w:rsidP="00F52A9D">
      <w:pPr>
        <w:spacing w:line="480" w:lineRule="auto"/>
        <w:rPr>
          <w:szCs w:val="24"/>
        </w:rPr>
      </w:pPr>
    </w:p>
    <w:p w14:paraId="72CFC39D" w14:textId="77777777" w:rsidR="00427913" w:rsidRPr="00D55103" w:rsidRDefault="00F22AC2" w:rsidP="00427913">
      <w:pPr>
        <w:tabs>
          <w:tab w:val="left" w:pos="720"/>
        </w:tabs>
        <w:autoSpaceDE w:val="0"/>
        <w:autoSpaceDN w:val="0"/>
        <w:adjustRightInd w:val="0"/>
        <w:spacing w:line="480" w:lineRule="auto"/>
        <w:jc w:val="center"/>
        <w:rPr>
          <w:b/>
          <w:szCs w:val="24"/>
        </w:rPr>
      </w:pPr>
      <w:r w:rsidRPr="00D55103">
        <w:rPr>
          <w:b/>
          <w:szCs w:val="24"/>
        </w:rPr>
        <w:lastRenderedPageBreak/>
        <w:t>VI</w:t>
      </w:r>
      <w:r w:rsidR="00427913" w:rsidRPr="00D55103">
        <w:rPr>
          <w:b/>
          <w:szCs w:val="24"/>
        </w:rPr>
        <w:t xml:space="preserve">.  AGGRAVATION </w:t>
      </w:r>
      <w:r w:rsidR="00BF5E40" w:rsidRPr="00D55103">
        <w:rPr>
          <w:b/>
          <w:szCs w:val="24"/>
        </w:rPr>
        <w:t>OUTWEIGHS</w:t>
      </w:r>
      <w:r w:rsidR="00427913" w:rsidRPr="00D55103">
        <w:rPr>
          <w:b/>
          <w:szCs w:val="24"/>
        </w:rPr>
        <w:t xml:space="preserve"> MITIGATION</w:t>
      </w:r>
    </w:p>
    <w:p w14:paraId="27904F7A" w14:textId="77777777" w:rsidR="00427913" w:rsidRDefault="00427913" w:rsidP="00427913">
      <w:pPr>
        <w:tabs>
          <w:tab w:val="left" w:pos="720"/>
        </w:tabs>
        <w:autoSpaceDE w:val="0"/>
        <w:autoSpaceDN w:val="0"/>
        <w:adjustRightInd w:val="0"/>
        <w:spacing w:line="480" w:lineRule="auto"/>
        <w:ind w:firstLine="720"/>
        <w:rPr>
          <w:szCs w:val="24"/>
        </w:rPr>
      </w:pPr>
      <w:r w:rsidRPr="00D55103">
        <w:rPr>
          <w:szCs w:val="24"/>
        </w:rPr>
        <w:t>Standard 1.5 of the Rules of Procedure of the State Bar, title IV, Standards for Attorney Sanctions for Professional Misconduct</w:t>
      </w:r>
      <w:r w:rsidRPr="00D55103">
        <w:rPr>
          <w:rStyle w:val="FootnoteReference"/>
          <w:szCs w:val="24"/>
        </w:rPr>
        <w:footnoteReference w:id="18"/>
      </w:r>
      <w:r w:rsidRPr="00D55103">
        <w:rPr>
          <w:szCs w:val="24"/>
        </w:rPr>
        <w:t xml:space="preserve"> requires OCTC to establish aggravating circumstances b</w:t>
      </w:r>
      <w:r w:rsidR="00770335" w:rsidRPr="00D55103">
        <w:rPr>
          <w:szCs w:val="24"/>
        </w:rPr>
        <w:t>y clear and convincing evidence.</w:t>
      </w:r>
      <w:r w:rsidR="00FB3556" w:rsidRPr="00D55103">
        <w:rPr>
          <w:rStyle w:val="FootnoteReference"/>
          <w:rFonts w:eastAsia="Times New Roman"/>
          <w:szCs w:val="24"/>
        </w:rPr>
        <w:footnoteReference w:id="19"/>
      </w:r>
      <w:r w:rsidRPr="00D55103">
        <w:rPr>
          <w:szCs w:val="24"/>
        </w:rPr>
        <w:t xml:space="preserve">  </w:t>
      </w:r>
      <w:r w:rsidR="00597223" w:rsidRPr="00D55103">
        <w:rPr>
          <w:szCs w:val="24"/>
        </w:rPr>
        <w:t>Golden</w:t>
      </w:r>
      <w:r w:rsidRPr="00D55103">
        <w:rPr>
          <w:szCs w:val="24"/>
        </w:rPr>
        <w:t xml:space="preserve"> has the same burden to prove mitigation.  (Std. 1.6.)</w:t>
      </w:r>
    </w:p>
    <w:p w14:paraId="6645D575" w14:textId="77777777" w:rsidR="00427913" w:rsidRPr="00D55103" w:rsidRDefault="00427913" w:rsidP="00427913">
      <w:pPr>
        <w:tabs>
          <w:tab w:val="left" w:pos="720"/>
        </w:tabs>
        <w:autoSpaceDE w:val="0"/>
        <w:autoSpaceDN w:val="0"/>
        <w:adjustRightInd w:val="0"/>
        <w:spacing w:line="480" w:lineRule="auto"/>
        <w:rPr>
          <w:b/>
          <w:szCs w:val="24"/>
        </w:rPr>
      </w:pPr>
      <w:r w:rsidRPr="00D55103">
        <w:rPr>
          <w:b/>
          <w:szCs w:val="24"/>
        </w:rPr>
        <w:t>A.</w:t>
      </w:r>
      <w:r w:rsidRPr="00D55103">
        <w:rPr>
          <w:b/>
          <w:szCs w:val="24"/>
        </w:rPr>
        <w:tab/>
        <w:t>Aggravation</w:t>
      </w:r>
    </w:p>
    <w:p w14:paraId="201AD70D" w14:textId="77777777" w:rsidR="00427913" w:rsidRPr="00D55103" w:rsidRDefault="002B7D4C" w:rsidP="00427913">
      <w:pPr>
        <w:tabs>
          <w:tab w:val="left" w:pos="720"/>
        </w:tabs>
        <w:autoSpaceDE w:val="0"/>
        <w:autoSpaceDN w:val="0"/>
        <w:adjustRightInd w:val="0"/>
        <w:spacing w:line="480" w:lineRule="auto"/>
        <w:ind w:firstLine="720"/>
        <w:rPr>
          <w:b/>
          <w:szCs w:val="24"/>
        </w:rPr>
      </w:pPr>
      <w:r w:rsidRPr="00D55103">
        <w:rPr>
          <w:b/>
          <w:szCs w:val="24"/>
        </w:rPr>
        <w:t xml:space="preserve">1.  </w:t>
      </w:r>
      <w:r w:rsidR="00474ABD" w:rsidRPr="00D55103">
        <w:rPr>
          <w:b/>
          <w:szCs w:val="24"/>
        </w:rPr>
        <w:t xml:space="preserve">Multiple Acts of Wrongdoing (Std. 1.5(b)); </w:t>
      </w:r>
      <w:r w:rsidR="00427913" w:rsidRPr="00D55103">
        <w:rPr>
          <w:b/>
          <w:szCs w:val="24"/>
        </w:rPr>
        <w:t>Pattern of Misconduct (Std. 1.5(c))</w:t>
      </w:r>
    </w:p>
    <w:p w14:paraId="40B8D6A1" w14:textId="58FA56E9" w:rsidR="00826A17" w:rsidRPr="00D55103" w:rsidRDefault="00474ABD" w:rsidP="00EE585D">
      <w:pPr>
        <w:tabs>
          <w:tab w:val="left" w:pos="720"/>
        </w:tabs>
        <w:autoSpaceDE w:val="0"/>
        <w:autoSpaceDN w:val="0"/>
        <w:adjustRightInd w:val="0"/>
        <w:spacing w:line="480" w:lineRule="auto"/>
        <w:ind w:firstLine="720"/>
        <w:rPr>
          <w:szCs w:val="24"/>
        </w:rPr>
      </w:pPr>
      <w:r w:rsidRPr="00D55103">
        <w:rPr>
          <w:szCs w:val="24"/>
        </w:rPr>
        <w:t xml:space="preserve">The hearing judge found that </w:t>
      </w:r>
      <w:r w:rsidR="00D71F63" w:rsidRPr="00D55103">
        <w:rPr>
          <w:szCs w:val="24"/>
        </w:rPr>
        <w:t>Golden</w:t>
      </w:r>
      <w:r w:rsidRPr="00D55103">
        <w:rPr>
          <w:szCs w:val="24"/>
        </w:rPr>
        <w:t xml:space="preserve"> committed multiple acts of m</w:t>
      </w:r>
      <w:r w:rsidR="00D71F63" w:rsidRPr="00D55103">
        <w:rPr>
          <w:szCs w:val="24"/>
        </w:rPr>
        <w:t>isconduct</w:t>
      </w:r>
      <w:r w:rsidR="00140609" w:rsidRPr="00D55103">
        <w:rPr>
          <w:szCs w:val="24"/>
        </w:rPr>
        <w:t xml:space="preserve"> </w:t>
      </w:r>
      <w:r w:rsidR="00D71F63" w:rsidRPr="00D55103">
        <w:rPr>
          <w:szCs w:val="24"/>
        </w:rPr>
        <w:t>that</w:t>
      </w:r>
      <w:r w:rsidRPr="00D55103">
        <w:rPr>
          <w:szCs w:val="24"/>
        </w:rPr>
        <w:t xml:space="preserve"> </w:t>
      </w:r>
      <w:r w:rsidR="00D71F63" w:rsidRPr="00D55103">
        <w:rPr>
          <w:szCs w:val="24"/>
        </w:rPr>
        <w:t xml:space="preserve">evidence </w:t>
      </w:r>
      <w:r w:rsidRPr="00D55103">
        <w:rPr>
          <w:szCs w:val="24"/>
        </w:rPr>
        <w:t>a pa</w:t>
      </w:r>
      <w:r w:rsidR="00D71F63" w:rsidRPr="00D55103">
        <w:rPr>
          <w:szCs w:val="24"/>
        </w:rPr>
        <w:t>ttern of misconduct</w:t>
      </w:r>
      <w:r w:rsidRPr="00D55103">
        <w:rPr>
          <w:szCs w:val="24"/>
        </w:rPr>
        <w:t xml:space="preserve"> under standard</w:t>
      </w:r>
      <w:r w:rsidR="000C2564">
        <w:rPr>
          <w:szCs w:val="24"/>
        </w:rPr>
        <w:t> </w:t>
      </w:r>
      <w:r w:rsidRPr="00D55103">
        <w:rPr>
          <w:szCs w:val="24"/>
        </w:rPr>
        <w:t xml:space="preserve">1.5(c).  </w:t>
      </w:r>
      <w:r w:rsidR="009E366F" w:rsidRPr="00D55103">
        <w:rPr>
          <w:szCs w:val="24"/>
        </w:rPr>
        <w:t xml:space="preserve">We need </w:t>
      </w:r>
      <w:r w:rsidR="00BF4C58">
        <w:rPr>
          <w:szCs w:val="24"/>
        </w:rPr>
        <w:t xml:space="preserve">not </w:t>
      </w:r>
      <w:r w:rsidR="00DD2355">
        <w:rPr>
          <w:szCs w:val="24"/>
        </w:rPr>
        <w:t>reach the issue of</w:t>
      </w:r>
      <w:r w:rsidR="00DD2355" w:rsidRPr="00D55103">
        <w:rPr>
          <w:szCs w:val="24"/>
        </w:rPr>
        <w:t xml:space="preserve"> </w:t>
      </w:r>
      <w:r w:rsidR="009E366F" w:rsidRPr="00D55103">
        <w:rPr>
          <w:szCs w:val="24"/>
        </w:rPr>
        <w:t xml:space="preserve">whether </w:t>
      </w:r>
      <w:r w:rsidR="00452B80">
        <w:rPr>
          <w:szCs w:val="24"/>
        </w:rPr>
        <w:t>his</w:t>
      </w:r>
      <w:r w:rsidR="00140609" w:rsidRPr="00D55103">
        <w:rPr>
          <w:szCs w:val="24"/>
        </w:rPr>
        <w:t xml:space="preserve"> </w:t>
      </w:r>
      <w:r w:rsidR="00EF7F16" w:rsidRPr="00D55103">
        <w:rPr>
          <w:szCs w:val="24"/>
        </w:rPr>
        <w:t>mis</w:t>
      </w:r>
      <w:r w:rsidR="009E366F" w:rsidRPr="00D55103">
        <w:rPr>
          <w:szCs w:val="24"/>
        </w:rPr>
        <w:t>conduct const</w:t>
      </w:r>
      <w:r w:rsidR="00EF7F16" w:rsidRPr="00D55103">
        <w:rPr>
          <w:szCs w:val="24"/>
        </w:rPr>
        <w:t xml:space="preserve">ituted a pattern </w:t>
      </w:r>
      <w:r w:rsidR="00C2154A">
        <w:rPr>
          <w:szCs w:val="24"/>
        </w:rPr>
        <w:t>but</w:t>
      </w:r>
      <w:r w:rsidR="00EF7F16" w:rsidRPr="00D55103">
        <w:rPr>
          <w:szCs w:val="24"/>
        </w:rPr>
        <w:t xml:space="preserve"> we find </w:t>
      </w:r>
      <w:r w:rsidR="009D3C34">
        <w:rPr>
          <w:szCs w:val="24"/>
        </w:rPr>
        <w:t>him</w:t>
      </w:r>
      <w:r w:rsidR="00EE585D" w:rsidRPr="00D55103">
        <w:rPr>
          <w:szCs w:val="24"/>
        </w:rPr>
        <w:t xml:space="preserve"> culpable of 25</w:t>
      </w:r>
      <w:r w:rsidRPr="00D55103">
        <w:rPr>
          <w:szCs w:val="24"/>
        </w:rPr>
        <w:t xml:space="preserve"> counts of misconduct </w:t>
      </w:r>
      <w:r w:rsidR="00EE585D" w:rsidRPr="00D55103">
        <w:rPr>
          <w:szCs w:val="24"/>
        </w:rPr>
        <w:t xml:space="preserve">in 11 client matters </w:t>
      </w:r>
      <w:r w:rsidRPr="00D55103">
        <w:rPr>
          <w:szCs w:val="24"/>
        </w:rPr>
        <w:t xml:space="preserve">during a </w:t>
      </w:r>
      <w:r w:rsidR="00EE585D" w:rsidRPr="00D55103">
        <w:rPr>
          <w:szCs w:val="24"/>
        </w:rPr>
        <w:t>more than five-year period</w:t>
      </w:r>
      <w:r w:rsidR="009E366F" w:rsidRPr="00D55103">
        <w:rPr>
          <w:szCs w:val="24"/>
        </w:rPr>
        <w:t>.  W</w:t>
      </w:r>
      <w:r w:rsidRPr="00D55103">
        <w:rPr>
          <w:szCs w:val="24"/>
        </w:rPr>
        <w:t>e assign si</w:t>
      </w:r>
      <w:r w:rsidR="00EE585D" w:rsidRPr="00D55103">
        <w:rPr>
          <w:szCs w:val="24"/>
        </w:rPr>
        <w:t>gnificant weight in aggravation under standard</w:t>
      </w:r>
      <w:r w:rsidR="000C2564">
        <w:rPr>
          <w:szCs w:val="24"/>
        </w:rPr>
        <w:t> </w:t>
      </w:r>
      <w:r w:rsidR="00EE585D" w:rsidRPr="00D55103">
        <w:rPr>
          <w:szCs w:val="24"/>
        </w:rPr>
        <w:t xml:space="preserve">1.5(b) </w:t>
      </w:r>
      <w:r w:rsidRPr="00D55103">
        <w:rPr>
          <w:szCs w:val="24"/>
        </w:rPr>
        <w:t xml:space="preserve">to his recurring </w:t>
      </w:r>
      <w:r w:rsidR="00EE585D" w:rsidRPr="00D55103">
        <w:rPr>
          <w:szCs w:val="24"/>
        </w:rPr>
        <w:t>violations.</w:t>
      </w:r>
    </w:p>
    <w:p w14:paraId="0E0EAE37" w14:textId="77777777" w:rsidR="003E0B2B" w:rsidRPr="00D55103" w:rsidRDefault="003E0B2B" w:rsidP="003E0B2B">
      <w:pPr>
        <w:spacing w:line="480" w:lineRule="auto"/>
        <w:ind w:firstLine="720"/>
        <w:rPr>
          <w:szCs w:val="24"/>
        </w:rPr>
      </w:pPr>
      <w:r w:rsidRPr="00D55103">
        <w:rPr>
          <w:b/>
          <w:szCs w:val="24"/>
        </w:rPr>
        <w:t>2.  Overreaching (Std. 1.5(g))</w:t>
      </w:r>
    </w:p>
    <w:p w14:paraId="25D67D59" w14:textId="16E50BED" w:rsidR="00D207EB" w:rsidRPr="00D55103" w:rsidRDefault="003E0B2B" w:rsidP="00C2154A">
      <w:pPr>
        <w:spacing w:line="480" w:lineRule="auto"/>
        <w:ind w:right="-144" w:firstLine="720"/>
        <w:rPr>
          <w:szCs w:val="24"/>
        </w:rPr>
      </w:pPr>
      <w:r w:rsidRPr="00D55103">
        <w:rPr>
          <w:szCs w:val="24"/>
        </w:rPr>
        <w:t xml:space="preserve">The hearing judge </w:t>
      </w:r>
      <w:r w:rsidR="00C2154A">
        <w:rPr>
          <w:szCs w:val="24"/>
        </w:rPr>
        <w:t xml:space="preserve">correctly </w:t>
      </w:r>
      <w:r w:rsidRPr="00D55103">
        <w:rPr>
          <w:szCs w:val="24"/>
        </w:rPr>
        <w:t xml:space="preserve">found that </w:t>
      </w:r>
      <w:r w:rsidR="00E9372A" w:rsidRPr="00D55103">
        <w:rPr>
          <w:szCs w:val="24"/>
        </w:rPr>
        <w:t>unilateral</w:t>
      </w:r>
      <w:r w:rsidR="001773BE">
        <w:rPr>
          <w:szCs w:val="24"/>
        </w:rPr>
        <w:t>ly</w:t>
      </w:r>
      <w:r w:rsidR="00E9372A" w:rsidRPr="00D55103">
        <w:rPr>
          <w:szCs w:val="24"/>
        </w:rPr>
        <w:t xml:space="preserve"> taking his clients’ $2,500 in settlement funds in the Mazziotti</w:t>
      </w:r>
      <w:r w:rsidR="00BF66C0" w:rsidRPr="00D55103">
        <w:rPr>
          <w:szCs w:val="24"/>
        </w:rPr>
        <w:t xml:space="preserve"> </w:t>
      </w:r>
      <w:r w:rsidR="00E9372A" w:rsidRPr="00D55103">
        <w:rPr>
          <w:szCs w:val="24"/>
        </w:rPr>
        <w:t>matter</w:t>
      </w:r>
      <w:r w:rsidR="00BF66C0" w:rsidRPr="00D55103">
        <w:rPr>
          <w:szCs w:val="24"/>
        </w:rPr>
        <w:t xml:space="preserve"> </w:t>
      </w:r>
      <w:r w:rsidR="00345740" w:rsidRPr="00D55103">
        <w:rPr>
          <w:szCs w:val="24"/>
        </w:rPr>
        <w:t xml:space="preserve">demonstrates </w:t>
      </w:r>
      <w:r w:rsidR="009D3C34">
        <w:rPr>
          <w:szCs w:val="24"/>
        </w:rPr>
        <w:t xml:space="preserve">Golden’s </w:t>
      </w:r>
      <w:r w:rsidR="00345740" w:rsidRPr="00D55103">
        <w:rPr>
          <w:szCs w:val="24"/>
        </w:rPr>
        <w:t xml:space="preserve">overreaching and warrants significant </w:t>
      </w:r>
      <w:r w:rsidR="001773BE">
        <w:rPr>
          <w:szCs w:val="24"/>
        </w:rPr>
        <w:t xml:space="preserve">consideration in </w:t>
      </w:r>
      <w:r w:rsidR="00345740" w:rsidRPr="00D55103">
        <w:rPr>
          <w:szCs w:val="24"/>
        </w:rPr>
        <w:t xml:space="preserve">aggravation.  </w:t>
      </w:r>
      <w:r w:rsidRPr="00D55103">
        <w:rPr>
          <w:szCs w:val="24"/>
        </w:rPr>
        <w:t>(Std. 1.5(g</w:t>
      </w:r>
      <w:r w:rsidR="00345740" w:rsidRPr="00D55103">
        <w:rPr>
          <w:szCs w:val="24"/>
        </w:rPr>
        <w:t xml:space="preserve">).)  </w:t>
      </w:r>
      <w:r w:rsidR="002B2025" w:rsidRPr="00D55103">
        <w:rPr>
          <w:szCs w:val="24"/>
        </w:rPr>
        <w:t xml:space="preserve">We find additional </w:t>
      </w:r>
      <w:r w:rsidR="00FB54BD" w:rsidRPr="00D55103">
        <w:rPr>
          <w:szCs w:val="24"/>
        </w:rPr>
        <w:t xml:space="preserve">overreaching </w:t>
      </w:r>
      <w:r w:rsidR="00452B80">
        <w:rPr>
          <w:szCs w:val="24"/>
        </w:rPr>
        <w:t>in</w:t>
      </w:r>
      <w:r w:rsidR="00FB54BD" w:rsidRPr="00D55103">
        <w:rPr>
          <w:szCs w:val="24"/>
        </w:rPr>
        <w:t xml:space="preserve"> Golden</w:t>
      </w:r>
      <w:r w:rsidR="00452B80">
        <w:rPr>
          <w:szCs w:val="24"/>
        </w:rPr>
        <w:t>’s</w:t>
      </w:r>
      <w:r w:rsidR="00FB54BD" w:rsidRPr="00D55103">
        <w:rPr>
          <w:szCs w:val="24"/>
        </w:rPr>
        <w:t xml:space="preserve"> withdr</w:t>
      </w:r>
      <w:r w:rsidR="00452B80">
        <w:rPr>
          <w:szCs w:val="24"/>
        </w:rPr>
        <w:t>awal</w:t>
      </w:r>
      <w:r w:rsidR="00FB54BD" w:rsidRPr="00D55103">
        <w:rPr>
          <w:szCs w:val="24"/>
        </w:rPr>
        <w:t xml:space="preserve"> from Arellano’s representation in July 2013</w:t>
      </w:r>
      <w:r w:rsidR="00452B80">
        <w:rPr>
          <w:szCs w:val="24"/>
        </w:rPr>
        <w:t xml:space="preserve"> without</w:t>
      </w:r>
      <w:r w:rsidR="0091169F" w:rsidRPr="00D55103">
        <w:rPr>
          <w:szCs w:val="24"/>
        </w:rPr>
        <w:t xml:space="preserve"> inform</w:t>
      </w:r>
      <w:r w:rsidR="00452B80">
        <w:rPr>
          <w:szCs w:val="24"/>
        </w:rPr>
        <w:t>ing</w:t>
      </w:r>
      <w:r w:rsidR="0091169F" w:rsidRPr="00D55103">
        <w:rPr>
          <w:szCs w:val="24"/>
        </w:rPr>
        <w:t xml:space="preserve"> Arellano—</w:t>
      </w:r>
      <w:r w:rsidR="00FB54BD" w:rsidRPr="00D55103">
        <w:rPr>
          <w:szCs w:val="24"/>
        </w:rPr>
        <w:t>who continued to make monthly fee payments</w:t>
      </w:r>
      <w:r w:rsidR="0091169F" w:rsidRPr="00D55103">
        <w:rPr>
          <w:szCs w:val="24"/>
        </w:rPr>
        <w:t>—until January 2014</w:t>
      </w:r>
      <w:r w:rsidR="00607595" w:rsidRPr="00D55103">
        <w:rPr>
          <w:szCs w:val="24"/>
        </w:rPr>
        <w:t xml:space="preserve"> that </w:t>
      </w:r>
      <w:r w:rsidR="00FB54BD" w:rsidRPr="00D55103">
        <w:rPr>
          <w:szCs w:val="24"/>
        </w:rPr>
        <w:t>his case had been closed.</w:t>
      </w:r>
      <w:r w:rsidR="00BB5A2B" w:rsidRPr="00D55103">
        <w:rPr>
          <w:szCs w:val="24"/>
        </w:rPr>
        <w:t xml:space="preserve"> </w:t>
      </w:r>
      <w:r w:rsidR="00607595" w:rsidRPr="00D55103">
        <w:rPr>
          <w:szCs w:val="24"/>
        </w:rPr>
        <w:t xml:space="preserve"> </w:t>
      </w:r>
      <w:r w:rsidR="0099453F">
        <w:rPr>
          <w:szCs w:val="24"/>
        </w:rPr>
        <w:t>L</w:t>
      </w:r>
      <w:r w:rsidR="00607595" w:rsidRPr="00D55103">
        <w:rPr>
          <w:szCs w:val="24"/>
        </w:rPr>
        <w:t xml:space="preserve">ike the judge, we find that Golden’s overreaching warrants significant </w:t>
      </w:r>
      <w:r w:rsidR="001773BE">
        <w:rPr>
          <w:szCs w:val="24"/>
        </w:rPr>
        <w:t xml:space="preserve">consideration in </w:t>
      </w:r>
      <w:r w:rsidR="00607595" w:rsidRPr="00D55103">
        <w:rPr>
          <w:szCs w:val="24"/>
        </w:rPr>
        <w:t>aggravation.</w:t>
      </w:r>
    </w:p>
    <w:p w14:paraId="41037396" w14:textId="77777777" w:rsidR="00427913" w:rsidRPr="00D55103" w:rsidRDefault="00345740" w:rsidP="00427913">
      <w:pPr>
        <w:tabs>
          <w:tab w:val="left" w:pos="720"/>
        </w:tabs>
        <w:autoSpaceDE w:val="0"/>
        <w:autoSpaceDN w:val="0"/>
        <w:adjustRightInd w:val="0"/>
        <w:spacing w:line="480" w:lineRule="auto"/>
        <w:ind w:firstLine="720"/>
        <w:rPr>
          <w:b/>
          <w:szCs w:val="24"/>
        </w:rPr>
      </w:pPr>
      <w:r w:rsidRPr="00D55103">
        <w:rPr>
          <w:b/>
          <w:szCs w:val="24"/>
        </w:rPr>
        <w:t>3</w:t>
      </w:r>
      <w:r w:rsidR="00427913" w:rsidRPr="00D55103">
        <w:rPr>
          <w:b/>
          <w:szCs w:val="24"/>
        </w:rPr>
        <w:t>.  Uncharged Misconduct (Std. 1.5(h))</w:t>
      </w:r>
    </w:p>
    <w:p w14:paraId="3C7629DE" w14:textId="74E6436A" w:rsidR="00D522BA" w:rsidRPr="00D55103" w:rsidRDefault="00C4353F" w:rsidP="005F7728">
      <w:pPr>
        <w:tabs>
          <w:tab w:val="left" w:pos="720"/>
        </w:tabs>
        <w:spacing w:line="480" w:lineRule="auto"/>
        <w:ind w:firstLine="720"/>
        <w:rPr>
          <w:szCs w:val="24"/>
        </w:rPr>
      </w:pPr>
      <w:r w:rsidRPr="00D55103">
        <w:rPr>
          <w:szCs w:val="24"/>
        </w:rPr>
        <w:t>“</w:t>
      </w:r>
      <w:r w:rsidR="00597223" w:rsidRPr="00D55103">
        <w:rPr>
          <w:szCs w:val="24"/>
        </w:rPr>
        <w:t>Although</w:t>
      </w:r>
      <w:r w:rsidR="00087ED2" w:rsidRPr="00D55103">
        <w:rPr>
          <w:szCs w:val="24"/>
        </w:rPr>
        <w:t xml:space="preserve"> evidence of uncharged misconduct </w:t>
      </w:r>
      <w:r w:rsidR="00D522BA" w:rsidRPr="00D55103">
        <w:rPr>
          <w:szCs w:val="24"/>
        </w:rPr>
        <w:t xml:space="preserve">may not be </w:t>
      </w:r>
      <w:r w:rsidR="00087ED2" w:rsidRPr="00D55103">
        <w:rPr>
          <w:szCs w:val="24"/>
        </w:rPr>
        <w:t xml:space="preserve">used </w:t>
      </w:r>
      <w:r w:rsidRPr="00D55103">
        <w:rPr>
          <w:szCs w:val="24"/>
        </w:rPr>
        <w:t xml:space="preserve">as an independent ground of </w:t>
      </w:r>
      <w:r w:rsidR="00D522BA" w:rsidRPr="00D55103">
        <w:rPr>
          <w:szCs w:val="24"/>
        </w:rPr>
        <w:t>discipline</w:t>
      </w:r>
      <w:r w:rsidRPr="00D55103">
        <w:rPr>
          <w:szCs w:val="24"/>
        </w:rPr>
        <w:t>”</w:t>
      </w:r>
      <w:r w:rsidR="00087ED2" w:rsidRPr="00D55103">
        <w:rPr>
          <w:szCs w:val="24"/>
        </w:rPr>
        <w:t xml:space="preserve"> </w:t>
      </w:r>
      <w:r w:rsidR="00D522BA" w:rsidRPr="00D55103">
        <w:rPr>
          <w:szCs w:val="24"/>
        </w:rPr>
        <w:t>(</w:t>
      </w:r>
      <w:r w:rsidR="00D522BA" w:rsidRPr="00D55103">
        <w:rPr>
          <w:i/>
          <w:szCs w:val="24"/>
        </w:rPr>
        <w:t>Edwards v. State Bar</w:t>
      </w:r>
      <w:r w:rsidR="00D522BA" w:rsidRPr="00D55103">
        <w:rPr>
          <w:szCs w:val="24"/>
        </w:rPr>
        <w:t xml:space="preserve"> (1990) 52 Cal.3d 28, 35</w:t>
      </w:r>
      <w:r w:rsidR="002F023E" w:rsidRPr="00D55103">
        <w:rPr>
          <w:szCs w:val="24"/>
        </w:rPr>
        <w:t xml:space="preserve"> (</w:t>
      </w:r>
      <w:r w:rsidR="002F023E" w:rsidRPr="00D55103">
        <w:rPr>
          <w:i/>
          <w:szCs w:val="24"/>
        </w:rPr>
        <w:t>Edwards</w:t>
      </w:r>
      <w:r w:rsidR="002F023E" w:rsidRPr="00D55103">
        <w:rPr>
          <w:szCs w:val="24"/>
        </w:rPr>
        <w:t>)</w:t>
      </w:r>
      <w:r w:rsidRPr="00D55103">
        <w:rPr>
          <w:szCs w:val="24"/>
        </w:rPr>
        <w:t xml:space="preserve">), </w:t>
      </w:r>
      <w:r w:rsidR="00D522BA" w:rsidRPr="00D55103">
        <w:rPr>
          <w:szCs w:val="24"/>
        </w:rPr>
        <w:t xml:space="preserve">it may be considered in </w:t>
      </w:r>
      <w:r w:rsidR="00D522BA" w:rsidRPr="00D55103">
        <w:rPr>
          <w:szCs w:val="24"/>
        </w:rPr>
        <w:lastRenderedPageBreak/>
        <w:t>aggravati</w:t>
      </w:r>
      <w:r w:rsidR="005F7728" w:rsidRPr="00D55103">
        <w:rPr>
          <w:szCs w:val="24"/>
        </w:rPr>
        <w:t xml:space="preserve">on </w:t>
      </w:r>
      <w:r w:rsidR="007505FA">
        <w:rPr>
          <w:szCs w:val="24"/>
        </w:rPr>
        <w:t>if</w:t>
      </w:r>
      <w:r w:rsidR="005F7728" w:rsidRPr="00D55103">
        <w:rPr>
          <w:szCs w:val="24"/>
        </w:rPr>
        <w:t xml:space="preserve"> the respondent’s due process rights are not violated.  (See </w:t>
      </w:r>
      <w:r w:rsidR="005F7728" w:rsidRPr="00D55103">
        <w:rPr>
          <w:i/>
          <w:szCs w:val="24"/>
        </w:rPr>
        <w:t>id.</w:t>
      </w:r>
      <w:r w:rsidR="005F7728" w:rsidRPr="00D55103">
        <w:rPr>
          <w:szCs w:val="24"/>
        </w:rPr>
        <w:t xml:space="preserve"> at pp.</w:t>
      </w:r>
      <w:r w:rsidR="000C2564">
        <w:rPr>
          <w:szCs w:val="24"/>
        </w:rPr>
        <w:t> </w:t>
      </w:r>
      <w:r w:rsidR="005F7728" w:rsidRPr="00D55103">
        <w:rPr>
          <w:szCs w:val="24"/>
        </w:rPr>
        <w:t xml:space="preserve">35–36.)  </w:t>
      </w:r>
      <w:r w:rsidR="00B96C4D" w:rsidRPr="00D55103">
        <w:rPr>
          <w:szCs w:val="24"/>
        </w:rPr>
        <w:t>As the hearing judge noted, t</w:t>
      </w:r>
      <w:r w:rsidR="00D522BA" w:rsidRPr="00D55103">
        <w:rPr>
          <w:szCs w:val="24"/>
        </w:rPr>
        <w:t>h</w:t>
      </w:r>
      <w:r w:rsidR="0099453F">
        <w:rPr>
          <w:szCs w:val="24"/>
        </w:rPr>
        <w:t>is</w:t>
      </w:r>
      <w:r w:rsidR="00B96C4D" w:rsidRPr="00D55103">
        <w:rPr>
          <w:szCs w:val="24"/>
        </w:rPr>
        <w:t xml:space="preserve"> matter </w:t>
      </w:r>
      <w:r w:rsidR="00D522BA" w:rsidRPr="00D55103">
        <w:rPr>
          <w:szCs w:val="24"/>
        </w:rPr>
        <w:t xml:space="preserve">involves a </w:t>
      </w:r>
      <w:r w:rsidR="007505FA">
        <w:rPr>
          <w:szCs w:val="24"/>
        </w:rPr>
        <w:t xml:space="preserve">different </w:t>
      </w:r>
      <w:r w:rsidR="00D522BA" w:rsidRPr="00D55103">
        <w:rPr>
          <w:szCs w:val="24"/>
        </w:rPr>
        <w:t xml:space="preserve">situation </w:t>
      </w:r>
      <w:r w:rsidR="007505FA">
        <w:rPr>
          <w:szCs w:val="24"/>
        </w:rPr>
        <w:t xml:space="preserve">than </w:t>
      </w:r>
      <w:r w:rsidR="0016486D">
        <w:rPr>
          <w:szCs w:val="24"/>
        </w:rPr>
        <w:t xml:space="preserve">in </w:t>
      </w:r>
      <w:r w:rsidR="00D522BA" w:rsidRPr="00D55103">
        <w:rPr>
          <w:i/>
          <w:szCs w:val="24"/>
        </w:rPr>
        <w:t>Edwards</w:t>
      </w:r>
      <w:r w:rsidR="00D522BA" w:rsidRPr="00D55103">
        <w:rPr>
          <w:szCs w:val="24"/>
        </w:rPr>
        <w:t>.</w:t>
      </w:r>
    </w:p>
    <w:p w14:paraId="1C310477" w14:textId="6C477E56" w:rsidR="00D00228" w:rsidRPr="00D55103" w:rsidRDefault="00032569" w:rsidP="00A32CEE">
      <w:pPr>
        <w:tabs>
          <w:tab w:val="left" w:pos="720"/>
        </w:tabs>
        <w:spacing w:line="480" w:lineRule="auto"/>
        <w:ind w:firstLine="720"/>
        <w:rPr>
          <w:szCs w:val="24"/>
        </w:rPr>
      </w:pPr>
      <w:r w:rsidRPr="00D55103">
        <w:rPr>
          <w:szCs w:val="24"/>
        </w:rPr>
        <w:t xml:space="preserve">Golden </w:t>
      </w:r>
      <w:r w:rsidR="00597223" w:rsidRPr="00D55103">
        <w:rPr>
          <w:i/>
          <w:szCs w:val="24"/>
        </w:rPr>
        <w:t>stipulated</w:t>
      </w:r>
      <w:r w:rsidR="00597223" w:rsidRPr="00D55103">
        <w:rPr>
          <w:szCs w:val="24"/>
        </w:rPr>
        <w:t xml:space="preserve"> to conduct constituting uncharged misconduct. </w:t>
      </w:r>
      <w:r w:rsidRPr="00D55103">
        <w:rPr>
          <w:szCs w:val="24"/>
        </w:rPr>
        <w:t xml:space="preserve"> This </w:t>
      </w:r>
      <w:r w:rsidR="0099453F">
        <w:rPr>
          <w:szCs w:val="24"/>
        </w:rPr>
        <w:t>mis</w:t>
      </w:r>
      <w:r w:rsidR="00597223" w:rsidRPr="00D55103">
        <w:rPr>
          <w:szCs w:val="24"/>
        </w:rPr>
        <w:t xml:space="preserve">conduct included using a fee agreement that did not include the </w:t>
      </w:r>
      <w:r w:rsidR="00487222">
        <w:rPr>
          <w:szCs w:val="24"/>
        </w:rPr>
        <w:t>§ 2944.6 disclaimer</w:t>
      </w:r>
      <w:r w:rsidR="00487222" w:rsidRPr="00D55103" w:rsidDel="00487222">
        <w:rPr>
          <w:szCs w:val="24"/>
        </w:rPr>
        <w:t xml:space="preserve"> </w:t>
      </w:r>
      <w:r w:rsidRPr="00D55103">
        <w:rPr>
          <w:szCs w:val="24"/>
        </w:rPr>
        <w:t>in three</w:t>
      </w:r>
      <w:r w:rsidR="00763A3F" w:rsidRPr="00D55103">
        <w:rPr>
          <w:szCs w:val="24"/>
        </w:rPr>
        <w:t xml:space="preserve"> </w:t>
      </w:r>
      <w:r w:rsidRPr="00D55103">
        <w:rPr>
          <w:szCs w:val="24"/>
        </w:rPr>
        <w:t xml:space="preserve">client </w:t>
      </w:r>
      <w:r w:rsidR="00597223" w:rsidRPr="00D55103">
        <w:rPr>
          <w:szCs w:val="24"/>
        </w:rPr>
        <w:t>matters (</w:t>
      </w:r>
      <w:r w:rsidR="00763A3F" w:rsidRPr="00D55103">
        <w:rPr>
          <w:szCs w:val="24"/>
        </w:rPr>
        <w:t xml:space="preserve">the </w:t>
      </w:r>
      <w:r w:rsidR="00597223" w:rsidRPr="00D55103">
        <w:rPr>
          <w:szCs w:val="24"/>
        </w:rPr>
        <w:t>Bartlett, Arellano, and Kessler</w:t>
      </w:r>
      <w:r w:rsidR="00763A3F" w:rsidRPr="00D55103">
        <w:rPr>
          <w:szCs w:val="24"/>
        </w:rPr>
        <w:t xml:space="preserve"> matters</w:t>
      </w:r>
      <w:r w:rsidR="00597223" w:rsidRPr="00D55103">
        <w:rPr>
          <w:szCs w:val="24"/>
        </w:rPr>
        <w:t>).</w:t>
      </w:r>
      <w:r w:rsidR="00763A3F" w:rsidRPr="00D55103">
        <w:rPr>
          <w:szCs w:val="24"/>
        </w:rPr>
        <w:t xml:space="preserve">  </w:t>
      </w:r>
      <w:r w:rsidRPr="00D55103">
        <w:rPr>
          <w:szCs w:val="24"/>
        </w:rPr>
        <w:t>Like the</w:t>
      </w:r>
      <w:r w:rsidR="003810EB" w:rsidRPr="00D55103">
        <w:rPr>
          <w:szCs w:val="24"/>
        </w:rPr>
        <w:t xml:space="preserve"> hearing</w:t>
      </w:r>
      <w:r w:rsidR="00622A3F" w:rsidRPr="00D55103">
        <w:rPr>
          <w:szCs w:val="24"/>
        </w:rPr>
        <w:t xml:space="preserve"> </w:t>
      </w:r>
      <w:r w:rsidR="00A32CEE" w:rsidRPr="00D55103">
        <w:rPr>
          <w:szCs w:val="24"/>
        </w:rPr>
        <w:t>j</w:t>
      </w:r>
      <w:r w:rsidR="00622A3F" w:rsidRPr="00D55103">
        <w:rPr>
          <w:szCs w:val="24"/>
        </w:rPr>
        <w:t>udge, we find that Golden’s</w:t>
      </w:r>
      <w:r w:rsidR="00763A3F" w:rsidRPr="00D55103">
        <w:rPr>
          <w:szCs w:val="24"/>
        </w:rPr>
        <w:t xml:space="preserve"> </w:t>
      </w:r>
      <w:r w:rsidR="00597223" w:rsidRPr="00D55103">
        <w:rPr>
          <w:szCs w:val="24"/>
        </w:rPr>
        <w:t>uncharged misconduct was elicited for a relevant pu</w:t>
      </w:r>
      <w:r w:rsidR="003E0B2B" w:rsidRPr="00D55103">
        <w:rPr>
          <w:szCs w:val="24"/>
        </w:rPr>
        <w:t>rpose</w:t>
      </w:r>
      <w:r w:rsidR="00597223" w:rsidRPr="00D55103">
        <w:rPr>
          <w:szCs w:val="24"/>
        </w:rPr>
        <w:t xml:space="preserve"> and was based on </w:t>
      </w:r>
      <w:r w:rsidR="0016486D">
        <w:rPr>
          <w:szCs w:val="24"/>
        </w:rPr>
        <w:t>his</w:t>
      </w:r>
      <w:r w:rsidR="00913AE4">
        <w:rPr>
          <w:szCs w:val="24"/>
        </w:rPr>
        <w:t xml:space="preserve"> </w:t>
      </w:r>
      <w:r w:rsidR="00597223" w:rsidRPr="00D55103">
        <w:rPr>
          <w:szCs w:val="24"/>
        </w:rPr>
        <w:t>own representations.</w:t>
      </w:r>
      <w:r w:rsidR="00763A3F" w:rsidRPr="00D55103">
        <w:rPr>
          <w:rStyle w:val="FootnoteReference"/>
          <w:szCs w:val="24"/>
        </w:rPr>
        <w:footnoteReference w:id="20"/>
      </w:r>
      <w:r w:rsidR="00597223" w:rsidRPr="00D55103">
        <w:rPr>
          <w:szCs w:val="24"/>
        </w:rPr>
        <w:t xml:space="preserve"> </w:t>
      </w:r>
      <w:r w:rsidR="00763A3F" w:rsidRPr="00D55103">
        <w:rPr>
          <w:szCs w:val="24"/>
        </w:rPr>
        <w:t xml:space="preserve"> </w:t>
      </w:r>
      <w:r w:rsidR="00B32F8A" w:rsidRPr="00D55103">
        <w:rPr>
          <w:szCs w:val="24"/>
        </w:rPr>
        <w:t>Further, as previously noted</w:t>
      </w:r>
      <w:r w:rsidR="00D32587" w:rsidRPr="00D55103">
        <w:rPr>
          <w:szCs w:val="24"/>
        </w:rPr>
        <w:t xml:space="preserve">, the judge granted OCTC’s motion to conform the charges to the proof at trial, including the facts in the </w:t>
      </w:r>
      <w:r w:rsidR="0099453F">
        <w:rPr>
          <w:szCs w:val="24"/>
        </w:rPr>
        <w:t>S</w:t>
      </w:r>
      <w:r w:rsidR="00D32587" w:rsidRPr="00D55103">
        <w:rPr>
          <w:szCs w:val="24"/>
        </w:rPr>
        <w:t xml:space="preserve">tipulation.  </w:t>
      </w:r>
      <w:r w:rsidR="00AC1E3D" w:rsidRPr="00D55103">
        <w:rPr>
          <w:szCs w:val="24"/>
        </w:rPr>
        <w:t xml:space="preserve">We </w:t>
      </w:r>
      <w:r w:rsidR="003810EB" w:rsidRPr="00D55103">
        <w:rPr>
          <w:szCs w:val="24"/>
        </w:rPr>
        <w:t>affirm</w:t>
      </w:r>
      <w:r w:rsidR="00AC1E3D" w:rsidRPr="00D55103">
        <w:rPr>
          <w:szCs w:val="24"/>
        </w:rPr>
        <w:t xml:space="preserve"> t</w:t>
      </w:r>
      <w:r w:rsidR="00EA2EB3" w:rsidRPr="00D55103">
        <w:rPr>
          <w:szCs w:val="24"/>
        </w:rPr>
        <w:t>he judge’</w:t>
      </w:r>
      <w:r w:rsidR="00AC1E3D" w:rsidRPr="00D55103">
        <w:rPr>
          <w:szCs w:val="24"/>
        </w:rPr>
        <w:t>s assign</w:t>
      </w:r>
      <w:r w:rsidR="00622A3F" w:rsidRPr="00D55103">
        <w:rPr>
          <w:szCs w:val="24"/>
        </w:rPr>
        <w:t>ment of</w:t>
      </w:r>
      <w:r w:rsidR="00EA2EB3" w:rsidRPr="00D55103">
        <w:rPr>
          <w:szCs w:val="24"/>
        </w:rPr>
        <w:t xml:space="preserve"> </w:t>
      </w:r>
      <w:r w:rsidR="00597223" w:rsidRPr="00D55103">
        <w:rPr>
          <w:szCs w:val="24"/>
        </w:rPr>
        <w:t>nominal weight in aggravation for</w:t>
      </w:r>
      <w:r w:rsidR="00AC1E3D" w:rsidRPr="00D55103">
        <w:rPr>
          <w:szCs w:val="24"/>
        </w:rPr>
        <w:t xml:space="preserve"> </w:t>
      </w:r>
      <w:r w:rsidR="003810EB" w:rsidRPr="00D55103">
        <w:rPr>
          <w:szCs w:val="24"/>
        </w:rPr>
        <w:t>Golden’s uncharged misconduct</w:t>
      </w:r>
      <w:r w:rsidR="00AC1E3D" w:rsidRPr="00D55103">
        <w:rPr>
          <w:szCs w:val="24"/>
        </w:rPr>
        <w:t>.</w:t>
      </w:r>
    </w:p>
    <w:p w14:paraId="1F850267" w14:textId="77777777" w:rsidR="00427913" w:rsidRPr="00D55103" w:rsidRDefault="00345740" w:rsidP="00427913">
      <w:pPr>
        <w:tabs>
          <w:tab w:val="left" w:pos="720"/>
        </w:tabs>
        <w:autoSpaceDE w:val="0"/>
        <w:autoSpaceDN w:val="0"/>
        <w:adjustRightInd w:val="0"/>
        <w:spacing w:line="480" w:lineRule="auto"/>
        <w:ind w:firstLine="720"/>
        <w:rPr>
          <w:b/>
          <w:szCs w:val="24"/>
        </w:rPr>
      </w:pPr>
      <w:r w:rsidRPr="00D55103">
        <w:rPr>
          <w:b/>
          <w:szCs w:val="24"/>
        </w:rPr>
        <w:t>4</w:t>
      </w:r>
      <w:r w:rsidR="00427913" w:rsidRPr="00D55103">
        <w:rPr>
          <w:b/>
          <w:szCs w:val="24"/>
        </w:rPr>
        <w:t>.  Significant Harm (Std. 1.5(j))</w:t>
      </w:r>
    </w:p>
    <w:p w14:paraId="4CB9F399" w14:textId="7631BAB6" w:rsidR="00597223" w:rsidRPr="00D55103" w:rsidRDefault="00427913" w:rsidP="00D207EB">
      <w:pPr>
        <w:tabs>
          <w:tab w:val="left" w:pos="720"/>
        </w:tabs>
        <w:autoSpaceDE w:val="0"/>
        <w:autoSpaceDN w:val="0"/>
        <w:adjustRightInd w:val="0"/>
        <w:spacing w:line="480" w:lineRule="auto"/>
        <w:ind w:right="-288" w:firstLine="720"/>
        <w:rPr>
          <w:szCs w:val="24"/>
        </w:rPr>
      </w:pPr>
      <w:r w:rsidRPr="00D55103">
        <w:rPr>
          <w:szCs w:val="24"/>
        </w:rPr>
        <w:t xml:space="preserve">The hearing judge </w:t>
      </w:r>
      <w:r w:rsidR="00317A4E" w:rsidRPr="00D55103">
        <w:rPr>
          <w:szCs w:val="24"/>
        </w:rPr>
        <w:t>properly</w:t>
      </w:r>
      <w:r w:rsidR="00E10489" w:rsidRPr="00D55103">
        <w:rPr>
          <w:szCs w:val="24"/>
        </w:rPr>
        <w:t xml:space="preserve"> </w:t>
      </w:r>
      <w:r w:rsidRPr="00D55103">
        <w:rPr>
          <w:szCs w:val="24"/>
        </w:rPr>
        <w:t xml:space="preserve">found that </w:t>
      </w:r>
      <w:r w:rsidR="00E10489" w:rsidRPr="00D55103">
        <w:rPr>
          <w:szCs w:val="24"/>
        </w:rPr>
        <w:t xml:space="preserve">Golden’s </w:t>
      </w:r>
      <w:r w:rsidRPr="00D55103">
        <w:rPr>
          <w:szCs w:val="24"/>
        </w:rPr>
        <w:t xml:space="preserve">misconduct significantly harmed </w:t>
      </w:r>
      <w:r w:rsidR="00E10489" w:rsidRPr="00D55103">
        <w:rPr>
          <w:szCs w:val="24"/>
        </w:rPr>
        <w:t xml:space="preserve">his </w:t>
      </w:r>
      <w:r w:rsidRPr="00D55103">
        <w:rPr>
          <w:szCs w:val="24"/>
        </w:rPr>
        <w:t xml:space="preserve">clients.  (Std. 1.5(j) [significant harm to client, public, or administration of justice is aggravating circumstance].)  </w:t>
      </w:r>
      <w:r w:rsidR="00E10489" w:rsidRPr="00D55103">
        <w:rPr>
          <w:szCs w:val="24"/>
        </w:rPr>
        <w:t xml:space="preserve">Golden </w:t>
      </w:r>
      <w:r w:rsidR="00597223" w:rsidRPr="00D55103">
        <w:rPr>
          <w:szCs w:val="24"/>
        </w:rPr>
        <w:t xml:space="preserve">deprived his </w:t>
      </w:r>
      <w:r w:rsidR="00326620">
        <w:rPr>
          <w:szCs w:val="24"/>
        </w:rPr>
        <w:t xml:space="preserve">financially distressed </w:t>
      </w:r>
      <w:r w:rsidR="00597223" w:rsidRPr="00D55103">
        <w:rPr>
          <w:szCs w:val="24"/>
        </w:rPr>
        <w:t>clients of</w:t>
      </w:r>
      <w:r w:rsidR="00E10489" w:rsidRPr="00D55103">
        <w:rPr>
          <w:szCs w:val="24"/>
        </w:rPr>
        <w:t xml:space="preserve"> </w:t>
      </w:r>
      <w:r w:rsidR="00D00228" w:rsidRPr="00D55103">
        <w:rPr>
          <w:szCs w:val="24"/>
        </w:rPr>
        <w:t>the funds</w:t>
      </w:r>
      <w:r w:rsidR="00597223" w:rsidRPr="00D55103">
        <w:rPr>
          <w:szCs w:val="24"/>
        </w:rPr>
        <w:t xml:space="preserve"> they paid him in illegal advance fees</w:t>
      </w:r>
      <w:r w:rsidR="001B7E8B">
        <w:rPr>
          <w:szCs w:val="24"/>
        </w:rPr>
        <w:t>.</w:t>
      </w:r>
      <w:r w:rsidR="00597223" w:rsidRPr="00D55103">
        <w:rPr>
          <w:szCs w:val="24"/>
        </w:rPr>
        <w:t xml:space="preserve"> </w:t>
      </w:r>
      <w:r w:rsidR="00C61EE6" w:rsidRPr="00D55103">
        <w:rPr>
          <w:szCs w:val="24"/>
        </w:rPr>
        <w:t xml:space="preserve"> </w:t>
      </w:r>
      <w:r w:rsidR="00970C56" w:rsidRPr="00D55103">
        <w:rPr>
          <w:szCs w:val="24"/>
        </w:rPr>
        <w:t xml:space="preserve">In addition, Golden and his employees advised some of his clients to stop making their mortgage payments, which served to worsen their already bad financial situations.  </w:t>
      </w:r>
      <w:r w:rsidR="00326620">
        <w:rPr>
          <w:szCs w:val="24"/>
        </w:rPr>
        <w:t>W</w:t>
      </w:r>
      <w:r w:rsidR="00C61EE6" w:rsidRPr="00D55103">
        <w:rPr>
          <w:szCs w:val="24"/>
        </w:rPr>
        <w:t xml:space="preserve">e are unpersuaded by Golden’s contentions on review that he obtained “good results, not just modifications, but also cash settlement in many of the cases.”  </w:t>
      </w:r>
      <w:r w:rsidR="00D207EB">
        <w:rPr>
          <w:szCs w:val="24"/>
        </w:rPr>
        <w:t>L</w:t>
      </w:r>
      <w:r w:rsidR="002F7268" w:rsidRPr="00D55103">
        <w:rPr>
          <w:szCs w:val="24"/>
        </w:rPr>
        <w:t xml:space="preserve">ike the </w:t>
      </w:r>
      <w:r w:rsidR="00E10489" w:rsidRPr="00D55103">
        <w:rPr>
          <w:szCs w:val="24"/>
        </w:rPr>
        <w:t xml:space="preserve">judge, we find that the </w:t>
      </w:r>
      <w:r w:rsidR="00597223" w:rsidRPr="00D55103">
        <w:rPr>
          <w:szCs w:val="24"/>
        </w:rPr>
        <w:t>significant harm</w:t>
      </w:r>
      <w:r w:rsidR="00E10489" w:rsidRPr="00D55103">
        <w:rPr>
          <w:szCs w:val="24"/>
        </w:rPr>
        <w:t xml:space="preserve"> Golden </w:t>
      </w:r>
      <w:r w:rsidR="00597223" w:rsidRPr="00D55103">
        <w:rPr>
          <w:szCs w:val="24"/>
        </w:rPr>
        <w:t xml:space="preserve">caused his clients warrants substantial </w:t>
      </w:r>
      <w:r w:rsidR="000572CF">
        <w:rPr>
          <w:szCs w:val="24"/>
        </w:rPr>
        <w:t xml:space="preserve">consideration in </w:t>
      </w:r>
      <w:r w:rsidR="00597223" w:rsidRPr="00D55103">
        <w:rPr>
          <w:szCs w:val="24"/>
        </w:rPr>
        <w:t>aggravation.</w:t>
      </w:r>
    </w:p>
    <w:p w14:paraId="14C307AE" w14:textId="77777777" w:rsidR="00E10489" w:rsidRPr="00D55103" w:rsidRDefault="00345740" w:rsidP="00E10489">
      <w:pPr>
        <w:tabs>
          <w:tab w:val="left" w:pos="720"/>
        </w:tabs>
        <w:autoSpaceDE w:val="0"/>
        <w:autoSpaceDN w:val="0"/>
        <w:adjustRightInd w:val="0"/>
        <w:spacing w:line="480" w:lineRule="auto"/>
        <w:ind w:firstLine="720"/>
        <w:rPr>
          <w:b/>
          <w:szCs w:val="24"/>
        </w:rPr>
      </w:pPr>
      <w:r w:rsidRPr="00D55103">
        <w:rPr>
          <w:b/>
          <w:szCs w:val="24"/>
        </w:rPr>
        <w:t>5</w:t>
      </w:r>
      <w:r w:rsidR="00E10489" w:rsidRPr="00D55103">
        <w:rPr>
          <w:b/>
          <w:szCs w:val="24"/>
        </w:rPr>
        <w:t>.  Indifference (Std. 1.5(k))</w:t>
      </w:r>
    </w:p>
    <w:p w14:paraId="190A628C" w14:textId="1CC1BF83" w:rsidR="00826A17" w:rsidRPr="00D55103" w:rsidRDefault="00E10489" w:rsidP="00E10489">
      <w:pPr>
        <w:tabs>
          <w:tab w:val="left" w:pos="720"/>
        </w:tabs>
        <w:autoSpaceDE w:val="0"/>
        <w:autoSpaceDN w:val="0"/>
        <w:adjustRightInd w:val="0"/>
        <w:spacing w:line="480" w:lineRule="auto"/>
        <w:rPr>
          <w:szCs w:val="24"/>
        </w:rPr>
      </w:pPr>
      <w:r w:rsidRPr="00D55103">
        <w:rPr>
          <w:szCs w:val="24"/>
        </w:rPr>
        <w:tab/>
      </w:r>
      <w:r w:rsidR="00317A4E" w:rsidRPr="00D55103">
        <w:rPr>
          <w:szCs w:val="24"/>
        </w:rPr>
        <w:t xml:space="preserve">The hearing judge found that Golden’s </w:t>
      </w:r>
      <w:r w:rsidR="00850245" w:rsidRPr="00D55103">
        <w:rPr>
          <w:szCs w:val="24"/>
        </w:rPr>
        <w:t>actions demonstrate his indifference toward rectification or atone</w:t>
      </w:r>
      <w:r w:rsidR="009F75D9" w:rsidRPr="00D55103">
        <w:rPr>
          <w:szCs w:val="24"/>
        </w:rPr>
        <w:t>m</w:t>
      </w:r>
      <w:r w:rsidR="00850245" w:rsidRPr="00D55103">
        <w:rPr>
          <w:szCs w:val="24"/>
        </w:rPr>
        <w:t>ent for</w:t>
      </w:r>
      <w:r w:rsidR="00317A4E" w:rsidRPr="00D55103">
        <w:rPr>
          <w:szCs w:val="24"/>
        </w:rPr>
        <w:t xml:space="preserve"> </w:t>
      </w:r>
      <w:r w:rsidR="00850245" w:rsidRPr="00D55103">
        <w:rPr>
          <w:szCs w:val="24"/>
        </w:rPr>
        <w:t xml:space="preserve">the consequences of his misconduct. </w:t>
      </w:r>
      <w:r w:rsidR="00317A4E" w:rsidRPr="00D55103">
        <w:rPr>
          <w:szCs w:val="24"/>
        </w:rPr>
        <w:t xml:space="preserve"> </w:t>
      </w:r>
      <w:r w:rsidR="00A968AF" w:rsidRPr="00D55103">
        <w:rPr>
          <w:szCs w:val="24"/>
        </w:rPr>
        <w:t xml:space="preserve">(Std. 1.5(k).)  </w:t>
      </w:r>
      <w:r w:rsidR="003C0D34" w:rsidRPr="00D55103">
        <w:rPr>
          <w:szCs w:val="24"/>
        </w:rPr>
        <w:t xml:space="preserve">We agree.  </w:t>
      </w:r>
      <w:r w:rsidR="00A968AF" w:rsidRPr="00D55103">
        <w:rPr>
          <w:szCs w:val="24"/>
        </w:rPr>
        <w:t>D</w:t>
      </w:r>
      <w:r w:rsidR="00850245" w:rsidRPr="00D55103">
        <w:rPr>
          <w:szCs w:val="24"/>
        </w:rPr>
        <w:t xml:space="preserve">espite </w:t>
      </w:r>
      <w:r w:rsidR="00317A4E" w:rsidRPr="00D55103">
        <w:rPr>
          <w:szCs w:val="24"/>
        </w:rPr>
        <w:t xml:space="preserve">the </w:t>
      </w:r>
      <w:r w:rsidR="00850245" w:rsidRPr="00D55103">
        <w:rPr>
          <w:szCs w:val="24"/>
        </w:rPr>
        <w:t>Civi</w:t>
      </w:r>
      <w:r w:rsidR="00317A4E" w:rsidRPr="00D55103">
        <w:rPr>
          <w:szCs w:val="24"/>
        </w:rPr>
        <w:t>l Code</w:t>
      </w:r>
      <w:r w:rsidR="0067332F" w:rsidRPr="00D55103">
        <w:rPr>
          <w:szCs w:val="24"/>
        </w:rPr>
        <w:t>’s plain language</w:t>
      </w:r>
      <w:r w:rsidR="00317A4E" w:rsidRPr="00D55103">
        <w:rPr>
          <w:szCs w:val="24"/>
        </w:rPr>
        <w:t>, the established case law, the State Bar’</w:t>
      </w:r>
      <w:r w:rsidR="00850245" w:rsidRPr="00D55103">
        <w:rPr>
          <w:szCs w:val="24"/>
        </w:rPr>
        <w:t xml:space="preserve">s investigation, and the present proceedings, </w:t>
      </w:r>
      <w:r w:rsidR="00317A4E" w:rsidRPr="00D55103">
        <w:rPr>
          <w:szCs w:val="24"/>
        </w:rPr>
        <w:t>Golden c</w:t>
      </w:r>
      <w:r w:rsidR="00850245" w:rsidRPr="00D55103">
        <w:rPr>
          <w:szCs w:val="24"/>
        </w:rPr>
        <w:t xml:space="preserve">ontinues to </w:t>
      </w:r>
      <w:r w:rsidR="000572CF" w:rsidRPr="00D55103">
        <w:rPr>
          <w:szCs w:val="24"/>
        </w:rPr>
        <w:t>operate his law firm in a similar fashion</w:t>
      </w:r>
      <w:r w:rsidR="00B43DDB" w:rsidRPr="00D55103">
        <w:rPr>
          <w:szCs w:val="24"/>
        </w:rPr>
        <w:t xml:space="preserve">. </w:t>
      </w:r>
      <w:r w:rsidR="00317A4E" w:rsidRPr="00D55103">
        <w:rPr>
          <w:szCs w:val="24"/>
        </w:rPr>
        <w:t xml:space="preserve"> </w:t>
      </w:r>
      <w:r w:rsidR="00326620">
        <w:rPr>
          <w:szCs w:val="24"/>
        </w:rPr>
        <w:t>His</w:t>
      </w:r>
      <w:r w:rsidR="003C0D34" w:rsidRPr="00D55103">
        <w:rPr>
          <w:szCs w:val="24"/>
        </w:rPr>
        <w:t xml:space="preserve"> </w:t>
      </w:r>
      <w:r w:rsidR="003C0D34" w:rsidRPr="00D55103">
        <w:rPr>
          <w:szCs w:val="24"/>
        </w:rPr>
        <w:lastRenderedPageBreak/>
        <w:t>attitude reveals a lack of understanding of his ethical responsibilities as an attorney</w:t>
      </w:r>
      <w:r w:rsidR="00A213AF">
        <w:rPr>
          <w:szCs w:val="24"/>
        </w:rPr>
        <w:t>.</w:t>
      </w:r>
      <w:r w:rsidR="00633C4C" w:rsidRPr="00D55103">
        <w:rPr>
          <w:szCs w:val="24"/>
        </w:rPr>
        <w:t xml:space="preserve">  Like the </w:t>
      </w:r>
      <w:r w:rsidR="0067332F" w:rsidRPr="00D55103">
        <w:rPr>
          <w:szCs w:val="24"/>
        </w:rPr>
        <w:t>judge, we find that h</w:t>
      </w:r>
      <w:r w:rsidR="00445158" w:rsidRPr="00D55103">
        <w:rPr>
          <w:szCs w:val="24"/>
        </w:rPr>
        <w:t>is indifference warrants con</w:t>
      </w:r>
      <w:r w:rsidR="0067332F" w:rsidRPr="00D55103">
        <w:rPr>
          <w:szCs w:val="24"/>
        </w:rPr>
        <w:t xml:space="preserve">siderable weight in aggravation </w:t>
      </w:r>
      <w:r w:rsidRPr="00D55103">
        <w:rPr>
          <w:szCs w:val="24"/>
        </w:rPr>
        <w:t>because his lack of insight makes him an ongoing danger to the public and the legal profession.  (</w:t>
      </w:r>
      <w:r w:rsidRPr="00D55103">
        <w:rPr>
          <w:i/>
          <w:szCs w:val="24"/>
        </w:rPr>
        <w:t>In the Matter of Layton</w:t>
      </w:r>
      <w:r w:rsidRPr="00D55103">
        <w:rPr>
          <w:szCs w:val="24"/>
        </w:rPr>
        <w:t xml:space="preserve"> (Review Dept. 1993) 2 Cal. State Bar Ct. Rptr. 366, 380 [lack of insight causes concern attorney will repeat misconduct]; </w:t>
      </w:r>
      <w:r w:rsidRPr="00D55103">
        <w:rPr>
          <w:i/>
          <w:szCs w:val="24"/>
        </w:rPr>
        <w:t>In the Matter of Katz</w:t>
      </w:r>
      <w:r w:rsidRPr="00D55103">
        <w:rPr>
          <w:szCs w:val="24"/>
        </w:rPr>
        <w:t xml:space="preserve"> (Review Dept. 1991) 1 Cal. State Bar Ct. Rptr. 502, 511 [law does not require false penitence but does require respondent to accept responsibility for acts and come to grips with culpability].)</w:t>
      </w:r>
    </w:p>
    <w:p w14:paraId="3E736183" w14:textId="77777777" w:rsidR="00DD2A34" w:rsidRPr="00D55103" w:rsidRDefault="00850245" w:rsidP="00850245">
      <w:pPr>
        <w:tabs>
          <w:tab w:val="left" w:pos="720"/>
        </w:tabs>
        <w:autoSpaceDE w:val="0"/>
        <w:autoSpaceDN w:val="0"/>
        <w:adjustRightInd w:val="0"/>
        <w:spacing w:line="480" w:lineRule="auto"/>
        <w:ind w:firstLine="720"/>
        <w:rPr>
          <w:b/>
          <w:szCs w:val="24"/>
        </w:rPr>
      </w:pPr>
      <w:r w:rsidRPr="00D55103">
        <w:rPr>
          <w:b/>
          <w:szCs w:val="24"/>
        </w:rPr>
        <w:t>6.  Failure to Make Restitution (Std. 1.5(m))</w:t>
      </w:r>
    </w:p>
    <w:p w14:paraId="6B70B175" w14:textId="64DB4FD3" w:rsidR="003810EB" w:rsidRPr="00D55103" w:rsidRDefault="008947A2" w:rsidP="00B65C06">
      <w:pPr>
        <w:tabs>
          <w:tab w:val="left" w:pos="720"/>
        </w:tabs>
        <w:autoSpaceDE w:val="0"/>
        <w:autoSpaceDN w:val="0"/>
        <w:adjustRightInd w:val="0"/>
        <w:spacing w:line="480" w:lineRule="auto"/>
        <w:ind w:firstLine="720"/>
        <w:rPr>
          <w:szCs w:val="24"/>
        </w:rPr>
      </w:pPr>
      <w:r w:rsidRPr="00D55103">
        <w:rPr>
          <w:szCs w:val="24"/>
        </w:rPr>
        <w:t>Golden’s misconduct is also aggravated by his failure to make</w:t>
      </w:r>
      <w:r w:rsidR="00A968AF" w:rsidRPr="00D55103">
        <w:rPr>
          <w:szCs w:val="24"/>
        </w:rPr>
        <w:t xml:space="preserve"> </w:t>
      </w:r>
      <w:r w:rsidR="00850245" w:rsidRPr="00D55103">
        <w:rPr>
          <w:szCs w:val="24"/>
        </w:rPr>
        <w:t>restitution</w:t>
      </w:r>
      <w:r w:rsidRPr="00D55103">
        <w:rPr>
          <w:szCs w:val="24"/>
        </w:rPr>
        <w:t xml:space="preserve">.  (Std. 1.5(m).)  He collected over $283,000 in illegal </w:t>
      </w:r>
      <w:r w:rsidR="00A979CD" w:rsidRPr="00D55103">
        <w:rPr>
          <w:szCs w:val="24"/>
        </w:rPr>
        <w:t xml:space="preserve">advance fees in 11 client matters, and, to date, </w:t>
      </w:r>
      <w:r w:rsidR="004C116B">
        <w:rPr>
          <w:szCs w:val="24"/>
        </w:rPr>
        <w:t>he has</w:t>
      </w:r>
      <w:r w:rsidR="00A979CD" w:rsidRPr="00D55103">
        <w:rPr>
          <w:szCs w:val="24"/>
        </w:rPr>
        <w:t xml:space="preserve"> only refund</w:t>
      </w:r>
      <w:r w:rsidR="004C116B">
        <w:rPr>
          <w:szCs w:val="24"/>
        </w:rPr>
        <w:t>ed</w:t>
      </w:r>
      <w:r w:rsidR="00A979CD" w:rsidRPr="00D55103">
        <w:rPr>
          <w:szCs w:val="24"/>
        </w:rPr>
        <w:t xml:space="preserve"> $7,500 </w:t>
      </w:r>
      <w:r w:rsidR="00B65C06" w:rsidRPr="00D55103">
        <w:rPr>
          <w:szCs w:val="24"/>
        </w:rPr>
        <w:t xml:space="preserve">of the </w:t>
      </w:r>
      <w:r w:rsidR="007269F1">
        <w:rPr>
          <w:szCs w:val="24"/>
        </w:rPr>
        <w:t>fees</w:t>
      </w:r>
      <w:r w:rsidR="00B65C06" w:rsidRPr="00D55103">
        <w:rPr>
          <w:szCs w:val="24"/>
        </w:rPr>
        <w:t xml:space="preserve"> he received from </w:t>
      </w:r>
      <w:r w:rsidR="00A979CD" w:rsidRPr="00D55103">
        <w:rPr>
          <w:szCs w:val="24"/>
        </w:rPr>
        <w:t xml:space="preserve">Arrellano.  </w:t>
      </w:r>
      <w:r w:rsidR="00B65C06" w:rsidRPr="00D55103">
        <w:rPr>
          <w:szCs w:val="24"/>
        </w:rPr>
        <w:t>Golden still owes over $278,000 to his clients.  We accord this factor significant weight</w:t>
      </w:r>
      <w:r w:rsidR="00133FF9" w:rsidRPr="00D55103">
        <w:rPr>
          <w:szCs w:val="24"/>
        </w:rPr>
        <w:t xml:space="preserve"> in aggravation.</w:t>
      </w:r>
      <w:r w:rsidR="0001538E" w:rsidRPr="00D55103">
        <w:rPr>
          <w:szCs w:val="24"/>
        </w:rPr>
        <w:t xml:space="preserve">  (</w:t>
      </w:r>
      <w:r w:rsidR="0001538E" w:rsidRPr="00D55103">
        <w:rPr>
          <w:i/>
          <w:szCs w:val="24"/>
        </w:rPr>
        <w:t>In the Matter of DeClue</w:t>
      </w:r>
      <w:r w:rsidR="0001538E" w:rsidRPr="00D55103">
        <w:rPr>
          <w:szCs w:val="24"/>
        </w:rPr>
        <w:t xml:space="preserve"> (Review Dept. 2016) 5</w:t>
      </w:r>
      <w:r w:rsidR="000C2564">
        <w:rPr>
          <w:szCs w:val="24"/>
        </w:rPr>
        <w:t> </w:t>
      </w:r>
      <w:r w:rsidR="0001538E" w:rsidRPr="00D55103">
        <w:rPr>
          <w:szCs w:val="24"/>
        </w:rPr>
        <w:t>Cal. State Bar Ct. Rptr. 437</w:t>
      </w:r>
      <w:r w:rsidR="00CC4FE0" w:rsidRPr="00D55103">
        <w:rPr>
          <w:szCs w:val="24"/>
        </w:rPr>
        <w:t>, 445</w:t>
      </w:r>
      <w:r w:rsidR="002349EE" w:rsidRPr="00D55103">
        <w:rPr>
          <w:szCs w:val="24"/>
        </w:rPr>
        <w:t xml:space="preserve"> (</w:t>
      </w:r>
      <w:r w:rsidR="002349EE" w:rsidRPr="00D55103">
        <w:rPr>
          <w:i/>
          <w:szCs w:val="24"/>
        </w:rPr>
        <w:t>DeClue</w:t>
      </w:r>
      <w:r w:rsidR="002349EE" w:rsidRPr="00D55103">
        <w:rPr>
          <w:szCs w:val="24"/>
        </w:rPr>
        <w:t>)</w:t>
      </w:r>
      <w:r w:rsidR="00CC4FE0" w:rsidRPr="00D55103">
        <w:rPr>
          <w:szCs w:val="24"/>
        </w:rPr>
        <w:t>.)</w:t>
      </w:r>
    </w:p>
    <w:p w14:paraId="5D54D1A9" w14:textId="77777777" w:rsidR="00345740" w:rsidRPr="00D55103" w:rsidRDefault="00345740" w:rsidP="00345740">
      <w:pPr>
        <w:tabs>
          <w:tab w:val="left" w:pos="720"/>
        </w:tabs>
        <w:autoSpaceDE w:val="0"/>
        <w:autoSpaceDN w:val="0"/>
        <w:adjustRightInd w:val="0"/>
        <w:spacing w:line="480" w:lineRule="auto"/>
        <w:rPr>
          <w:b/>
          <w:szCs w:val="24"/>
        </w:rPr>
      </w:pPr>
      <w:r w:rsidRPr="00D55103">
        <w:rPr>
          <w:b/>
          <w:szCs w:val="24"/>
        </w:rPr>
        <w:t>B.</w:t>
      </w:r>
      <w:r w:rsidRPr="00D55103">
        <w:rPr>
          <w:b/>
          <w:szCs w:val="24"/>
        </w:rPr>
        <w:tab/>
      </w:r>
      <w:r w:rsidRPr="00D55103">
        <w:rPr>
          <w:rFonts w:eastAsia="Times New Roman"/>
          <w:b/>
          <w:szCs w:val="24"/>
        </w:rPr>
        <w:t>Mitigation</w:t>
      </w:r>
    </w:p>
    <w:p w14:paraId="19FC197D" w14:textId="77777777" w:rsidR="00345740" w:rsidRPr="00D55103" w:rsidRDefault="00345740" w:rsidP="00345740">
      <w:pPr>
        <w:pStyle w:val="ListParagraph"/>
        <w:tabs>
          <w:tab w:val="left" w:pos="720"/>
        </w:tabs>
        <w:spacing w:line="480" w:lineRule="auto"/>
        <w:ind w:left="0"/>
        <w:rPr>
          <w:rFonts w:eastAsia="Times New Roman"/>
          <w:b/>
          <w:szCs w:val="24"/>
        </w:rPr>
      </w:pPr>
      <w:r w:rsidRPr="00D55103">
        <w:rPr>
          <w:rFonts w:eastAsia="Times New Roman"/>
          <w:b/>
          <w:szCs w:val="24"/>
        </w:rPr>
        <w:tab/>
        <w:t>1.  No Prior Record (Std. 1.6(a))</w:t>
      </w:r>
    </w:p>
    <w:p w14:paraId="776A82C2" w14:textId="591BE4F5" w:rsidR="009351F5" w:rsidRPr="00D55103" w:rsidRDefault="009351F5" w:rsidP="009351F5">
      <w:pPr>
        <w:spacing w:line="480" w:lineRule="auto"/>
        <w:ind w:firstLine="720"/>
        <w:rPr>
          <w:szCs w:val="24"/>
        </w:rPr>
      </w:pPr>
      <w:r w:rsidRPr="00D55103">
        <w:rPr>
          <w:szCs w:val="24"/>
        </w:rPr>
        <w:t xml:space="preserve">Mitigation is available where no prior record of discipline exists over many years of practice, coupled with present misconduct that is not likely to recur.  (Std. 1.6(a).)  </w:t>
      </w:r>
      <w:r w:rsidR="00C1687B" w:rsidRPr="00D55103">
        <w:rPr>
          <w:szCs w:val="24"/>
        </w:rPr>
        <w:t>Golden</w:t>
      </w:r>
      <w:r w:rsidRPr="00D55103">
        <w:rPr>
          <w:szCs w:val="24"/>
        </w:rPr>
        <w:t xml:space="preserve"> was admitted to practice law in </w:t>
      </w:r>
      <w:r w:rsidR="00C1687B" w:rsidRPr="00D55103">
        <w:rPr>
          <w:szCs w:val="24"/>
        </w:rPr>
        <w:t xml:space="preserve">January 1993, and his </w:t>
      </w:r>
      <w:r w:rsidRPr="00D55103">
        <w:rPr>
          <w:szCs w:val="24"/>
        </w:rPr>
        <w:t xml:space="preserve">misconduct began in </w:t>
      </w:r>
      <w:r w:rsidR="00C1687B" w:rsidRPr="00D55103">
        <w:rPr>
          <w:szCs w:val="24"/>
        </w:rPr>
        <w:t>November 2010</w:t>
      </w:r>
      <w:r w:rsidRPr="00D55103">
        <w:rPr>
          <w:szCs w:val="24"/>
        </w:rPr>
        <w:t xml:space="preserve">.  The hearing judge found that </w:t>
      </w:r>
      <w:r w:rsidR="00C1687B" w:rsidRPr="00D55103">
        <w:rPr>
          <w:szCs w:val="24"/>
        </w:rPr>
        <w:t xml:space="preserve">Golden’s </w:t>
      </w:r>
      <w:r w:rsidR="00EF020B">
        <w:rPr>
          <w:szCs w:val="24"/>
        </w:rPr>
        <w:t xml:space="preserve">approximately </w:t>
      </w:r>
      <w:r w:rsidR="00C1687B" w:rsidRPr="00D55103">
        <w:rPr>
          <w:szCs w:val="24"/>
        </w:rPr>
        <w:t xml:space="preserve">17 </w:t>
      </w:r>
      <w:r w:rsidRPr="00D55103">
        <w:rPr>
          <w:szCs w:val="24"/>
        </w:rPr>
        <w:t>years of discipline-free practice</w:t>
      </w:r>
      <w:r w:rsidR="00C1687B" w:rsidRPr="00D55103">
        <w:rPr>
          <w:szCs w:val="24"/>
        </w:rPr>
        <w:t xml:space="preserve"> warrants significant consideration in mitigation</w:t>
      </w:r>
      <w:r w:rsidRPr="00D55103">
        <w:rPr>
          <w:szCs w:val="24"/>
        </w:rPr>
        <w:t>.</w:t>
      </w:r>
      <w:r w:rsidR="00D87CCB" w:rsidRPr="00D55103">
        <w:rPr>
          <w:rStyle w:val="FootnoteReference"/>
          <w:szCs w:val="24"/>
        </w:rPr>
        <w:footnoteReference w:id="21"/>
      </w:r>
      <w:r w:rsidR="005D134F" w:rsidRPr="00D55103">
        <w:rPr>
          <w:szCs w:val="24"/>
        </w:rPr>
        <w:t xml:space="preserve">  We disagree.</w:t>
      </w:r>
    </w:p>
    <w:p w14:paraId="4C274F13" w14:textId="4C923B13" w:rsidR="005D134F" w:rsidRPr="00D55103" w:rsidRDefault="00597986" w:rsidP="00F53771">
      <w:pPr>
        <w:spacing w:line="480" w:lineRule="auto"/>
        <w:ind w:right="-288" w:firstLine="720"/>
        <w:rPr>
          <w:szCs w:val="24"/>
        </w:rPr>
      </w:pPr>
      <w:r w:rsidRPr="00D55103">
        <w:rPr>
          <w:szCs w:val="24"/>
        </w:rPr>
        <w:t xml:space="preserve">While over </w:t>
      </w:r>
      <w:r w:rsidR="004C116B">
        <w:rPr>
          <w:szCs w:val="24"/>
        </w:rPr>
        <w:t>17</w:t>
      </w:r>
      <w:r w:rsidR="00C1687B" w:rsidRPr="00D55103">
        <w:rPr>
          <w:szCs w:val="24"/>
        </w:rPr>
        <w:t xml:space="preserve"> y</w:t>
      </w:r>
      <w:r w:rsidR="009351F5" w:rsidRPr="00D55103">
        <w:rPr>
          <w:szCs w:val="24"/>
        </w:rPr>
        <w:t>ears of discipline-free practice could warrant significant weight in mitigation (</w:t>
      </w:r>
      <w:r w:rsidR="009351F5" w:rsidRPr="00D55103">
        <w:rPr>
          <w:i/>
          <w:szCs w:val="24"/>
        </w:rPr>
        <w:t>Hawes v. State Bar</w:t>
      </w:r>
      <w:r w:rsidR="009351F5" w:rsidRPr="00D55103">
        <w:rPr>
          <w:szCs w:val="24"/>
        </w:rPr>
        <w:t xml:space="preserve"> (1990) 51 Cal. 3d 587, 596 [more than 10 years of discipline-free practice is significant mitigation]), we do not assign such weight because </w:t>
      </w:r>
      <w:r w:rsidR="00C1687B" w:rsidRPr="00D55103">
        <w:rPr>
          <w:szCs w:val="24"/>
        </w:rPr>
        <w:t xml:space="preserve">Golden’s </w:t>
      </w:r>
      <w:r w:rsidR="009351F5" w:rsidRPr="00D55103">
        <w:rPr>
          <w:szCs w:val="24"/>
        </w:rPr>
        <w:t xml:space="preserve">misconduct was </w:t>
      </w:r>
      <w:r w:rsidR="004C116B">
        <w:rPr>
          <w:szCs w:val="24"/>
        </w:rPr>
        <w:lastRenderedPageBreak/>
        <w:t xml:space="preserve">not </w:t>
      </w:r>
      <w:r w:rsidR="009351F5" w:rsidRPr="00D55103">
        <w:rPr>
          <w:szCs w:val="24"/>
        </w:rPr>
        <w:t>aberrational</w:t>
      </w:r>
      <w:r w:rsidR="00C1687B" w:rsidRPr="00D55103">
        <w:rPr>
          <w:szCs w:val="24"/>
        </w:rPr>
        <w:t xml:space="preserve"> or unlikely to recur</w:t>
      </w:r>
      <w:r w:rsidR="009351F5" w:rsidRPr="00D55103">
        <w:rPr>
          <w:szCs w:val="24"/>
        </w:rPr>
        <w:t xml:space="preserve">.  (See </w:t>
      </w:r>
      <w:r w:rsidR="009351F5" w:rsidRPr="00D55103">
        <w:rPr>
          <w:i/>
          <w:szCs w:val="24"/>
        </w:rPr>
        <w:t>Cooper v. State Bar</w:t>
      </w:r>
      <w:r w:rsidR="009351F5" w:rsidRPr="00D55103">
        <w:rPr>
          <w:szCs w:val="24"/>
        </w:rPr>
        <w:t xml:space="preserve"> (1987) 43 Cal.3d 1016, 1029 [where misconduct is serious, long discipline-free practice is most relevant where misconduct is aberrational and unlikely to recur].)  Given that </w:t>
      </w:r>
      <w:r w:rsidR="004C116B">
        <w:rPr>
          <w:szCs w:val="24"/>
        </w:rPr>
        <w:t>he</w:t>
      </w:r>
      <w:r w:rsidR="00B43DDB" w:rsidRPr="00D55103">
        <w:rPr>
          <w:szCs w:val="24"/>
        </w:rPr>
        <w:t xml:space="preserve"> </w:t>
      </w:r>
      <w:r w:rsidR="00C1687B" w:rsidRPr="00D55103">
        <w:rPr>
          <w:szCs w:val="24"/>
        </w:rPr>
        <w:t>committed similar</w:t>
      </w:r>
      <w:r w:rsidR="00B9732E" w:rsidRPr="00D55103">
        <w:rPr>
          <w:szCs w:val="24"/>
        </w:rPr>
        <w:t>,</w:t>
      </w:r>
      <w:r w:rsidR="00C1687B" w:rsidRPr="00D55103">
        <w:rPr>
          <w:szCs w:val="24"/>
        </w:rPr>
        <w:t xml:space="preserve"> serious misconduct in 11 client matters over </w:t>
      </w:r>
      <w:r w:rsidR="00B9732E" w:rsidRPr="00D55103">
        <w:rPr>
          <w:szCs w:val="24"/>
        </w:rPr>
        <w:t xml:space="preserve">more than </w:t>
      </w:r>
      <w:r w:rsidR="00906600" w:rsidRPr="00D55103">
        <w:rPr>
          <w:szCs w:val="24"/>
        </w:rPr>
        <w:t xml:space="preserve">a </w:t>
      </w:r>
      <w:r w:rsidR="00B9732E" w:rsidRPr="00D55103">
        <w:rPr>
          <w:szCs w:val="24"/>
        </w:rPr>
        <w:t>five</w:t>
      </w:r>
      <w:r w:rsidR="00C1687B" w:rsidRPr="00D55103">
        <w:rPr>
          <w:szCs w:val="24"/>
        </w:rPr>
        <w:t>-year</w:t>
      </w:r>
      <w:r w:rsidR="009351F5" w:rsidRPr="00D55103">
        <w:rPr>
          <w:szCs w:val="24"/>
        </w:rPr>
        <w:t xml:space="preserve"> period, we do not view his misconduct as aberrational.  (</w:t>
      </w:r>
      <w:r w:rsidR="009351F5" w:rsidRPr="00D55103">
        <w:rPr>
          <w:i/>
          <w:szCs w:val="24"/>
        </w:rPr>
        <w:t>In the Matter of Wenzel</w:t>
      </w:r>
      <w:r w:rsidR="009351F5" w:rsidRPr="00D55103">
        <w:rPr>
          <w:szCs w:val="24"/>
        </w:rPr>
        <w:t xml:space="preserve"> (Review Dept. 2015) 5 Cal. State Bar Ct. Rptr. 380, 386 [conduct not found aberrational where multiple acts were committed and attorney had time to reflect before each subsequent act].)  </w:t>
      </w:r>
      <w:r w:rsidR="008C2250">
        <w:rPr>
          <w:szCs w:val="24"/>
        </w:rPr>
        <w:t>Considering</w:t>
      </w:r>
      <w:r w:rsidR="00B43DDB" w:rsidRPr="00D55103">
        <w:rPr>
          <w:szCs w:val="24"/>
        </w:rPr>
        <w:t xml:space="preserve"> Golden’s indifference toward rectification and that he continues to </w:t>
      </w:r>
      <w:r w:rsidR="00D336A2" w:rsidRPr="00D55103">
        <w:rPr>
          <w:szCs w:val="24"/>
        </w:rPr>
        <w:t>operate his firm in a</w:t>
      </w:r>
      <w:r w:rsidR="00D336A2">
        <w:rPr>
          <w:szCs w:val="24"/>
        </w:rPr>
        <w:t xml:space="preserve"> similar </w:t>
      </w:r>
      <w:r w:rsidR="00D336A2" w:rsidRPr="00D55103">
        <w:rPr>
          <w:szCs w:val="24"/>
        </w:rPr>
        <w:t>fashion</w:t>
      </w:r>
      <w:r w:rsidR="00B43DDB" w:rsidRPr="00D55103">
        <w:rPr>
          <w:szCs w:val="24"/>
        </w:rPr>
        <w:t xml:space="preserve">, we do not find </w:t>
      </w:r>
      <w:r w:rsidR="009351F5" w:rsidRPr="00D55103">
        <w:rPr>
          <w:szCs w:val="24"/>
        </w:rPr>
        <w:t>that his misconduct is unlikely to recur.</w:t>
      </w:r>
    </w:p>
    <w:p w14:paraId="1B117CD2" w14:textId="77777777" w:rsidR="00345740" w:rsidRPr="00D55103" w:rsidRDefault="00906600" w:rsidP="00B9732E">
      <w:pPr>
        <w:spacing w:line="480" w:lineRule="auto"/>
        <w:ind w:firstLine="720"/>
        <w:rPr>
          <w:szCs w:val="24"/>
        </w:rPr>
      </w:pPr>
      <w:r w:rsidRPr="00D55103">
        <w:rPr>
          <w:szCs w:val="24"/>
        </w:rPr>
        <w:t>W</w:t>
      </w:r>
      <w:r w:rsidR="00B43DDB" w:rsidRPr="00D55103">
        <w:rPr>
          <w:szCs w:val="24"/>
        </w:rPr>
        <w:t xml:space="preserve">e </w:t>
      </w:r>
      <w:r w:rsidRPr="00D55103">
        <w:rPr>
          <w:szCs w:val="24"/>
        </w:rPr>
        <w:t xml:space="preserve">thus </w:t>
      </w:r>
      <w:r w:rsidR="005D134F" w:rsidRPr="00D55103">
        <w:rPr>
          <w:szCs w:val="24"/>
        </w:rPr>
        <w:t>as</w:t>
      </w:r>
      <w:r w:rsidR="009351F5" w:rsidRPr="00D55103">
        <w:rPr>
          <w:szCs w:val="24"/>
        </w:rPr>
        <w:t xml:space="preserve">sign </w:t>
      </w:r>
      <w:r w:rsidR="00B43DDB" w:rsidRPr="00D55103">
        <w:rPr>
          <w:szCs w:val="24"/>
        </w:rPr>
        <w:t>minimal</w:t>
      </w:r>
      <w:r w:rsidR="009351F5" w:rsidRPr="00D55103">
        <w:rPr>
          <w:szCs w:val="24"/>
        </w:rPr>
        <w:t xml:space="preserve"> mitigating weight to </w:t>
      </w:r>
      <w:r w:rsidR="00B43DDB" w:rsidRPr="00D55103">
        <w:rPr>
          <w:szCs w:val="24"/>
        </w:rPr>
        <w:t>Golden</w:t>
      </w:r>
      <w:r w:rsidR="009351F5" w:rsidRPr="00D55103">
        <w:rPr>
          <w:szCs w:val="24"/>
        </w:rPr>
        <w:t xml:space="preserve">’s </w:t>
      </w:r>
      <w:r w:rsidRPr="00D55103">
        <w:rPr>
          <w:szCs w:val="24"/>
        </w:rPr>
        <w:t xml:space="preserve">over </w:t>
      </w:r>
      <w:r w:rsidR="009351F5" w:rsidRPr="00D55103">
        <w:rPr>
          <w:szCs w:val="24"/>
        </w:rPr>
        <w:t>1</w:t>
      </w:r>
      <w:r w:rsidR="00B43DDB" w:rsidRPr="00D55103">
        <w:rPr>
          <w:szCs w:val="24"/>
        </w:rPr>
        <w:t>7</w:t>
      </w:r>
      <w:r w:rsidR="009351F5" w:rsidRPr="00D55103">
        <w:rPr>
          <w:szCs w:val="24"/>
        </w:rPr>
        <w:t xml:space="preserve"> years of discipline-free practice.  (See </w:t>
      </w:r>
      <w:r w:rsidR="009351F5" w:rsidRPr="00D55103">
        <w:rPr>
          <w:i/>
          <w:szCs w:val="24"/>
        </w:rPr>
        <w:t>In the Matter of Romano</w:t>
      </w:r>
      <w:r w:rsidR="009351F5" w:rsidRPr="00D55103">
        <w:rPr>
          <w:szCs w:val="24"/>
        </w:rPr>
        <w:t xml:space="preserve"> (Review Dept. 2015) 5 Cal. State Bar Ct. Rptr. 391, 395, 398–399 [minimal weight afforded for 22 years of discipline-free practice where misconduct</w:t>
      </w:r>
      <w:r w:rsidRPr="00D55103">
        <w:rPr>
          <w:szCs w:val="24"/>
        </w:rPr>
        <w:t>, which</w:t>
      </w:r>
      <w:r w:rsidR="009351F5" w:rsidRPr="00D55103">
        <w:rPr>
          <w:szCs w:val="24"/>
        </w:rPr>
        <w:t xml:space="preserve"> included filing 82 fraudulent bankruptcy petitions, “was most serious, involved intentional dishonesty, and continued over three and a half years,” and was not proven aberrational].)</w:t>
      </w:r>
    </w:p>
    <w:p w14:paraId="08EE53DE" w14:textId="77777777" w:rsidR="00345740" w:rsidRPr="00D55103" w:rsidRDefault="00345740" w:rsidP="00345740">
      <w:pPr>
        <w:pStyle w:val="ListParagraph"/>
        <w:spacing w:line="480" w:lineRule="auto"/>
        <w:ind w:left="0"/>
        <w:rPr>
          <w:rFonts w:eastAsia="Times New Roman"/>
          <w:b/>
          <w:szCs w:val="24"/>
        </w:rPr>
      </w:pPr>
      <w:r w:rsidRPr="00D55103">
        <w:rPr>
          <w:rFonts w:eastAsia="Times New Roman"/>
          <w:b/>
          <w:szCs w:val="24"/>
        </w:rPr>
        <w:tab/>
        <w:t xml:space="preserve">2.  Cooperation </w:t>
      </w:r>
      <w:r w:rsidR="009351F5" w:rsidRPr="00D55103">
        <w:rPr>
          <w:rFonts w:eastAsia="Times New Roman"/>
          <w:b/>
          <w:szCs w:val="24"/>
        </w:rPr>
        <w:t xml:space="preserve">with </w:t>
      </w:r>
      <w:r w:rsidRPr="00D55103">
        <w:rPr>
          <w:rFonts w:eastAsia="Times New Roman"/>
          <w:b/>
          <w:szCs w:val="24"/>
        </w:rPr>
        <w:t>State Bar (Std. 1.6(e))</w:t>
      </w:r>
    </w:p>
    <w:p w14:paraId="3A141B61" w14:textId="3C090915" w:rsidR="00C2154A" w:rsidRDefault="00345740" w:rsidP="00D45352">
      <w:pPr>
        <w:pStyle w:val="ListParagraph"/>
        <w:spacing w:line="480" w:lineRule="auto"/>
        <w:ind w:left="0"/>
        <w:rPr>
          <w:szCs w:val="24"/>
        </w:rPr>
      </w:pPr>
      <w:r w:rsidRPr="00D55103">
        <w:rPr>
          <w:rFonts w:eastAsia="Times New Roman"/>
          <w:szCs w:val="24"/>
        </w:rPr>
        <w:tab/>
      </w:r>
      <w:r w:rsidR="009351F5" w:rsidRPr="00D55103">
        <w:rPr>
          <w:szCs w:val="24"/>
        </w:rPr>
        <w:t xml:space="preserve">The hearing judge found that </w:t>
      </w:r>
      <w:r w:rsidR="00E45A22" w:rsidRPr="00D55103">
        <w:rPr>
          <w:szCs w:val="24"/>
        </w:rPr>
        <w:t xml:space="preserve">Golden </w:t>
      </w:r>
      <w:r w:rsidR="009351F5" w:rsidRPr="00D55103">
        <w:rPr>
          <w:szCs w:val="24"/>
        </w:rPr>
        <w:t>enter</w:t>
      </w:r>
      <w:r w:rsidR="00E45A22" w:rsidRPr="00D55103">
        <w:rPr>
          <w:szCs w:val="24"/>
        </w:rPr>
        <w:t>ed i</w:t>
      </w:r>
      <w:r w:rsidR="009351F5" w:rsidRPr="00D55103">
        <w:rPr>
          <w:szCs w:val="24"/>
        </w:rPr>
        <w:t xml:space="preserve">nto an extensive stipulation regarding facts, admissibility of </w:t>
      </w:r>
      <w:r w:rsidR="00D45352" w:rsidRPr="00D55103">
        <w:rPr>
          <w:szCs w:val="24"/>
        </w:rPr>
        <w:t xml:space="preserve">evidence, and culpability, </w:t>
      </w:r>
      <w:r w:rsidR="00E45A22" w:rsidRPr="00D55103">
        <w:rPr>
          <w:szCs w:val="24"/>
        </w:rPr>
        <w:t xml:space="preserve">and that </w:t>
      </w:r>
      <w:r w:rsidR="008C2250">
        <w:rPr>
          <w:szCs w:val="24"/>
        </w:rPr>
        <w:t>such</w:t>
      </w:r>
      <w:r w:rsidR="00E45A22" w:rsidRPr="00D55103">
        <w:rPr>
          <w:szCs w:val="24"/>
        </w:rPr>
        <w:t xml:space="preserve"> cooperation with the State Bar </w:t>
      </w:r>
      <w:r w:rsidR="00D45352" w:rsidRPr="00D55103">
        <w:rPr>
          <w:szCs w:val="24"/>
        </w:rPr>
        <w:t>preserved court time and resources, warrant</w:t>
      </w:r>
      <w:r w:rsidR="00583865">
        <w:rPr>
          <w:szCs w:val="24"/>
        </w:rPr>
        <w:t>ing</w:t>
      </w:r>
      <w:r w:rsidR="00D45352" w:rsidRPr="00D55103">
        <w:rPr>
          <w:szCs w:val="24"/>
        </w:rPr>
        <w:t xml:space="preserve"> </w:t>
      </w:r>
      <w:r w:rsidR="009351F5" w:rsidRPr="00D55103">
        <w:rPr>
          <w:szCs w:val="24"/>
        </w:rPr>
        <w:t>significant mitigati</w:t>
      </w:r>
      <w:r w:rsidR="00D45352" w:rsidRPr="00D55103">
        <w:rPr>
          <w:szCs w:val="24"/>
        </w:rPr>
        <w:t>on credit</w:t>
      </w:r>
      <w:r w:rsidR="009351F5" w:rsidRPr="00D55103">
        <w:rPr>
          <w:szCs w:val="24"/>
        </w:rPr>
        <w:t>.  We agree and assign</w:t>
      </w:r>
      <w:r w:rsidR="00D45352" w:rsidRPr="00D55103">
        <w:rPr>
          <w:szCs w:val="24"/>
        </w:rPr>
        <w:t xml:space="preserve"> this factor</w:t>
      </w:r>
      <w:r w:rsidR="009351F5" w:rsidRPr="00D55103">
        <w:rPr>
          <w:szCs w:val="24"/>
        </w:rPr>
        <w:t xml:space="preserve"> significant weight.  (Std. 1.6(e) [spontaneous candor and cooperation to State Bar is mitigating]; </w:t>
      </w:r>
      <w:r w:rsidR="009351F5" w:rsidRPr="00D55103">
        <w:rPr>
          <w:i/>
          <w:szCs w:val="24"/>
        </w:rPr>
        <w:t>In the Matter of Johnson</w:t>
      </w:r>
      <w:r w:rsidR="009351F5" w:rsidRPr="00D55103">
        <w:rPr>
          <w:szCs w:val="24"/>
        </w:rPr>
        <w:t xml:space="preserve"> (Review Dept. 2000) 4 Cal. State Bar Ct. Rptr. 179, 190 [more </w:t>
      </w:r>
      <w:r w:rsidR="009351F5" w:rsidRPr="00D55103">
        <w:rPr>
          <w:rFonts w:eastAsia="Times New Roman"/>
          <w:szCs w:val="24"/>
        </w:rPr>
        <w:t>extensive weight in mitigation given to those who admit culpability and facts</w:t>
      </w:r>
      <w:r w:rsidR="009351F5" w:rsidRPr="00D55103">
        <w:rPr>
          <w:szCs w:val="24"/>
        </w:rPr>
        <w:t>].)</w:t>
      </w:r>
    </w:p>
    <w:p w14:paraId="41AE3C14" w14:textId="77777777" w:rsidR="00C2154A" w:rsidRDefault="00C2154A">
      <w:pPr>
        <w:rPr>
          <w:szCs w:val="24"/>
        </w:rPr>
      </w:pPr>
      <w:r>
        <w:rPr>
          <w:szCs w:val="24"/>
        </w:rPr>
        <w:br w:type="page"/>
      </w:r>
    </w:p>
    <w:p w14:paraId="19BAEE78" w14:textId="77777777" w:rsidR="000504BC" w:rsidRPr="00D55103" w:rsidRDefault="000504BC" w:rsidP="000504BC">
      <w:pPr>
        <w:tabs>
          <w:tab w:val="left" w:pos="720"/>
        </w:tabs>
        <w:spacing w:line="480" w:lineRule="auto"/>
        <w:jc w:val="center"/>
        <w:rPr>
          <w:b/>
          <w:szCs w:val="24"/>
        </w:rPr>
      </w:pPr>
      <w:r w:rsidRPr="00D55103">
        <w:rPr>
          <w:b/>
          <w:szCs w:val="24"/>
        </w:rPr>
        <w:lastRenderedPageBreak/>
        <w:t>V</w:t>
      </w:r>
      <w:r w:rsidR="00BA2E50" w:rsidRPr="00D55103">
        <w:rPr>
          <w:b/>
          <w:szCs w:val="24"/>
        </w:rPr>
        <w:t>II</w:t>
      </w:r>
      <w:r w:rsidRPr="00D55103">
        <w:rPr>
          <w:b/>
          <w:szCs w:val="24"/>
        </w:rPr>
        <w:t>.  DISCIPLINE</w:t>
      </w:r>
      <w:r w:rsidR="00F668D6" w:rsidRPr="00D55103">
        <w:rPr>
          <w:rStyle w:val="FootnoteReference"/>
          <w:b/>
          <w:szCs w:val="24"/>
        </w:rPr>
        <w:footnoteReference w:id="22"/>
      </w:r>
    </w:p>
    <w:p w14:paraId="335B2D17" w14:textId="41714088" w:rsidR="000504BC" w:rsidRPr="00D55103" w:rsidRDefault="000504BC" w:rsidP="000504BC">
      <w:pPr>
        <w:spacing w:line="480" w:lineRule="auto"/>
        <w:ind w:firstLine="720"/>
        <w:rPr>
          <w:b/>
          <w:szCs w:val="24"/>
        </w:rPr>
      </w:pPr>
      <w:r w:rsidRPr="00D55103">
        <w:rPr>
          <w:szCs w:val="24"/>
        </w:rPr>
        <w:t>Our disciplinary analysis begins with the standards</w:t>
      </w:r>
      <w:r w:rsidR="00F668D6" w:rsidRPr="00D55103">
        <w:rPr>
          <w:szCs w:val="24"/>
        </w:rPr>
        <w:t>,</w:t>
      </w:r>
      <w:r w:rsidR="00906600" w:rsidRPr="00D55103">
        <w:rPr>
          <w:szCs w:val="24"/>
        </w:rPr>
        <w:t xml:space="preserve"> which</w:t>
      </w:r>
      <w:r w:rsidR="00583865">
        <w:rPr>
          <w:szCs w:val="24"/>
        </w:rPr>
        <w:t>,</w:t>
      </w:r>
      <w:r w:rsidRPr="00D55103">
        <w:rPr>
          <w:szCs w:val="24"/>
        </w:rPr>
        <w:t xml:space="preserve"> </w:t>
      </w:r>
      <w:r w:rsidRPr="00D55103">
        <w:rPr>
          <w:rFonts w:eastAsia="Times New Roman"/>
          <w:szCs w:val="24"/>
        </w:rPr>
        <w:t>although not binding, are guiding and entitled to great weight.  (</w:t>
      </w:r>
      <w:r w:rsidRPr="00D55103">
        <w:rPr>
          <w:rFonts w:eastAsia="Times New Roman"/>
          <w:i/>
          <w:szCs w:val="24"/>
        </w:rPr>
        <w:t>In re Silverton</w:t>
      </w:r>
      <w:r w:rsidRPr="00D55103">
        <w:rPr>
          <w:rFonts w:eastAsia="Times New Roman"/>
          <w:szCs w:val="24"/>
        </w:rPr>
        <w:t xml:space="preserve"> (2005) 36 Cal.4th 81, 91–92.)  The Supreme Court has instructed us to follow them whenever possible.  (</w:t>
      </w:r>
      <w:r w:rsidRPr="00D55103">
        <w:rPr>
          <w:rFonts w:eastAsia="Times New Roman"/>
          <w:i/>
          <w:szCs w:val="24"/>
        </w:rPr>
        <w:t>In re Young</w:t>
      </w:r>
      <w:r w:rsidRPr="00D55103">
        <w:rPr>
          <w:rFonts w:eastAsia="Times New Roman"/>
          <w:szCs w:val="24"/>
        </w:rPr>
        <w:t xml:space="preserve"> (1989) 49 Cal.3d 257, 267, fn. 11.)  We also look to comparable case law to determine the proper discipline.  (See </w:t>
      </w:r>
      <w:r w:rsidRPr="00D55103">
        <w:rPr>
          <w:rFonts w:eastAsia="Times New Roman"/>
          <w:i/>
          <w:szCs w:val="24"/>
        </w:rPr>
        <w:t>Snyder v. State Bar</w:t>
      </w:r>
      <w:r w:rsidRPr="00D55103">
        <w:rPr>
          <w:rFonts w:eastAsia="Times New Roman"/>
          <w:szCs w:val="24"/>
        </w:rPr>
        <w:t xml:space="preserve"> (1990) 49 Cal.3d 1302, 1310–1311.)</w:t>
      </w:r>
    </w:p>
    <w:p w14:paraId="4BDD875F" w14:textId="0946B083" w:rsidR="00024170" w:rsidRPr="00D55103" w:rsidRDefault="000504BC" w:rsidP="000504BC">
      <w:pPr>
        <w:pStyle w:val="ListParagraph"/>
        <w:tabs>
          <w:tab w:val="left" w:pos="720"/>
        </w:tabs>
        <w:spacing w:line="480" w:lineRule="auto"/>
        <w:ind w:left="0"/>
        <w:rPr>
          <w:rFonts w:eastAsia="Times New Roman"/>
          <w:szCs w:val="24"/>
        </w:rPr>
      </w:pPr>
      <w:r w:rsidRPr="00D55103">
        <w:rPr>
          <w:bCs/>
          <w:szCs w:val="24"/>
        </w:rPr>
        <w:tab/>
      </w:r>
      <w:r w:rsidRPr="00D55103">
        <w:rPr>
          <w:rFonts w:eastAsia="Times New Roman"/>
          <w:szCs w:val="24"/>
        </w:rPr>
        <w:t xml:space="preserve">In </w:t>
      </w:r>
      <w:r w:rsidRPr="0026447A">
        <w:rPr>
          <w:rFonts w:eastAsia="Times New Roman"/>
          <w:szCs w:val="24"/>
        </w:rPr>
        <w:t>analyzing the applicable standards, we first determine which standard specifies the most severe sanction for the at-issue misconduct.  (Std. 1.7(a)</w:t>
      </w:r>
      <w:r w:rsidR="009A4759" w:rsidRPr="0026447A">
        <w:rPr>
          <w:rFonts w:eastAsia="Times New Roman"/>
          <w:szCs w:val="24"/>
        </w:rPr>
        <w:t xml:space="preserve"> [most severe sanction must be imposed where multiple sanctions apply]</w:t>
      </w:r>
      <w:r w:rsidRPr="00CB3AEB">
        <w:rPr>
          <w:rFonts w:eastAsia="Times New Roman"/>
          <w:szCs w:val="24"/>
        </w:rPr>
        <w:t xml:space="preserve">.)  Here, </w:t>
      </w:r>
      <w:r w:rsidR="00F668D6" w:rsidRPr="00391011">
        <w:rPr>
          <w:rFonts w:eastAsia="Times New Roman"/>
          <w:szCs w:val="24"/>
        </w:rPr>
        <w:t>standard 2.18</w:t>
      </w:r>
      <w:r w:rsidRPr="00391011">
        <w:rPr>
          <w:rFonts w:eastAsia="Times New Roman"/>
          <w:szCs w:val="24"/>
        </w:rPr>
        <w:t xml:space="preserve"> is the most severe, providing that </w:t>
      </w:r>
      <w:r w:rsidR="00024170" w:rsidRPr="00391011">
        <w:rPr>
          <w:rFonts w:eastAsia="Times New Roman"/>
          <w:szCs w:val="24"/>
        </w:rPr>
        <w:t xml:space="preserve">disbarment or actual suspension is the presumed sanction for a violation of the Business and Professions </w:t>
      </w:r>
      <w:r w:rsidR="00906600" w:rsidRPr="00391011">
        <w:rPr>
          <w:rFonts w:eastAsia="Times New Roman"/>
          <w:szCs w:val="24"/>
        </w:rPr>
        <w:t>C</w:t>
      </w:r>
      <w:r w:rsidR="00024170" w:rsidRPr="00391011">
        <w:rPr>
          <w:rFonts w:eastAsia="Times New Roman"/>
          <w:szCs w:val="24"/>
        </w:rPr>
        <w:t>ode not otherwise specified in another standard</w:t>
      </w:r>
      <w:r w:rsidR="00DA6C96" w:rsidRPr="00391011">
        <w:rPr>
          <w:szCs w:val="24"/>
        </w:rPr>
        <w:t>.</w:t>
      </w:r>
      <w:r w:rsidR="00933540">
        <w:rPr>
          <w:rStyle w:val="FootnoteReference"/>
          <w:szCs w:val="24"/>
        </w:rPr>
        <w:footnoteReference w:id="23"/>
      </w:r>
    </w:p>
    <w:p w14:paraId="0C9F3450" w14:textId="53D178B6" w:rsidR="00F47F55" w:rsidRPr="00D55103" w:rsidRDefault="005D3180" w:rsidP="00F47F55">
      <w:pPr>
        <w:spacing w:line="480" w:lineRule="auto"/>
        <w:ind w:firstLine="720"/>
        <w:rPr>
          <w:szCs w:val="24"/>
        </w:rPr>
      </w:pPr>
      <w:r w:rsidRPr="00D55103">
        <w:rPr>
          <w:szCs w:val="24"/>
        </w:rPr>
        <w:t>The hearing judge considered</w:t>
      </w:r>
      <w:r w:rsidRPr="00D55103">
        <w:rPr>
          <w:rFonts w:eastAsia="Times New Roman"/>
          <w:szCs w:val="24"/>
        </w:rPr>
        <w:t xml:space="preserve"> the applicable standards</w:t>
      </w:r>
      <w:r w:rsidR="00906600" w:rsidRPr="00D55103">
        <w:rPr>
          <w:rFonts w:eastAsia="Times New Roman"/>
          <w:szCs w:val="24"/>
        </w:rPr>
        <w:t xml:space="preserve"> and</w:t>
      </w:r>
      <w:r w:rsidRPr="00D55103">
        <w:rPr>
          <w:rFonts w:eastAsia="Times New Roman"/>
          <w:szCs w:val="24"/>
        </w:rPr>
        <w:t xml:space="preserve"> case </w:t>
      </w:r>
      <w:r w:rsidR="00906600" w:rsidRPr="00D55103">
        <w:rPr>
          <w:rFonts w:eastAsia="Times New Roman"/>
          <w:szCs w:val="24"/>
        </w:rPr>
        <w:t xml:space="preserve">law (namely, </w:t>
      </w:r>
      <w:r w:rsidRPr="00D55103">
        <w:rPr>
          <w:rFonts w:eastAsia="Times New Roman"/>
          <w:i/>
          <w:szCs w:val="24"/>
        </w:rPr>
        <w:t>Taylor</w:t>
      </w:r>
      <w:r w:rsidR="00906600" w:rsidRPr="00D55103">
        <w:rPr>
          <w:rFonts w:eastAsia="Times New Roman"/>
          <w:szCs w:val="24"/>
        </w:rPr>
        <w:t>)</w:t>
      </w:r>
      <w:r w:rsidRPr="00D55103">
        <w:rPr>
          <w:rFonts w:eastAsia="Times New Roman"/>
          <w:szCs w:val="24"/>
        </w:rPr>
        <w:t xml:space="preserve">, </w:t>
      </w:r>
      <w:r w:rsidRPr="00D55103">
        <w:rPr>
          <w:szCs w:val="24"/>
        </w:rPr>
        <w:t xml:space="preserve">balanced the aggravating and mitigating factors, and recommended discipline including a one-year actual suspension continuing until Golden pays restitution.  </w:t>
      </w:r>
      <w:r w:rsidR="001531A2" w:rsidRPr="00D55103">
        <w:rPr>
          <w:szCs w:val="24"/>
        </w:rPr>
        <w:t>At trial, Golden argued that his discipline should not include any period of actual suspension.  On review, he contend</w:t>
      </w:r>
      <w:r w:rsidRPr="00D55103">
        <w:rPr>
          <w:szCs w:val="24"/>
        </w:rPr>
        <w:t>s</w:t>
      </w:r>
      <w:r w:rsidR="001531A2" w:rsidRPr="00D55103">
        <w:rPr>
          <w:szCs w:val="24"/>
        </w:rPr>
        <w:t xml:space="preserve"> that “upholding the [Hearing Department’s] ruling would appear to rend</w:t>
      </w:r>
      <w:r w:rsidR="00906600" w:rsidRPr="00D55103">
        <w:rPr>
          <w:szCs w:val="24"/>
        </w:rPr>
        <w:t>er</w:t>
      </w:r>
      <w:r w:rsidR="001531A2" w:rsidRPr="00D55103">
        <w:rPr>
          <w:szCs w:val="24"/>
        </w:rPr>
        <w:t xml:space="preserve"> an extreme, unjust result.”  </w:t>
      </w:r>
      <w:r w:rsidR="00242857">
        <w:rPr>
          <w:szCs w:val="24"/>
        </w:rPr>
        <w:t>A</w:t>
      </w:r>
      <w:r w:rsidR="001531A2" w:rsidRPr="00D55103">
        <w:rPr>
          <w:szCs w:val="24"/>
        </w:rPr>
        <w:t xml:space="preserve">t trial, OCTC sought a one-year actual suspension </w:t>
      </w:r>
      <w:r w:rsidR="00242857">
        <w:rPr>
          <w:szCs w:val="24"/>
        </w:rPr>
        <w:t>to continue</w:t>
      </w:r>
      <w:r w:rsidR="001531A2" w:rsidRPr="00D55103">
        <w:rPr>
          <w:szCs w:val="24"/>
        </w:rPr>
        <w:t xml:space="preserve"> until Golden pays restitution and proves his rehabilitation, fitness to practice, and present learning and ability in the law.  On review, OCTC requests that we affirm the judge’s discipline recommendation.</w:t>
      </w:r>
    </w:p>
    <w:p w14:paraId="52A68AA6" w14:textId="7ACC3293" w:rsidR="00F47F55" w:rsidRPr="00D55103" w:rsidRDefault="00C2154A" w:rsidP="008C55FC">
      <w:pPr>
        <w:spacing w:line="480" w:lineRule="auto"/>
        <w:ind w:firstLine="720"/>
        <w:rPr>
          <w:szCs w:val="24"/>
        </w:rPr>
      </w:pPr>
      <w:r>
        <w:rPr>
          <w:szCs w:val="24"/>
        </w:rPr>
        <w:t>As did</w:t>
      </w:r>
      <w:r w:rsidR="0016207B" w:rsidRPr="00D55103">
        <w:rPr>
          <w:szCs w:val="24"/>
        </w:rPr>
        <w:t xml:space="preserve"> the hearing judge, we </w:t>
      </w:r>
      <w:r w:rsidR="00A213AF">
        <w:rPr>
          <w:szCs w:val="24"/>
        </w:rPr>
        <w:t>look to</w:t>
      </w:r>
      <w:r w:rsidR="0016207B" w:rsidRPr="00D55103">
        <w:rPr>
          <w:szCs w:val="24"/>
        </w:rPr>
        <w:t xml:space="preserve"> </w:t>
      </w:r>
      <w:r w:rsidR="00F47F55" w:rsidRPr="00D55103">
        <w:rPr>
          <w:i/>
          <w:szCs w:val="24"/>
        </w:rPr>
        <w:t>Taylor</w:t>
      </w:r>
      <w:r w:rsidR="00F47F55" w:rsidRPr="00D55103">
        <w:rPr>
          <w:szCs w:val="24"/>
        </w:rPr>
        <w:t xml:space="preserve">.  </w:t>
      </w:r>
      <w:r w:rsidR="008C55FC" w:rsidRPr="00D55103">
        <w:rPr>
          <w:szCs w:val="24"/>
        </w:rPr>
        <w:t xml:space="preserve">Taylor received a six-month actual suspension for charging pre-performance loan modification fees in eight client matters and </w:t>
      </w:r>
      <w:r w:rsidR="008C55FC" w:rsidRPr="00D55103">
        <w:rPr>
          <w:szCs w:val="24"/>
        </w:rPr>
        <w:lastRenderedPageBreak/>
        <w:t xml:space="preserve">failing to provide the required disclosures in one case.  </w:t>
      </w:r>
      <w:r w:rsidR="0028325C" w:rsidRPr="00D55103">
        <w:rPr>
          <w:szCs w:val="24"/>
        </w:rPr>
        <w:t xml:space="preserve">Multiple acts of wrongdoing, significant client harm, and lack of remorse aggravated his misconduct, and Taylor proved one mitigating circumstance—good character.  </w:t>
      </w:r>
      <w:r w:rsidR="008C55FC" w:rsidRPr="00D55103">
        <w:rPr>
          <w:szCs w:val="24"/>
        </w:rPr>
        <w:t xml:space="preserve">Like Golden, Taylor failed to fully refund the illegally collected </w:t>
      </w:r>
      <w:r w:rsidR="00496161">
        <w:rPr>
          <w:szCs w:val="24"/>
        </w:rPr>
        <w:t>fees</w:t>
      </w:r>
      <w:r w:rsidR="008C55FC" w:rsidRPr="00D55103">
        <w:rPr>
          <w:szCs w:val="24"/>
        </w:rPr>
        <w:t xml:space="preserve">.  </w:t>
      </w:r>
      <w:r w:rsidR="00497EDB" w:rsidRPr="00D55103">
        <w:rPr>
          <w:szCs w:val="24"/>
        </w:rPr>
        <w:t>W</w:t>
      </w:r>
      <w:r w:rsidR="008C55FC" w:rsidRPr="00D55103">
        <w:rPr>
          <w:szCs w:val="24"/>
        </w:rPr>
        <w:t xml:space="preserve">e also find guidance in </w:t>
      </w:r>
      <w:r w:rsidR="00F47F55" w:rsidRPr="00D55103">
        <w:rPr>
          <w:i/>
          <w:szCs w:val="24"/>
        </w:rPr>
        <w:t>DeClue</w:t>
      </w:r>
      <w:r w:rsidR="00CC4FE0" w:rsidRPr="00D55103">
        <w:rPr>
          <w:szCs w:val="24"/>
        </w:rPr>
        <w:t xml:space="preserve">, </w:t>
      </w:r>
      <w:r w:rsidR="00CC4FE0" w:rsidRPr="00D55103">
        <w:rPr>
          <w:i/>
          <w:szCs w:val="24"/>
        </w:rPr>
        <w:t>supra</w:t>
      </w:r>
      <w:r w:rsidR="00CC4FE0" w:rsidRPr="00D55103">
        <w:rPr>
          <w:szCs w:val="24"/>
        </w:rPr>
        <w:t xml:space="preserve">, </w:t>
      </w:r>
      <w:r w:rsidR="00F47F55" w:rsidRPr="00D55103">
        <w:rPr>
          <w:szCs w:val="24"/>
        </w:rPr>
        <w:t>5</w:t>
      </w:r>
      <w:r w:rsidR="00E45F8D">
        <w:rPr>
          <w:szCs w:val="24"/>
        </w:rPr>
        <w:t> </w:t>
      </w:r>
      <w:r w:rsidR="00F47F55" w:rsidRPr="00D55103">
        <w:rPr>
          <w:szCs w:val="24"/>
        </w:rPr>
        <w:t>Cal. State Bar Ct. Rptr. 437</w:t>
      </w:r>
      <w:r w:rsidR="00497EDB" w:rsidRPr="00D55103">
        <w:rPr>
          <w:szCs w:val="24"/>
        </w:rPr>
        <w:t>, in which</w:t>
      </w:r>
      <w:r w:rsidR="009E21DF" w:rsidRPr="00D55103">
        <w:rPr>
          <w:szCs w:val="24"/>
        </w:rPr>
        <w:t xml:space="preserve"> </w:t>
      </w:r>
      <w:r w:rsidR="008C55FC" w:rsidRPr="00D55103">
        <w:rPr>
          <w:szCs w:val="24"/>
        </w:rPr>
        <w:t xml:space="preserve">we recommended a six-month </w:t>
      </w:r>
      <w:r w:rsidR="00F47F55" w:rsidRPr="00D55103">
        <w:rPr>
          <w:szCs w:val="24"/>
        </w:rPr>
        <w:t xml:space="preserve">actual suspension </w:t>
      </w:r>
      <w:r w:rsidR="00496161">
        <w:rPr>
          <w:szCs w:val="24"/>
        </w:rPr>
        <w:t>continuing</w:t>
      </w:r>
      <w:r w:rsidR="008C55FC" w:rsidRPr="00D55103">
        <w:rPr>
          <w:szCs w:val="24"/>
        </w:rPr>
        <w:t xml:space="preserve"> until payment of restitution</w:t>
      </w:r>
      <w:r w:rsidR="00496161">
        <w:rPr>
          <w:szCs w:val="24"/>
        </w:rPr>
        <w:t xml:space="preserve">.  </w:t>
      </w:r>
      <w:r w:rsidR="00454A2C" w:rsidRPr="00D55103">
        <w:rPr>
          <w:szCs w:val="24"/>
        </w:rPr>
        <w:t xml:space="preserve">DeClue </w:t>
      </w:r>
      <w:r w:rsidR="00F47F55" w:rsidRPr="00D55103">
        <w:rPr>
          <w:szCs w:val="24"/>
        </w:rPr>
        <w:t>illegally charg</w:t>
      </w:r>
      <w:r w:rsidR="009E21DF" w:rsidRPr="00D55103">
        <w:rPr>
          <w:szCs w:val="24"/>
        </w:rPr>
        <w:t xml:space="preserve">ed and collected </w:t>
      </w:r>
      <w:r w:rsidR="00F47F55" w:rsidRPr="00D55103">
        <w:rPr>
          <w:szCs w:val="24"/>
        </w:rPr>
        <w:t>advance fees for loan modification</w:t>
      </w:r>
      <w:r w:rsidR="00496161">
        <w:rPr>
          <w:szCs w:val="24"/>
        </w:rPr>
        <w:t>s</w:t>
      </w:r>
      <w:r w:rsidR="00F47F55" w:rsidRPr="00D55103">
        <w:rPr>
          <w:szCs w:val="24"/>
        </w:rPr>
        <w:t xml:space="preserve"> in two client matters, </w:t>
      </w:r>
      <w:r w:rsidR="009E21DF" w:rsidRPr="00D55103">
        <w:rPr>
          <w:szCs w:val="24"/>
        </w:rPr>
        <w:t xml:space="preserve">and </w:t>
      </w:r>
      <w:r w:rsidR="00242857">
        <w:rPr>
          <w:szCs w:val="24"/>
        </w:rPr>
        <w:t>he</w:t>
      </w:r>
      <w:r w:rsidR="009E21DF" w:rsidRPr="00D55103">
        <w:rPr>
          <w:szCs w:val="24"/>
        </w:rPr>
        <w:t xml:space="preserve"> proved no mitigation </w:t>
      </w:r>
      <w:r w:rsidR="00496161">
        <w:rPr>
          <w:szCs w:val="24"/>
        </w:rPr>
        <w:t>while</w:t>
      </w:r>
      <w:r w:rsidR="009E21DF" w:rsidRPr="00D55103">
        <w:rPr>
          <w:szCs w:val="24"/>
        </w:rPr>
        <w:t xml:space="preserve"> his misconduct was aggravated by a prior record of discipline, significant harm to his clients, failure to pay restitution, and uncharged misconduct.</w:t>
      </w:r>
    </w:p>
    <w:p w14:paraId="5A21D4E0" w14:textId="0C99FACE" w:rsidR="002B2432" w:rsidRPr="00D55103" w:rsidRDefault="00496BAF" w:rsidP="002B2432">
      <w:pPr>
        <w:spacing w:line="480" w:lineRule="auto"/>
        <w:ind w:firstLine="720"/>
        <w:rPr>
          <w:rFonts w:eastAsia="Times New Roman"/>
          <w:szCs w:val="24"/>
        </w:rPr>
      </w:pPr>
      <w:r w:rsidRPr="00D55103">
        <w:rPr>
          <w:szCs w:val="24"/>
        </w:rPr>
        <w:t>Golden’s misconduct is more serious and extensive tha</w:t>
      </w:r>
      <w:r w:rsidR="00454A2C" w:rsidRPr="00D55103">
        <w:rPr>
          <w:szCs w:val="24"/>
        </w:rPr>
        <w:t>n was</w:t>
      </w:r>
      <w:r w:rsidRPr="00D55103">
        <w:rPr>
          <w:szCs w:val="24"/>
        </w:rPr>
        <w:t xml:space="preserve"> either Taylor</w:t>
      </w:r>
      <w:r w:rsidR="00497EDB" w:rsidRPr="00D55103">
        <w:rPr>
          <w:szCs w:val="24"/>
        </w:rPr>
        <w:t>’s</w:t>
      </w:r>
      <w:r w:rsidRPr="00D55103">
        <w:rPr>
          <w:szCs w:val="24"/>
        </w:rPr>
        <w:t xml:space="preserve"> or DeClue’</w:t>
      </w:r>
      <w:r w:rsidR="0043177C" w:rsidRPr="00D55103">
        <w:rPr>
          <w:szCs w:val="24"/>
        </w:rPr>
        <w:t>s</w:t>
      </w:r>
      <w:r w:rsidR="005D3180" w:rsidRPr="00D55103">
        <w:rPr>
          <w:szCs w:val="24"/>
        </w:rPr>
        <w:t xml:space="preserve">.  Further, </w:t>
      </w:r>
      <w:r w:rsidR="00D0702A" w:rsidRPr="00D55103">
        <w:rPr>
          <w:szCs w:val="24"/>
        </w:rPr>
        <w:t>the amount of Golden’s illegally c</w:t>
      </w:r>
      <w:r w:rsidR="00855F09" w:rsidRPr="00D55103">
        <w:rPr>
          <w:szCs w:val="24"/>
        </w:rPr>
        <w:t xml:space="preserve">ollected advance fees </w:t>
      </w:r>
      <w:r w:rsidR="00D0702A" w:rsidRPr="00D55103">
        <w:rPr>
          <w:szCs w:val="24"/>
        </w:rPr>
        <w:t>dwarfs th</w:t>
      </w:r>
      <w:r w:rsidR="00EA4D58">
        <w:rPr>
          <w:szCs w:val="24"/>
        </w:rPr>
        <w:t>ose</w:t>
      </w:r>
      <w:r w:rsidR="00D0702A" w:rsidRPr="00D55103">
        <w:rPr>
          <w:szCs w:val="24"/>
        </w:rPr>
        <w:t xml:space="preserve"> in</w:t>
      </w:r>
      <w:r w:rsidR="00930771" w:rsidRPr="00D55103">
        <w:rPr>
          <w:szCs w:val="24"/>
        </w:rPr>
        <w:t>v</w:t>
      </w:r>
      <w:r w:rsidR="0043177C" w:rsidRPr="00D55103">
        <w:rPr>
          <w:szCs w:val="24"/>
        </w:rPr>
        <w:t>o</w:t>
      </w:r>
      <w:r w:rsidR="00D0702A" w:rsidRPr="00D55103">
        <w:rPr>
          <w:szCs w:val="24"/>
        </w:rPr>
        <w:t>l</w:t>
      </w:r>
      <w:r w:rsidR="0043177C" w:rsidRPr="00D55103">
        <w:rPr>
          <w:szCs w:val="24"/>
        </w:rPr>
        <w:t>v</w:t>
      </w:r>
      <w:r w:rsidR="00D0702A" w:rsidRPr="00D55103">
        <w:rPr>
          <w:szCs w:val="24"/>
        </w:rPr>
        <w:t xml:space="preserve">ed in </w:t>
      </w:r>
      <w:r w:rsidR="00D0702A" w:rsidRPr="00D55103">
        <w:rPr>
          <w:i/>
          <w:szCs w:val="24"/>
        </w:rPr>
        <w:t>Taylor</w:t>
      </w:r>
      <w:r w:rsidR="00D0702A" w:rsidRPr="00D55103">
        <w:rPr>
          <w:szCs w:val="24"/>
        </w:rPr>
        <w:t xml:space="preserve"> or </w:t>
      </w:r>
      <w:r w:rsidR="00D0702A" w:rsidRPr="00D55103">
        <w:rPr>
          <w:i/>
          <w:szCs w:val="24"/>
        </w:rPr>
        <w:t>DeClue</w:t>
      </w:r>
      <w:r w:rsidR="00750FB4">
        <w:rPr>
          <w:i/>
          <w:szCs w:val="24"/>
        </w:rPr>
        <w:t xml:space="preserve">.  </w:t>
      </w:r>
      <w:r w:rsidR="00EA4D58">
        <w:rPr>
          <w:szCs w:val="24"/>
        </w:rPr>
        <w:t>And</w:t>
      </w:r>
      <w:r w:rsidR="005D3180" w:rsidRPr="00D55103">
        <w:rPr>
          <w:szCs w:val="24"/>
        </w:rPr>
        <w:t xml:space="preserve">, </w:t>
      </w:r>
      <w:r w:rsidR="00D843EE">
        <w:rPr>
          <w:szCs w:val="24"/>
        </w:rPr>
        <w:t>as</w:t>
      </w:r>
      <w:r w:rsidR="00454A2C" w:rsidRPr="00D55103">
        <w:rPr>
          <w:szCs w:val="24"/>
        </w:rPr>
        <w:t xml:space="preserve"> in those cases, </w:t>
      </w:r>
      <w:r w:rsidR="0043177C" w:rsidRPr="00D55103">
        <w:rPr>
          <w:rFonts w:eastAsia="Times New Roman"/>
          <w:szCs w:val="24"/>
        </w:rPr>
        <w:t>the m</w:t>
      </w:r>
      <w:r w:rsidR="00454A2C" w:rsidRPr="00D55103">
        <w:rPr>
          <w:rFonts w:eastAsia="Times New Roman"/>
          <w:szCs w:val="24"/>
        </w:rPr>
        <w:t>itigation</w:t>
      </w:r>
      <w:r w:rsidR="005D3180" w:rsidRPr="00D55103">
        <w:rPr>
          <w:rFonts w:eastAsia="Times New Roman"/>
          <w:szCs w:val="24"/>
        </w:rPr>
        <w:t xml:space="preserve"> </w:t>
      </w:r>
      <w:r w:rsidR="00454A2C" w:rsidRPr="00D55103">
        <w:rPr>
          <w:rFonts w:eastAsia="Times New Roman"/>
          <w:szCs w:val="24"/>
        </w:rPr>
        <w:t xml:space="preserve">we </w:t>
      </w:r>
      <w:r w:rsidR="005D3180" w:rsidRPr="00D55103">
        <w:rPr>
          <w:rFonts w:eastAsia="Times New Roman"/>
          <w:szCs w:val="24"/>
        </w:rPr>
        <w:t>assign</w:t>
      </w:r>
      <w:r w:rsidR="00EA4D58">
        <w:rPr>
          <w:rFonts w:eastAsia="Times New Roman"/>
          <w:szCs w:val="24"/>
        </w:rPr>
        <w:t>ed</w:t>
      </w:r>
      <w:r w:rsidR="005D3180" w:rsidRPr="00D55103">
        <w:rPr>
          <w:rFonts w:eastAsia="Times New Roman"/>
          <w:szCs w:val="24"/>
        </w:rPr>
        <w:t xml:space="preserve"> </w:t>
      </w:r>
      <w:r w:rsidR="00A213AF">
        <w:rPr>
          <w:rFonts w:eastAsia="Times New Roman"/>
          <w:szCs w:val="24"/>
        </w:rPr>
        <w:t>for</w:t>
      </w:r>
      <w:r w:rsidR="0043177C" w:rsidRPr="00D55103">
        <w:rPr>
          <w:rFonts w:eastAsia="Times New Roman"/>
          <w:szCs w:val="24"/>
        </w:rPr>
        <w:t xml:space="preserve"> lack of a prior record</w:t>
      </w:r>
      <w:r w:rsidR="00315E13" w:rsidRPr="00D55103">
        <w:rPr>
          <w:rFonts w:eastAsia="Times New Roman"/>
          <w:szCs w:val="24"/>
        </w:rPr>
        <w:t xml:space="preserve"> and </w:t>
      </w:r>
      <w:r w:rsidR="00A213AF">
        <w:rPr>
          <w:rFonts w:eastAsia="Times New Roman"/>
          <w:szCs w:val="24"/>
        </w:rPr>
        <w:t xml:space="preserve">for </w:t>
      </w:r>
      <w:r w:rsidR="0043177C" w:rsidRPr="00D55103">
        <w:rPr>
          <w:rFonts w:eastAsia="Times New Roman"/>
          <w:szCs w:val="24"/>
        </w:rPr>
        <w:t>cooperation</w:t>
      </w:r>
      <w:r w:rsidR="00454A2C" w:rsidRPr="00D55103">
        <w:rPr>
          <w:rFonts w:eastAsia="Times New Roman"/>
          <w:szCs w:val="24"/>
        </w:rPr>
        <w:t xml:space="preserve"> is greatly outweighed by</w:t>
      </w:r>
      <w:r w:rsidR="00315E13" w:rsidRPr="00D55103">
        <w:rPr>
          <w:rFonts w:eastAsia="Times New Roman"/>
          <w:szCs w:val="24"/>
        </w:rPr>
        <w:t xml:space="preserve"> a</w:t>
      </w:r>
      <w:r w:rsidR="0043177C" w:rsidRPr="00D55103">
        <w:rPr>
          <w:rFonts w:eastAsia="Times New Roman"/>
          <w:szCs w:val="24"/>
        </w:rPr>
        <w:t xml:space="preserve">ggravation for </w:t>
      </w:r>
      <w:r w:rsidR="008318F9" w:rsidRPr="00D55103">
        <w:rPr>
          <w:rFonts w:eastAsia="Times New Roman"/>
          <w:szCs w:val="24"/>
        </w:rPr>
        <w:t xml:space="preserve">multiple acts </w:t>
      </w:r>
      <w:r w:rsidR="00315E13" w:rsidRPr="00D55103">
        <w:rPr>
          <w:rFonts w:eastAsia="Times New Roman"/>
          <w:szCs w:val="24"/>
        </w:rPr>
        <w:t xml:space="preserve">of </w:t>
      </w:r>
      <w:r w:rsidR="008318F9" w:rsidRPr="00D55103">
        <w:rPr>
          <w:rFonts w:eastAsia="Times New Roman"/>
          <w:szCs w:val="24"/>
        </w:rPr>
        <w:t>wrongdoing</w:t>
      </w:r>
      <w:r w:rsidR="0043177C" w:rsidRPr="00D55103">
        <w:rPr>
          <w:rFonts w:eastAsia="Times New Roman"/>
          <w:szCs w:val="24"/>
        </w:rPr>
        <w:t xml:space="preserve">, </w:t>
      </w:r>
      <w:r w:rsidR="00315E13" w:rsidRPr="00D55103">
        <w:rPr>
          <w:rFonts w:eastAsia="Times New Roman"/>
          <w:szCs w:val="24"/>
        </w:rPr>
        <w:t xml:space="preserve">overreaching, uncharged misconduct, </w:t>
      </w:r>
      <w:r w:rsidR="0043177C" w:rsidRPr="00D55103">
        <w:rPr>
          <w:rFonts w:eastAsia="Times New Roman"/>
          <w:szCs w:val="24"/>
        </w:rPr>
        <w:t xml:space="preserve">significant client harm, </w:t>
      </w:r>
      <w:r w:rsidR="00315E13" w:rsidRPr="00D55103">
        <w:rPr>
          <w:rFonts w:eastAsia="Times New Roman"/>
          <w:szCs w:val="24"/>
        </w:rPr>
        <w:t>indifference, and failure to make restitution.</w:t>
      </w:r>
    </w:p>
    <w:p w14:paraId="5EF075A8" w14:textId="6571240A" w:rsidR="000504BC" w:rsidRPr="00D55103" w:rsidRDefault="002B2432" w:rsidP="00497EDB">
      <w:pPr>
        <w:spacing w:line="480" w:lineRule="auto"/>
        <w:ind w:firstLine="720"/>
        <w:rPr>
          <w:szCs w:val="24"/>
        </w:rPr>
      </w:pPr>
      <w:r w:rsidRPr="00D55103">
        <w:rPr>
          <w:szCs w:val="24"/>
        </w:rPr>
        <w:t>An appropriate sancti</w:t>
      </w:r>
      <w:r w:rsidR="002350EC">
        <w:rPr>
          <w:szCs w:val="24"/>
        </w:rPr>
        <w:t>on should fall within the range</w:t>
      </w:r>
      <w:r w:rsidR="00DF0BBB" w:rsidRPr="00D55103">
        <w:rPr>
          <w:szCs w:val="24"/>
        </w:rPr>
        <w:t xml:space="preserve"> </w:t>
      </w:r>
      <w:r w:rsidRPr="00D55103">
        <w:rPr>
          <w:szCs w:val="24"/>
        </w:rPr>
        <w:t xml:space="preserve">the applicable standard provides unless the net effect of the aggravating and mitigating circumstances demonstrates that a greater or lesser sanction is needed to fulfill the primary purposes of discipline.  (Std. 1.7.)  To deviate from the applicable standard, we must state clear reasons for doing so.  (Std. 1.1; </w:t>
      </w:r>
      <w:r w:rsidRPr="00D55103">
        <w:rPr>
          <w:i/>
          <w:szCs w:val="24"/>
        </w:rPr>
        <w:t>Blair v. State Bar</w:t>
      </w:r>
      <w:r w:rsidRPr="00D55103">
        <w:rPr>
          <w:szCs w:val="24"/>
        </w:rPr>
        <w:t xml:space="preserve"> (1989) 49 Cal.3d 762, 776, fn. 5 [requiring clear reasons for departure from standards].)  We find </w:t>
      </w:r>
      <w:r w:rsidR="005D3180" w:rsidRPr="00D55103">
        <w:rPr>
          <w:szCs w:val="24"/>
        </w:rPr>
        <w:t>Golden’s</w:t>
      </w:r>
      <w:r w:rsidRPr="00D55103">
        <w:rPr>
          <w:szCs w:val="24"/>
        </w:rPr>
        <w:t xml:space="preserve"> request for no actual suspension to be unsupported.  Instead, we </w:t>
      </w:r>
      <w:r w:rsidR="00C801B8" w:rsidRPr="00D55103">
        <w:rPr>
          <w:szCs w:val="24"/>
        </w:rPr>
        <w:t xml:space="preserve">affirm </w:t>
      </w:r>
      <w:r w:rsidRPr="00D55103">
        <w:rPr>
          <w:szCs w:val="24"/>
        </w:rPr>
        <w:t>the hearing judge</w:t>
      </w:r>
      <w:r w:rsidR="00C801B8" w:rsidRPr="00D55103">
        <w:rPr>
          <w:szCs w:val="24"/>
        </w:rPr>
        <w:t xml:space="preserve">’s recommended </w:t>
      </w:r>
      <w:r w:rsidR="00497EDB" w:rsidRPr="00D55103">
        <w:rPr>
          <w:szCs w:val="24"/>
        </w:rPr>
        <w:t>one</w:t>
      </w:r>
      <w:r w:rsidR="00CC29F5" w:rsidRPr="00D55103">
        <w:rPr>
          <w:szCs w:val="24"/>
        </w:rPr>
        <w:t>-</w:t>
      </w:r>
      <w:r w:rsidR="00497EDB" w:rsidRPr="00D55103">
        <w:rPr>
          <w:szCs w:val="24"/>
        </w:rPr>
        <w:t>year a</w:t>
      </w:r>
      <w:r w:rsidR="00CC29F5" w:rsidRPr="00D55103">
        <w:rPr>
          <w:szCs w:val="24"/>
        </w:rPr>
        <w:t>ctual suspension</w:t>
      </w:r>
      <w:r w:rsidR="00497EDB" w:rsidRPr="00D55103">
        <w:rPr>
          <w:szCs w:val="24"/>
        </w:rPr>
        <w:t xml:space="preserve"> </w:t>
      </w:r>
      <w:r w:rsidR="00D843EE">
        <w:rPr>
          <w:szCs w:val="24"/>
        </w:rPr>
        <w:t>continuing</w:t>
      </w:r>
      <w:r w:rsidR="00497EDB" w:rsidRPr="00D55103">
        <w:rPr>
          <w:szCs w:val="24"/>
        </w:rPr>
        <w:t xml:space="preserve"> until </w:t>
      </w:r>
      <w:r w:rsidR="00C801B8" w:rsidRPr="00D55103">
        <w:rPr>
          <w:szCs w:val="24"/>
        </w:rPr>
        <w:t xml:space="preserve">Golden makes restitution </w:t>
      </w:r>
      <w:r w:rsidR="00496161">
        <w:rPr>
          <w:szCs w:val="24"/>
        </w:rPr>
        <w:t>of</w:t>
      </w:r>
      <w:r w:rsidR="00C801B8" w:rsidRPr="00D55103">
        <w:rPr>
          <w:szCs w:val="24"/>
        </w:rPr>
        <w:t xml:space="preserve"> all the fees he </w:t>
      </w:r>
      <w:r w:rsidR="00496161">
        <w:rPr>
          <w:szCs w:val="24"/>
        </w:rPr>
        <w:t xml:space="preserve">collected </w:t>
      </w:r>
      <w:r w:rsidR="00C801B8" w:rsidRPr="00D55103">
        <w:rPr>
          <w:szCs w:val="24"/>
        </w:rPr>
        <w:t>illegally</w:t>
      </w:r>
      <w:r w:rsidR="00BF23C7" w:rsidRPr="00D55103">
        <w:rPr>
          <w:szCs w:val="24"/>
        </w:rPr>
        <w:t xml:space="preserve">.  In addition, we recommend that </w:t>
      </w:r>
      <w:r w:rsidR="00D843EE">
        <w:rPr>
          <w:szCs w:val="24"/>
        </w:rPr>
        <w:t>he</w:t>
      </w:r>
      <w:r w:rsidR="00BF23C7" w:rsidRPr="00D55103">
        <w:rPr>
          <w:szCs w:val="24"/>
        </w:rPr>
        <w:t xml:space="preserve"> remain suspended until he proves his rehabilitation, fitness, and learning in the law.  </w:t>
      </w:r>
      <w:r w:rsidR="00496161">
        <w:rPr>
          <w:szCs w:val="24"/>
        </w:rPr>
        <w:t>This</w:t>
      </w:r>
      <w:r w:rsidR="00BF23C7" w:rsidRPr="00D55103">
        <w:rPr>
          <w:szCs w:val="24"/>
        </w:rPr>
        <w:t xml:space="preserve"> recommendation will allow Golden the opportunity to gain insight into—and show he is no longer indifferent to—his misconduct</w:t>
      </w:r>
      <w:r w:rsidR="00C96FF1">
        <w:rPr>
          <w:szCs w:val="24"/>
        </w:rPr>
        <w:t>,</w:t>
      </w:r>
      <w:r w:rsidR="00BF23C7" w:rsidRPr="00D55103">
        <w:rPr>
          <w:szCs w:val="24"/>
        </w:rPr>
        <w:t xml:space="preserve"> </w:t>
      </w:r>
      <w:r w:rsidR="00C96FF1">
        <w:rPr>
          <w:szCs w:val="24"/>
        </w:rPr>
        <w:t xml:space="preserve">and will, at the same time, </w:t>
      </w:r>
      <w:r w:rsidR="00BF23C7" w:rsidRPr="00D55103">
        <w:rPr>
          <w:szCs w:val="24"/>
        </w:rPr>
        <w:t>protect</w:t>
      </w:r>
      <w:r w:rsidR="00C96FF1">
        <w:rPr>
          <w:szCs w:val="24"/>
        </w:rPr>
        <w:t xml:space="preserve"> </w:t>
      </w:r>
      <w:r w:rsidR="00BF23C7" w:rsidRPr="00D55103">
        <w:rPr>
          <w:szCs w:val="24"/>
        </w:rPr>
        <w:t>the public</w:t>
      </w:r>
      <w:r w:rsidR="00283833" w:rsidRPr="00D55103">
        <w:rPr>
          <w:szCs w:val="24"/>
        </w:rPr>
        <w:t>,</w:t>
      </w:r>
      <w:r w:rsidR="00BF23C7" w:rsidRPr="00D55103">
        <w:rPr>
          <w:szCs w:val="24"/>
        </w:rPr>
        <w:t xml:space="preserve"> the courts</w:t>
      </w:r>
      <w:r w:rsidR="00283833" w:rsidRPr="00D55103">
        <w:rPr>
          <w:szCs w:val="24"/>
        </w:rPr>
        <w:t>,</w:t>
      </w:r>
      <w:r w:rsidR="00BF23C7" w:rsidRPr="00D55103">
        <w:rPr>
          <w:szCs w:val="24"/>
        </w:rPr>
        <w:t xml:space="preserve"> and the legal profession</w:t>
      </w:r>
      <w:r w:rsidR="00CC29F5" w:rsidRPr="00D55103">
        <w:rPr>
          <w:szCs w:val="24"/>
        </w:rPr>
        <w:t>.</w:t>
      </w:r>
    </w:p>
    <w:p w14:paraId="7B680CA7" w14:textId="77777777" w:rsidR="003F4AC1" w:rsidRPr="00D55103" w:rsidRDefault="003F4AC1" w:rsidP="003F4AC1">
      <w:pPr>
        <w:spacing w:line="480" w:lineRule="auto"/>
        <w:jc w:val="center"/>
        <w:rPr>
          <w:b/>
          <w:szCs w:val="24"/>
        </w:rPr>
      </w:pPr>
      <w:r w:rsidRPr="00D55103">
        <w:rPr>
          <w:b/>
          <w:szCs w:val="24"/>
        </w:rPr>
        <w:lastRenderedPageBreak/>
        <w:t>VI</w:t>
      </w:r>
      <w:r w:rsidR="00BA2E50" w:rsidRPr="00D55103">
        <w:rPr>
          <w:b/>
          <w:szCs w:val="24"/>
        </w:rPr>
        <w:t>II</w:t>
      </w:r>
      <w:r w:rsidRPr="00D55103">
        <w:rPr>
          <w:b/>
          <w:szCs w:val="24"/>
        </w:rPr>
        <w:t>.  RECOMMENDATION</w:t>
      </w:r>
    </w:p>
    <w:p w14:paraId="61BA511C" w14:textId="1E559A32" w:rsidR="003F4AC1" w:rsidRPr="00D55103" w:rsidRDefault="003F4AC1" w:rsidP="00174B04">
      <w:pPr>
        <w:pStyle w:val="ListParagraph"/>
        <w:spacing w:line="480" w:lineRule="auto"/>
        <w:ind w:left="0"/>
        <w:rPr>
          <w:i/>
          <w:szCs w:val="24"/>
          <w:u w:val="single"/>
        </w:rPr>
      </w:pPr>
      <w:r w:rsidRPr="00D55103">
        <w:rPr>
          <w:szCs w:val="24"/>
        </w:rPr>
        <w:tab/>
      </w:r>
      <w:r w:rsidR="00C96FF1" w:rsidRPr="00D55103">
        <w:rPr>
          <w:szCs w:val="24"/>
        </w:rPr>
        <w:t xml:space="preserve">For the foregoing reasons, we </w:t>
      </w:r>
      <w:r w:rsidRPr="00D55103">
        <w:rPr>
          <w:szCs w:val="24"/>
        </w:rPr>
        <w:t xml:space="preserve">recommend that Stephen Rawliegh Golden be suspended from the practice of law for </w:t>
      </w:r>
      <w:bookmarkStart w:id="9" w:name="Text29"/>
      <w:r w:rsidRPr="00D55103">
        <w:rPr>
          <w:szCs w:val="24"/>
        </w:rPr>
        <w:t xml:space="preserve">two </w:t>
      </w:r>
      <w:bookmarkEnd w:id="9"/>
      <w:r w:rsidRPr="00D55103">
        <w:rPr>
          <w:szCs w:val="24"/>
        </w:rPr>
        <w:t>years, that execution of that suspension be stayed, and that he be placed on probation for three years on the following conditions:</w:t>
      </w:r>
    </w:p>
    <w:p w14:paraId="43C6957C" w14:textId="77777777" w:rsidR="00A238A8" w:rsidRPr="00D55103" w:rsidRDefault="003F4AC1" w:rsidP="00A238A8">
      <w:pPr>
        <w:pStyle w:val="ListParagraph"/>
        <w:numPr>
          <w:ilvl w:val="0"/>
          <w:numId w:val="20"/>
        </w:numPr>
        <w:ind w:left="360"/>
        <w:rPr>
          <w:szCs w:val="24"/>
        </w:rPr>
      </w:pPr>
      <w:r w:rsidRPr="00D55103">
        <w:rPr>
          <w:szCs w:val="24"/>
        </w:rPr>
        <w:t>He must be suspended from the practice of law for a minimum of the first year of his probation, and remain suspended until the following conditions are satisfied:</w:t>
      </w:r>
    </w:p>
    <w:p w14:paraId="3461889E" w14:textId="77777777" w:rsidR="00A238A8" w:rsidRPr="00D55103" w:rsidRDefault="00A238A8" w:rsidP="00A238A8">
      <w:pPr>
        <w:rPr>
          <w:szCs w:val="24"/>
        </w:rPr>
      </w:pPr>
    </w:p>
    <w:p w14:paraId="1CC2F5AF" w14:textId="548AACAD" w:rsidR="00603695" w:rsidRPr="00D55103" w:rsidRDefault="00A238A8" w:rsidP="00A238A8">
      <w:pPr>
        <w:pStyle w:val="ListParagraph"/>
        <w:numPr>
          <w:ilvl w:val="1"/>
          <w:numId w:val="20"/>
        </w:numPr>
        <w:ind w:left="720"/>
        <w:rPr>
          <w:szCs w:val="24"/>
        </w:rPr>
      </w:pPr>
      <w:r w:rsidRPr="00D55103">
        <w:rPr>
          <w:szCs w:val="24"/>
        </w:rPr>
        <w:t>H</w:t>
      </w:r>
      <w:r w:rsidR="00603695" w:rsidRPr="00D55103">
        <w:rPr>
          <w:szCs w:val="24"/>
        </w:rPr>
        <w:t xml:space="preserve">e makes restitution to the following payees (or reimburses the Client Security Fund, to the extent of any payment from the </w:t>
      </w:r>
      <w:r w:rsidR="00283833" w:rsidRPr="00D55103">
        <w:rPr>
          <w:szCs w:val="24"/>
        </w:rPr>
        <w:t xml:space="preserve">Fund </w:t>
      </w:r>
      <w:r w:rsidR="00603695" w:rsidRPr="00D55103">
        <w:rPr>
          <w:szCs w:val="24"/>
        </w:rPr>
        <w:t xml:space="preserve">to the payees, in accordance with Business and Professions Code section 6140.5) and furnishes </w:t>
      </w:r>
      <w:r w:rsidR="003D4C68" w:rsidRPr="00D55103">
        <w:rPr>
          <w:szCs w:val="24"/>
        </w:rPr>
        <w:t xml:space="preserve">satisfactory </w:t>
      </w:r>
      <w:r w:rsidR="00603695" w:rsidRPr="00D55103">
        <w:rPr>
          <w:szCs w:val="24"/>
        </w:rPr>
        <w:t>proof to the State Bar Office of Probation in Los Angeles:</w:t>
      </w:r>
    </w:p>
    <w:p w14:paraId="7E57FDB5" w14:textId="77777777" w:rsidR="00603695" w:rsidRPr="00D55103" w:rsidRDefault="00603695" w:rsidP="00603695">
      <w:pPr>
        <w:tabs>
          <w:tab w:val="left" w:pos="720"/>
          <w:tab w:val="left" w:pos="1080"/>
        </w:tabs>
        <w:rPr>
          <w:szCs w:val="24"/>
        </w:rPr>
      </w:pPr>
    </w:p>
    <w:p w14:paraId="10ACFF5E" w14:textId="77777777" w:rsidR="00B60500" w:rsidRPr="00D55103" w:rsidRDefault="00A50205" w:rsidP="00B60500">
      <w:pPr>
        <w:pStyle w:val="ListParagraph"/>
        <w:numPr>
          <w:ilvl w:val="0"/>
          <w:numId w:val="23"/>
        </w:numPr>
        <w:ind w:left="1260" w:hanging="540"/>
        <w:rPr>
          <w:szCs w:val="24"/>
        </w:rPr>
      </w:pPr>
      <w:r w:rsidRPr="00D55103">
        <w:rPr>
          <w:szCs w:val="24"/>
        </w:rPr>
        <w:t>Joshua McDonough</w:t>
      </w:r>
      <w:r w:rsidR="00603695" w:rsidRPr="00D55103">
        <w:rPr>
          <w:szCs w:val="24"/>
        </w:rPr>
        <w:t xml:space="preserve"> in the amount of $</w:t>
      </w:r>
      <w:r w:rsidRPr="00D55103">
        <w:rPr>
          <w:szCs w:val="24"/>
        </w:rPr>
        <w:t>35,117</w:t>
      </w:r>
      <w:r w:rsidR="00603695" w:rsidRPr="00D55103">
        <w:rPr>
          <w:szCs w:val="24"/>
        </w:rPr>
        <w:t xml:space="preserve"> plus 10 p</w:t>
      </w:r>
      <w:r w:rsidR="007A3224" w:rsidRPr="00D55103">
        <w:rPr>
          <w:szCs w:val="24"/>
        </w:rPr>
        <w:t xml:space="preserve">ercent interest per year from </w:t>
      </w:r>
      <w:r w:rsidRPr="00D55103">
        <w:rPr>
          <w:szCs w:val="24"/>
        </w:rPr>
        <w:t>November</w:t>
      </w:r>
      <w:r w:rsidR="00603695" w:rsidRPr="00D55103">
        <w:rPr>
          <w:szCs w:val="24"/>
        </w:rPr>
        <w:t> </w:t>
      </w:r>
      <w:r w:rsidRPr="00D55103">
        <w:rPr>
          <w:szCs w:val="24"/>
        </w:rPr>
        <w:t>18</w:t>
      </w:r>
      <w:r w:rsidR="00603695" w:rsidRPr="00D55103">
        <w:rPr>
          <w:szCs w:val="24"/>
        </w:rPr>
        <w:t>, 2010;</w:t>
      </w:r>
    </w:p>
    <w:p w14:paraId="57CD814E" w14:textId="77777777" w:rsidR="00B60500" w:rsidRPr="00D55103" w:rsidRDefault="00B60500" w:rsidP="00B60500">
      <w:pPr>
        <w:rPr>
          <w:szCs w:val="24"/>
        </w:rPr>
      </w:pPr>
    </w:p>
    <w:p w14:paraId="01E6641B" w14:textId="77777777" w:rsidR="00B60500" w:rsidRPr="00D55103" w:rsidRDefault="00A50205" w:rsidP="00B60500">
      <w:pPr>
        <w:pStyle w:val="ListParagraph"/>
        <w:numPr>
          <w:ilvl w:val="0"/>
          <w:numId w:val="23"/>
        </w:numPr>
        <w:ind w:left="1260" w:hanging="540"/>
        <w:rPr>
          <w:szCs w:val="24"/>
        </w:rPr>
      </w:pPr>
      <w:r w:rsidRPr="00D55103">
        <w:rPr>
          <w:szCs w:val="24"/>
        </w:rPr>
        <w:t xml:space="preserve">Tim Mazziotti and Suzanne Wells Schurman </w:t>
      </w:r>
      <w:r w:rsidR="00603695" w:rsidRPr="00D55103">
        <w:rPr>
          <w:szCs w:val="24"/>
        </w:rPr>
        <w:t>in the amount of</w:t>
      </w:r>
      <w:r w:rsidRPr="00D55103">
        <w:rPr>
          <w:szCs w:val="24"/>
        </w:rPr>
        <w:t xml:space="preserve"> $51</w:t>
      </w:r>
      <w:r w:rsidR="00603695" w:rsidRPr="00D55103">
        <w:rPr>
          <w:szCs w:val="24"/>
        </w:rPr>
        <w:t>,</w:t>
      </w:r>
      <w:r w:rsidRPr="00D55103">
        <w:rPr>
          <w:szCs w:val="24"/>
        </w:rPr>
        <w:t>0</w:t>
      </w:r>
      <w:r w:rsidR="00603695" w:rsidRPr="00D55103">
        <w:rPr>
          <w:szCs w:val="24"/>
        </w:rPr>
        <w:t xml:space="preserve">00 plus 10 percent interest per year from </w:t>
      </w:r>
      <w:r w:rsidRPr="00D55103">
        <w:rPr>
          <w:szCs w:val="24"/>
        </w:rPr>
        <w:t>August</w:t>
      </w:r>
      <w:r w:rsidR="00603695" w:rsidRPr="00D55103">
        <w:rPr>
          <w:szCs w:val="24"/>
        </w:rPr>
        <w:t> </w:t>
      </w:r>
      <w:r w:rsidRPr="00D55103">
        <w:rPr>
          <w:szCs w:val="24"/>
        </w:rPr>
        <w:t>28</w:t>
      </w:r>
      <w:r w:rsidR="00603695" w:rsidRPr="00D55103">
        <w:rPr>
          <w:szCs w:val="24"/>
        </w:rPr>
        <w:t>, 201</w:t>
      </w:r>
      <w:r w:rsidRPr="00D55103">
        <w:rPr>
          <w:szCs w:val="24"/>
        </w:rPr>
        <w:t>2</w:t>
      </w:r>
      <w:r w:rsidR="00603695" w:rsidRPr="00D55103">
        <w:rPr>
          <w:szCs w:val="24"/>
        </w:rPr>
        <w:t>;</w:t>
      </w:r>
    </w:p>
    <w:p w14:paraId="7E9B2052" w14:textId="77777777" w:rsidR="00B60500" w:rsidRPr="00D55103" w:rsidRDefault="00B60500" w:rsidP="00B60500">
      <w:pPr>
        <w:rPr>
          <w:szCs w:val="24"/>
        </w:rPr>
      </w:pPr>
    </w:p>
    <w:p w14:paraId="2033D2B1" w14:textId="77777777" w:rsidR="00B60500" w:rsidRPr="00D55103" w:rsidRDefault="007A3224" w:rsidP="00B60500">
      <w:pPr>
        <w:pStyle w:val="ListParagraph"/>
        <w:numPr>
          <w:ilvl w:val="0"/>
          <w:numId w:val="23"/>
        </w:numPr>
        <w:ind w:left="1260" w:hanging="540"/>
        <w:rPr>
          <w:szCs w:val="24"/>
        </w:rPr>
      </w:pPr>
      <w:r w:rsidRPr="00D55103">
        <w:rPr>
          <w:szCs w:val="24"/>
        </w:rPr>
        <w:t>Tim Mazziotti and Suzanne Wells Schurman in the amount of $2,500 plus 10 percent interest per year from February 8, 2016;</w:t>
      </w:r>
    </w:p>
    <w:p w14:paraId="7F26A63D" w14:textId="77777777" w:rsidR="00B60500" w:rsidRPr="00D55103" w:rsidRDefault="00B60500" w:rsidP="00B60500">
      <w:pPr>
        <w:rPr>
          <w:szCs w:val="24"/>
        </w:rPr>
      </w:pPr>
    </w:p>
    <w:p w14:paraId="08C47F7B" w14:textId="670F5484" w:rsidR="00B60500" w:rsidRPr="00D55103" w:rsidRDefault="007A3224" w:rsidP="00B60500">
      <w:pPr>
        <w:pStyle w:val="ListParagraph"/>
        <w:numPr>
          <w:ilvl w:val="0"/>
          <w:numId w:val="23"/>
        </w:numPr>
        <w:ind w:left="1260" w:hanging="540"/>
        <w:rPr>
          <w:szCs w:val="24"/>
        </w:rPr>
      </w:pPr>
      <w:r w:rsidRPr="00D55103">
        <w:rPr>
          <w:szCs w:val="24"/>
        </w:rPr>
        <w:t>Doris Johnson</w:t>
      </w:r>
      <w:r w:rsidR="00E3052B" w:rsidRPr="00D55103">
        <w:rPr>
          <w:szCs w:val="24"/>
        </w:rPr>
        <w:t xml:space="preserve"> </w:t>
      </w:r>
      <w:r w:rsidRPr="00D55103">
        <w:rPr>
          <w:szCs w:val="24"/>
        </w:rPr>
        <w:t>Bennett in the amount of $18</w:t>
      </w:r>
      <w:r w:rsidR="00603695" w:rsidRPr="00D55103">
        <w:rPr>
          <w:szCs w:val="24"/>
        </w:rPr>
        <w:t>,</w:t>
      </w:r>
      <w:r w:rsidRPr="00D55103">
        <w:rPr>
          <w:szCs w:val="24"/>
        </w:rPr>
        <w:t>150</w:t>
      </w:r>
      <w:r w:rsidR="00603695" w:rsidRPr="00D55103">
        <w:rPr>
          <w:szCs w:val="24"/>
        </w:rPr>
        <w:t xml:space="preserve"> plus 10 perc</w:t>
      </w:r>
      <w:r w:rsidRPr="00D55103">
        <w:rPr>
          <w:szCs w:val="24"/>
        </w:rPr>
        <w:t xml:space="preserve">ent interest per year from </w:t>
      </w:r>
      <w:r w:rsidR="00A35DB8" w:rsidRPr="00D55103">
        <w:rPr>
          <w:szCs w:val="24"/>
        </w:rPr>
        <w:t>December</w:t>
      </w:r>
      <w:r w:rsidR="00603695" w:rsidRPr="00D55103">
        <w:rPr>
          <w:szCs w:val="24"/>
        </w:rPr>
        <w:t> </w:t>
      </w:r>
      <w:r w:rsidRPr="00D55103">
        <w:rPr>
          <w:szCs w:val="24"/>
        </w:rPr>
        <w:t>4, 2014;</w:t>
      </w:r>
    </w:p>
    <w:p w14:paraId="755B34F9" w14:textId="77777777" w:rsidR="00B60500" w:rsidRPr="00D55103" w:rsidRDefault="00B60500" w:rsidP="00B60500">
      <w:pPr>
        <w:rPr>
          <w:szCs w:val="24"/>
        </w:rPr>
      </w:pPr>
    </w:p>
    <w:p w14:paraId="470C2380" w14:textId="77777777" w:rsidR="00B60500" w:rsidRPr="00D55103" w:rsidRDefault="007A3224" w:rsidP="00B60500">
      <w:pPr>
        <w:pStyle w:val="ListParagraph"/>
        <w:numPr>
          <w:ilvl w:val="0"/>
          <w:numId w:val="23"/>
        </w:numPr>
        <w:ind w:left="1260" w:hanging="540"/>
        <w:rPr>
          <w:szCs w:val="24"/>
        </w:rPr>
      </w:pPr>
      <w:r w:rsidRPr="00D55103">
        <w:rPr>
          <w:szCs w:val="24"/>
        </w:rPr>
        <w:t>Jonathan Bartlett in the amount of $17,623.06 plus 10 percent interest per year from September 6, 2013;</w:t>
      </w:r>
    </w:p>
    <w:p w14:paraId="37BAC6D5" w14:textId="6AD47DC9" w:rsidR="00B60500" w:rsidRPr="00D55103" w:rsidRDefault="00B60500" w:rsidP="00B60500">
      <w:pPr>
        <w:rPr>
          <w:szCs w:val="24"/>
        </w:rPr>
      </w:pPr>
    </w:p>
    <w:p w14:paraId="136AB159" w14:textId="77777777" w:rsidR="00B60500" w:rsidRPr="00D55103" w:rsidRDefault="007A3224" w:rsidP="00B60500">
      <w:pPr>
        <w:pStyle w:val="ListParagraph"/>
        <w:numPr>
          <w:ilvl w:val="0"/>
          <w:numId w:val="23"/>
        </w:numPr>
        <w:ind w:left="1260" w:hanging="540"/>
        <w:rPr>
          <w:szCs w:val="24"/>
        </w:rPr>
      </w:pPr>
      <w:r w:rsidRPr="00D55103">
        <w:rPr>
          <w:szCs w:val="24"/>
        </w:rPr>
        <w:t>Raymond and Suzanne Schneiders in the amount of $37,422.29 plus 10 percent interest per year from February 24, 2014;</w:t>
      </w:r>
    </w:p>
    <w:p w14:paraId="7F22603F" w14:textId="77777777" w:rsidR="00B60500" w:rsidRPr="00D55103" w:rsidRDefault="00B60500" w:rsidP="00B60500">
      <w:pPr>
        <w:rPr>
          <w:szCs w:val="24"/>
        </w:rPr>
      </w:pPr>
    </w:p>
    <w:p w14:paraId="64D34493" w14:textId="4E59C26A" w:rsidR="00B60500" w:rsidRDefault="007A3224" w:rsidP="00B60500">
      <w:pPr>
        <w:pStyle w:val="ListParagraph"/>
        <w:numPr>
          <w:ilvl w:val="0"/>
          <w:numId w:val="23"/>
        </w:numPr>
        <w:ind w:left="1260" w:hanging="540"/>
        <w:rPr>
          <w:szCs w:val="24"/>
        </w:rPr>
      </w:pPr>
      <w:r w:rsidRPr="00D55103">
        <w:rPr>
          <w:szCs w:val="24"/>
        </w:rPr>
        <w:t xml:space="preserve">Oscar Arellano in the amount of $18,250 plus 10 percent interest per year from </w:t>
      </w:r>
      <w:r w:rsidR="00260C67" w:rsidRPr="00D55103">
        <w:rPr>
          <w:szCs w:val="24"/>
        </w:rPr>
        <w:t>September</w:t>
      </w:r>
      <w:r w:rsidR="00D51E94">
        <w:rPr>
          <w:szCs w:val="24"/>
        </w:rPr>
        <w:t> </w:t>
      </w:r>
      <w:r w:rsidR="00260C67" w:rsidRPr="00D55103">
        <w:rPr>
          <w:szCs w:val="24"/>
        </w:rPr>
        <w:t>4</w:t>
      </w:r>
      <w:r w:rsidRPr="00D55103">
        <w:rPr>
          <w:szCs w:val="24"/>
        </w:rPr>
        <w:t>, 201</w:t>
      </w:r>
      <w:r w:rsidR="00A35DB8" w:rsidRPr="00D55103">
        <w:rPr>
          <w:szCs w:val="24"/>
        </w:rPr>
        <w:t>2</w:t>
      </w:r>
      <w:r w:rsidRPr="00D55103">
        <w:rPr>
          <w:szCs w:val="24"/>
        </w:rPr>
        <w:t>;</w:t>
      </w:r>
    </w:p>
    <w:p w14:paraId="298C9628" w14:textId="77777777" w:rsidR="004928DE" w:rsidRPr="00D55103" w:rsidRDefault="004928DE" w:rsidP="004928DE">
      <w:pPr>
        <w:pStyle w:val="ListParagraph"/>
        <w:ind w:left="1260"/>
        <w:rPr>
          <w:szCs w:val="24"/>
        </w:rPr>
      </w:pPr>
    </w:p>
    <w:p w14:paraId="05D71F32" w14:textId="77777777" w:rsidR="00B60500" w:rsidRPr="00D55103" w:rsidRDefault="00A35DB8" w:rsidP="00B60500">
      <w:pPr>
        <w:pStyle w:val="ListParagraph"/>
        <w:numPr>
          <w:ilvl w:val="0"/>
          <w:numId w:val="23"/>
        </w:numPr>
        <w:ind w:left="1260" w:hanging="540"/>
        <w:rPr>
          <w:szCs w:val="24"/>
        </w:rPr>
      </w:pPr>
      <w:r w:rsidRPr="00D55103">
        <w:rPr>
          <w:szCs w:val="24"/>
        </w:rPr>
        <w:t>Bo and Grace McCarthy</w:t>
      </w:r>
      <w:r w:rsidR="007A3224" w:rsidRPr="00D55103">
        <w:rPr>
          <w:szCs w:val="24"/>
        </w:rPr>
        <w:t xml:space="preserve"> in the amount of $</w:t>
      </w:r>
      <w:r w:rsidRPr="00D55103">
        <w:rPr>
          <w:szCs w:val="24"/>
        </w:rPr>
        <w:t>13</w:t>
      </w:r>
      <w:r w:rsidR="007A3224" w:rsidRPr="00D55103">
        <w:rPr>
          <w:szCs w:val="24"/>
        </w:rPr>
        <w:t>,5</w:t>
      </w:r>
      <w:r w:rsidRPr="00D55103">
        <w:rPr>
          <w:szCs w:val="24"/>
        </w:rPr>
        <w:t>0</w:t>
      </w:r>
      <w:r w:rsidR="007A3224" w:rsidRPr="00D55103">
        <w:rPr>
          <w:szCs w:val="24"/>
        </w:rPr>
        <w:t xml:space="preserve">0 plus 10 percent interest per year from </w:t>
      </w:r>
      <w:r w:rsidRPr="00D55103">
        <w:rPr>
          <w:szCs w:val="24"/>
        </w:rPr>
        <w:t>January</w:t>
      </w:r>
      <w:r w:rsidR="007A3224" w:rsidRPr="00D55103">
        <w:rPr>
          <w:szCs w:val="24"/>
        </w:rPr>
        <w:t> </w:t>
      </w:r>
      <w:r w:rsidRPr="00D55103">
        <w:rPr>
          <w:szCs w:val="24"/>
        </w:rPr>
        <w:t>15</w:t>
      </w:r>
      <w:r w:rsidR="007A3224" w:rsidRPr="00D55103">
        <w:rPr>
          <w:szCs w:val="24"/>
        </w:rPr>
        <w:t>, 2014;</w:t>
      </w:r>
    </w:p>
    <w:p w14:paraId="28D47730" w14:textId="77777777" w:rsidR="00B60500" w:rsidRPr="00D55103" w:rsidRDefault="00B60500" w:rsidP="00B60500">
      <w:pPr>
        <w:rPr>
          <w:szCs w:val="24"/>
        </w:rPr>
      </w:pPr>
    </w:p>
    <w:p w14:paraId="79ED44DA" w14:textId="77777777" w:rsidR="00B60500" w:rsidRPr="00D55103" w:rsidRDefault="00A35DB8" w:rsidP="00B60500">
      <w:pPr>
        <w:pStyle w:val="ListParagraph"/>
        <w:numPr>
          <w:ilvl w:val="0"/>
          <w:numId w:val="23"/>
        </w:numPr>
        <w:ind w:left="1260" w:hanging="540"/>
        <w:rPr>
          <w:szCs w:val="24"/>
        </w:rPr>
      </w:pPr>
      <w:r w:rsidRPr="00D55103">
        <w:rPr>
          <w:szCs w:val="24"/>
        </w:rPr>
        <w:t xml:space="preserve">Robert Garcia </w:t>
      </w:r>
      <w:r w:rsidR="007A3224" w:rsidRPr="00D55103">
        <w:rPr>
          <w:szCs w:val="24"/>
        </w:rPr>
        <w:t>in the amount of $</w:t>
      </w:r>
      <w:r w:rsidRPr="00D55103">
        <w:rPr>
          <w:szCs w:val="24"/>
        </w:rPr>
        <w:t>4</w:t>
      </w:r>
      <w:r w:rsidR="007A3224" w:rsidRPr="00D55103">
        <w:rPr>
          <w:szCs w:val="24"/>
        </w:rPr>
        <w:t>,</w:t>
      </w:r>
      <w:r w:rsidRPr="00D55103">
        <w:rPr>
          <w:szCs w:val="24"/>
        </w:rPr>
        <w:t>950</w:t>
      </w:r>
      <w:r w:rsidR="007A3224" w:rsidRPr="00D55103">
        <w:rPr>
          <w:szCs w:val="24"/>
        </w:rPr>
        <w:t xml:space="preserve"> plus 10 p</w:t>
      </w:r>
      <w:r w:rsidRPr="00D55103">
        <w:rPr>
          <w:szCs w:val="24"/>
        </w:rPr>
        <w:t>ercent interest per year from</w:t>
      </w:r>
      <w:r w:rsidRPr="00D55103">
        <w:rPr>
          <w:szCs w:val="24"/>
        </w:rPr>
        <w:br/>
        <w:t>July 30, 2014</w:t>
      </w:r>
      <w:r w:rsidR="007A3224" w:rsidRPr="00D55103">
        <w:rPr>
          <w:szCs w:val="24"/>
        </w:rPr>
        <w:t>;</w:t>
      </w:r>
    </w:p>
    <w:p w14:paraId="1E7745ED" w14:textId="77777777" w:rsidR="00B60500" w:rsidRPr="00D55103" w:rsidRDefault="00B60500" w:rsidP="00B60500">
      <w:pPr>
        <w:rPr>
          <w:szCs w:val="24"/>
        </w:rPr>
      </w:pPr>
    </w:p>
    <w:p w14:paraId="60C249C5" w14:textId="77777777" w:rsidR="00B60500" w:rsidRPr="00D55103" w:rsidRDefault="00A35DB8" w:rsidP="00B60500">
      <w:pPr>
        <w:pStyle w:val="ListParagraph"/>
        <w:numPr>
          <w:ilvl w:val="0"/>
          <w:numId w:val="23"/>
        </w:numPr>
        <w:ind w:left="1260" w:hanging="540"/>
        <w:rPr>
          <w:szCs w:val="24"/>
        </w:rPr>
      </w:pPr>
      <w:r w:rsidRPr="00D55103">
        <w:rPr>
          <w:szCs w:val="24"/>
        </w:rPr>
        <w:t xml:space="preserve">Adrienne Kessler </w:t>
      </w:r>
      <w:r w:rsidR="007A3224" w:rsidRPr="00D55103">
        <w:rPr>
          <w:szCs w:val="24"/>
        </w:rPr>
        <w:t>in the amount of $</w:t>
      </w:r>
      <w:r w:rsidRPr="00D55103">
        <w:rPr>
          <w:szCs w:val="24"/>
        </w:rPr>
        <w:t>41</w:t>
      </w:r>
      <w:r w:rsidR="007A3224" w:rsidRPr="00D55103">
        <w:rPr>
          <w:szCs w:val="24"/>
        </w:rPr>
        <w:t>,</w:t>
      </w:r>
      <w:r w:rsidRPr="00D55103">
        <w:rPr>
          <w:szCs w:val="24"/>
        </w:rPr>
        <w:t>599.60</w:t>
      </w:r>
      <w:r w:rsidR="007A3224" w:rsidRPr="00D55103">
        <w:rPr>
          <w:szCs w:val="24"/>
        </w:rPr>
        <w:t xml:space="preserve"> plus 10 percent interest per year from August 2, 2012;</w:t>
      </w:r>
    </w:p>
    <w:p w14:paraId="1894FF02" w14:textId="77777777" w:rsidR="00B60500" w:rsidRPr="00D55103" w:rsidRDefault="00B60500" w:rsidP="00B60500">
      <w:pPr>
        <w:rPr>
          <w:szCs w:val="24"/>
        </w:rPr>
      </w:pPr>
    </w:p>
    <w:p w14:paraId="2707AD8B" w14:textId="77777777" w:rsidR="00B60500" w:rsidRPr="00D55103" w:rsidRDefault="00A35DB8" w:rsidP="00B60500">
      <w:pPr>
        <w:pStyle w:val="ListParagraph"/>
        <w:numPr>
          <w:ilvl w:val="0"/>
          <w:numId w:val="23"/>
        </w:numPr>
        <w:ind w:left="1260" w:hanging="540"/>
        <w:rPr>
          <w:szCs w:val="24"/>
        </w:rPr>
      </w:pPr>
      <w:r w:rsidRPr="00D55103">
        <w:rPr>
          <w:szCs w:val="24"/>
        </w:rPr>
        <w:t>Felice Soule</w:t>
      </w:r>
      <w:r w:rsidR="007A3224" w:rsidRPr="00D55103">
        <w:rPr>
          <w:szCs w:val="24"/>
        </w:rPr>
        <w:t xml:space="preserve"> in the amount of $</w:t>
      </w:r>
      <w:r w:rsidRPr="00D55103">
        <w:rPr>
          <w:szCs w:val="24"/>
        </w:rPr>
        <w:t>3</w:t>
      </w:r>
      <w:r w:rsidR="007A3224" w:rsidRPr="00D55103">
        <w:rPr>
          <w:szCs w:val="24"/>
        </w:rPr>
        <w:t>2,</w:t>
      </w:r>
      <w:r w:rsidRPr="00D55103">
        <w:rPr>
          <w:szCs w:val="24"/>
        </w:rPr>
        <w:t>0</w:t>
      </w:r>
      <w:r w:rsidR="007A3224" w:rsidRPr="00D55103">
        <w:rPr>
          <w:szCs w:val="24"/>
        </w:rPr>
        <w:t xml:space="preserve">00 plus 10 percent interest per year from </w:t>
      </w:r>
      <w:r w:rsidRPr="00D55103">
        <w:rPr>
          <w:szCs w:val="24"/>
        </w:rPr>
        <w:t>September</w:t>
      </w:r>
      <w:r w:rsidR="007A3224" w:rsidRPr="00D55103">
        <w:rPr>
          <w:szCs w:val="24"/>
        </w:rPr>
        <w:t> </w:t>
      </w:r>
      <w:r w:rsidRPr="00D55103">
        <w:rPr>
          <w:szCs w:val="24"/>
        </w:rPr>
        <w:t>30</w:t>
      </w:r>
      <w:r w:rsidR="007A3224" w:rsidRPr="00D55103">
        <w:rPr>
          <w:szCs w:val="24"/>
        </w:rPr>
        <w:t>, 201</w:t>
      </w:r>
      <w:r w:rsidRPr="00D55103">
        <w:rPr>
          <w:szCs w:val="24"/>
        </w:rPr>
        <w:t>2</w:t>
      </w:r>
      <w:r w:rsidR="007A3224" w:rsidRPr="00D55103">
        <w:rPr>
          <w:szCs w:val="24"/>
        </w:rPr>
        <w:t>;</w:t>
      </w:r>
      <w:r w:rsidRPr="00D55103">
        <w:rPr>
          <w:szCs w:val="24"/>
        </w:rPr>
        <w:t xml:space="preserve"> and</w:t>
      </w:r>
    </w:p>
    <w:p w14:paraId="6C9981B7" w14:textId="77777777" w:rsidR="00B60500" w:rsidRPr="00D55103" w:rsidRDefault="00B60500" w:rsidP="00B60500">
      <w:pPr>
        <w:rPr>
          <w:szCs w:val="24"/>
        </w:rPr>
      </w:pPr>
    </w:p>
    <w:p w14:paraId="5812299D" w14:textId="77777777" w:rsidR="007A3224" w:rsidRPr="00D55103" w:rsidRDefault="00A35DB8" w:rsidP="00B60500">
      <w:pPr>
        <w:pStyle w:val="ListParagraph"/>
        <w:numPr>
          <w:ilvl w:val="0"/>
          <w:numId w:val="23"/>
        </w:numPr>
        <w:ind w:left="1260" w:hanging="540"/>
        <w:rPr>
          <w:szCs w:val="24"/>
        </w:rPr>
      </w:pPr>
      <w:r w:rsidRPr="00D55103">
        <w:rPr>
          <w:szCs w:val="24"/>
        </w:rPr>
        <w:t>Cherie Adams</w:t>
      </w:r>
      <w:r w:rsidR="007A3224" w:rsidRPr="00D55103">
        <w:rPr>
          <w:szCs w:val="24"/>
        </w:rPr>
        <w:t xml:space="preserve"> in the amount of $</w:t>
      </w:r>
      <w:r w:rsidRPr="00D55103">
        <w:rPr>
          <w:szCs w:val="24"/>
        </w:rPr>
        <w:t>6</w:t>
      </w:r>
      <w:r w:rsidR="007A3224" w:rsidRPr="00D55103">
        <w:rPr>
          <w:szCs w:val="24"/>
        </w:rPr>
        <w:t>,</w:t>
      </w:r>
      <w:r w:rsidRPr="00D55103">
        <w:rPr>
          <w:szCs w:val="24"/>
        </w:rPr>
        <w:t>2</w:t>
      </w:r>
      <w:r w:rsidR="007A3224" w:rsidRPr="00D55103">
        <w:rPr>
          <w:szCs w:val="24"/>
        </w:rPr>
        <w:t xml:space="preserve">50 plus 10 percent interest per year from </w:t>
      </w:r>
      <w:r w:rsidRPr="00D55103">
        <w:rPr>
          <w:szCs w:val="24"/>
        </w:rPr>
        <w:t>March</w:t>
      </w:r>
      <w:r w:rsidR="007A3224" w:rsidRPr="00D55103">
        <w:rPr>
          <w:szCs w:val="24"/>
        </w:rPr>
        <w:t> 4, 201</w:t>
      </w:r>
      <w:r w:rsidRPr="00D55103">
        <w:rPr>
          <w:szCs w:val="24"/>
        </w:rPr>
        <w:t>4.</w:t>
      </w:r>
    </w:p>
    <w:p w14:paraId="4BD347AC" w14:textId="77777777" w:rsidR="007A3224" w:rsidRPr="00D55103" w:rsidRDefault="007A3224" w:rsidP="007A3224">
      <w:pPr>
        <w:rPr>
          <w:szCs w:val="24"/>
        </w:rPr>
      </w:pPr>
    </w:p>
    <w:p w14:paraId="037170F2" w14:textId="1163234D" w:rsidR="00603695" w:rsidRPr="00D55103" w:rsidRDefault="00283833" w:rsidP="00603695">
      <w:pPr>
        <w:pStyle w:val="ListParagraph"/>
        <w:numPr>
          <w:ilvl w:val="1"/>
          <w:numId w:val="20"/>
        </w:numPr>
        <w:ind w:left="720"/>
        <w:rPr>
          <w:szCs w:val="24"/>
        </w:rPr>
      </w:pPr>
      <w:r w:rsidRPr="00D55103">
        <w:rPr>
          <w:szCs w:val="24"/>
        </w:rPr>
        <w:t>H</w:t>
      </w:r>
      <w:r w:rsidR="00B60500" w:rsidRPr="00D55103">
        <w:rPr>
          <w:szCs w:val="24"/>
        </w:rPr>
        <w:t>e provide</w:t>
      </w:r>
      <w:r w:rsidRPr="00D55103">
        <w:rPr>
          <w:szCs w:val="24"/>
        </w:rPr>
        <w:t>s</w:t>
      </w:r>
      <w:r w:rsidR="00B60500" w:rsidRPr="00D55103">
        <w:rPr>
          <w:szCs w:val="24"/>
        </w:rPr>
        <w:t xml:space="preserve"> proof to the State Bar Court of </w:t>
      </w:r>
      <w:r w:rsidR="00E807FA" w:rsidRPr="00D55103">
        <w:rPr>
          <w:szCs w:val="24"/>
        </w:rPr>
        <w:t>his</w:t>
      </w:r>
      <w:r w:rsidR="00B60500" w:rsidRPr="00D55103">
        <w:rPr>
          <w:szCs w:val="24"/>
        </w:rPr>
        <w:t xml:space="preserve"> rehabilitation, fitness to practice, and learning and ability in the general law.  (</w:t>
      </w:r>
      <w:r w:rsidR="00603695" w:rsidRPr="00D55103">
        <w:rPr>
          <w:szCs w:val="24"/>
        </w:rPr>
        <w:t>Rules Proc. of State Bar, tit.</w:t>
      </w:r>
      <w:r w:rsidR="00E45F8D">
        <w:rPr>
          <w:szCs w:val="24"/>
        </w:rPr>
        <w:t> </w:t>
      </w:r>
      <w:r w:rsidR="00603695" w:rsidRPr="00D55103">
        <w:rPr>
          <w:szCs w:val="24"/>
        </w:rPr>
        <w:t>IV, Stds. for Atty. Sanctions for Prof. Misconduct, std.</w:t>
      </w:r>
      <w:r w:rsidR="00E45F8D">
        <w:rPr>
          <w:szCs w:val="24"/>
        </w:rPr>
        <w:t> </w:t>
      </w:r>
      <w:r w:rsidR="00603695" w:rsidRPr="00D55103">
        <w:rPr>
          <w:szCs w:val="24"/>
        </w:rPr>
        <w:t>1.2(c)(1).)</w:t>
      </w:r>
    </w:p>
    <w:p w14:paraId="3206B720" w14:textId="77777777" w:rsidR="00603695" w:rsidRPr="00D55103" w:rsidRDefault="00603695" w:rsidP="00E807FA">
      <w:pPr>
        <w:contextualSpacing/>
        <w:rPr>
          <w:szCs w:val="24"/>
        </w:rPr>
      </w:pPr>
    </w:p>
    <w:p w14:paraId="46AC1DD7" w14:textId="77777777" w:rsidR="00E807FA" w:rsidRPr="00D55103" w:rsidRDefault="00E807FA" w:rsidP="00E807FA">
      <w:pPr>
        <w:pStyle w:val="ListParagraph"/>
        <w:numPr>
          <w:ilvl w:val="0"/>
          <w:numId w:val="20"/>
        </w:numPr>
        <w:ind w:left="360"/>
        <w:rPr>
          <w:szCs w:val="24"/>
        </w:rPr>
      </w:pPr>
      <w:r w:rsidRPr="00D55103">
        <w:rPr>
          <w:szCs w:val="24"/>
        </w:rPr>
        <w:t>He must comply with the provisions of the State Bar Act, the Rules of Professional Conduct, and all of the conditions of his probation.</w:t>
      </w:r>
    </w:p>
    <w:p w14:paraId="5401AB6E" w14:textId="77777777" w:rsidR="00E807FA" w:rsidRPr="00D55103" w:rsidRDefault="00E807FA" w:rsidP="00174B04">
      <w:pPr>
        <w:contextualSpacing/>
        <w:rPr>
          <w:szCs w:val="24"/>
        </w:rPr>
      </w:pPr>
    </w:p>
    <w:p w14:paraId="5F1A6B22" w14:textId="3EAA2B91" w:rsidR="00E807FA" w:rsidRPr="00D55103" w:rsidRDefault="00E807FA" w:rsidP="00E807FA">
      <w:pPr>
        <w:pStyle w:val="ListParagraph"/>
        <w:numPr>
          <w:ilvl w:val="0"/>
          <w:numId w:val="20"/>
        </w:numPr>
        <w:ind w:left="360"/>
        <w:rPr>
          <w:szCs w:val="24"/>
        </w:rPr>
      </w:pPr>
      <w:r w:rsidRPr="00D55103">
        <w:rPr>
          <w:szCs w:val="24"/>
        </w:rPr>
        <w:t>Within 10 days of any change in the information required to be maintained on the membership records of the State Bar pursuant to Business and Professions Code section</w:t>
      </w:r>
      <w:r w:rsidR="00D51E94">
        <w:rPr>
          <w:szCs w:val="24"/>
        </w:rPr>
        <w:t> </w:t>
      </w:r>
      <w:r w:rsidRPr="00D55103">
        <w:rPr>
          <w:szCs w:val="24"/>
        </w:rPr>
        <w:t>6002.1, subdivision</w:t>
      </w:r>
      <w:r w:rsidR="00D51E94">
        <w:rPr>
          <w:szCs w:val="24"/>
        </w:rPr>
        <w:t> </w:t>
      </w:r>
      <w:r w:rsidRPr="00D55103">
        <w:rPr>
          <w:szCs w:val="24"/>
        </w:rPr>
        <w:t>(a), including his current office address and telephone number, or if no office is maintained, the address to be used for State Bar purposes, he must report such change in writing to the Membership Records Office and the State Bar Office of Probation.</w:t>
      </w:r>
    </w:p>
    <w:p w14:paraId="138CDED5" w14:textId="77777777" w:rsidR="00763960" w:rsidRPr="00D55103" w:rsidRDefault="00763960" w:rsidP="00763960">
      <w:pPr>
        <w:rPr>
          <w:szCs w:val="24"/>
        </w:rPr>
      </w:pPr>
    </w:p>
    <w:p w14:paraId="1E4D3EF0" w14:textId="14BE4F7E" w:rsidR="00763960" w:rsidRPr="00D55103" w:rsidRDefault="00763960" w:rsidP="00763960">
      <w:pPr>
        <w:pStyle w:val="ListParagraph"/>
        <w:numPr>
          <w:ilvl w:val="0"/>
          <w:numId w:val="20"/>
        </w:numPr>
        <w:ind w:left="360"/>
        <w:rPr>
          <w:szCs w:val="24"/>
        </w:rPr>
      </w:pPr>
      <w:r w:rsidRPr="00D55103">
        <w:rPr>
          <w:szCs w:val="24"/>
        </w:rPr>
        <w:t xml:space="preserve">Within 30 days after the effective date of discipline, he must contact the Office of Probation and schedule a meeting with his assigned probation </w:t>
      </w:r>
      <w:r w:rsidR="00D51E94">
        <w:rPr>
          <w:szCs w:val="24"/>
        </w:rPr>
        <w:t>case specialist</w:t>
      </w:r>
      <w:r w:rsidRPr="00D55103">
        <w:rPr>
          <w:szCs w:val="24"/>
        </w:rPr>
        <w:t xml:space="preserve"> to discuss the terms and conditions of probation.  Upon the direction of the Office of Probation, he must meet with the probation </w:t>
      </w:r>
      <w:r w:rsidR="00D51E94">
        <w:rPr>
          <w:szCs w:val="24"/>
        </w:rPr>
        <w:t>case specialist</w:t>
      </w:r>
      <w:r w:rsidRPr="00D55103">
        <w:rPr>
          <w:szCs w:val="24"/>
        </w:rPr>
        <w:t xml:space="preserve"> either in person or by telephone.  During the period of probation, he must promptly meet with the probation </w:t>
      </w:r>
      <w:r w:rsidR="00D51E94">
        <w:rPr>
          <w:szCs w:val="24"/>
        </w:rPr>
        <w:t>case specialist</w:t>
      </w:r>
      <w:r w:rsidRPr="00D55103">
        <w:rPr>
          <w:szCs w:val="24"/>
        </w:rPr>
        <w:t xml:space="preserve"> as directed and upon request.</w:t>
      </w:r>
    </w:p>
    <w:p w14:paraId="14744173" w14:textId="77777777" w:rsidR="00E807FA" w:rsidRPr="00D55103" w:rsidRDefault="00E807FA" w:rsidP="00174B04">
      <w:pPr>
        <w:contextualSpacing/>
        <w:rPr>
          <w:szCs w:val="24"/>
        </w:rPr>
      </w:pPr>
    </w:p>
    <w:p w14:paraId="4AFF9E76" w14:textId="669C5F3E" w:rsidR="00763960" w:rsidRPr="00D55103" w:rsidRDefault="00763960" w:rsidP="00763960">
      <w:pPr>
        <w:pStyle w:val="ListParagraph"/>
        <w:numPr>
          <w:ilvl w:val="0"/>
          <w:numId w:val="20"/>
        </w:numPr>
        <w:ind w:left="360"/>
        <w:rPr>
          <w:szCs w:val="24"/>
        </w:rPr>
      </w:pPr>
      <w:r w:rsidRPr="00D55103">
        <w:rPr>
          <w:szCs w:val="24"/>
        </w:rPr>
        <w:t>He must submit written quarterly reports to the Office of Probation on each January</w:t>
      </w:r>
      <w:r w:rsidR="00D51E94">
        <w:rPr>
          <w:szCs w:val="24"/>
        </w:rPr>
        <w:t> </w:t>
      </w:r>
      <w:r w:rsidRPr="00D55103">
        <w:rPr>
          <w:szCs w:val="24"/>
        </w:rPr>
        <w:t>10, April</w:t>
      </w:r>
      <w:r w:rsidR="00D51E94">
        <w:rPr>
          <w:szCs w:val="24"/>
        </w:rPr>
        <w:t> </w:t>
      </w:r>
      <w:r w:rsidRPr="00D55103">
        <w:rPr>
          <w:szCs w:val="24"/>
        </w:rPr>
        <w:t>10, July</w:t>
      </w:r>
      <w:r w:rsidR="00D51E94">
        <w:rPr>
          <w:szCs w:val="24"/>
        </w:rPr>
        <w:t> </w:t>
      </w:r>
      <w:r w:rsidRPr="00D55103">
        <w:rPr>
          <w:szCs w:val="24"/>
        </w:rPr>
        <w:t>10, and October</w:t>
      </w:r>
      <w:r w:rsidR="00D51E94">
        <w:rPr>
          <w:szCs w:val="24"/>
        </w:rPr>
        <w:t> </w:t>
      </w:r>
      <w:r w:rsidRPr="00D55103">
        <w:rPr>
          <w:szCs w:val="24"/>
        </w:rPr>
        <w:t xml:space="preserve">10 of the period of probation.  Under penalty of perjury, he must state whether </w:t>
      </w:r>
      <w:bookmarkStart w:id="10" w:name="Text3"/>
      <w:r w:rsidRPr="00D55103">
        <w:rPr>
          <w:szCs w:val="24"/>
        </w:rPr>
        <w:t xml:space="preserve">he </w:t>
      </w:r>
      <w:bookmarkEnd w:id="10"/>
      <w:r w:rsidRPr="00D55103">
        <w:rPr>
          <w:szCs w:val="24"/>
        </w:rPr>
        <w:t xml:space="preserve">has complied with the State Bar Act, the Rules of Professional Conduct, and all of the conditions of </w:t>
      </w:r>
      <w:bookmarkStart w:id="11" w:name="Text4"/>
      <w:r w:rsidRPr="00D55103">
        <w:rPr>
          <w:szCs w:val="24"/>
        </w:rPr>
        <w:t>his</w:t>
      </w:r>
      <w:bookmarkEnd w:id="11"/>
      <w:r w:rsidRPr="00D55103">
        <w:rPr>
          <w:szCs w:val="24"/>
        </w:rPr>
        <w:t xml:space="preserve"> probation during the preceding calendar quarter.  In addition to all quarterly reports, a final report, containing the same information, is due no earlier than 20 days before the last day of the probation period and no later than the last day of the probation period.</w:t>
      </w:r>
    </w:p>
    <w:p w14:paraId="4B6EEBDC" w14:textId="77777777" w:rsidR="00763960" w:rsidRPr="00D55103" w:rsidRDefault="00763960" w:rsidP="00763960">
      <w:pPr>
        <w:rPr>
          <w:szCs w:val="24"/>
        </w:rPr>
      </w:pPr>
    </w:p>
    <w:p w14:paraId="795B2C56" w14:textId="76F2C127" w:rsidR="00763960" w:rsidRPr="00D55103" w:rsidRDefault="00763960" w:rsidP="00763960">
      <w:pPr>
        <w:pStyle w:val="ListParagraph"/>
        <w:numPr>
          <w:ilvl w:val="0"/>
          <w:numId w:val="20"/>
        </w:numPr>
        <w:ind w:left="360"/>
        <w:rPr>
          <w:szCs w:val="24"/>
        </w:rPr>
      </w:pPr>
      <w:r w:rsidRPr="00D55103">
        <w:rPr>
          <w:szCs w:val="24"/>
        </w:rPr>
        <w:t xml:space="preserve">Subject to the assertion of applicable privileges, he must answer fully, promptly, and truthfully, any inquiries of the Office of Probation that are directed to him personally or in writing, </w:t>
      </w:r>
      <w:r w:rsidR="000075BD">
        <w:rPr>
          <w:szCs w:val="24"/>
        </w:rPr>
        <w:t>as</w:t>
      </w:r>
      <w:r w:rsidRPr="00D55103">
        <w:rPr>
          <w:szCs w:val="24"/>
        </w:rPr>
        <w:t xml:space="preserve"> to whether he is complying or has complied with the conditions contained herein.</w:t>
      </w:r>
    </w:p>
    <w:p w14:paraId="39C0E225" w14:textId="77777777" w:rsidR="00763960" w:rsidRPr="00D55103" w:rsidRDefault="00763960" w:rsidP="00174B04">
      <w:pPr>
        <w:contextualSpacing/>
        <w:rPr>
          <w:szCs w:val="24"/>
        </w:rPr>
      </w:pPr>
    </w:p>
    <w:p w14:paraId="37B06582" w14:textId="17FEA9C3" w:rsidR="00AE07A3" w:rsidRPr="00D55103" w:rsidRDefault="00AE07A3" w:rsidP="00AE07A3">
      <w:pPr>
        <w:pStyle w:val="ListParagraph"/>
        <w:numPr>
          <w:ilvl w:val="0"/>
          <w:numId w:val="20"/>
        </w:numPr>
        <w:ind w:left="360"/>
        <w:rPr>
          <w:szCs w:val="24"/>
        </w:rPr>
      </w:pPr>
      <w:r w:rsidRPr="00D55103">
        <w:rPr>
          <w:szCs w:val="24"/>
        </w:rPr>
        <w:t>Within one year after the effective date of the discipline herein, he must submit to the Office of Probation satisfactory evidence of completion of the State Bar’s Ethics School and passage of the test given at the end of that session.  This requirement is separate from any Minimum Continuing Legal Education (MCLE) requirement, and he shall not receive MCLE credit for attending Ethics School.  (Rules Proc. of State Bar, rule</w:t>
      </w:r>
      <w:r w:rsidR="00804CA3">
        <w:rPr>
          <w:szCs w:val="24"/>
        </w:rPr>
        <w:t> </w:t>
      </w:r>
      <w:r w:rsidRPr="00D55103">
        <w:rPr>
          <w:szCs w:val="24"/>
        </w:rPr>
        <w:t>3201.)</w:t>
      </w:r>
    </w:p>
    <w:p w14:paraId="0532EB52" w14:textId="77777777" w:rsidR="00AE07A3" w:rsidRPr="00D55103" w:rsidRDefault="00AE07A3" w:rsidP="00174B04">
      <w:pPr>
        <w:contextualSpacing/>
        <w:rPr>
          <w:szCs w:val="24"/>
        </w:rPr>
      </w:pPr>
    </w:p>
    <w:p w14:paraId="0D7A5A05" w14:textId="77777777" w:rsidR="00AE07A3" w:rsidRPr="00D55103" w:rsidRDefault="00AE07A3" w:rsidP="00AE07A3">
      <w:pPr>
        <w:spacing w:line="480" w:lineRule="auto"/>
        <w:ind w:firstLine="720"/>
        <w:rPr>
          <w:szCs w:val="24"/>
        </w:rPr>
      </w:pPr>
      <w:r w:rsidRPr="00D55103">
        <w:rPr>
          <w:szCs w:val="24"/>
        </w:rPr>
        <w:t>The period of probation will commence on the effective date of the Supreme Court order imposing discipline in this matter.  At the expiration of the period of probation, if he has complied with all conditions of probation, the period of stayed suspension will be satisfied and that suspension will be terminated.</w:t>
      </w:r>
    </w:p>
    <w:p w14:paraId="29DC3242" w14:textId="77777777" w:rsidR="00AE07A3" w:rsidRPr="00D55103" w:rsidRDefault="00AE07A3" w:rsidP="00174B04">
      <w:pPr>
        <w:spacing w:line="480" w:lineRule="auto"/>
        <w:jc w:val="center"/>
        <w:rPr>
          <w:b/>
          <w:szCs w:val="24"/>
        </w:rPr>
      </w:pPr>
      <w:r w:rsidRPr="00D55103">
        <w:rPr>
          <w:b/>
          <w:szCs w:val="24"/>
        </w:rPr>
        <w:lastRenderedPageBreak/>
        <w:t>I</w:t>
      </w:r>
      <w:r w:rsidR="00BA2E50" w:rsidRPr="00D55103">
        <w:rPr>
          <w:b/>
          <w:szCs w:val="24"/>
        </w:rPr>
        <w:t>X</w:t>
      </w:r>
      <w:r w:rsidRPr="00D55103">
        <w:rPr>
          <w:b/>
          <w:szCs w:val="24"/>
        </w:rPr>
        <w:t>.  PROFESSIONAL RESPONSIBILITY EXAMINATION</w:t>
      </w:r>
    </w:p>
    <w:p w14:paraId="7F80C98A" w14:textId="7F37C200" w:rsidR="00826A17" w:rsidRPr="00D55103" w:rsidRDefault="00AE07A3" w:rsidP="00174B04">
      <w:pPr>
        <w:spacing w:line="480" w:lineRule="auto"/>
        <w:rPr>
          <w:szCs w:val="24"/>
        </w:rPr>
      </w:pPr>
      <w:r w:rsidRPr="00D55103">
        <w:rPr>
          <w:szCs w:val="24"/>
        </w:rPr>
        <w:tab/>
        <w:t xml:space="preserve">We further recommend that </w:t>
      </w:r>
      <w:r w:rsidR="006E0BF2" w:rsidRPr="00D55103">
        <w:rPr>
          <w:szCs w:val="24"/>
        </w:rPr>
        <w:t xml:space="preserve">Stephen Rawliegh Golden </w:t>
      </w:r>
      <w:r w:rsidRPr="00D55103">
        <w:rPr>
          <w:szCs w:val="24"/>
        </w:rPr>
        <w:t>be ordered to take and pass the Multistate Professional Responsibility Examination administered by the National Conference of Bar Examiners within one year of the effective date of the Supreme Court order in this matter, or during the period of his actual</w:t>
      </w:r>
      <w:r w:rsidRPr="00D55103">
        <w:rPr>
          <w:rStyle w:val="CommentReference"/>
          <w:sz w:val="24"/>
          <w:szCs w:val="24"/>
        </w:rPr>
        <w:t xml:space="preserve"> </w:t>
      </w:r>
      <w:r w:rsidRPr="00D55103">
        <w:rPr>
          <w:szCs w:val="24"/>
        </w:rPr>
        <w:t>suspension, whichever is longer, and to provide satisfactory proof of such passage to the Office of Probation within the same period.  Failure to do so may result in an automatic suspension.  (Cal. Rules of Court, rule</w:t>
      </w:r>
      <w:r w:rsidR="00E45F8D">
        <w:rPr>
          <w:szCs w:val="24"/>
        </w:rPr>
        <w:t> </w:t>
      </w:r>
      <w:r w:rsidRPr="00D55103">
        <w:rPr>
          <w:szCs w:val="24"/>
        </w:rPr>
        <w:t>9.10(b).)</w:t>
      </w:r>
    </w:p>
    <w:p w14:paraId="0AC0C2D9" w14:textId="77777777" w:rsidR="006E0BF2" w:rsidRPr="00D55103" w:rsidRDefault="00BA2E50" w:rsidP="00174B04">
      <w:pPr>
        <w:spacing w:line="480" w:lineRule="auto"/>
        <w:jc w:val="center"/>
        <w:rPr>
          <w:b/>
          <w:szCs w:val="24"/>
        </w:rPr>
      </w:pPr>
      <w:r w:rsidRPr="00D55103">
        <w:rPr>
          <w:b/>
          <w:szCs w:val="24"/>
        </w:rPr>
        <w:t>X</w:t>
      </w:r>
      <w:r w:rsidR="006E0BF2" w:rsidRPr="00D55103">
        <w:rPr>
          <w:b/>
          <w:szCs w:val="24"/>
        </w:rPr>
        <w:t>.  RULE 9.20</w:t>
      </w:r>
    </w:p>
    <w:p w14:paraId="1FFFC14C" w14:textId="11B893E9" w:rsidR="00D8655B" w:rsidRPr="00D55103" w:rsidRDefault="006E0BF2" w:rsidP="00174B04">
      <w:pPr>
        <w:spacing w:line="480" w:lineRule="auto"/>
        <w:rPr>
          <w:szCs w:val="24"/>
        </w:rPr>
      </w:pPr>
      <w:r w:rsidRPr="00D55103">
        <w:rPr>
          <w:szCs w:val="24"/>
        </w:rPr>
        <w:tab/>
        <w:t xml:space="preserve">We further recommend that </w:t>
      </w:r>
      <w:bookmarkStart w:id="12" w:name="Text30"/>
      <w:r w:rsidRPr="00D55103">
        <w:rPr>
          <w:szCs w:val="24"/>
        </w:rPr>
        <w:t>Golden</w:t>
      </w:r>
      <w:bookmarkEnd w:id="12"/>
      <w:r w:rsidRPr="00D55103">
        <w:rPr>
          <w:szCs w:val="24"/>
        </w:rPr>
        <w:t xml:space="preserve"> be ordered to comply with the requirements of rule</w:t>
      </w:r>
      <w:r w:rsidR="00E45F8D">
        <w:rPr>
          <w:szCs w:val="24"/>
        </w:rPr>
        <w:t> </w:t>
      </w:r>
      <w:r w:rsidRPr="00D55103">
        <w:rPr>
          <w:szCs w:val="24"/>
        </w:rPr>
        <w:t>9.20 of the California Rules of Court, and to perform the</w:t>
      </w:r>
      <w:r w:rsidR="00E45F8D">
        <w:rPr>
          <w:szCs w:val="24"/>
        </w:rPr>
        <w:t xml:space="preserve"> acts specified in subdivisions </w:t>
      </w:r>
      <w:r w:rsidRPr="00D55103">
        <w:rPr>
          <w:szCs w:val="24"/>
        </w:rPr>
        <w:t>(a) and (c) of that rule within 30 and 40 days, respectively, after the effective date of the Supreme Court order in this proceeding.  Failure to do so may result in disbarment or suspension.</w:t>
      </w:r>
    </w:p>
    <w:p w14:paraId="31A73882" w14:textId="77777777" w:rsidR="006E0BF2" w:rsidRPr="00D55103" w:rsidRDefault="006E0BF2" w:rsidP="00174B04">
      <w:pPr>
        <w:spacing w:line="480" w:lineRule="auto"/>
        <w:jc w:val="center"/>
        <w:rPr>
          <w:szCs w:val="24"/>
        </w:rPr>
      </w:pPr>
      <w:r w:rsidRPr="00D55103">
        <w:rPr>
          <w:b/>
          <w:szCs w:val="24"/>
        </w:rPr>
        <w:t>X</w:t>
      </w:r>
      <w:r w:rsidR="00BA2E50" w:rsidRPr="00D55103">
        <w:rPr>
          <w:b/>
          <w:szCs w:val="24"/>
        </w:rPr>
        <w:t>I</w:t>
      </w:r>
      <w:r w:rsidRPr="00D55103">
        <w:rPr>
          <w:b/>
          <w:szCs w:val="24"/>
        </w:rPr>
        <w:t>.  COSTS</w:t>
      </w:r>
    </w:p>
    <w:p w14:paraId="772F9A08" w14:textId="6B40E588" w:rsidR="006E0BF2" w:rsidRPr="00D55103" w:rsidRDefault="006E0BF2" w:rsidP="00174B04">
      <w:pPr>
        <w:spacing w:line="480" w:lineRule="auto"/>
        <w:rPr>
          <w:szCs w:val="24"/>
        </w:rPr>
      </w:pPr>
      <w:r w:rsidRPr="00D55103">
        <w:rPr>
          <w:szCs w:val="24"/>
        </w:rPr>
        <w:tab/>
        <w:t>We further recommend that costs be awarded to the State Bar in accordance with Business and Professions Code section</w:t>
      </w:r>
      <w:r w:rsidR="00E45F8D">
        <w:rPr>
          <w:szCs w:val="24"/>
        </w:rPr>
        <w:t> </w:t>
      </w:r>
      <w:r w:rsidRPr="00D55103">
        <w:rPr>
          <w:szCs w:val="24"/>
        </w:rPr>
        <w:t>6086.10, such costs being enforceable both as provided in section 6140.7 and as a money judgment.</w:t>
      </w:r>
    </w:p>
    <w:p w14:paraId="783517B1" w14:textId="77777777" w:rsidR="009C20D3" w:rsidRDefault="009C20D3" w:rsidP="009C20D3">
      <w:pPr>
        <w:rPr>
          <w:szCs w:val="24"/>
        </w:rPr>
      </w:pPr>
      <w:r w:rsidRPr="00D55103">
        <w:rPr>
          <w:szCs w:val="24"/>
        </w:rPr>
        <w:tab/>
      </w:r>
      <w:r w:rsidRPr="00D55103">
        <w:rPr>
          <w:szCs w:val="24"/>
        </w:rPr>
        <w:tab/>
      </w:r>
      <w:r w:rsidRPr="00D55103">
        <w:rPr>
          <w:szCs w:val="24"/>
        </w:rPr>
        <w:tab/>
      </w:r>
      <w:r w:rsidRPr="00D55103">
        <w:rPr>
          <w:szCs w:val="24"/>
        </w:rPr>
        <w:tab/>
      </w:r>
      <w:r w:rsidRPr="00D55103">
        <w:rPr>
          <w:szCs w:val="24"/>
        </w:rPr>
        <w:tab/>
      </w:r>
      <w:r w:rsidRPr="00D55103">
        <w:rPr>
          <w:szCs w:val="24"/>
        </w:rPr>
        <w:tab/>
      </w:r>
      <w:r w:rsidRPr="00D55103">
        <w:rPr>
          <w:szCs w:val="24"/>
        </w:rPr>
        <w:tab/>
      </w:r>
      <w:bookmarkStart w:id="13" w:name="judge"/>
      <w:bookmarkEnd w:id="13"/>
      <w:r w:rsidRPr="00D55103">
        <w:rPr>
          <w:szCs w:val="24"/>
        </w:rPr>
        <w:t>HONN, J.</w:t>
      </w:r>
    </w:p>
    <w:p w14:paraId="7F204024" w14:textId="77777777" w:rsidR="00A82988" w:rsidRPr="00D55103" w:rsidRDefault="00A82988" w:rsidP="009C20D3">
      <w:pPr>
        <w:rPr>
          <w:szCs w:val="24"/>
        </w:rPr>
      </w:pPr>
    </w:p>
    <w:p w14:paraId="149C5182" w14:textId="77777777" w:rsidR="009C20D3" w:rsidRPr="00D55103" w:rsidRDefault="009C20D3" w:rsidP="009C20D3">
      <w:pPr>
        <w:spacing w:line="480" w:lineRule="auto"/>
        <w:rPr>
          <w:szCs w:val="24"/>
        </w:rPr>
      </w:pPr>
      <w:r w:rsidRPr="00D55103">
        <w:rPr>
          <w:szCs w:val="24"/>
        </w:rPr>
        <w:t>WE CONCUR:</w:t>
      </w:r>
    </w:p>
    <w:p w14:paraId="309376C8" w14:textId="24409A05" w:rsidR="00D207EB" w:rsidRDefault="009C20D3" w:rsidP="00D207EB">
      <w:pPr>
        <w:spacing w:line="480" w:lineRule="auto"/>
        <w:rPr>
          <w:szCs w:val="24"/>
        </w:rPr>
      </w:pPr>
      <w:r w:rsidRPr="00D55103">
        <w:rPr>
          <w:szCs w:val="24"/>
        </w:rPr>
        <w:t>PURCELL, P. J.</w:t>
      </w:r>
    </w:p>
    <w:p w14:paraId="66A367E0" w14:textId="77777777" w:rsidR="00203644" w:rsidRDefault="009C20D3" w:rsidP="009C20D3">
      <w:pPr>
        <w:spacing w:line="480" w:lineRule="auto"/>
        <w:rPr>
          <w:szCs w:val="24"/>
        </w:rPr>
      </w:pPr>
      <w:r w:rsidRPr="00D55103">
        <w:rPr>
          <w:szCs w:val="24"/>
        </w:rPr>
        <w:t>STOVITZ, J.</w:t>
      </w:r>
      <w:r w:rsidRPr="00D55103">
        <w:rPr>
          <w:rStyle w:val="FootnoteReference"/>
          <w:szCs w:val="24"/>
        </w:rPr>
        <w:footnoteReference w:customMarkFollows="1" w:id="24"/>
        <w:t>*</w:t>
      </w:r>
      <w:bookmarkStart w:id="14" w:name="multinames"/>
      <w:bookmarkEnd w:id="14"/>
    </w:p>
    <w:p w14:paraId="164991DB" w14:textId="16E19B28" w:rsidR="00850983" w:rsidRDefault="00850983">
      <w:pPr>
        <w:rPr>
          <w:szCs w:val="24"/>
        </w:rPr>
      </w:pPr>
      <w:r>
        <w:rPr>
          <w:szCs w:val="24"/>
        </w:rPr>
        <w:br w:type="page"/>
      </w:r>
    </w:p>
    <w:p w14:paraId="357FDA62" w14:textId="77777777" w:rsidR="00850983" w:rsidRPr="00850983" w:rsidRDefault="00850983" w:rsidP="00850983">
      <w:pPr>
        <w:jc w:val="center"/>
        <w:rPr>
          <w:b/>
          <w:bCs/>
        </w:rPr>
      </w:pPr>
    </w:p>
    <w:p w14:paraId="04E9C410" w14:textId="77777777" w:rsidR="00850983" w:rsidRPr="00850983" w:rsidRDefault="00850983" w:rsidP="00850983">
      <w:pPr>
        <w:jc w:val="center"/>
        <w:rPr>
          <w:b/>
          <w:bCs/>
        </w:rPr>
      </w:pPr>
    </w:p>
    <w:p w14:paraId="171340DA" w14:textId="77777777" w:rsidR="00850983" w:rsidRPr="00850983" w:rsidRDefault="00850983" w:rsidP="00850983">
      <w:pPr>
        <w:jc w:val="center"/>
        <w:rPr>
          <w:b/>
          <w:bCs/>
        </w:rPr>
      </w:pPr>
    </w:p>
    <w:p w14:paraId="129A941E" w14:textId="77777777" w:rsidR="00850983" w:rsidRDefault="00850983" w:rsidP="00850983">
      <w:pPr>
        <w:jc w:val="center"/>
        <w:rPr>
          <w:b/>
          <w:bCs/>
        </w:rPr>
      </w:pPr>
      <w:r w:rsidRPr="00850983">
        <w:rPr>
          <w:b/>
          <w:bCs/>
        </w:rPr>
        <w:t>Case No</w:t>
      </w:r>
      <w:r>
        <w:rPr>
          <w:b/>
          <w:bCs/>
        </w:rPr>
        <w:t>s</w:t>
      </w:r>
      <w:r w:rsidRPr="00850983">
        <w:rPr>
          <w:b/>
          <w:bCs/>
        </w:rPr>
        <w:t xml:space="preserve">. 14-O-06366 (15-O-10090; 15-O-10686; 15-O-11035; </w:t>
      </w:r>
    </w:p>
    <w:p w14:paraId="5B7DC52A" w14:textId="27E0CA96" w:rsidR="00850983" w:rsidRPr="00850983" w:rsidRDefault="00850983" w:rsidP="00850983">
      <w:pPr>
        <w:jc w:val="center"/>
        <w:rPr>
          <w:b/>
          <w:bCs/>
        </w:rPr>
      </w:pPr>
      <w:r w:rsidRPr="00850983">
        <w:rPr>
          <w:b/>
          <w:bCs/>
        </w:rPr>
        <w:t xml:space="preserve">15-O-11090; 15-O-11237); 16-O-10260 (16-O-10597; </w:t>
      </w:r>
    </w:p>
    <w:p w14:paraId="0301B1D4" w14:textId="77777777" w:rsidR="00850983" w:rsidRPr="00850983" w:rsidRDefault="00850983" w:rsidP="00850983">
      <w:pPr>
        <w:jc w:val="center"/>
        <w:rPr>
          <w:b/>
          <w:bCs/>
        </w:rPr>
      </w:pPr>
      <w:r w:rsidRPr="00850983">
        <w:rPr>
          <w:b/>
          <w:bCs/>
        </w:rPr>
        <w:t>16-O-10896; 16-O-11152; 16-O-11971) (Consolidated)</w:t>
      </w:r>
    </w:p>
    <w:p w14:paraId="58ABB706" w14:textId="6DDA084B" w:rsidR="00850983" w:rsidRPr="00850983" w:rsidRDefault="00850983" w:rsidP="00850983">
      <w:pPr>
        <w:jc w:val="center"/>
      </w:pPr>
    </w:p>
    <w:p w14:paraId="4E993420" w14:textId="77777777" w:rsidR="00850983" w:rsidRPr="00850983" w:rsidRDefault="00850983" w:rsidP="00850983">
      <w:pPr>
        <w:jc w:val="center"/>
      </w:pPr>
    </w:p>
    <w:p w14:paraId="66718C62" w14:textId="77777777" w:rsidR="00850983" w:rsidRPr="00850983" w:rsidRDefault="00850983" w:rsidP="00850983">
      <w:pPr>
        <w:jc w:val="center"/>
      </w:pPr>
    </w:p>
    <w:p w14:paraId="2D2386DC" w14:textId="77777777" w:rsidR="00850983" w:rsidRPr="00850983" w:rsidRDefault="00850983" w:rsidP="00850983">
      <w:pPr>
        <w:jc w:val="center"/>
      </w:pPr>
    </w:p>
    <w:p w14:paraId="46F9780B" w14:textId="77777777" w:rsidR="00850983" w:rsidRPr="00850983" w:rsidRDefault="00850983" w:rsidP="00850983">
      <w:pPr>
        <w:jc w:val="center"/>
      </w:pPr>
    </w:p>
    <w:p w14:paraId="6B7F1AD4" w14:textId="77777777" w:rsidR="00850983" w:rsidRPr="00850983" w:rsidRDefault="00850983" w:rsidP="00850983">
      <w:pPr>
        <w:ind w:left="-90"/>
        <w:jc w:val="center"/>
        <w:rPr>
          <w:i/>
        </w:rPr>
      </w:pPr>
      <w:r w:rsidRPr="00850983">
        <w:rPr>
          <w:b/>
          <w:bCs/>
          <w:i/>
          <w:iCs/>
        </w:rPr>
        <w:t xml:space="preserve">In the Matter of </w:t>
      </w:r>
    </w:p>
    <w:p w14:paraId="0635393F" w14:textId="77777777" w:rsidR="00850983" w:rsidRPr="00850983" w:rsidRDefault="00850983" w:rsidP="00850983">
      <w:pPr>
        <w:ind w:left="-90"/>
        <w:jc w:val="center"/>
        <w:rPr>
          <w:i/>
        </w:rPr>
      </w:pPr>
    </w:p>
    <w:p w14:paraId="42E1CD86" w14:textId="77777777" w:rsidR="00850983" w:rsidRPr="00850983" w:rsidRDefault="00850983" w:rsidP="00850983">
      <w:pPr>
        <w:ind w:left="-90"/>
        <w:jc w:val="center"/>
        <w:rPr>
          <w:i/>
        </w:rPr>
      </w:pPr>
    </w:p>
    <w:p w14:paraId="6B966AE3" w14:textId="0CB6ABDC" w:rsidR="00850983" w:rsidRPr="00850983" w:rsidRDefault="00850983" w:rsidP="00850983">
      <w:pPr>
        <w:ind w:left="-90"/>
        <w:jc w:val="center"/>
        <w:rPr>
          <w:b/>
        </w:rPr>
      </w:pPr>
      <w:r>
        <w:rPr>
          <w:b/>
        </w:rPr>
        <w:t>STEPH</w:t>
      </w:r>
      <w:r w:rsidR="00064553">
        <w:rPr>
          <w:b/>
        </w:rPr>
        <w:t>E</w:t>
      </w:r>
      <w:r>
        <w:rPr>
          <w:b/>
        </w:rPr>
        <w:t>N RAWLIEGH GOLDEN</w:t>
      </w:r>
    </w:p>
    <w:p w14:paraId="048F852C" w14:textId="77777777" w:rsidR="00850983" w:rsidRPr="00850983" w:rsidRDefault="00850983" w:rsidP="00850983">
      <w:pPr>
        <w:ind w:left="-90"/>
        <w:jc w:val="center"/>
      </w:pPr>
    </w:p>
    <w:p w14:paraId="10F4A275" w14:textId="77777777" w:rsidR="00850983" w:rsidRPr="00850983" w:rsidRDefault="00850983" w:rsidP="00850983">
      <w:pPr>
        <w:ind w:left="-90"/>
        <w:jc w:val="center"/>
      </w:pPr>
    </w:p>
    <w:p w14:paraId="3D719AC7" w14:textId="77777777" w:rsidR="00850983" w:rsidRPr="00850983" w:rsidRDefault="00850983" w:rsidP="00850983">
      <w:pPr>
        <w:ind w:left="-90"/>
        <w:jc w:val="center"/>
      </w:pPr>
    </w:p>
    <w:p w14:paraId="4A4B8A20" w14:textId="77777777" w:rsidR="00850983" w:rsidRPr="00850983" w:rsidRDefault="00850983" w:rsidP="00850983">
      <w:pPr>
        <w:ind w:left="-90"/>
        <w:jc w:val="center"/>
      </w:pPr>
    </w:p>
    <w:p w14:paraId="4EFED28E" w14:textId="77777777" w:rsidR="00850983" w:rsidRPr="00850983" w:rsidRDefault="00850983" w:rsidP="00850983">
      <w:pPr>
        <w:ind w:left="-90"/>
        <w:jc w:val="center"/>
      </w:pPr>
    </w:p>
    <w:p w14:paraId="20E05EC4" w14:textId="77777777" w:rsidR="00850983" w:rsidRPr="00850983" w:rsidRDefault="00850983" w:rsidP="00850983">
      <w:pPr>
        <w:ind w:left="-90"/>
        <w:jc w:val="center"/>
      </w:pPr>
    </w:p>
    <w:p w14:paraId="5AA03C20" w14:textId="77777777" w:rsidR="00850983" w:rsidRPr="00850983" w:rsidRDefault="00850983" w:rsidP="00850983">
      <w:pPr>
        <w:ind w:left="-90"/>
        <w:jc w:val="center"/>
      </w:pPr>
    </w:p>
    <w:p w14:paraId="502F76EF" w14:textId="77777777" w:rsidR="00850983" w:rsidRPr="00850983" w:rsidRDefault="00850983" w:rsidP="00850983">
      <w:pPr>
        <w:ind w:left="-90"/>
        <w:jc w:val="center"/>
        <w:rPr>
          <w:iCs/>
        </w:rPr>
      </w:pPr>
      <w:r w:rsidRPr="00850983">
        <w:rPr>
          <w:iCs/>
        </w:rPr>
        <w:t>Hearing Judge</w:t>
      </w:r>
    </w:p>
    <w:p w14:paraId="47F28A76" w14:textId="77777777" w:rsidR="00850983" w:rsidRPr="00850983" w:rsidRDefault="00850983" w:rsidP="00850983">
      <w:pPr>
        <w:ind w:left="-90"/>
        <w:rPr>
          <w:u w:val="single"/>
        </w:rPr>
      </w:pPr>
    </w:p>
    <w:p w14:paraId="3EB6B054" w14:textId="30FA6172" w:rsidR="00850983" w:rsidRPr="00850983" w:rsidRDefault="00850983" w:rsidP="00850983">
      <w:pPr>
        <w:tabs>
          <w:tab w:val="center" w:pos="4635"/>
          <w:tab w:val="left" w:pos="4950"/>
          <w:tab w:val="left" w:pos="5670"/>
          <w:tab w:val="left" w:pos="6390"/>
          <w:tab w:val="left" w:pos="7110"/>
          <w:tab w:val="left" w:pos="7830"/>
          <w:tab w:val="left" w:pos="8550"/>
          <w:tab w:val="left" w:pos="9270"/>
        </w:tabs>
        <w:ind w:left="-90"/>
        <w:jc w:val="center"/>
      </w:pPr>
      <w:r w:rsidRPr="00850983">
        <w:rPr>
          <w:b/>
          <w:bCs/>
        </w:rPr>
        <w:t xml:space="preserve">Hon. </w:t>
      </w:r>
      <w:r w:rsidR="009D3B28">
        <w:rPr>
          <w:b/>
          <w:bCs/>
        </w:rPr>
        <w:t>M. Lucy Armendariz</w:t>
      </w:r>
    </w:p>
    <w:p w14:paraId="019749BB" w14:textId="77777777" w:rsidR="00850983" w:rsidRPr="00850983" w:rsidRDefault="00850983" w:rsidP="00850983">
      <w:pPr>
        <w:ind w:left="-90"/>
      </w:pPr>
    </w:p>
    <w:p w14:paraId="23F43BCA" w14:textId="77777777" w:rsidR="00850983" w:rsidRPr="00850983" w:rsidRDefault="00850983" w:rsidP="00850983">
      <w:pPr>
        <w:ind w:left="-90"/>
      </w:pPr>
    </w:p>
    <w:p w14:paraId="6BA67857" w14:textId="77777777" w:rsidR="00850983" w:rsidRPr="00850983" w:rsidRDefault="00850983" w:rsidP="00850983">
      <w:pPr>
        <w:ind w:left="-90" w:firstLine="7200"/>
      </w:pPr>
    </w:p>
    <w:p w14:paraId="6C63A3A4" w14:textId="77777777" w:rsidR="00850983" w:rsidRPr="00850983" w:rsidRDefault="00850983" w:rsidP="00850983">
      <w:pPr>
        <w:ind w:left="-90"/>
      </w:pPr>
    </w:p>
    <w:p w14:paraId="4589C0BD" w14:textId="77777777" w:rsidR="00850983" w:rsidRPr="00850983" w:rsidRDefault="00850983" w:rsidP="00850983">
      <w:pPr>
        <w:ind w:left="-90"/>
      </w:pPr>
    </w:p>
    <w:p w14:paraId="2419DE6E" w14:textId="77777777" w:rsidR="00850983" w:rsidRPr="00850983" w:rsidRDefault="00850983" w:rsidP="00850983">
      <w:pPr>
        <w:ind w:left="-90"/>
      </w:pPr>
    </w:p>
    <w:p w14:paraId="0F76E03B" w14:textId="77777777" w:rsidR="00850983" w:rsidRPr="00850983" w:rsidRDefault="00850983" w:rsidP="00850983">
      <w:pPr>
        <w:ind w:left="-90"/>
      </w:pPr>
    </w:p>
    <w:p w14:paraId="5E84E8BC" w14:textId="77777777" w:rsidR="00850983" w:rsidRPr="00850983" w:rsidRDefault="00850983" w:rsidP="00850983">
      <w:pPr>
        <w:ind w:left="-90"/>
      </w:pPr>
    </w:p>
    <w:p w14:paraId="2BE16212" w14:textId="77777777" w:rsidR="00850983" w:rsidRPr="00850983" w:rsidRDefault="00850983" w:rsidP="00850983">
      <w:pPr>
        <w:tabs>
          <w:tab w:val="center" w:pos="4635"/>
          <w:tab w:val="left" w:pos="4950"/>
          <w:tab w:val="left" w:pos="5670"/>
          <w:tab w:val="left" w:pos="6390"/>
          <w:tab w:val="left" w:pos="7110"/>
          <w:tab w:val="left" w:pos="7830"/>
          <w:tab w:val="left" w:pos="8550"/>
          <w:tab w:val="left" w:pos="9270"/>
        </w:tabs>
        <w:ind w:left="-90"/>
        <w:rPr>
          <w:b/>
          <w:bCs/>
          <w:iCs/>
        </w:rPr>
      </w:pPr>
      <w:r w:rsidRPr="00850983">
        <w:tab/>
      </w:r>
      <w:r w:rsidRPr="00850983">
        <w:rPr>
          <w:iCs/>
        </w:rPr>
        <w:t>Counsel for the Parties</w:t>
      </w:r>
    </w:p>
    <w:p w14:paraId="007C03FD" w14:textId="77777777" w:rsidR="00850983" w:rsidRPr="00850983" w:rsidRDefault="00850983" w:rsidP="00850983">
      <w:pPr>
        <w:ind w:left="-90"/>
        <w:rPr>
          <w:b/>
          <w:bCs/>
        </w:rPr>
      </w:pPr>
    </w:p>
    <w:p w14:paraId="30B1C446" w14:textId="77777777" w:rsidR="00850983" w:rsidRPr="00850983" w:rsidRDefault="00850983" w:rsidP="00850983">
      <w:pPr>
        <w:ind w:left="-90"/>
      </w:pPr>
    </w:p>
    <w:p w14:paraId="00CBC387" w14:textId="77777777" w:rsidR="005B2875" w:rsidRPr="005B2875" w:rsidRDefault="00850983" w:rsidP="005B287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sidRPr="00850983">
        <w:t>For State Bar of California:</w:t>
      </w:r>
      <w:r w:rsidRPr="00850983">
        <w:rPr>
          <w:b/>
          <w:bCs/>
        </w:rPr>
        <w:tab/>
      </w:r>
      <w:r w:rsidRPr="00850983">
        <w:rPr>
          <w:b/>
          <w:bCs/>
        </w:rPr>
        <w:tab/>
      </w:r>
      <w:r w:rsidR="005B2875" w:rsidRPr="005B2875">
        <w:rPr>
          <w:b/>
          <w:bCs/>
        </w:rPr>
        <w:t>Brandon Keith Tady, Esq.</w:t>
      </w:r>
    </w:p>
    <w:p w14:paraId="2418CC31" w14:textId="77777777" w:rsidR="005B2875" w:rsidRPr="005B2875" w:rsidRDefault="005B2875" w:rsidP="005B2875">
      <w:pPr>
        <w:ind w:left="-90" w:firstLine="5040"/>
        <w:rPr>
          <w:b/>
          <w:bCs/>
        </w:rPr>
      </w:pPr>
      <w:r w:rsidRPr="005B2875">
        <w:rPr>
          <w:b/>
          <w:bCs/>
        </w:rPr>
        <w:t>Office of Chief Trial Counsel</w:t>
      </w:r>
    </w:p>
    <w:p w14:paraId="665E3C79" w14:textId="77777777" w:rsidR="005B2875" w:rsidRPr="005B2875" w:rsidRDefault="005B2875" w:rsidP="005B2875">
      <w:pPr>
        <w:ind w:left="-90" w:firstLine="5040"/>
        <w:rPr>
          <w:b/>
          <w:bCs/>
        </w:rPr>
      </w:pPr>
      <w:r w:rsidRPr="005B2875">
        <w:rPr>
          <w:b/>
          <w:bCs/>
        </w:rPr>
        <w:t>The State Bar of California</w:t>
      </w:r>
    </w:p>
    <w:p w14:paraId="4842E265" w14:textId="77777777" w:rsidR="005B2875" w:rsidRPr="005B2875" w:rsidRDefault="005B2875" w:rsidP="005B2875">
      <w:pPr>
        <w:ind w:left="-90" w:firstLine="5040"/>
        <w:rPr>
          <w:b/>
          <w:bCs/>
        </w:rPr>
      </w:pPr>
      <w:r w:rsidRPr="005B2875">
        <w:rPr>
          <w:b/>
          <w:bCs/>
        </w:rPr>
        <w:t>845 So. Figueroa St.</w:t>
      </w:r>
    </w:p>
    <w:p w14:paraId="5F9427F2" w14:textId="0770C201" w:rsidR="00850983" w:rsidRDefault="005B2875" w:rsidP="005B287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Pr>
          <w:b/>
          <w:bCs/>
        </w:rPr>
        <w:tab/>
      </w:r>
      <w:r>
        <w:rPr>
          <w:b/>
          <w:bCs/>
        </w:rPr>
        <w:tab/>
      </w:r>
      <w:r>
        <w:rPr>
          <w:b/>
          <w:bCs/>
        </w:rPr>
        <w:tab/>
      </w:r>
      <w:r>
        <w:rPr>
          <w:b/>
          <w:bCs/>
        </w:rPr>
        <w:tab/>
      </w:r>
      <w:r>
        <w:rPr>
          <w:b/>
          <w:bCs/>
        </w:rPr>
        <w:tab/>
      </w:r>
      <w:r w:rsidRPr="005B2875">
        <w:rPr>
          <w:b/>
          <w:bCs/>
        </w:rPr>
        <w:t>Los Angeles, CA  90017-2515</w:t>
      </w:r>
    </w:p>
    <w:p w14:paraId="51CD59CD" w14:textId="77777777" w:rsidR="00850983" w:rsidRPr="00850983" w:rsidRDefault="00850983" w:rsidP="00850983">
      <w:pPr>
        <w:ind w:left="-90"/>
        <w:rPr>
          <w:b/>
          <w:bCs/>
        </w:rPr>
      </w:pPr>
    </w:p>
    <w:p w14:paraId="4DFAEF54" w14:textId="2A4C1111" w:rsidR="009D3B28" w:rsidRPr="00850983" w:rsidRDefault="00850983" w:rsidP="005B2875">
      <w:pPr>
        <w:tabs>
          <w:tab w:val="left" w:pos="-1530"/>
          <w:tab w:val="left" w:pos="-810"/>
          <w:tab w:val="left" w:pos="-90"/>
          <w:tab w:val="left" w:pos="63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5670" w:hanging="4320"/>
        <w:rPr>
          <w:b/>
        </w:rPr>
      </w:pPr>
      <w:r w:rsidRPr="00850983">
        <w:t>For Respondent:</w:t>
      </w:r>
      <w:r w:rsidRPr="00850983">
        <w:rPr>
          <w:b/>
          <w:bCs/>
        </w:rPr>
        <w:tab/>
      </w:r>
      <w:r w:rsidRPr="00850983">
        <w:rPr>
          <w:b/>
          <w:bCs/>
        </w:rPr>
        <w:tab/>
      </w:r>
      <w:r w:rsidRPr="00850983">
        <w:rPr>
          <w:b/>
          <w:bCs/>
        </w:rPr>
        <w:tab/>
      </w:r>
      <w:r w:rsidR="005B2875">
        <w:rPr>
          <w:b/>
          <w:bCs/>
        </w:rPr>
        <w:t xml:space="preserve">Stephen </w:t>
      </w:r>
      <w:proofErr w:type="spellStart"/>
      <w:r w:rsidR="005B2875">
        <w:rPr>
          <w:b/>
          <w:bCs/>
        </w:rPr>
        <w:t>Rawliegh</w:t>
      </w:r>
      <w:proofErr w:type="spellEnd"/>
      <w:r w:rsidR="005B2875">
        <w:rPr>
          <w:b/>
          <w:bCs/>
        </w:rPr>
        <w:t xml:space="preserve"> Golden</w:t>
      </w:r>
      <w:r w:rsidR="00A15516">
        <w:rPr>
          <w:b/>
          <w:bCs/>
        </w:rPr>
        <w:t>, in pro. per.</w:t>
      </w:r>
    </w:p>
    <w:p w14:paraId="08B87CFE" w14:textId="2B5D35F4" w:rsidR="00850983" w:rsidRPr="00850983" w:rsidRDefault="005B2875" w:rsidP="005B2875">
      <w:pPr>
        <w:tabs>
          <w:tab w:val="left" w:pos="720"/>
        </w:tabs>
        <w:ind w:left="4950"/>
        <w:rPr>
          <w:b/>
        </w:rPr>
      </w:pPr>
      <w:r>
        <w:rPr>
          <w:b/>
        </w:rPr>
        <w:t>Stephen R. Golden &amp; Associates</w:t>
      </w:r>
    </w:p>
    <w:p w14:paraId="680A1636" w14:textId="38BCA9F5" w:rsidR="002F494B" w:rsidRDefault="005B2875" w:rsidP="005B2875">
      <w:pPr>
        <w:tabs>
          <w:tab w:val="left" w:pos="720"/>
        </w:tabs>
        <w:rPr>
          <w:b/>
          <w:szCs w:val="24"/>
        </w:rPr>
      </w:pPr>
      <w:r>
        <w:rPr>
          <w:szCs w:val="24"/>
        </w:rPr>
        <w:tab/>
      </w:r>
      <w:r>
        <w:rPr>
          <w:szCs w:val="24"/>
        </w:rPr>
        <w:tab/>
      </w:r>
      <w:r>
        <w:rPr>
          <w:szCs w:val="24"/>
        </w:rPr>
        <w:tab/>
      </w:r>
      <w:r>
        <w:rPr>
          <w:szCs w:val="24"/>
        </w:rPr>
        <w:tab/>
      </w:r>
      <w:r>
        <w:rPr>
          <w:szCs w:val="24"/>
        </w:rPr>
        <w:tab/>
      </w:r>
      <w:r>
        <w:rPr>
          <w:szCs w:val="24"/>
        </w:rPr>
        <w:tab/>
        <w:t xml:space="preserve">           </w:t>
      </w:r>
      <w:r>
        <w:rPr>
          <w:b/>
          <w:szCs w:val="24"/>
        </w:rPr>
        <w:t>2450 E. Del Mar, No. 34</w:t>
      </w:r>
    </w:p>
    <w:p w14:paraId="62A9A852" w14:textId="41F5E257" w:rsidR="005B2875" w:rsidRPr="005B2875" w:rsidRDefault="005B2875" w:rsidP="005B2875">
      <w:pPr>
        <w:tabs>
          <w:tab w:val="left" w:pos="720"/>
        </w:tabs>
        <w:rPr>
          <w:b/>
          <w:szCs w:val="24"/>
        </w:rPr>
      </w:pPr>
      <w:r>
        <w:rPr>
          <w:b/>
          <w:szCs w:val="24"/>
        </w:rPr>
        <w:tab/>
      </w:r>
      <w:r>
        <w:rPr>
          <w:b/>
          <w:szCs w:val="24"/>
        </w:rPr>
        <w:tab/>
      </w:r>
      <w:r>
        <w:rPr>
          <w:b/>
          <w:szCs w:val="24"/>
        </w:rPr>
        <w:tab/>
      </w:r>
      <w:r>
        <w:rPr>
          <w:b/>
          <w:szCs w:val="24"/>
        </w:rPr>
        <w:tab/>
      </w:r>
      <w:r>
        <w:rPr>
          <w:b/>
          <w:szCs w:val="24"/>
        </w:rPr>
        <w:tab/>
      </w:r>
      <w:r>
        <w:rPr>
          <w:b/>
          <w:szCs w:val="24"/>
        </w:rPr>
        <w:tab/>
        <w:t xml:space="preserve">           Pasadena, CA  91107</w:t>
      </w:r>
    </w:p>
    <w:sectPr w:rsidR="005B2875" w:rsidRPr="005B2875" w:rsidSect="002A535A">
      <w:footerReference w:type="default" r:id="rId9"/>
      <w:pgSz w:w="12240" w:h="15840" w:code="1"/>
      <w:pgMar w:top="1440" w:right="1440" w:bottom="864" w:left="1440" w:header="720" w:footer="576"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A726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72672" w16cid:durableId="1E8CD9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4AFEC" w14:textId="77777777" w:rsidR="005D00B2" w:rsidRDefault="005D00B2" w:rsidP="00055C8A">
      <w:r>
        <w:separator/>
      </w:r>
    </w:p>
  </w:endnote>
  <w:endnote w:type="continuationSeparator" w:id="0">
    <w:p w14:paraId="5896572D" w14:textId="77777777" w:rsidR="005D00B2" w:rsidRDefault="005D00B2"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14:paraId="3612C2F5" w14:textId="77777777" w:rsidR="005D00B2" w:rsidRDefault="005D00B2" w:rsidP="0099101B">
        <w:pPr>
          <w:pStyle w:val="Footer"/>
          <w:spacing w:before="120"/>
          <w:jc w:val="center"/>
        </w:pPr>
        <w:r>
          <w:t>-</w:t>
        </w:r>
        <w:r>
          <w:fldChar w:fldCharType="begin"/>
        </w:r>
        <w:r>
          <w:instrText xml:space="preserve"> PAGE   \* MERGEFORMAT </w:instrText>
        </w:r>
        <w:r>
          <w:fldChar w:fldCharType="separate"/>
        </w:r>
        <w:r w:rsidR="007E5B41">
          <w:rPr>
            <w:noProof/>
          </w:rPr>
          <w:t>25</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A1D9D" w14:textId="77777777" w:rsidR="005D00B2" w:rsidRDefault="005D00B2" w:rsidP="00055C8A">
      <w:r>
        <w:separator/>
      </w:r>
    </w:p>
  </w:footnote>
  <w:footnote w:type="continuationSeparator" w:id="0">
    <w:p w14:paraId="6E8D71CD" w14:textId="77777777" w:rsidR="005D00B2" w:rsidRDefault="005D00B2" w:rsidP="00055C8A">
      <w:r>
        <w:continuationSeparator/>
      </w:r>
    </w:p>
  </w:footnote>
  <w:footnote w:id="1">
    <w:p w14:paraId="2D40FCE6" w14:textId="519290EB" w:rsidR="005D00B2" w:rsidRPr="00D55103" w:rsidRDefault="005D00B2" w:rsidP="00954B16">
      <w:pPr>
        <w:pStyle w:val="TemplateFootnote"/>
        <w:spacing w:after="0"/>
        <w:rPr>
          <w:szCs w:val="24"/>
        </w:rPr>
      </w:pPr>
      <w:r w:rsidRPr="00D55103">
        <w:rPr>
          <w:rStyle w:val="FootnoteReference"/>
          <w:szCs w:val="24"/>
        </w:rPr>
        <w:footnoteRef/>
      </w:r>
      <w:r w:rsidRPr="00D55103">
        <w:rPr>
          <w:szCs w:val="24"/>
        </w:rPr>
        <w:t xml:space="preserve"> All further references to sections are to the Business and Professions Code unless otherwise noted.  Under section</w:t>
      </w:r>
      <w:r>
        <w:rPr>
          <w:szCs w:val="24"/>
        </w:rPr>
        <w:t> </w:t>
      </w:r>
      <w:r w:rsidRPr="00D55103">
        <w:rPr>
          <w:szCs w:val="24"/>
        </w:rPr>
        <w:t>6007, subdivision</w:t>
      </w:r>
      <w:r>
        <w:rPr>
          <w:szCs w:val="24"/>
        </w:rPr>
        <w:t> </w:t>
      </w:r>
      <w:r w:rsidRPr="00D55103">
        <w:rPr>
          <w:szCs w:val="24"/>
        </w:rPr>
        <w:t>(c), an attorney may be involuntarily enrolled as inactive based on a finding that the “attorney’s conduct poses a substantial threat of harm to the interests of the attorney’s clients or to the public.”</w:t>
      </w:r>
    </w:p>
  </w:footnote>
  <w:footnote w:id="2">
    <w:p w14:paraId="02164A11" w14:textId="77777777" w:rsidR="007B74C9" w:rsidRDefault="007B74C9" w:rsidP="007B74C9">
      <w:pPr>
        <w:pStyle w:val="FootnoteText"/>
        <w:spacing w:after="120"/>
      </w:pPr>
      <w:r>
        <w:rPr>
          <w:rStyle w:val="FootnoteReference"/>
        </w:rPr>
        <w:footnoteRef/>
      </w:r>
      <w:r>
        <w:t xml:space="preserve"> After trial was completed, the judge received and granted Golden’s unopposed motion to withdraw Exhibit 1041.  Inadvertently, Exhibit 1041 was not removed from the record.</w:t>
      </w:r>
    </w:p>
  </w:footnote>
  <w:footnote w:id="3">
    <w:p w14:paraId="6B6096D0" w14:textId="77777777" w:rsidR="009249E0" w:rsidRPr="00D55103" w:rsidRDefault="009249E0" w:rsidP="009249E0">
      <w:pPr>
        <w:pStyle w:val="TemplateFootnote"/>
        <w:rPr>
          <w:szCs w:val="24"/>
        </w:rPr>
      </w:pPr>
      <w:r w:rsidRPr="00D55103">
        <w:rPr>
          <w:rStyle w:val="FootnoteReference"/>
          <w:szCs w:val="24"/>
        </w:rPr>
        <w:footnoteRef/>
      </w:r>
      <w:r w:rsidRPr="00D55103">
        <w:rPr>
          <w:szCs w:val="24"/>
        </w:rPr>
        <w:t xml:space="preserve"> SB</w:t>
      </w:r>
      <w:r>
        <w:rPr>
          <w:szCs w:val="24"/>
        </w:rPr>
        <w:t> </w:t>
      </w:r>
      <w:r w:rsidRPr="00D55103">
        <w:rPr>
          <w:szCs w:val="24"/>
        </w:rPr>
        <w:t>94 added sections 2944.6 and 2944.7 to the Civil Code and section</w:t>
      </w:r>
      <w:r>
        <w:rPr>
          <w:szCs w:val="24"/>
        </w:rPr>
        <w:t> </w:t>
      </w:r>
      <w:r w:rsidRPr="00D55103">
        <w:rPr>
          <w:szCs w:val="24"/>
        </w:rPr>
        <w:t>6106.3 to the Business and Professions Code (Stats.</w:t>
      </w:r>
      <w:r>
        <w:rPr>
          <w:szCs w:val="24"/>
        </w:rPr>
        <w:t> </w:t>
      </w:r>
      <w:r w:rsidRPr="00D55103">
        <w:rPr>
          <w:szCs w:val="24"/>
        </w:rPr>
        <w:t>2009, Ch.</w:t>
      </w:r>
      <w:r>
        <w:rPr>
          <w:szCs w:val="24"/>
        </w:rPr>
        <w:t> </w:t>
      </w:r>
      <w:r w:rsidRPr="00D55103">
        <w:rPr>
          <w:szCs w:val="24"/>
        </w:rPr>
        <w:t>630, §</w:t>
      </w:r>
      <w:r>
        <w:rPr>
          <w:szCs w:val="24"/>
        </w:rPr>
        <w:t> </w:t>
      </w:r>
      <w:r w:rsidRPr="00D55103">
        <w:rPr>
          <w:szCs w:val="24"/>
        </w:rPr>
        <w:t>10).</w:t>
      </w:r>
    </w:p>
  </w:footnote>
  <w:footnote w:id="4">
    <w:p w14:paraId="0306AB4E" w14:textId="5509273C" w:rsidR="005D00B2" w:rsidRPr="00D55103" w:rsidRDefault="005D00B2" w:rsidP="006656B1">
      <w:pPr>
        <w:pStyle w:val="TemplateFootnote"/>
        <w:rPr>
          <w:szCs w:val="24"/>
        </w:rPr>
      </w:pPr>
      <w:r w:rsidRPr="00D55103">
        <w:rPr>
          <w:rStyle w:val="FootnoteReference"/>
          <w:szCs w:val="24"/>
        </w:rPr>
        <w:footnoteRef/>
      </w:r>
      <w:r w:rsidRPr="00D55103">
        <w:rPr>
          <w:szCs w:val="24"/>
        </w:rPr>
        <w:t xml:space="preserve"> Civil Code section</w:t>
      </w:r>
      <w:r>
        <w:rPr>
          <w:szCs w:val="24"/>
        </w:rPr>
        <w:t> </w:t>
      </w:r>
      <w:r w:rsidRPr="00D55103">
        <w:rPr>
          <w:szCs w:val="24"/>
        </w:rPr>
        <w:t>2944.6, subdivision</w:t>
      </w:r>
      <w:r>
        <w:rPr>
          <w:szCs w:val="24"/>
        </w:rPr>
        <w:t> </w:t>
      </w:r>
      <w:r w:rsidRPr="00D55103">
        <w:rPr>
          <w:szCs w:val="24"/>
        </w:rPr>
        <w:t>(a), requires that a person attempting to negotiate a loan modification must</w:t>
      </w:r>
      <w:r>
        <w:rPr>
          <w:szCs w:val="24"/>
        </w:rPr>
        <w:t xml:space="preserve">, </w:t>
      </w:r>
      <w:r w:rsidRPr="00D55103">
        <w:rPr>
          <w:szCs w:val="24"/>
        </w:rPr>
        <w:t>before entering into a fee agreement</w:t>
      </w:r>
      <w:r>
        <w:rPr>
          <w:szCs w:val="24"/>
        </w:rPr>
        <w:t>,</w:t>
      </w:r>
      <w:r w:rsidRPr="00D55103">
        <w:rPr>
          <w:szCs w:val="24"/>
        </w:rPr>
        <w:t xml:space="preserve"> </w:t>
      </w:r>
      <w:r>
        <w:rPr>
          <w:szCs w:val="24"/>
        </w:rPr>
        <w:t>disclose to</w:t>
      </w:r>
      <w:r w:rsidRPr="00D55103">
        <w:rPr>
          <w:szCs w:val="24"/>
        </w:rPr>
        <w:t xml:space="preserve"> the borrower the following information in 14-point bold type </w:t>
      </w:r>
      <w:r>
        <w:rPr>
          <w:szCs w:val="24"/>
        </w:rPr>
        <w:t>font “as a separate statement</w:t>
      </w:r>
      <w:r w:rsidR="007B74C9">
        <w:rPr>
          <w:szCs w:val="24"/>
        </w:rPr>
        <w:t>”</w:t>
      </w:r>
      <w:r>
        <w:rPr>
          <w:szCs w:val="24"/>
        </w:rPr>
        <w:t>:</w:t>
      </w:r>
    </w:p>
    <w:p w14:paraId="31E66F2F" w14:textId="77777777" w:rsidR="005D00B2" w:rsidRPr="00D55103" w:rsidRDefault="005D00B2" w:rsidP="00E90A07">
      <w:pPr>
        <w:pStyle w:val="TemplateFootnote"/>
        <w:ind w:left="720" w:right="720" w:firstLine="0"/>
        <w:rPr>
          <w:szCs w:val="24"/>
        </w:rPr>
      </w:pPr>
      <w:r w:rsidRPr="00D55103">
        <w:rPr>
          <w:szCs w:val="24"/>
        </w:rPr>
        <w:t>It is not necessary to pay a third party to arrange for a loan modification or other form of forbearance from your mortgage lender or servicer.  You may call your lender directly to ask for a change in your loan terms.  Nonprofit housing counseling agencies also offer these and other forms of borrower assistance free of charge.  A list of nonprofit housing counseling agencies approved by the United States Department of Housing and Urban Development (HUD) is available from your local HUD office or by visiting www.hud.gov.</w:t>
      </w:r>
    </w:p>
  </w:footnote>
  <w:footnote w:id="5">
    <w:p w14:paraId="7044301D" w14:textId="532EFFC7" w:rsidR="005D00B2" w:rsidRPr="00D55103" w:rsidRDefault="005D00B2" w:rsidP="00DC5C2C">
      <w:pPr>
        <w:pStyle w:val="FootnoteText"/>
        <w:spacing w:after="120"/>
        <w:rPr>
          <w:szCs w:val="24"/>
        </w:rPr>
      </w:pPr>
      <w:r w:rsidRPr="00D55103">
        <w:rPr>
          <w:rStyle w:val="FootnoteReference"/>
          <w:szCs w:val="24"/>
        </w:rPr>
        <w:footnoteRef/>
      </w:r>
      <w:r w:rsidRPr="00D55103">
        <w:rPr>
          <w:szCs w:val="24"/>
        </w:rPr>
        <w:t xml:space="preserve"> In relevant part, Civil Code section</w:t>
      </w:r>
      <w:r>
        <w:rPr>
          <w:szCs w:val="24"/>
        </w:rPr>
        <w:t> </w:t>
      </w:r>
      <w:r w:rsidRPr="00D55103">
        <w:rPr>
          <w:szCs w:val="24"/>
        </w:rPr>
        <w:t>2944.7, subdivision</w:t>
      </w:r>
      <w:r>
        <w:rPr>
          <w:szCs w:val="24"/>
        </w:rPr>
        <w:t> </w:t>
      </w:r>
      <w:r w:rsidRPr="00D55103">
        <w:rPr>
          <w:szCs w:val="24"/>
        </w:rPr>
        <w:t>(a), provides that “it shall be unlawful for any person who negotiates, attempts to negotiate, arranges, attempts to arrange, or otherwise offers to perform a mortgage loan modification or other form of mortgage loan forbearance for a fee or other compensation paid by the borrower, to . . . [¶] . . . [c]laim, demand, charge, collect, or receive any compensation until after the person has fully performed each and every service the person contracted to perform or represented that he or she would perform.”</w:t>
      </w:r>
    </w:p>
  </w:footnote>
  <w:footnote w:id="6">
    <w:p w14:paraId="02F6BD21" w14:textId="63A69EA6" w:rsidR="005D00B2" w:rsidRPr="00D55103" w:rsidRDefault="005D00B2" w:rsidP="00DC12E1">
      <w:pPr>
        <w:pStyle w:val="TemplateFootnote"/>
      </w:pPr>
      <w:r w:rsidRPr="00D55103">
        <w:rPr>
          <w:rStyle w:val="FootnoteReference"/>
          <w:szCs w:val="24"/>
        </w:rPr>
        <w:footnoteRef/>
      </w:r>
      <w:r w:rsidRPr="00D55103">
        <w:t xml:space="preserve"> Prior to January</w:t>
      </w:r>
      <w:r>
        <w:t> </w:t>
      </w:r>
      <w:r w:rsidRPr="00D55103">
        <w:t>1, 2017, section</w:t>
      </w:r>
      <w:r>
        <w:t> </w:t>
      </w:r>
      <w:r w:rsidRPr="00D55103">
        <w:t>6106.3 provided, “It shall constitute cause for the imposition of discipline of an attorney within the meaning of this chapter for an attorney to engage in any conduct in violation of section</w:t>
      </w:r>
      <w:r>
        <w:t> </w:t>
      </w:r>
      <w:r w:rsidRPr="00D55103">
        <w:t>2944.6 or 2944.7 of the Civil Code.”  Effective January</w:t>
      </w:r>
      <w:r>
        <w:t> </w:t>
      </w:r>
      <w:r w:rsidRPr="00D55103">
        <w:t>1, 2017, the statute was amended so that the reference to Civil Code section</w:t>
      </w:r>
      <w:r>
        <w:t> </w:t>
      </w:r>
      <w:r w:rsidRPr="00D55103">
        <w:t xml:space="preserve">2944.7 was removed.  </w:t>
      </w:r>
      <w:r>
        <w:t>However</w:t>
      </w:r>
      <w:r w:rsidRPr="00D55103">
        <w:t xml:space="preserve">, </w:t>
      </w:r>
      <w:r>
        <w:t>since</w:t>
      </w:r>
      <w:r w:rsidRPr="00D55103">
        <w:t xml:space="preserve"> all of the misconduct underlying this matter occurred </w:t>
      </w:r>
      <w:r>
        <w:t>before</w:t>
      </w:r>
      <w:r w:rsidRPr="00D55103">
        <w:t xml:space="preserve"> January</w:t>
      </w:r>
      <w:r>
        <w:t> </w:t>
      </w:r>
      <w:r w:rsidRPr="00D55103">
        <w:t>1, 2017, we find that the former version of section</w:t>
      </w:r>
      <w:r>
        <w:t> </w:t>
      </w:r>
      <w:r w:rsidRPr="00D55103">
        <w:t>6106.3 applies.</w:t>
      </w:r>
    </w:p>
  </w:footnote>
  <w:footnote w:id="7">
    <w:p w14:paraId="3DF7203D" w14:textId="77777777" w:rsidR="00F61194" w:rsidRPr="00D55103" w:rsidRDefault="00F61194" w:rsidP="00F61194">
      <w:pPr>
        <w:pStyle w:val="FootnoteText"/>
        <w:spacing w:after="120"/>
        <w:rPr>
          <w:szCs w:val="24"/>
        </w:rPr>
      </w:pPr>
      <w:r w:rsidRPr="00D55103">
        <w:rPr>
          <w:rStyle w:val="FootnoteReference"/>
          <w:szCs w:val="24"/>
        </w:rPr>
        <w:footnoteRef/>
      </w:r>
      <w:r w:rsidRPr="00D55103">
        <w:rPr>
          <w:szCs w:val="24"/>
        </w:rPr>
        <w:t xml:space="preserve"> The facts included in this opinion are based on the </w:t>
      </w:r>
      <w:r>
        <w:rPr>
          <w:szCs w:val="24"/>
        </w:rPr>
        <w:t>S</w:t>
      </w:r>
      <w:r w:rsidRPr="00D55103">
        <w:rPr>
          <w:szCs w:val="24"/>
        </w:rPr>
        <w:t>tipulation, trial testimony, documentary evidence, and the hearing judge’s factual findings, which are entitled to great weight.  (Rules Proc. of State Bar, rule 5.155(A).)</w:t>
      </w:r>
    </w:p>
  </w:footnote>
  <w:footnote w:id="8">
    <w:p w14:paraId="75C866E3" w14:textId="2006EC83" w:rsidR="005D00B2" w:rsidRDefault="005D00B2" w:rsidP="007572E2">
      <w:pPr>
        <w:pStyle w:val="FootnoteText"/>
        <w:spacing w:after="120"/>
      </w:pPr>
      <w:r>
        <w:rPr>
          <w:rStyle w:val="FootnoteReference"/>
        </w:rPr>
        <w:footnoteRef/>
      </w:r>
      <w:r>
        <w:t xml:space="preserve"> G</w:t>
      </w:r>
      <w:r w:rsidRPr="00D55103">
        <w:rPr>
          <w:szCs w:val="24"/>
        </w:rPr>
        <w:t xml:space="preserve">olden </w:t>
      </w:r>
      <w:r>
        <w:rPr>
          <w:szCs w:val="24"/>
        </w:rPr>
        <w:t>began</w:t>
      </w:r>
      <w:r w:rsidRPr="00D55103">
        <w:rPr>
          <w:szCs w:val="24"/>
        </w:rPr>
        <w:t xml:space="preserve"> preparing a</w:t>
      </w:r>
      <w:r w:rsidR="00701DF8">
        <w:rPr>
          <w:szCs w:val="24"/>
        </w:rPr>
        <w:t>n</w:t>
      </w:r>
      <w:r w:rsidRPr="00D55103">
        <w:rPr>
          <w:szCs w:val="24"/>
        </w:rPr>
        <w:t xml:space="preserve"> application</w:t>
      </w:r>
      <w:r>
        <w:rPr>
          <w:szCs w:val="24"/>
        </w:rPr>
        <w:t xml:space="preserve"> for th</w:t>
      </w:r>
      <w:r w:rsidR="006A2487">
        <w:rPr>
          <w:szCs w:val="24"/>
        </w:rPr>
        <w:t>at</w:t>
      </w:r>
      <w:r>
        <w:rPr>
          <w:szCs w:val="24"/>
        </w:rPr>
        <w:t xml:space="preserve"> one client,</w:t>
      </w:r>
      <w:r w:rsidR="006A2487">
        <w:rPr>
          <w:szCs w:val="24"/>
        </w:rPr>
        <w:t xml:space="preserve"> who</w:t>
      </w:r>
      <w:r w:rsidRPr="00D55103">
        <w:rPr>
          <w:szCs w:val="24"/>
        </w:rPr>
        <w:t xml:space="preserve"> paid him monthly fees.</w:t>
      </w:r>
    </w:p>
  </w:footnote>
  <w:footnote w:id="9">
    <w:p w14:paraId="377E1D46" w14:textId="77777777" w:rsidR="005D00B2" w:rsidRPr="00D55103" w:rsidRDefault="005D00B2" w:rsidP="002656D9">
      <w:pPr>
        <w:pStyle w:val="FootnoteText"/>
        <w:rPr>
          <w:szCs w:val="24"/>
        </w:rPr>
      </w:pPr>
      <w:r w:rsidRPr="00D55103">
        <w:rPr>
          <w:rStyle w:val="FootnoteReference"/>
          <w:szCs w:val="24"/>
        </w:rPr>
        <w:footnoteRef/>
      </w:r>
      <w:r w:rsidRPr="00D55103">
        <w:rPr>
          <w:szCs w:val="24"/>
        </w:rPr>
        <w:t xml:space="preserve"> All further references to rules are to the Rules of Professional Conduct unless otherwise noted.  Under rule 4-100(B)(3), a member shall “[m]aintain complete records of all funds, securities, and other properties of a client . . . and render appropriate accounts to the client regarding them . . . .”</w:t>
      </w:r>
    </w:p>
  </w:footnote>
  <w:footnote w:id="10">
    <w:p w14:paraId="0D2C9539" w14:textId="4CA2BEAA" w:rsidR="005D00B2" w:rsidRPr="00D55103" w:rsidRDefault="005D00B2" w:rsidP="00955CEB">
      <w:pPr>
        <w:pStyle w:val="FootnoteText"/>
        <w:rPr>
          <w:szCs w:val="24"/>
        </w:rPr>
      </w:pPr>
      <w:r w:rsidRPr="00D55103">
        <w:rPr>
          <w:rStyle w:val="FootnoteReference"/>
          <w:szCs w:val="24"/>
        </w:rPr>
        <w:footnoteRef/>
      </w:r>
      <w:r w:rsidRPr="00D55103">
        <w:rPr>
          <w:szCs w:val="24"/>
        </w:rPr>
        <w:t xml:space="preserve"> Although the parties stipulated to this fact, OCTC did not charge Golden with a violation of Civil Code section</w:t>
      </w:r>
      <w:r>
        <w:rPr>
          <w:szCs w:val="24"/>
        </w:rPr>
        <w:t> </w:t>
      </w:r>
      <w:r w:rsidRPr="00D55103">
        <w:rPr>
          <w:szCs w:val="24"/>
        </w:rPr>
        <w:t>2944.6, subdivision</w:t>
      </w:r>
      <w:r>
        <w:rPr>
          <w:szCs w:val="24"/>
        </w:rPr>
        <w:t> </w:t>
      </w:r>
      <w:r w:rsidRPr="00D55103">
        <w:rPr>
          <w:szCs w:val="24"/>
        </w:rPr>
        <w:t xml:space="preserve">(a), </w:t>
      </w:r>
      <w:r w:rsidR="00CC62AD">
        <w:rPr>
          <w:szCs w:val="24"/>
        </w:rPr>
        <w:t>in</w:t>
      </w:r>
      <w:r w:rsidRPr="00D55103">
        <w:rPr>
          <w:szCs w:val="24"/>
        </w:rPr>
        <w:t xml:space="preserve"> the Bartlett matter.</w:t>
      </w:r>
    </w:p>
  </w:footnote>
  <w:footnote w:id="11">
    <w:p w14:paraId="026556DF" w14:textId="1A7957CD" w:rsidR="005D00B2" w:rsidRPr="00D55103" w:rsidRDefault="005D00B2" w:rsidP="00955CEB">
      <w:pPr>
        <w:pStyle w:val="FootnoteText"/>
        <w:spacing w:after="120"/>
        <w:rPr>
          <w:szCs w:val="24"/>
        </w:rPr>
      </w:pPr>
      <w:r w:rsidRPr="00D55103">
        <w:rPr>
          <w:rStyle w:val="FootnoteReference"/>
          <w:szCs w:val="24"/>
        </w:rPr>
        <w:footnoteRef/>
      </w:r>
      <w:r w:rsidRPr="00D55103">
        <w:rPr>
          <w:szCs w:val="24"/>
        </w:rPr>
        <w:t xml:space="preserve"> Although the parties stipulated to this fact, OCTC did not charge Golden with a violation of Civil Code section</w:t>
      </w:r>
      <w:r>
        <w:rPr>
          <w:szCs w:val="24"/>
        </w:rPr>
        <w:t> </w:t>
      </w:r>
      <w:r w:rsidRPr="00D55103">
        <w:rPr>
          <w:szCs w:val="24"/>
        </w:rPr>
        <w:t xml:space="preserve">2944.6, subdivision (a), </w:t>
      </w:r>
      <w:r w:rsidR="00FA05FD">
        <w:rPr>
          <w:szCs w:val="24"/>
        </w:rPr>
        <w:t>in</w:t>
      </w:r>
      <w:r w:rsidRPr="00D55103">
        <w:rPr>
          <w:szCs w:val="24"/>
        </w:rPr>
        <w:t xml:space="preserve"> the Arellano matter.</w:t>
      </w:r>
    </w:p>
  </w:footnote>
  <w:footnote w:id="12">
    <w:p w14:paraId="04C24E1B" w14:textId="0F5BC50A" w:rsidR="005D00B2" w:rsidRPr="00D55103" w:rsidRDefault="005D00B2" w:rsidP="006A38C4">
      <w:pPr>
        <w:pStyle w:val="FootnoteText"/>
        <w:rPr>
          <w:szCs w:val="24"/>
        </w:rPr>
      </w:pPr>
      <w:r w:rsidRPr="00D55103">
        <w:rPr>
          <w:rStyle w:val="FootnoteReference"/>
          <w:szCs w:val="24"/>
        </w:rPr>
        <w:footnoteRef/>
      </w:r>
      <w:r w:rsidRPr="00D55103">
        <w:rPr>
          <w:szCs w:val="24"/>
        </w:rPr>
        <w:t xml:space="preserve"> </w:t>
      </w:r>
      <w:r w:rsidR="00F01A59">
        <w:rPr>
          <w:szCs w:val="24"/>
        </w:rPr>
        <w:t>In the Stipulation, t</w:t>
      </w:r>
      <w:r w:rsidRPr="00D55103">
        <w:rPr>
          <w:szCs w:val="24"/>
        </w:rPr>
        <w:t xml:space="preserve">his </w:t>
      </w:r>
      <w:r w:rsidR="00F01A59">
        <w:rPr>
          <w:szCs w:val="24"/>
        </w:rPr>
        <w:t>amount</w:t>
      </w:r>
      <w:r w:rsidRPr="00D55103">
        <w:rPr>
          <w:szCs w:val="24"/>
        </w:rPr>
        <w:t xml:space="preserve"> is listed as $19,500</w:t>
      </w:r>
      <w:r w:rsidR="00F01A59">
        <w:rPr>
          <w:szCs w:val="24"/>
        </w:rPr>
        <w:t>, which</w:t>
      </w:r>
      <w:r w:rsidRPr="00D55103">
        <w:rPr>
          <w:szCs w:val="24"/>
        </w:rPr>
        <w:t xml:space="preserve"> is inconsistent with the sum of monthly payments listed in the </w:t>
      </w:r>
      <w:r w:rsidR="00FA05FD">
        <w:rPr>
          <w:szCs w:val="24"/>
        </w:rPr>
        <w:t>S</w:t>
      </w:r>
      <w:r w:rsidRPr="00D55103">
        <w:rPr>
          <w:szCs w:val="24"/>
        </w:rPr>
        <w:t>tipulation and the record.</w:t>
      </w:r>
    </w:p>
  </w:footnote>
  <w:footnote w:id="13">
    <w:p w14:paraId="2D3B11EB" w14:textId="48FED2C0" w:rsidR="005D00B2" w:rsidRPr="00D55103" w:rsidRDefault="005D00B2">
      <w:pPr>
        <w:pStyle w:val="FootnoteText"/>
        <w:rPr>
          <w:szCs w:val="24"/>
        </w:rPr>
      </w:pPr>
      <w:r w:rsidRPr="00D55103">
        <w:rPr>
          <w:rStyle w:val="FootnoteReference"/>
          <w:szCs w:val="24"/>
        </w:rPr>
        <w:footnoteRef/>
      </w:r>
      <w:r w:rsidRPr="00D55103">
        <w:rPr>
          <w:szCs w:val="24"/>
        </w:rPr>
        <w:t xml:space="preserve"> Although the parties stipulated to this fact, OCTC did not charge Golden with a violation of Civil Code section</w:t>
      </w:r>
      <w:r>
        <w:rPr>
          <w:szCs w:val="24"/>
        </w:rPr>
        <w:t> </w:t>
      </w:r>
      <w:r w:rsidRPr="00D55103">
        <w:rPr>
          <w:szCs w:val="24"/>
        </w:rPr>
        <w:t>2944.6, subdivision</w:t>
      </w:r>
      <w:r>
        <w:rPr>
          <w:szCs w:val="24"/>
        </w:rPr>
        <w:t> </w:t>
      </w:r>
      <w:r w:rsidRPr="00D55103">
        <w:rPr>
          <w:szCs w:val="24"/>
        </w:rPr>
        <w:t xml:space="preserve">(a), </w:t>
      </w:r>
      <w:r w:rsidR="00261CF8">
        <w:rPr>
          <w:szCs w:val="24"/>
        </w:rPr>
        <w:t>in</w:t>
      </w:r>
      <w:r w:rsidRPr="00D55103">
        <w:rPr>
          <w:szCs w:val="24"/>
        </w:rPr>
        <w:t xml:space="preserve"> the Kessler matter.</w:t>
      </w:r>
    </w:p>
  </w:footnote>
  <w:footnote w:id="14">
    <w:p w14:paraId="4E2B2001" w14:textId="4FF26513" w:rsidR="005D00B2" w:rsidRPr="00D55103" w:rsidRDefault="005D00B2" w:rsidP="00DC5858">
      <w:pPr>
        <w:pStyle w:val="TemplateFootnote"/>
        <w:spacing w:after="0"/>
        <w:ind w:right="-144"/>
        <w:rPr>
          <w:szCs w:val="24"/>
        </w:rPr>
      </w:pPr>
      <w:r w:rsidRPr="00D55103">
        <w:rPr>
          <w:rStyle w:val="FootnoteReference"/>
          <w:szCs w:val="24"/>
        </w:rPr>
        <w:footnoteRef/>
      </w:r>
      <w:r w:rsidRPr="00D55103">
        <w:rPr>
          <w:szCs w:val="24"/>
        </w:rPr>
        <w:t xml:space="preserve"> Since the NDCs alleged similar misconduct in each client matter, we have grouped the counts by charged misconduct</w:t>
      </w:r>
      <w:r w:rsidR="00DC5858">
        <w:rPr>
          <w:szCs w:val="24"/>
        </w:rPr>
        <w:t>,</w:t>
      </w:r>
      <w:r w:rsidRPr="00D55103">
        <w:rPr>
          <w:szCs w:val="24"/>
        </w:rPr>
        <w:t xml:space="preserve"> rather than by client matter or numerical order</w:t>
      </w:r>
      <w:r w:rsidR="00DC5858">
        <w:rPr>
          <w:szCs w:val="24"/>
        </w:rPr>
        <w:t>,</w:t>
      </w:r>
      <w:r w:rsidRPr="00D55103">
        <w:rPr>
          <w:szCs w:val="24"/>
        </w:rPr>
        <w:t xml:space="preserve"> to assist the reader.</w:t>
      </w:r>
    </w:p>
  </w:footnote>
  <w:footnote w:id="15">
    <w:p w14:paraId="745F200B" w14:textId="59097843" w:rsidR="005D00B2" w:rsidRPr="00D55103" w:rsidRDefault="005D00B2" w:rsidP="00DC5858">
      <w:pPr>
        <w:pStyle w:val="TemplateFootnote"/>
        <w:spacing w:after="0"/>
      </w:pPr>
      <w:r w:rsidRPr="00D55103">
        <w:rPr>
          <w:rStyle w:val="FootnoteReference"/>
          <w:szCs w:val="24"/>
        </w:rPr>
        <w:footnoteRef/>
      </w:r>
      <w:r w:rsidRPr="00D55103">
        <w:t xml:space="preserve"> We have independently reviewed each of Golden’s arguments.  Those not specifically addressed herein have been considered as lacking in factual and/or legal support.  We also reject Golden’s request that we “do an electronic search of federal and state appellate courts and lower courts for [Golden’s] foreclosure defense cases.”</w:t>
      </w:r>
    </w:p>
  </w:footnote>
  <w:footnote w:id="16">
    <w:p w14:paraId="005D3438" w14:textId="1CDE9D33" w:rsidR="005D00B2" w:rsidRPr="00D55103" w:rsidRDefault="005D00B2">
      <w:pPr>
        <w:pStyle w:val="FootnoteText"/>
        <w:rPr>
          <w:szCs w:val="24"/>
        </w:rPr>
      </w:pPr>
      <w:r w:rsidRPr="00D55103">
        <w:rPr>
          <w:rStyle w:val="FootnoteReference"/>
          <w:szCs w:val="24"/>
        </w:rPr>
        <w:footnoteRef/>
      </w:r>
      <w:r w:rsidRPr="00D55103">
        <w:rPr>
          <w:szCs w:val="24"/>
        </w:rPr>
        <w:t xml:space="preserve"> In response to Golden’s request that we “provide a bright line rule for when foreclosure defense attorneys violate Senate Bill 94 considering all the policy factors involved,” we note that we did </w:t>
      </w:r>
      <w:r w:rsidR="00732E6C">
        <w:rPr>
          <w:szCs w:val="24"/>
        </w:rPr>
        <w:t xml:space="preserve">so </w:t>
      </w:r>
      <w:r w:rsidRPr="00D55103">
        <w:rPr>
          <w:szCs w:val="24"/>
        </w:rPr>
        <w:t xml:space="preserve">in </w:t>
      </w:r>
      <w:r w:rsidRPr="00D55103">
        <w:rPr>
          <w:i/>
          <w:szCs w:val="24"/>
        </w:rPr>
        <w:t>Taylor</w:t>
      </w:r>
      <w:r w:rsidRPr="00D55103">
        <w:rPr>
          <w:szCs w:val="24"/>
        </w:rPr>
        <w:t>, and since then, we have reiterated “what is permissible and what is not.”</w:t>
      </w:r>
    </w:p>
  </w:footnote>
  <w:footnote w:id="17">
    <w:p w14:paraId="78F0EC07" w14:textId="6FB883E2" w:rsidR="005D00B2" w:rsidRPr="00D55103" w:rsidRDefault="005D00B2" w:rsidP="00B364E4">
      <w:pPr>
        <w:pStyle w:val="FootnoteText"/>
        <w:rPr>
          <w:szCs w:val="24"/>
        </w:rPr>
      </w:pPr>
      <w:r w:rsidRPr="00D55103">
        <w:rPr>
          <w:rStyle w:val="FootnoteReference"/>
          <w:szCs w:val="24"/>
        </w:rPr>
        <w:footnoteRef/>
      </w:r>
      <w:r w:rsidRPr="00D55103">
        <w:rPr>
          <w:szCs w:val="24"/>
        </w:rPr>
        <w:t xml:space="preserve"> OCTC argues that the TE case order, attached as an exhibit to </w:t>
      </w:r>
      <w:r w:rsidR="00C43D5E">
        <w:rPr>
          <w:szCs w:val="24"/>
        </w:rPr>
        <w:t>Golden’s</w:t>
      </w:r>
      <w:r w:rsidRPr="00D55103">
        <w:rPr>
          <w:szCs w:val="24"/>
        </w:rPr>
        <w:t xml:space="preserve"> opening brief, is not admissible.  We disagree and take judicial notice of </w:t>
      </w:r>
      <w:r w:rsidR="00C43D5E">
        <w:rPr>
          <w:szCs w:val="24"/>
        </w:rPr>
        <w:t>it</w:t>
      </w:r>
      <w:r w:rsidRPr="00D55103">
        <w:rPr>
          <w:szCs w:val="24"/>
        </w:rPr>
        <w:t>.  (See Rules Proc. of State Bar, rule</w:t>
      </w:r>
      <w:r>
        <w:rPr>
          <w:szCs w:val="24"/>
        </w:rPr>
        <w:t> </w:t>
      </w:r>
      <w:r w:rsidRPr="00D55103">
        <w:rPr>
          <w:szCs w:val="24"/>
        </w:rPr>
        <w:t>5.156; Evid. Code, §</w:t>
      </w:r>
      <w:r>
        <w:rPr>
          <w:szCs w:val="24"/>
        </w:rPr>
        <w:t> </w:t>
      </w:r>
      <w:r w:rsidRPr="00D55103">
        <w:rPr>
          <w:szCs w:val="24"/>
        </w:rPr>
        <w:t>452, subd.</w:t>
      </w:r>
      <w:r>
        <w:rPr>
          <w:szCs w:val="24"/>
        </w:rPr>
        <w:t> </w:t>
      </w:r>
      <w:r w:rsidRPr="00D55103">
        <w:rPr>
          <w:szCs w:val="24"/>
        </w:rPr>
        <w:t xml:space="preserve">(d).)  We further note that </w:t>
      </w:r>
      <w:r w:rsidR="009872C0">
        <w:rPr>
          <w:szCs w:val="24"/>
        </w:rPr>
        <w:t xml:space="preserve">upon Golden’s request </w:t>
      </w:r>
      <w:r w:rsidRPr="00D55103">
        <w:rPr>
          <w:szCs w:val="24"/>
        </w:rPr>
        <w:t>during trial—to which OCTC did not object—the hearing judge stated that she would make the TE case order part of the record in this matter.</w:t>
      </w:r>
    </w:p>
  </w:footnote>
  <w:footnote w:id="18">
    <w:p w14:paraId="4D9BBA31" w14:textId="58851954" w:rsidR="005D00B2" w:rsidRPr="00D55103" w:rsidRDefault="005D00B2" w:rsidP="00597223">
      <w:pPr>
        <w:pStyle w:val="TemplateFootnote"/>
        <w:rPr>
          <w:szCs w:val="24"/>
        </w:rPr>
      </w:pPr>
      <w:r w:rsidRPr="00D55103">
        <w:rPr>
          <w:rStyle w:val="FootnoteReference"/>
          <w:szCs w:val="24"/>
        </w:rPr>
        <w:footnoteRef/>
      </w:r>
      <w:r w:rsidRPr="00D55103">
        <w:rPr>
          <w:szCs w:val="24"/>
        </w:rPr>
        <w:t xml:space="preserve"> All further references to standards are to the Rules of Procedure of the State Bar, title</w:t>
      </w:r>
      <w:r>
        <w:rPr>
          <w:szCs w:val="24"/>
        </w:rPr>
        <w:t> </w:t>
      </w:r>
      <w:r w:rsidRPr="00D55103">
        <w:rPr>
          <w:szCs w:val="24"/>
        </w:rPr>
        <w:t>IV, Standards for Attorney Sanctions for Professional Misconduct.</w:t>
      </w:r>
    </w:p>
  </w:footnote>
  <w:footnote w:id="19">
    <w:p w14:paraId="6A42BA32" w14:textId="77777777" w:rsidR="005D00B2" w:rsidRPr="00D55103" w:rsidRDefault="005D00B2" w:rsidP="00F16C22">
      <w:pPr>
        <w:pStyle w:val="FootnoteText"/>
        <w:rPr>
          <w:szCs w:val="24"/>
        </w:rPr>
      </w:pPr>
      <w:r w:rsidRPr="00D55103">
        <w:rPr>
          <w:rStyle w:val="FootnoteReference"/>
          <w:szCs w:val="24"/>
        </w:rPr>
        <w:footnoteRef/>
      </w:r>
      <w:r w:rsidRPr="00D55103">
        <w:rPr>
          <w:szCs w:val="24"/>
        </w:rPr>
        <w:t xml:space="preserve"> Clear and convincing evidence leaves no substantial doubt and is sufficiently strong to command the unhesitating assent of every reasonable mind.  (</w:t>
      </w:r>
      <w:r w:rsidRPr="00D55103">
        <w:rPr>
          <w:i/>
          <w:szCs w:val="24"/>
        </w:rPr>
        <w:t>Conservatorship of Wendland</w:t>
      </w:r>
      <w:r w:rsidRPr="00D55103">
        <w:rPr>
          <w:szCs w:val="24"/>
        </w:rPr>
        <w:t xml:space="preserve"> (2001) 26 Cal.4th 519, 552.)</w:t>
      </w:r>
    </w:p>
  </w:footnote>
  <w:footnote w:id="20">
    <w:p w14:paraId="1CEE0C8C" w14:textId="5A680134" w:rsidR="005D00B2" w:rsidRPr="00D55103" w:rsidRDefault="005D00B2">
      <w:pPr>
        <w:pStyle w:val="FootnoteText"/>
        <w:rPr>
          <w:szCs w:val="24"/>
        </w:rPr>
      </w:pPr>
      <w:r w:rsidRPr="00D55103">
        <w:rPr>
          <w:rStyle w:val="FootnoteReference"/>
          <w:szCs w:val="24"/>
        </w:rPr>
        <w:footnoteRef/>
      </w:r>
      <w:r w:rsidRPr="00D55103">
        <w:rPr>
          <w:szCs w:val="24"/>
        </w:rPr>
        <w:t xml:space="preserve"> As noted by the hearing judge, OCTC should have charged this misconduct in a</w:t>
      </w:r>
      <w:r w:rsidR="004C116B">
        <w:rPr>
          <w:szCs w:val="24"/>
        </w:rPr>
        <w:t>n</w:t>
      </w:r>
      <w:r w:rsidRPr="00D55103">
        <w:rPr>
          <w:szCs w:val="24"/>
        </w:rPr>
        <w:t xml:space="preserve"> NDC, as OCTC was or should have been aware of these violations before filing the NDCs.</w:t>
      </w:r>
    </w:p>
  </w:footnote>
  <w:footnote w:id="21">
    <w:p w14:paraId="73641E6A" w14:textId="57902ADD" w:rsidR="005D00B2" w:rsidRPr="00D55103" w:rsidRDefault="005D00B2" w:rsidP="00D87CCB">
      <w:pPr>
        <w:pStyle w:val="FootnoteText"/>
        <w:rPr>
          <w:szCs w:val="24"/>
        </w:rPr>
      </w:pPr>
      <w:r w:rsidRPr="00D55103">
        <w:rPr>
          <w:rStyle w:val="FootnoteReference"/>
          <w:szCs w:val="24"/>
        </w:rPr>
        <w:footnoteRef/>
      </w:r>
      <w:r w:rsidRPr="00D55103">
        <w:rPr>
          <w:szCs w:val="24"/>
        </w:rPr>
        <w:t xml:space="preserve"> </w:t>
      </w:r>
      <w:r w:rsidR="008C2250">
        <w:rPr>
          <w:szCs w:val="24"/>
        </w:rPr>
        <w:t>In light of</w:t>
      </w:r>
      <w:r w:rsidRPr="00D55103">
        <w:rPr>
          <w:szCs w:val="24"/>
        </w:rPr>
        <w:t xml:space="preserve"> our culpability findings above, we find unpersuasive Golden’s assertion that he had “25 years . . . without any prior disciplinary action.”</w:t>
      </w:r>
    </w:p>
  </w:footnote>
  <w:footnote w:id="22">
    <w:p w14:paraId="62EFB441" w14:textId="77777777" w:rsidR="005D00B2" w:rsidRPr="00D55103" w:rsidRDefault="005D00B2" w:rsidP="006656B1">
      <w:pPr>
        <w:pStyle w:val="FootnoteText"/>
        <w:spacing w:after="120"/>
        <w:rPr>
          <w:szCs w:val="24"/>
        </w:rPr>
      </w:pPr>
      <w:r w:rsidRPr="00D55103">
        <w:rPr>
          <w:rStyle w:val="FootnoteReference"/>
          <w:szCs w:val="24"/>
        </w:rPr>
        <w:footnoteRef/>
      </w:r>
      <w:r w:rsidRPr="00D55103">
        <w:rPr>
          <w:szCs w:val="24"/>
        </w:rPr>
        <w:t xml:space="preserve"> The purpose of attorney discipline is not to punish the attorney, but to protect the public, the courts, and the legal profession; to preserve public confidence in the profession; and to maintain high professional standards for attorneys.  (Std. 1.1.)</w:t>
      </w:r>
    </w:p>
  </w:footnote>
  <w:footnote w:id="23">
    <w:p w14:paraId="08037AD2" w14:textId="480D67EE" w:rsidR="00933540" w:rsidRDefault="00933540">
      <w:pPr>
        <w:pStyle w:val="FootnoteText"/>
      </w:pPr>
      <w:r>
        <w:rPr>
          <w:rStyle w:val="FootnoteReference"/>
        </w:rPr>
        <w:footnoteRef/>
      </w:r>
      <w:r>
        <w:t xml:space="preserve"> </w:t>
      </w:r>
      <w:r w:rsidR="007120F3">
        <w:t xml:space="preserve">Standard 2.2(b), which provides that suspension or reproval is the presumed sanction for a violation of </w:t>
      </w:r>
      <w:r w:rsidR="007120F3" w:rsidRPr="00D55103">
        <w:rPr>
          <w:szCs w:val="24"/>
        </w:rPr>
        <w:t>rule</w:t>
      </w:r>
      <w:r w:rsidR="007120F3">
        <w:rPr>
          <w:szCs w:val="24"/>
        </w:rPr>
        <w:t> </w:t>
      </w:r>
      <w:r w:rsidR="007120F3" w:rsidRPr="00D55103">
        <w:rPr>
          <w:szCs w:val="24"/>
        </w:rPr>
        <w:t>4-100(B)(3</w:t>
      </w:r>
      <w:r w:rsidR="007120F3">
        <w:rPr>
          <w:szCs w:val="24"/>
        </w:rPr>
        <w:t>),</w:t>
      </w:r>
      <w:r w:rsidR="007120F3">
        <w:t xml:space="preserve"> also applies</w:t>
      </w:r>
      <w:r w:rsidR="0026447A">
        <w:t>.</w:t>
      </w:r>
    </w:p>
  </w:footnote>
  <w:footnote w:id="24">
    <w:p w14:paraId="20E3033F" w14:textId="77777777" w:rsidR="005D00B2" w:rsidRPr="00D55103" w:rsidRDefault="005D00B2" w:rsidP="009C20D3">
      <w:pPr>
        <w:ind w:firstLine="720"/>
        <w:rPr>
          <w:szCs w:val="24"/>
        </w:rPr>
      </w:pPr>
      <w:r w:rsidRPr="00D55103">
        <w:rPr>
          <w:rStyle w:val="FootnoteReference"/>
          <w:szCs w:val="24"/>
        </w:rPr>
        <w:t>*</w:t>
      </w:r>
      <w:r w:rsidRPr="00D55103">
        <w:rPr>
          <w:szCs w:val="24"/>
        </w:rPr>
        <w:t xml:space="preserve"> Retired Presiding Judge of the State Bar Court, serving as Review Judge Pro Tem by appointment of the California Supreme Court.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36BC0"/>
    <w:multiLevelType w:val="hybridMultilevel"/>
    <w:tmpl w:val="C888BB76"/>
    <w:lvl w:ilvl="0" w:tplc="D17286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6">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6F3312"/>
    <w:multiLevelType w:val="hybridMultilevel"/>
    <w:tmpl w:val="47E0E66A"/>
    <w:lvl w:ilvl="0" w:tplc="5F8ACA6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8"/>
  </w:num>
  <w:num w:numId="5">
    <w:abstractNumId w:val="4"/>
  </w:num>
  <w:num w:numId="6">
    <w:abstractNumId w:val="14"/>
  </w:num>
  <w:num w:numId="7">
    <w:abstractNumId w:val="8"/>
  </w:num>
  <w:num w:numId="8">
    <w:abstractNumId w:val="7"/>
  </w:num>
  <w:num w:numId="9">
    <w:abstractNumId w:val="16"/>
  </w:num>
  <w:num w:numId="10">
    <w:abstractNumId w:val="15"/>
  </w:num>
  <w:num w:numId="11">
    <w:abstractNumId w:val="10"/>
  </w:num>
  <w:num w:numId="12">
    <w:abstractNumId w:val="6"/>
  </w:num>
  <w:num w:numId="13">
    <w:abstractNumId w:val="22"/>
  </w:num>
  <w:num w:numId="14">
    <w:abstractNumId w:val="17"/>
  </w:num>
  <w:num w:numId="15">
    <w:abstractNumId w:val="9"/>
  </w:num>
  <w:num w:numId="16">
    <w:abstractNumId w:val="3"/>
  </w:num>
  <w:num w:numId="17">
    <w:abstractNumId w:val="0"/>
  </w:num>
  <w:num w:numId="18">
    <w:abstractNumId w:val="21"/>
  </w:num>
  <w:num w:numId="19">
    <w:abstractNumId w:val="1"/>
  </w:num>
  <w:num w:numId="20">
    <w:abstractNumId w:val="2"/>
  </w:num>
  <w:num w:numId="21">
    <w:abstractNumId w:val="19"/>
  </w:num>
  <w:num w:numId="22">
    <w:abstractNumId w:val="2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Norman">
    <w15:presenceInfo w15:providerId="Windows Live" w15:userId="3c6cfafa6ddc7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34"/>
    <w:rsid w:val="000048F1"/>
    <w:rsid w:val="00005934"/>
    <w:rsid w:val="000068A4"/>
    <w:rsid w:val="000075BD"/>
    <w:rsid w:val="00007F80"/>
    <w:rsid w:val="00010AE8"/>
    <w:rsid w:val="0001538E"/>
    <w:rsid w:val="000161FD"/>
    <w:rsid w:val="00016D2E"/>
    <w:rsid w:val="0001773E"/>
    <w:rsid w:val="00017C95"/>
    <w:rsid w:val="00024170"/>
    <w:rsid w:val="000257C7"/>
    <w:rsid w:val="00027125"/>
    <w:rsid w:val="0003042C"/>
    <w:rsid w:val="00032569"/>
    <w:rsid w:val="000327F0"/>
    <w:rsid w:val="0003339E"/>
    <w:rsid w:val="00035BAB"/>
    <w:rsid w:val="00040EA2"/>
    <w:rsid w:val="000432A2"/>
    <w:rsid w:val="00043553"/>
    <w:rsid w:val="000476BA"/>
    <w:rsid w:val="000478BE"/>
    <w:rsid w:val="000504BC"/>
    <w:rsid w:val="000512BE"/>
    <w:rsid w:val="00053E77"/>
    <w:rsid w:val="00055C8A"/>
    <w:rsid w:val="000572CF"/>
    <w:rsid w:val="00057F35"/>
    <w:rsid w:val="0006173C"/>
    <w:rsid w:val="000628FB"/>
    <w:rsid w:val="00064553"/>
    <w:rsid w:val="00065A44"/>
    <w:rsid w:val="00073E72"/>
    <w:rsid w:val="00076EDD"/>
    <w:rsid w:val="00076FB9"/>
    <w:rsid w:val="0007790D"/>
    <w:rsid w:val="00077BA4"/>
    <w:rsid w:val="0008372C"/>
    <w:rsid w:val="00087CBA"/>
    <w:rsid w:val="00087ED2"/>
    <w:rsid w:val="00092189"/>
    <w:rsid w:val="00093095"/>
    <w:rsid w:val="000A2760"/>
    <w:rsid w:val="000A305A"/>
    <w:rsid w:val="000A3E1D"/>
    <w:rsid w:val="000A4D4A"/>
    <w:rsid w:val="000A5822"/>
    <w:rsid w:val="000A6FDD"/>
    <w:rsid w:val="000A783D"/>
    <w:rsid w:val="000B2F47"/>
    <w:rsid w:val="000B3BA7"/>
    <w:rsid w:val="000B5A8D"/>
    <w:rsid w:val="000B5DA1"/>
    <w:rsid w:val="000C2564"/>
    <w:rsid w:val="000C4D16"/>
    <w:rsid w:val="000C7A66"/>
    <w:rsid w:val="000D53E3"/>
    <w:rsid w:val="000D5891"/>
    <w:rsid w:val="000E0A7C"/>
    <w:rsid w:val="000E23F8"/>
    <w:rsid w:val="000F0A0A"/>
    <w:rsid w:val="000F4B1F"/>
    <w:rsid w:val="00102DCC"/>
    <w:rsid w:val="00106596"/>
    <w:rsid w:val="00107E1A"/>
    <w:rsid w:val="0011002A"/>
    <w:rsid w:val="00114D5D"/>
    <w:rsid w:val="00115E68"/>
    <w:rsid w:val="00117166"/>
    <w:rsid w:val="00117DC4"/>
    <w:rsid w:val="001237F2"/>
    <w:rsid w:val="00131818"/>
    <w:rsid w:val="001335BC"/>
    <w:rsid w:val="00133FF9"/>
    <w:rsid w:val="00134E91"/>
    <w:rsid w:val="00136378"/>
    <w:rsid w:val="00136520"/>
    <w:rsid w:val="00136A2D"/>
    <w:rsid w:val="00136E59"/>
    <w:rsid w:val="00140609"/>
    <w:rsid w:val="00141A8E"/>
    <w:rsid w:val="001531A2"/>
    <w:rsid w:val="0015497C"/>
    <w:rsid w:val="00155343"/>
    <w:rsid w:val="00160894"/>
    <w:rsid w:val="0016207B"/>
    <w:rsid w:val="0016282B"/>
    <w:rsid w:val="00162CBD"/>
    <w:rsid w:val="00162DCE"/>
    <w:rsid w:val="001633B2"/>
    <w:rsid w:val="001634FE"/>
    <w:rsid w:val="00163BB1"/>
    <w:rsid w:val="0016486D"/>
    <w:rsid w:val="00165717"/>
    <w:rsid w:val="00174B04"/>
    <w:rsid w:val="001773BE"/>
    <w:rsid w:val="00183183"/>
    <w:rsid w:val="00187011"/>
    <w:rsid w:val="001873BC"/>
    <w:rsid w:val="001875E9"/>
    <w:rsid w:val="00191883"/>
    <w:rsid w:val="001918E4"/>
    <w:rsid w:val="00192937"/>
    <w:rsid w:val="00192F6F"/>
    <w:rsid w:val="001972EE"/>
    <w:rsid w:val="001A3082"/>
    <w:rsid w:val="001A33E5"/>
    <w:rsid w:val="001A6923"/>
    <w:rsid w:val="001A6CD9"/>
    <w:rsid w:val="001A6F77"/>
    <w:rsid w:val="001B0733"/>
    <w:rsid w:val="001B12A4"/>
    <w:rsid w:val="001B208B"/>
    <w:rsid w:val="001B21E7"/>
    <w:rsid w:val="001B2505"/>
    <w:rsid w:val="001B2F99"/>
    <w:rsid w:val="001B3B9E"/>
    <w:rsid w:val="001B5182"/>
    <w:rsid w:val="001B54AE"/>
    <w:rsid w:val="001B7B1B"/>
    <w:rsid w:val="001B7E8B"/>
    <w:rsid w:val="001C0911"/>
    <w:rsid w:val="001C0964"/>
    <w:rsid w:val="001D218B"/>
    <w:rsid w:val="001D3A28"/>
    <w:rsid w:val="001D55A6"/>
    <w:rsid w:val="001D69C0"/>
    <w:rsid w:val="001D6BE3"/>
    <w:rsid w:val="001D7AF8"/>
    <w:rsid w:val="001E4625"/>
    <w:rsid w:val="001E5A9B"/>
    <w:rsid w:val="001E5CB3"/>
    <w:rsid w:val="001E64A0"/>
    <w:rsid w:val="001E7144"/>
    <w:rsid w:val="001F2928"/>
    <w:rsid w:val="001F2C01"/>
    <w:rsid w:val="001F37B8"/>
    <w:rsid w:val="001F6742"/>
    <w:rsid w:val="001F71D6"/>
    <w:rsid w:val="001F795A"/>
    <w:rsid w:val="0020058D"/>
    <w:rsid w:val="00203644"/>
    <w:rsid w:val="00203E9C"/>
    <w:rsid w:val="00206872"/>
    <w:rsid w:val="00210BC2"/>
    <w:rsid w:val="0021667C"/>
    <w:rsid w:val="00217CC4"/>
    <w:rsid w:val="0022157C"/>
    <w:rsid w:val="00222694"/>
    <w:rsid w:val="00223504"/>
    <w:rsid w:val="00223BF0"/>
    <w:rsid w:val="002349EE"/>
    <w:rsid w:val="00234D03"/>
    <w:rsid w:val="002350EC"/>
    <w:rsid w:val="00235A4D"/>
    <w:rsid w:val="0023661D"/>
    <w:rsid w:val="0023766E"/>
    <w:rsid w:val="00240B80"/>
    <w:rsid w:val="00242857"/>
    <w:rsid w:val="0024299E"/>
    <w:rsid w:val="00243A9D"/>
    <w:rsid w:val="00244A80"/>
    <w:rsid w:val="002464C0"/>
    <w:rsid w:val="00246D02"/>
    <w:rsid w:val="002508B4"/>
    <w:rsid w:val="002518C1"/>
    <w:rsid w:val="00252C67"/>
    <w:rsid w:val="00260C67"/>
    <w:rsid w:val="0026195B"/>
    <w:rsid w:val="00261CF8"/>
    <w:rsid w:val="0026447A"/>
    <w:rsid w:val="002656D9"/>
    <w:rsid w:val="002727FE"/>
    <w:rsid w:val="00276176"/>
    <w:rsid w:val="00276590"/>
    <w:rsid w:val="002812A0"/>
    <w:rsid w:val="00282763"/>
    <w:rsid w:val="002830F3"/>
    <w:rsid w:val="0028325C"/>
    <w:rsid w:val="00283833"/>
    <w:rsid w:val="0028625D"/>
    <w:rsid w:val="00290E48"/>
    <w:rsid w:val="00293579"/>
    <w:rsid w:val="00293A00"/>
    <w:rsid w:val="002A010C"/>
    <w:rsid w:val="002A29D6"/>
    <w:rsid w:val="002A535A"/>
    <w:rsid w:val="002B2025"/>
    <w:rsid w:val="002B2432"/>
    <w:rsid w:val="002B3CBD"/>
    <w:rsid w:val="002B548A"/>
    <w:rsid w:val="002B63C3"/>
    <w:rsid w:val="002B739A"/>
    <w:rsid w:val="002B7D4C"/>
    <w:rsid w:val="002C1DF8"/>
    <w:rsid w:val="002C49AF"/>
    <w:rsid w:val="002D1134"/>
    <w:rsid w:val="002D1855"/>
    <w:rsid w:val="002D2F4A"/>
    <w:rsid w:val="002E0D26"/>
    <w:rsid w:val="002F023E"/>
    <w:rsid w:val="002F2B27"/>
    <w:rsid w:val="002F3BFA"/>
    <w:rsid w:val="002F45AA"/>
    <w:rsid w:val="002F460B"/>
    <w:rsid w:val="002F494B"/>
    <w:rsid w:val="002F4DCF"/>
    <w:rsid w:val="002F7268"/>
    <w:rsid w:val="002F74AF"/>
    <w:rsid w:val="00307D03"/>
    <w:rsid w:val="00307E0B"/>
    <w:rsid w:val="00311270"/>
    <w:rsid w:val="00312733"/>
    <w:rsid w:val="00313B33"/>
    <w:rsid w:val="00315908"/>
    <w:rsid w:val="00315E13"/>
    <w:rsid w:val="00316300"/>
    <w:rsid w:val="003176F2"/>
    <w:rsid w:val="00317A4E"/>
    <w:rsid w:val="003209BE"/>
    <w:rsid w:val="00326620"/>
    <w:rsid w:val="00327A27"/>
    <w:rsid w:val="003301C3"/>
    <w:rsid w:val="003313E4"/>
    <w:rsid w:val="003316D0"/>
    <w:rsid w:val="003341C6"/>
    <w:rsid w:val="003364D8"/>
    <w:rsid w:val="003427DA"/>
    <w:rsid w:val="00345541"/>
    <w:rsid w:val="00345740"/>
    <w:rsid w:val="003517A8"/>
    <w:rsid w:val="00351E0B"/>
    <w:rsid w:val="0035432F"/>
    <w:rsid w:val="003554B3"/>
    <w:rsid w:val="00355FFC"/>
    <w:rsid w:val="00356D77"/>
    <w:rsid w:val="00356F0B"/>
    <w:rsid w:val="00357051"/>
    <w:rsid w:val="00363175"/>
    <w:rsid w:val="00367461"/>
    <w:rsid w:val="0037226D"/>
    <w:rsid w:val="00372304"/>
    <w:rsid w:val="00374340"/>
    <w:rsid w:val="003751C3"/>
    <w:rsid w:val="00375E8A"/>
    <w:rsid w:val="0037754E"/>
    <w:rsid w:val="003810EB"/>
    <w:rsid w:val="0038181C"/>
    <w:rsid w:val="0038213D"/>
    <w:rsid w:val="00382790"/>
    <w:rsid w:val="00382E4C"/>
    <w:rsid w:val="00386AD5"/>
    <w:rsid w:val="00390880"/>
    <w:rsid w:val="00391011"/>
    <w:rsid w:val="0039114B"/>
    <w:rsid w:val="00397220"/>
    <w:rsid w:val="00397CE1"/>
    <w:rsid w:val="003A023F"/>
    <w:rsid w:val="003A5F40"/>
    <w:rsid w:val="003A65FF"/>
    <w:rsid w:val="003B5019"/>
    <w:rsid w:val="003B782C"/>
    <w:rsid w:val="003C0D34"/>
    <w:rsid w:val="003C1A8D"/>
    <w:rsid w:val="003C6FA7"/>
    <w:rsid w:val="003D09FD"/>
    <w:rsid w:val="003D41D0"/>
    <w:rsid w:val="003D4C68"/>
    <w:rsid w:val="003D5200"/>
    <w:rsid w:val="003D5E8C"/>
    <w:rsid w:val="003D7D88"/>
    <w:rsid w:val="003E0B2B"/>
    <w:rsid w:val="003E2BE1"/>
    <w:rsid w:val="003E2D3E"/>
    <w:rsid w:val="003E3256"/>
    <w:rsid w:val="003E3FD1"/>
    <w:rsid w:val="003E5A8D"/>
    <w:rsid w:val="003E6628"/>
    <w:rsid w:val="003F06DF"/>
    <w:rsid w:val="003F0E0F"/>
    <w:rsid w:val="003F4AC1"/>
    <w:rsid w:val="003F5897"/>
    <w:rsid w:val="003F5A0E"/>
    <w:rsid w:val="003F76A5"/>
    <w:rsid w:val="004009C2"/>
    <w:rsid w:val="004018FA"/>
    <w:rsid w:val="00413D91"/>
    <w:rsid w:val="0041517E"/>
    <w:rsid w:val="00415FE9"/>
    <w:rsid w:val="00415FEE"/>
    <w:rsid w:val="00426015"/>
    <w:rsid w:val="00427913"/>
    <w:rsid w:val="0043177C"/>
    <w:rsid w:val="00432C95"/>
    <w:rsid w:val="00432ED6"/>
    <w:rsid w:val="004330DE"/>
    <w:rsid w:val="00433733"/>
    <w:rsid w:val="00434FA7"/>
    <w:rsid w:val="00440BF3"/>
    <w:rsid w:val="00443B49"/>
    <w:rsid w:val="00445158"/>
    <w:rsid w:val="0044564A"/>
    <w:rsid w:val="00452B80"/>
    <w:rsid w:val="00452F41"/>
    <w:rsid w:val="0045361A"/>
    <w:rsid w:val="00454A2C"/>
    <w:rsid w:val="004565B8"/>
    <w:rsid w:val="00457120"/>
    <w:rsid w:val="00460F89"/>
    <w:rsid w:val="004738F0"/>
    <w:rsid w:val="00474987"/>
    <w:rsid w:val="00474ABD"/>
    <w:rsid w:val="00480535"/>
    <w:rsid w:val="0048236A"/>
    <w:rsid w:val="00484A44"/>
    <w:rsid w:val="00486056"/>
    <w:rsid w:val="00487222"/>
    <w:rsid w:val="00491D18"/>
    <w:rsid w:val="004928DE"/>
    <w:rsid w:val="00495ECA"/>
    <w:rsid w:val="00496161"/>
    <w:rsid w:val="00496BAF"/>
    <w:rsid w:val="00497EDB"/>
    <w:rsid w:val="004A2150"/>
    <w:rsid w:val="004A37D1"/>
    <w:rsid w:val="004A3E9D"/>
    <w:rsid w:val="004A78E8"/>
    <w:rsid w:val="004B47BB"/>
    <w:rsid w:val="004B4953"/>
    <w:rsid w:val="004B599F"/>
    <w:rsid w:val="004C0978"/>
    <w:rsid w:val="004C116B"/>
    <w:rsid w:val="004C1DA0"/>
    <w:rsid w:val="004C221C"/>
    <w:rsid w:val="004C3351"/>
    <w:rsid w:val="004C6A45"/>
    <w:rsid w:val="004E0D84"/>
    <w:rsid w:val="004E4B70"/>
    <w:rsid w:val="004F2977"/>
    <w:rsid w:val="004F2EFD"/>
    <w:rsid w:val="004F2FA2"/>
    <w:rsid w:val="004F4322"/>
    <w:rsid w:val="004F60F1"/>
    <w:rsid w:val="004F622B"/>
    <w:rsid w:val="00510EA1"/>
    <w:rsid w:val="00514D79"/>
    <w:rsid w:val="00523756"/>
    <w:rsid w:val="00532A75"/>
    <w:rsid w:val="00532D80"/>
    <w:rsid w:val="005341E5"/>
    <w:rsid w:val="005353C6"/>
    <w:rsid w:val="00540194"/>
    <w:rsid w:val="005436C8"/>
    <w:rsid w:val="00545C75"/>
    <w:rsid w:val="00546CD9"/>
    <w:rsid w:val="00552E73"/>
    <w:rsid w:val="005539CE"/>
    <w:rsid w:val="005608C0"/>
    <w:rsid w:val="00560ED4"/>
    <w:rsid w:val="00563446"/>
    <w:rsid w:val="005642F7"/>
    <w:rsid w:val="00564A76"/>
    <w:rsid w:val="00567D95"/>
    <w:rsid w:val="00570C3E"/>
    <w:rsid w:val="00570E62"/>
    <w:rsid w:val="005722F8"/>
    <w:rsid w:val="005725C7"/>
    <w:rsid w:val="00572722"/>
    <w:rsid w:val="00580B3A"/>
    <w:rsid w:val="00581B64"/>
    <w:rsid w:val="00583865"/>
    <w:rsid w:val="00584A58"/>
    <w:rsid w:val="00597223"/>
    <w:rsid w:val="0059726C"/>
    <w:rsid w:val="00597986"/>
    <w:rsid w:val="005A2C5A"/>
    <w:rsid w:val="005A4070"/>
    <w:rsid w:val="005A4412"/>
    <w:rsid w:val="005A5E56"/>
    <w:rsid w:val="005B2875"/>
    <w:rsid w:val="005B6BF5"/>
    <w:rsid w:val="005B7B73"/>
    <w:rsid w:val="005C17BF"/>
    <w:rsid w:val="005C4E26"/>
    <w:rsid w:val="005C7B3B"/>
    <w:rsid w:val="005D00B2"/>
    <w:rsid w:val="005D134F"/>
    <w:rsid w:val="005D14B0"/>
    <w:rsid w:val="005D1C71"/>
    <w:rsid w:val="005D3180"/>
    <w:rsid w:val="005D3C6F"/>
    <w:rsid w:val="005D6702"/>
    <w:rsid w:val="005D770A"/>
    <w:rsid w:val="005E0349"/>
    <w:rsid w:val="005F2C70"/>
    <w:rsid w:val="005F4499"/>
    <w:rsid w:val="005F5F7C"/>
    <w:rsid w:val="005F7728"/>
    <w:rsid w:val="0060261B"/>
    <w:rsid w:val="00603695"/>
    <w:rsid w:val="006042D3"/>
    <w:rsid w:val="0060461C"/>
    <w:rsid w:val="00604BBE"/>
    <w:rsid w:val="00605473"/>
    <w:rsid w:val="006058E0"/>
    <w:rsid w:val="00607595"/>
    <w:rsid w:val="006102C0"/>
    <w:rsid w:val="0061174C"/>
    <w:rsid w:val="0061274E"/>
    <w:rsid w:val="006138F4"/>
    <w:rsid w:val="006145F1"/>
    <w:rsid w:val="00622A3F"/>
    <w:rsid w:val="00624C55"/>
    <w:rsid w:val="00625BF1"/>
    <w:rsid w:val="00633C4C"/>
    <w:rsid w:val="00636400"/>
    <w:rsid w:val="00642191"/>
    <w:rsid w:val="00643332"/>
    <w:rsid w:val="006476AD"/>
    <w:rsid w:val="0065009F"/>
    <w:rsid w:val="00650E13"/>
    <w:rsid w:val="00651946"/>
    <w:rsid w:val="00651EB4"/>
    <w:rsid w:val="006525E6"/>
    <w:rsid w:val="00654D77"/>
    <w:rsid w:val="00656216"/>
    <w:rsid w:val="00660867"/>
    <w:rsid w:val="00661C97"/>
    <w:rsid w:val="006656B1"/>
    <w:rsid w:val="006713D1"/>
    <w:rsid w:val="0067165F"/>
    <w:rsid w:val="00672C77"/>
    <w:rsid w:val="0067332F"/>
    <w:rsid w:val="00673F29"/>
    <w:rsid w:val="006762BA"/>
    <w:rsid w:val="00676ADE"/>
    <w:rsid w:val="006870FB"/>
    <w:rsid w:val="006A0D1A"/>
    <w:rsid w:val="006A1492"/>
    <w:rsid w:val="006A2487"/>
    <w:rsid w:val="006A38C4"/>
    <w:rsid w:val="006B0A93"/>
    <w:rsid w:val="006B1E21"/>
    <w:rsid w:val="006B322E"/>
    <w:rsid w:val="006B3460"/>
    <w:rsid w:val="006B3BF0"/>
    <w:rsid w:val="006B3E5E"/>
    <w:rsid w:val="006B7DD2"/>
    <w:rsid w:val="006C38B1"/>
    <w:rsid w:val="006D2267"/>
    <w:rsid w:val="006D36FC"/>
    <w:rsid w:val="006D4914"/>
    <w:rsid w:val="006D6ACA"/>
    <w:rsid w:val="006E0A41"/>
    <w:rsid w:val="006E0BF2"/>
    <w:rsid w:val="006E63E5"/>
    <w:rsid w:val="006E7BB1"/>
    <w:rsid w:val="006F3420"/>
    <w:rsid w:val="006F3469"/>
    <w:rsid w:val="006F3F80"/>
    <w:rsid w:val="006F4667"/>
    <w:rsid w:val="006F6A13"/>
    <w:rsid w:val="006F6B34"/>
    <w:rsid w:val="00701426"/>
    <w:rsid w:val="00701DF8"/>
    <w:rsid w:val="00702419"/>
    <w:rsid w:val="00702FE3"/>
    <w:rsid w:val="007120F3"/>
    <w:rsid w:val="00713A67"/>
    <w:rsid w:val="007152B1"/>
    <w:rsid w:val="00717F75"/>
    <w:rsid w:val="0072103B"/>
    <w:rsid w:val="00723F74"/>
    <w:rsid w:val="007269F1"/>
    <w:rsid w:val="00730B4C"/>
    <w:rsid w:val="007314DC"/>
    <w:rsid w:val="007317A1"/>
    <w:rsid w:val="00732A6C"/>
    <w:rsid w:val="00732E6C"/>
    <w:rsid w:val="00733B04"/>
    <w:rsid w:val="00735FF8"/>
    <w:rsid w:val="007365BE"/>
    <w:rsid w:val="007409D1"/>
    <w:rsid w:val="0074185E"/>
    <w:rsid w:val="00741B93"/>
    <w:rsid w:val="00741C31"/>
    <w:rsid w:val="00742A86"/>
    <w:rsid w:val="00743C0E"/>
    <w:rsid w:val="0074426B"/>
    <w:rsid w:val="00750045"/>
    <w:rsid w:val="007505FA"/>
    <w:rsid w:val="00750ABA"/>
    <w:rsid w:val="00750FB4"/>
    <w:rsid w:val="0075437C"/>
    <w:rsid w:val="007572DF"/>
    <w:rsid w:val="007572E2"/>
    <w:rsid w:val="00757F48"/>
    <w:rsid w:val="00761225"/>
    <w:rsid w:val="0076172A"/>
    <w:rsid w:val="00761B0B"/>
    <w:rsid w:val="0076302F"/>
    <w:rsid w:val="00763312"/>
    <w:rsid w:val="007638D7"/>
    <w:rsid w:val="00763960"/>
    <w:rsid w:val="00763A3F"/>
    <w:rsid w:val="00763A57"/>
    <w:rsid w:val="00767C07"/>
    <w:rsid w:val="00770335"/>
    <w:rsid w:val="007729F5"/>
    <w:rsid w:val="00774185"/>
    <w:rsid w:val="00776B44"/>
    <w:rsid w:val="007800D5"/>
    <w:rsid w:val="007826A8"/>
    <w:rsid w:val="0078319E"/>
    <w:rsid w:val="0078385D"/>
    <w:rsid w:val="00783D41"/>
    <w:rsid w:val="007914BE"/>
    <w:rsid w:val="0079450C"/>
    <w:rsid w:val="00794D8A"/>
    <w:rsid w:val="00795963"/>
    <w:rsid w:val="007A106E"/>
    <w:rsid w:val="007A3224"/>
    <w:rsid w:val="007A7FC8"/>
    <w:rsid w:val="007B3BC3"/>
    <w:rsid w:val="007B4265"/>
    <w:rsid w:val="007B48E6"/>
    <w:rsid w:val="007B74C9"/>
    <w:rsid w:val="007C26E8"/>
    <w:rsid w:val="007C2DC2"/>
    <w:rsid w:val="007C35A2"/>
    <w:rsid w:val="007C53DE"/>
    <w:rsid w:val="007C6997"/>
    <w:rsid w:val="007D3BC8"/>
    <w:rsid w:val="007D4654"/>
    <w:rsid w:val="007E1C4E"/>
    <w:rsid w:val="007E3D69"/>
    <w:rsid w:val="007E51BC"/>
    <w:rsid w:val="007E5547"/>
    <w:rsid w:val="007E5B41"/>
    <w:rsid w:val="007E6B84"/>
    <w:rsid w:val="007E761D"/>
    <w:rsid w:val="007F0D24"/>
    <w:rsid w:val="007F1004"/>
    <w:rsid w:val="007F2078"/>
    <w:rsid w:val="007F2627"/>
    <w:rsid w:val="007F65FB"/>
    <w:rsid w:val="00800268"/>
    <w:rsid w:val="00800347"/>
    <w:rsid w:val="00800373"/>
    <w:rsid w:val="00804CA3"/>
    <w:rsid w:val="00805577"/>
    <w:rsid w:val="00812E41"/>
    <w:rsid w:val="00813125"/>
    <w:rsid w:val="00815347"/>
    <w:rsid w:val="00815C48"/>
    <w:rsid w:val="008170EB"/>
    <w:rsid w:val="00817D48"/>
    <w:rsid w:val="00823C7E"/>
    <w:rsid w:val="00824E47"/>
    <w:rsid w:val="00826A17"/>
    <w:rsid w:val="0082724B"/>
    <w:rsid w:val="008318F9"/>
    <w:rsid w:val="00832223"/>
    <w:rsid w:val="008353A4"/>
    <w:rsid w:val="008379E7"/>
    <w:rsid w:val="00842B8F"/>
    <w:rsid w:val="00842D1D"/>
    <w:rsid w:val="0084324A"/>
    <w:rsid w:val="008449BD"/>
    <w:rsid w:val="00844E8E"/>
    <w:rsid w:val="0084755E"/>
    <w:rsid w:val="00850245"/>
    <w:rsid w:val="00850983"/>
    <w:rsid w:val="00852878"/>
    <w:rsid w:val="00853CF6"/>
    <w:rsid w:val="00855F09"/>
    <w:rsid w:val="0085787C"/>
    <w:rsid w:val="00857F38"/>
    <w:rsid w:val="00861458"/>
    <w:rsid w:val="00862A85"/>
    <w:rsid w:val="00872316"/>
    <w:rsid w:val="008726CB"/>
    <w:rsid w:val="0088321F"/>
    <w:rsid w:val="00885EA7"/>
    <w:rsid w:val="00886417"/>
    <w:rsid w:val="008914B0"/>
    <w:rsid w:val="00893053"/>
    <w:rsid w:val="00894198"/>
    <w:rsid w:val="008947A2"/>
    <w:rsid w:val="008969FF"/>
    <w:rsid w:val="008A5348"/>
    <w:rsid w:val="008A6F95"/>
    <w:rsid w:val="008B02F1"/>
    <w:rsid w:val="008B21D3"/>
    <w:rsid w:val="008B522C"/>
    <w:rsid w:val="008B5464"/>
    <w:rsid w:val="008B5A32"/>
    <w:rsid w:val="008B617D"/>
    <w:rsid w:val="008C042C"/>
    <w:rsid w:val="008C2250"/>
    <w:rsid w:val="008C2C2D"/>
    <w:rsid w:val="008C55FC"/>
    <w:rsid w:val="008D64DE"/>
    <w:rsid w:val="008D6952"/>
    <w:rsid w:val="008E3244"/>
    <w:rsid w:val="008E36E4"/>
    <w:rsid w:val="008F1782"/>
    <w:rsid w:val="008F189C"/>
    <w:rsid w:val="00902BD5"/>
    <w:rsid w:val="009033E7"/>
    <w:rsid w:val="00905105"/>
    <w:rsid w:val="009065AA"/>
    <w:rsid w:val="00906600"/>
    <w:rsid w:val="009079D3"/>
    <w:rsid w:val="00910128"/>
    <w:rsid w:val="0091169F"/>
    <w:rsid w:val="00913027"/>
    <w:rsid w:val="00913AE4"/>
    <w:rsid w:val="0091523C"/>
    <w:rsid w:val="00921067"/>
    <w:rsid w:val="009221B1"/>
    <w:rsid w:val="00922844"/>
    <w:rsid w:val="009249E0"/>
    <w:rsid w:val="00930771"/>
    <w:rsid w:val="0093132E"/>
    <w:rsid w:val="00931843"/>
    <w:rsid w:val="00933540"/>
    <w:rsid w:val="009351F5"/>
    <w:rsid w:val="00935C8D"/>
    <w:rsid w:val="0093680B"/>
    <w:rsid w:val="00937BAE"/>
    <w:rsid w:val="00940635"/>
    <w:rsid w:val="009422E1"/>
    <w:rsid w:val="009422FE"/>
    <w:rsid w:val="0094519A"/>
    <w:rsid w:val="00945948"/>
    <w:rsid w:val="009465E2"/>
    <w:rsid w:val="00947058"/>
    <w:rsid w:val="009475BD"/>
    <w:rsid w:val="0095224F"/>
    <w:rsid w:val="00954B16"/>
    <w:rsid w:val="00955CEB"/>
    <w:rsid w:val="00955E3F"/>
    <w:rsid w:val="00957313"/>
    <w:rsid w:val="00960638"/>
    <w:rsid w:val="00962953"/>
    <w:rsid w:val="00966DE7"/>
    <w:rsid w:val="00970C56"/>
    <w:rsid w:val="009742D2"/>
    <w:rsid w:val="00982F28"/>
    <w:rsid w:val="00984C7A"/>
    <w:rsid w:val="009872C0"/>
    <w:rsid w:val="0099101B"/>
    <w:rsid w:val="00992E74"/>
    <w:rsid w:val="0099453F"/>
    <w:rsid w:val="00995BA4"/>
    <w:rsid w:val="00995C52"/>
    <w:rsid w:val="009A222C"/>
    <w:rsid w:val="009A4759"/>
    <w:rsid w:val="009A5CB7"/>
    <w:rsid w:val="009B4736"/>
    <w:rsid w:val="009C1803"/>
    <w:rsid w:val="009C20D3"/>
    <w:rsid w:val="009C3229"/>
    <w:rsid w:val="009C3831"/>
    <w:rsid w:val="009C4997"/>
    <w:rsid w:val="009C6992"/>
    <w:rsid w:val="009C7686"/>
    <w:rsid w:val="009D1BB3"/>
    <w:rsid w:val="009D313B"/>
    <w:rsid w:val="009D3B28"/>
    <w:rsid w:val="009D3C34"/>
    <w:rsid w:val="009E1E0E"/>
    <w:rsid w:val="009E21DF"/>
    <w:rsid w:val="009E32BA"/>
    <w:rsid w:val="009E366F"/>
    <w:rsid w:val="009E7736"/>
    <w:rsid w:val="009F3AF4"/>
    <w:rsid w:val="009F42A8"/>
    <w:rsid w:val="009F75D9"/>
    <w:rsid w:val="00A04109"/>
    <w:rsid w:val="00A11DE0"/>
    <w:rsid w:val="00A137C1"/>
    <w:rsid w:val="00A14BCB"/>
    <w:rsid w:val="00A15516"/>
    <w:rsid w:val="00A15EFA"/>
    <w:rsid w:val="00A1784D"/>
    <w:rsid w:val="00A20C49"/>
    <w:rsid w:val="00A213AF"/>
    <w:rsid w:val="00A220F4"/>
    <w:rsid w:val="00A238A8"/>
    <w:rsid w:val="00A2595A"/>
    <w:rsid w:val="00A26C4E"/>
    <w:rsid w:val="00A312B3"/>
    <w:rsid w:val="00A32CEE"/>
    <w:rsid w:val="00A35DB8"/>
    <w:rsid w:val="00A37B79"/>
    <w:rsid w:val="00A402C6"/>
    <w:rsid w:val="00A47559"/>
    <w:rsid w:val="00A50205"/>
    <w:rsid w:val="00A51234"/>
    <w:rsid w:val="00A55CCE"/>
    <w:rsid w:val="00A649AA"/>
    <w:rsid w:val="00A71CEA"/>
    <w:rsid w:val="00A75037"/>
    <w:rsid w:val="00A81FE4"/>
    <w:rsid w:val="00A8290D"/>
    <w:rsid w:val="00A82988"/>
    <w:rsid w:val="00A82C69"/>
    <w:rsid w:val="00A86843"/>
    <w:rsid w:val="00A877C2"/>
    <w:rsid w:val="00A905BB"/>
    <w:rsid w:val="00A92F72"/>
    <w:rsid w:val="00A94B83"/>
    <w:rsid w:val="00A94B9A"/>
    <w:rsid w:val="00A95102"/>
    <w:rsid w:val="00A968AF"/>
    <w:rsid w:val="00A979CD"/>
    <w:rsid w:val="00A97C4E"/>
    <w:rsid w:val="00AA305D"/>
    <w:rsid w:val="00AA4CBE"/>
    <w:rsid w:val="00AA51A7"/>
    <w:rsid w:val="00AA68E9"/>
    <w:rsid w:val="00AC1E3D"/>
    <w:rsid w:val="00AD18A3"/>
    <w:rsid w:val="00AD38E1"/>
    <w:rsid w:val="00AD58B7"/>
    <w:rsid w:val="00AD5B25"/>
    <w:rsid w:val="00AE07A3"/>
    <w:rsid w:val="00AE224B"/>
    <w:rsid w:val="00AE3847"/>
    <w:rsid w:val="00AE6FC8"/>
    <w:rsid w:val="00AF0D46"/>
    <w:rsid w:val="00AF1205"/>
    <w:rsid w:val="00AF33D5"/>
    <w:rsid w:val="00AF6EF8"/>
    <w:rsid w:val="00AF7121"/>
    <w:rsid w:val="00AF7691"/>
    <w:rsid w:val="00B01896"/>
    <w:rsid w:val="00B05826"/>
    <w:rsid w:val="00B06E8B"/>
    <w:rsid w:val="00B148B6"/>
    <w:rsid w:val="00B231E1"/>
    <w:rsid w:val="00B23A28"/>
    <w:rsid w:val="00B2507A"/>
    <w:rsid w:val="00B32231"/>
    <w:rsid w:val="00B32F8A"/>
    <w:rsid w:val="00B33E72"/>
    <w:rsid w:val="00B364E4"/>
    <w:rsid w:val="00B40196"/>
    <w:rsid w:val="00B43DDB"/>
    <w:rsid w:val="00B4552A"/>
    <w:rsid w:val="00B553D1"/>
    <w:rsid w:val="00B56F2B"/>
    <w:rsid w:val="00B60500"/>
    <w:rsid w:val="00B607C5"/>
    <w:rsid w:val="00B61201"/>
    <w:rsid w:val="00B616EE"/>
    <w:rsid w:val="00B635A2"/>
    <w:rsid w:val="00B65C06"/>
    <w:rsid w:val="00B705D6"/>
    <w:rsid w:val="00B82321"/>
    <w:rsid w:val="00B8721F"/>
    <w:rsid w:val="00B87B3C"/>
    <w:rsid w:val="00B93A90"/>
    <w:rsid w:val="00B94B8D"/>
    <w:rsid w:val="00B96C4D"/>
    <w:rsid w:val="00B9732E"/>
    <w:rsid w:val="00BA0A9C"/>
    <w:rsid w:val="00BA1DB8"/>
    <w:rsid w:val="00BA20CC"/>
    <w:rsid w:val="00BA2E50"/>
    <w:rsid w:val="00BA4C37"/>
    <w:rsid w:val="00BA51A7"/>
    <w:rsid w:val="00BA6BC8"/>
    <w:rsid w:val="00BA7613"/>
    <w:rsid w:val="00BA7C50"/>
    <w:rsid w:val="00BB2212"/>
    <w:rsid w:val="00BB5A2B"/>
    <w:rsid w:val="00BB5E9F"/>
    <w:rsid w:val="00BB62C6"/>
    <w:rsid w:val="00BB6583"/>
    <w:rsid w:val="00BB7084"/>
    <w:rsid w:val="00BC1562"/>
    <w:rsid w:val="00BC53C2"/>
    <w:rsid w:val="00BD0468"/>
    <w:rsid w:val="00BD0653"/>
    <w:rsid w:val="00BD1C31"/>
    <w:rsid w:val="00BD1F49"/>
    <w:rsid w:val="00BD23C9"/>
    <w:rsid w:val="00BE29F8"/>
    <w:rsid w:val="00BE2F59"/>
    <w:rsid w:val="00BE6591"/>
    <w:rsid w:val="00BE6A4E"/>
    <w:rsid w:val="00BE76A4"/>
    <w:rsid w:val="00BE786C"/>
    <w:rsid w:val="00BF098A"/>
    <w:rsid w:val="00BF23C7"/>
    <w:rsid w:val="00BF2BDD"/>
    <w:rsid w:val="00BF3217"/>
    <w:rsid w:val="00BF38AA"/>
    <w:rsid w:val="00BF4C58"/>
    <w:rsid w:val="00BF562D"/>
    <w:rsid w:val="00BF5E40"/>
    <w:rsid w:val="00BF66C0"/>
    <w:rsid w:val="00C051F3"/>
    <w:rsid w:val="00C10841"/>
    <w:rsid w:val="00C118D3"/>
    <w:rsid w:val="00C13519"/>
    <w:rsid w:val="00C13A55"/>
    <w:rsid w:val="00C13F27"/>
    <w:rsid w:val="00C13FEF"/>
    <w:rsid w:val="00C1687B"/>
    <w:rsid w:val="00C2154A"/>
    <w:rsid w:val="00C23E33"/>
    <w:rsid w:val="00C2496B"/>
    <w:rsid w:val="00C25A43"/>
    <w:rsid w:val="00C32190"/>
    <w:rsid w:val="00C325F0"/>
    <w:rsid w:val="00C34F0E"/>
    <w:rsid w:val="00C36305"/>
    <w:rsid w:val="00C42DE9"/>
    <w:rsid w:val="00C4353F"/>
    <w:rsid w:val="00C43D5E"/>
    <w:rsid w:val="00C44D74"/>
    <w:rsid w:val="00C45457"/>
    <w:rsid w:val="00C47E95"/>
    <w:rsid w:val="00C55F66"/>
    <w:rsid w:val="00C57798"/>
    <w:rsid w:val="00C61729"/>
    <w:rsid w:val="00C61EE6"/>
    <w:rsid w:val="00C67654"/>
    <w:rsid w:val="00C7002D"/>
    <w:rsid w:val="00C72E3F"/>
    <w:rsid w:val="00C740F9"/>
    <w:rsid w:val="00C7447F"/>
    <w:rsid w:val="00C7674C"/>
    <w:rsid w:val="00C77164"/>
    <w:rsid w:val="00C800C2"/>
    <w:rsid w:val="00C801B8"/>
    <w:rsid w:val="00C827A8"/>
    <w:rsid w:val="00C85F80"/>
    <w:rsid w:val="00C86813"/>
    <w:rsid w:val="00C96FF1"/>
    <w:rsid w:val="00C9774C"/>
    <w:rsid w:val="00C977B2"/>
    <w:rsid w:val="00CA0073"/>
    <w:rsid w:val="00CA11DC"/>
    <w:rsid w:val="00CA12A0"/>
    <w:rsid w:val="00CA1595"/>
    <w:rsid w:val="00CA25EA"/>
    <w:rsid w:val="00CA394A"/>
    <w:rsid w:val="00CA4E70"/>
    <w:rsid w:val="00CB038B"/>
    <w:rsid w:val="00CB052E"/>
    <w:rsid w:val="00CB160E"/>
    <w:rsid w:val="00CB3AEB"/>
    <w:rsid w:val="00CB4820"/>
    <w:rsid w:val="00CB5A9E"/>
    <w:rsid w:val="00CB7057"/>
    <w:rsid w:val="00CB7D2E"/>
    <w:rsid w:val="00CC29F5"/>
    <w:rsid w:val="00CC33E4"/>
    <w:rsid w:val="00CC4FE0"/>
    <w:rsid w:val="00CC62AD"/>
    <w:rsid w:val="00CC6A04"/>
    <w:rsid w:val="00CC6DD5"/>
    <w:rsid w:val="00CC751A"/>
    <w:rsid w:val="00CD1E73"/>
    <w:rsid w:val="00CD2984"/>
    <w:rsid w:val="00CD505C"/>
    <w:rsid w:val="00CE0675"/>
    <w:rsid w:val="00CE23F9"/>
    <w:rsid w:val="00CE37C4"/>
    <w:rsid w:val="00CE4699"/>
    <w:rsid w:val="00CE49C7"/>
    <w:rsid w:val="00CE5CA0"/>
    <w:rsid w:val="00CF05DC"/>
    <w:rsid w:val="00CF1140"/>
    <w:rsid w:val="00CF3379"/>
    <w:rsid w:val="00CF3CFA"/>
    <w:rsid w:val="00D00228"/>
    <w:rsid w:val="00D01D1D"/>
    <w:rsid w:val="00D024DE"/>
    <w:rsid w:val="00D0280E"/>
    <w:rsid w:val="00D048B7"/>
    <w:rsid w:val="00D05732"/>
    <w:rsid w:val="00D0702A"/>
    <w:rsid w:val="00D074AC"/>
    <w:rsid w:val="00D07F70"/>
    <w:rsid w:val="00D10DEA"/>
    <w:rsid w:val="00D1220D"/>
    <w:rsid w:val="00D122B6"/>
    <w:rsid w:val="00D170B0"/>
    <w:rsid w:val="00D207EB"/>
    <w:rsid w:val="00D213C7"/>
    <w:rsid w:val="00D24B05"/>
    <w:rsid w:val="00D26150"/>
    <w:rsid w:val="00D27408"/>
    <w:rsid w:val="00D27D0C"/>
    <w:rsid w:val="00D303D4"/>
    <w:rsid w:val="00D32587"/>
    <w:rsid w:val="00D336A2"/>
    <w:rsid w:val="00D35672"/>
    <w:rsid w:val="00D36D37"/>
    <w:rsid w:val="00D424A5"/>
    <w:rsid w:val="00D444A9"/>
    <w:rsid w:val="00D44A0B"/>
    <w:rsid w:val="00D45352"/>
    <w:rsid w:val="00D47B64"/>
    <w:rsid w:val="00D51788"/>
    <w:rsid w:val="00D51E94"/>
    <w:rsid w:val="00D522BA"/>
    <w:rsid w:val="00D54508"/>
    <w:rsid w:val="00D54586"/>
    <w:rsid w:val="00D55103"/>
    <w:rsid w:val="00D6363C"/>
    <w:rsid w:val="00D648C7"/>
    <w:rsid w:val="00D66666"/>
    <w:rsid w:val="00D706FE"/>
    <w:rsid w:val="00D71F63"/>
    <w:rsid w:val="00D72412"/>
    <w:rsid w:val="00D745F6"/>
    <w:rsid w:val="00D756F9"/>
    <w:rsid w:val="00D759E7"/>
    <w:rsid w:val="00D81782"/>
    <w:rsid w:val="00D817CB"/>
    <w:rsid w:val="00D843EE"/>
    <w:rsid w:val="00D8655B"/>
    <w:rsid w:val="00D87703"/>
    <w:rsid w:val="00D87CCB"/>
    <w:rsid w:val="00D90D0A"/>
    <w:rsid w:val="00D91868"/>
    <w:rsid w:val="00D91FB1"/>
    <w:rsid w:val="00D939BF"/>
    <w:rsid w:val="00D960DB"/>
    <w:rsid w:val="00D9714D"/>
    <w:rsid w:val="00D9751B"/>
    <w:rsid w:val="00DA1DD3"/>
    <w:rsid w:val="00DA3709"/>
    <w:rsid w:val="00DA52C1"/>
    <w:rsid w:val="00DA5908"/>
    <w:rsid w:val="00DA5E1D"/>
    <w:rsid w:val="00DA6301"/>
    <w:rsid w:val="00DA6C96"/>
    <w:rsid w:val="00DB3D66"/>
    <w:rsid w:val="00DC12E1"/>
    <w:rsid w:val="00DC5622"/>
    <w:rsid w:val="00DC5858"/>
    <w:rsid w:val="00DC5C2C"/>
    <w:rsid w:val="00DC68B4"/>
    <w:rsid w:val="00DD2355"/>
    <w:rsid w:val="00DD2A34"/>
    <w:rsid w:val="00DD2D16"/>
    <w:rsid w:val="00DD68AA"/>
    <w:rsid w:val="00DE4B3F"/>
    <w:rsid w:val="00DE4CFE"/>
    <w:rsid w:val="00DF0BBB"/>
    <w:rsid w:val="00DF3612"/>
    <w:rsid w:val="00DF3616"/>
    <w:rsid w:val="00DF38AC"/>
    <w:rsid w:val="00DF38D9"/>
    <w:rsid w:val="00DF4CBF"/>
    <w:rsid w:val="00DF6927"/>
    <w:rsid w:val="00DF70AB"/>
    <w:rsid w:val="00E00941"/>
    <w:rsid w:val="00E05119"/>
    <w:rsid w:val="00E06022"/>
    <w:rsid w:val="00E07295"/>
    <w:rsid w:val="00E10489"/>
    <w:rsid w:val="00E109BD"/>
    <w:rsid w:val="00E12BA7"/>
    <w:rsid w:val="00E14DA2"/>
    <w:rsid w:val="00E14FAE"/>
    <w:rsid w:val="00E24403"/>
    <w:rsid w:val="00E25165"/>
    <w:rsid w:val="00E2516F"/>
    <w:rsid w:val="00E26B8A"/>
    <w:rsid w:val="00E3052B"/>
    <w:rsid w:val="00E32F5B"/>
    <w:rsid w:val="00E40DE8"/>
    <w:rsid w:val="00E41048"/>
    <w:rsid w:val="00E44152"/>
    <w:rsid w:val="00E45A22"/>
    <w:rsid w:val="00E45F8D"/>
    <w:rsid w:val="00E538D3"/>
    <w:rsid w:val="00E53BDB"/>
    <w:rsid w:val="00E545F1"/>
    <w:rsid w:val="00E54CEE"/>
    <w:rsid w:val="00E56C07"/>
    <w:rsid w:val="00E627C6"/>
    <w:rsid w:val="00E635E4"/>
    <w:rsid w:val="00E7159C"/>
    <w:rsid w:val="00E75F85"/>
    <w:rsid w:val="00E7748F"/>
    <w:rsid w:val="00E777D7"/>
    <w:rsid w:val="00E77DDF"/>
    <w:rsid w:val="00E807FA"/>
    <w:rsid w:val="00E8101C"/>
    <w:rsid w:val="00E81D41"/>
    <w:rsid w:val="00E82230"/>
    <w:rsid w:val="00E8552A"/>
    <w:rsid w:val="00E90A07"/>
    <w:rsid w:val="00E91033"/>
    <w:rsid w:val="00E9372A"/>
    <w:rsid w:val="00E9386A"/>
    <w:rsid w:val="00E976C4"/>
    <w:rsid w:val="00EA2EB3"/>
    <w:rsid w:val="00EA3B0C"/>
    <w:rsid w:val="00EA4D58"/>
    <w:rsid w:val="00EB1D3B"/>
    <w:rsid w:val="00EB5F5A"/>
    <w:rsid w:val="00EB659E"/>
    <w:rsid w:val="00EC2B5B"/>
    <w:rsid w:val="00ED1796"/>
    <w:rsid w:val="00ED4225"/>
    <w:rsid w:val="00ED4E96"/>
    <w:rsid w:val="00ED7673"/>
    <w:rsid w:val="00ED7B6E"/>
    <w:rsid w:val="00EE2407"/>
    <w:rsid w:val="00EE51DF"/>
    <w:rsid w:val="00EE585D"/>
    <w:rsid w:val="00EE68BA"/>
    <w:rsid w:val="00EF020B"/>
    <w:rsid w:val="00EF276B"/>
    <w:rsid w:val="00EF4FC4"/>
    <w:rsid w:val="00EF7F16"/>
    <w:rsid w:val="00F01A59"/>
    <w:rsid w:val="00F05503"/>
    <w:rsid w:val="00F1197E"/>
    <w:rsid w:val="00F119F7"/>
    <w:rsid w:val="00F130F1"/>
    <w:rsid w:val="00F1399F"/>
    <w:rsid w:val="00F16C22"/>
    <w:rsid w:val="00F1711B"/>
    <w:rsid w:val="00F22592"/>
    <w:rsid w:val="00F22AC2"/>
    <w:rsid w:val="00F26591"/>
    <w:rsid w:val="00F3011A"/>
    <w:rsid w:val="00F329A7"/>
    <w:rsid w:val="00F32F39"/>
    <w:rsid w:val="00F349A9"/>
    <w:rsid w:val="00F41703"/>
    <w:rsid w:val="00F427B6"/>
    <w:rsid w:val="00F445EA"/>
    <w:rsid w:val="00F45C39"/>
    <w:rsid w:val="00F47F55"/>
    <w:rsid w:val="00F52A9D"/>
    <w:rsid w:val="00F53059"/>
    <w:rsid w:val="00F53771"/>
    <w:rsid w:val="00F550B0"/>
    <w:rsid w:val="00F61194"/>
    <w:rsid w:val="00F62FE3"/>
    <w:rsid w:val="00F65299"/>
    <w:rsid w:val="00F668D6"/>
    <w:rsid w:val="00F67B36"/>
    <w:rsid w:val="00F70E4A"/>
    <w:rsid w:val="00F74220"/>
    <w:rsid w:val="00F74EC8"/>
    <w:rsid w:val="00F75A7C"/>
    <w:rsid w:val="00F805F1"/>
    <w:rsid w:val="00F81484"/>
    <w:rsid w:val="00F82D74"/>
    <w:rsid w:val="00F83ED8"/>
    <w:rsid w:val="00F840D9"/>
    <w:rsid w:val="00F84293"/>
    <w:rsid w:val="00F844BE"/>
    <w:rsid w:val="00F846B7"/>
    <w:rsid w:val="00F91750"/>
    <w:rsid w:val="00F93FA0"/>
    <w:rsid w:val="00F9777D"/>
    <w:rsid w:val="00F97ED8"/>
    <w:rsid w:val="00FA05FD"/>
    <w:rsid w:val="00FA1297"/>
    <w:rsid w:val="00FA12E6"/>
    <w:rsid w:val="00FA4362"/>
    <w:rsid w:val="00FA699B"/>
    <w:rsid w:val="00FA7889"/>
    <w:rsid w:val="00FB12DA"/>
    <w:rsid w:val="00FB1A06"/>
    <w:rsid w:val="00FB2D59"/>
    <w:rsid w:val="00FB30BA"/>
    <w:rsid w:val="00FB3556"/>
    <w:rsid w:val="00FB3A50"/>
    <w:rsid w:val="00FB54BD"/>
    <w:rsid w:val="00FC3EFF"/>
    <w:rsid w:val="00FC4787"/>
    <w:rsid w:val="00FC4DE6"/>
    <w:rsid w:val="00FC5484"/>
    <w:rsid w:val="00FC6260"/>
    <w:rsid w:val="00FC778F"/>
    <w:rsid w:val="00FD4C7C"/>
    <w:rsid w:val="00FD7FDA"/>
    <w:rsid w:val="00FE23A3"/>
    <w:rsid w:val="00FE60D3"/>
    <w:rsid w:val="00FE6AD7"/>
    <w:rsid w:val="00FE7AC7"/>
    <w:rsid w:val="00FF1AA6"/>
    <w:rsid w:val="00FF261D"/>
    <w:rsid w:val="00FF29B1"/>
    <w:rsid w:val="00FF2CAB"/>
    <w:rsid w:val="00FF4B48"/>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A9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AE07A3"/>
    <w:rPr>
      <w:sz w:val="16"/>
      <w:szCs w:val="16"/>
    </w:rPr>
  </w:style>
  <w:style w:type="character" w:styleId="Hyperlink">
    <w:name w:val="Hyperlink"/>
    <w:basedOn w:val="DefaultParagraphFont"/>
    <w:uiPriority w:val="99"/>
    <w:unhideWhenUsed/>
    <w:rsid w:val="00115E68"/>
    <w:rPr>
      <w:color w:val="0000FF" w:themeColor="hyperlink"/>
      <w:u w:val="single"/>
    </w:rPr>
  </w:style>
  <w:style w:type="character" w:styleId="Emphasis">
    <w:name w:val="Emphasis"/>
    <w:basedOn w:val="DefaultParagraphFont"/>
    <w:uiPriority w:val="20"/>
    <w:qFormat/>
    <w:rsid w:val="00CF05DC"/>
    <w:rPr>
      <w:i/>
      <w:iCs/>
    </w:rPr>
  </w:style>
  <w:style w:type="paragraph" w:styleId="CommentText">
    <w:name w:val="annotation text"/>
    <w:basedOn w:val="Normal"/>
    <w:link w:val="CommentTextChar"/>
    <w:uiPriority w:val="99"/>
    <w:semiHidden/>
    <w:unhideWhenUsed/>
    <w:rsid w:val="006F6B34"/>
    <w:rPr>
      <w:sz w:val="20"/>
      <w:szCs w:val="20"/>
    </w:rPr>
  </w:style>
  <w:style w:type="character" w:customStyle="1" w:styleId="CommentTextChar">
    <w:name w:val="Comment Text Char"/>
    <w:basedOn w:val="DefaultParagraphFont"/>
    <w:link w:val="CommentText"/>
    <w:uiPriority w:val="99"/>
    <w:semiHidden/>
    <w:rsid w:val="006F6B3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F6B34"/>
    <w:rPr>
      <w:b/>
      <w:bCs/>
    </w:rPr>
  </w:style>
  <w:style w:type="character" w:customStyle="1" w:styleId="CommentSubjectChar">
    <w:name w:val="Comment Subject Char"/>
    <w:basedOn w:val="CommentTextChar"/>
    <w:link w:val="CommentSubject"/>
    <w:uiPriority w:val="99"/>
    <w:semiHidden/>
    <w:rsid w:val="006F6B34"/>
    <w:rPr>
      <w:rFonts w:ascii="Times New Roman" w:hAnsi="Times New Roman"/>
      <w:b/>
      <w:bCs/>
    </w:rPr>
  </w:style>
  <w:style w:type="paragraph" w:styleId="Revision">
    <w:name w:val="Revision"/>
    <w:hidden/>
    <w:uiPriority w:val="99"/>
    <w:semiHidden/>
    <w:rsid w:val="00134E91"/>
    <w:rPr>
      <w:rFonts w:ascii="Times New Roman" w:hAnsi="Times New Roman"/>
      <w:sz w:val="24"/>
      <w:szCs w:val="22"/>
    </w:rPr>
  </w:style>
  <w:style w:type="paragraph" w:customStyle="1" w:styleId="Default">
    <w:name w:val="Default"/>
    <w:rsid w:val="0026447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AE07A3"/>
    <w:rPr>
      <w:sz w:val="16"/>
      <w:szCs w:val="16"/>
    </w:rPr>
  </w:style>
  <w:style w:type="character" w:styleId="Hyperlink">
    <w:name w:val="Hyperlink"/>
    <w:basedOn w:val="DefaultParagraphFont"/>
    <w:uiPriority w:val="99"/>
    <w:unhideWhenUsed/>
    <w:rsid w:val="00115E68"/>
    <w:rPr>
      <w:color w:val="0000FF" w:themeColor="hyperlink"/>
      <w:u w:val="single"/>
    </w:rPr>
  </w:style>
  <w:style w:type="character" w:styleId="Emphasis">
    <w:name w:val="Emphasis"/>
    <w:basedOn w:val="DefaultParagraphFont"/>
    <w:uiPriority w:val="20"/>
    <w:qFormat/>
    <w:rsid w:val="00CF05DC"/>
    <w:rPr>
      <w:i/>
      <w:iCs/>
    </w:rPr>
  </w:style>
  <w:style w:type="paragraph" w:styleId="CommentText">
    <w:name w:val="annotation text"/>
    <w:basedOn w:val="Normal"/>
    <w:link w:val="CommentTextChar"/>
    <w:uiPriority w:val="99"/>
    <w:semiHidden/>
    <w:unhideWhenUsed/>
    <w:rsid w:val="006F6B34"/>
    <w:rPr>
      <w:sz w:val="20"/>
      <w:szCs w:val="20"/>
    </w:rPr>
  </w:style>
  <w:style w:type="character" w:customStyle="1" w:styleId="CommentTextChar">
    <w:name w:val="Comment Text Char"/>
    <w:basedOn w:val="DefaultParagraphFont"/>
    <w:link w:val="CommentText"/>
    <w:uiPriority w:val="99"/>
    <w:semiHidden/>
    <w:rsid w:val="006F6B3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F6B34"/>
    <w:rPr>
      <w:b/>
      <w:bCs/>
    </w:rPr>
  </w:style>
  <w:style w:type="character" w:customStyle="1" w:styleId="CommentSubjectChar">
    <w:name w:val="Comment Subject Char"/>
    <w:basedOn w:val="CommentTextChar"/>
    <w:link w:val="CommentSubject"/>
    <w:uiPriority w:val="99"/>
    <w:semiHidden/>
    <w:rsid w:val="006F6B34"/>
    <w:rPr>
      <w:rFonts w:ascii="Times New Roman" w:hAnsi="Times New Roman"/>
      <w:b/>
      <w:bCs/>
    </w:rPr>
  </w:style>
  <w:style w:type="paragraph" w:styleId="Revision">
    <w:name w:val="Revision"/>
    <w:hidden/>
    <w:uiPriority w:val="99"/>
    <w:semiHidden/>
    <w:rsid w:val="00134E91"/>
    <w:rPr>
      <w:rFonts w:ascii="Times New Roman" w:hAnsi="Times New Roman"/>
      <w:sz w:val="24"/>
      <w:szCs w:val="22"/>
    </w:rPr>
  </w:style>
  <w:style w:type="paragraph" w:customStyle="1" w:styleId="Default">
    <w:name w:val="Default"/>
    <w:rsid w:val="002644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596757">
      <w:bodyDiv w:val="1"/>
      <w:marLeft w:val="0"/>
      <w:marRight w:val="0"/>
      <w:marTop w:val="0"/>
      <w:marBottom w:val="0"/>
      <w:divBdr>
        <w:top w:val="none" w:sz="0" w:space="0" w:color="auto"/>
        <w:left w:val="none" w:sz="0" w:space="0" w:color="auto"/>
        <w:bottom w:val="none" w:sz="0" w:space="0" w:color="auto"/>
        <w:right w:val="none" w:sz="0" w:space="0" w:color="auto"/>
      </w:divBdr>
      <w:divsChild>
        <w:div w:id="1980571358">
          <w:marLeft w:val="0"/>
          <w:marRight w:val="0"/>
          <w:marTop w:val="0"/>
          <w:marBottom w:val="0"/>
          <w:divBdr>
            <w:top w:val="none" w:sz="0" w:space="0" w:color="auto"/>
            <w:left w:val="none" w:sz="0" w:space="0" w:color="auto"/>
            <w:bottom w:val="none" w:sz="0" w:space="0" w:color="auto"/>
            <w:right w:val="none" w:sz="0" w:space="0" w:color="auto"/>
          </w:divBdr>
          <w:divsChild>
            <w:div w:id="1213495831">
              <w:marLeft w:val="0"/>
              <w:marRight w:val="0"/>
              <w:marTop w:val="0"/>
              <w:marBottom w:val="0"/>
              <w:divBdr>
                <w:top w:val="none" w:sz="0" w:space="0" w:color="auto"/>
                <w:left w:val="none" w:sz="0" w:space="0" w:color="auto"/>
                <w:bottom w:val="none" w:sz="0" w:space="0" w:color="auto"/>
                <w:right w:val="none" w:sz="0" w:space="0" w:color="auto"/>
              </w:divBdr>
              <w:divsChild>
                <w:div w:id="21389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69F2-AA7A-4D51-9126-3FC3CB5F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6657</Words>
  <Characters>37947</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44515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 Norman</dc:creator>
  <cp:lastModifiedBy>Jenny Fontes</cp:lastModifiedBy>
  <cp:revision>2</cp:revision>
  <cp:lastPrinted>2018-05-11T04:37:00Z</cp:lastPrinted>
  <dcterms:created xsi:type="dcterms:W3CDTF">2019-04-30T21:43:00Z</dcterms:created>
  <dcterms:modified xsi:type="dcterms:W3CDTF">2019-04-30T21:43:00Z</dcterms:modified>
</cp:coreProperties>
</file>