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B70F35" w:rsidP="00183425">
      <w:pPr>
        <w:tabs>
          <w:tab w:val="left" w:pos="720"/>
        </w:tabs>
      </w:pPr>
      <w:bookmarkStart w:id="0" w:name="designation"/>
      <w:bookmarkEnd w:id="0"/>
      <w:r>
        <w:t>PUBLIC MATTER</w:t>
      </w:r>
      <w:r w:rsidR="00230622">
        <w:t>—</w:t>
      </w:r>
      <w:r>
        <w:t>NOT DESIGNATED FOR PUBLICATION</w:t>
      </w:r>
    </w:p>
    <w:p w:rsidR="00474987" w:rsidRDefault="00474987" w:rsidP="00183425">
      <w:pPr>
        <w:tabs>
          <w:tab w:val="left" w:pos="720"/>
        </w:tabs>
        <w:contextualSpacing/>
      </w:pPr>
    </w:p>
    <w:p w:rsidR="006D3833" w:rsidRPr="00D50330" w:rsidRDefault="00FD1391" w:rsidP="00FC7C09">
      <w:pPr>
        <w:tabs>
          <w:tab w:val="left" w:pos="720"/>
        </w:tabs>
        <w:contextualSpacing/>
      </w:pPr>
      <w:r>
        <w:tab/>
      </w:r>
      <w:r>
        <w:tab/>
      </w:r>
      <w:r>
        <w:tab/>
      </w:r>
      <w:r>
        <w:tab/>
      </w:r>
      <w:r>
        <w:tab/>
      </w:r>
      <w:r>
        <w:tab/>
      </w:r>
      <w:r>
        <w:tab/>
      </w:r>
      <w:r>
        <w:tab/>
      </w:r>
      <w:r>
        <w:tab/>
        <w:t>Filed December 26, 2017</w:t>
      </w:r>
    </w:p>
    <w:p w:rsidR="007C26E8" w:rsidRDefault="007C26E8" w:rsidP="00183425">
      <w:pPr>
        <w:tabs>
          <w:tab w:val="left" w:pos="720"/>
        </w:tabs>
        <w:contextualSpacing/>
      </w:pPr>
    </w:p>
    <w:p w:rsidR="00B231E1" w:rsidRDefault="00B231E1" w:rsidP="00183425">
      <w:pPr>
        <w:tabs>
          <w:tab w:val="left" w:pos="720"/>
        </w:tabs>
        <w:contextualSpacing/>
      </w:pPr>
    </w:p>
    <w:p w:rsidR="00832223" w:rsidRDefault="00832223" w:rsidP="00FB6202">
      <w:pPr>
        <w:pStyle w:val="OpinionHeading"/>
      </w:pPr>
      <w:r>
        <w:t>STATE BA</w:t>
      </w:r>
      <w:r w:rsidRPr="00C11CC8">
        <w:t>R</w:t>
      </w:r>
      <w:r>
        <w:t xml:space="preserve"> COURT OF CALIFORNIA</w:t>
      </w:r>
    </w:p>
    <w:p w:rsidR="00832223" w:rsidRDefault="00832223" w:rsidP="00FB6202">
      <w:pPr>
        <w:pStyle w:val="OpinionHeading"/>
      </w:pPr>
    </w:p>
    <w:p w:rsidR="00832223" w:rsidRDefault="00832223" w:rsidP="00FB6202">
      <w:pPr>
        <w:pStyle w:val="OpinionHeading"/>
      </w:pPr>
      <w:r>
        <w:t>REVIEW DEPARTMENT</w:t>
      </w:r>
    </w:p>
    <w:p w:rsidR="00832223" w:rsidRPr="00C11CC8" w:rsidRDefault="00832223" w:rsidP="00183425">
      <w:pPr>
        <w:tabs>
          <w:tab w:val="left" w:pos="720"/>
        </w:tabs>
        <w:jc w:val="center"/>
        <w:rPr>
          <w:b/>
        </w:rPr>
      </w:pPr>
    </w:p>
    <w:p w:rsidR="00832223" w:rsidRPr="00C11CC8" w:rsidRDefault="00832223" w:rsidP="00183425">
      <w:pPr>
        <w:tabs>
          <w:tab w:val="left" w:pos="720"/>
        </w:tabs>
        <w:rPr>
          <w:b/>
        </w:rPr>
      </w:pPr>
    </w:p>
    <w:tbl>
      <w:tblPr>
        <w:tblStyle w:val="TableGrid"/>
        <w:tblW w:w="0" w:type="auto"/>
        <w:tblLook w:val="04A0" w:firstRow="1" w:lastRow="0" w:firstColumn="1" w:lastColumn="0" w:noHBand="0" w:noVBand="1"/>
        <w:tblCaption w:val="Robert E. Gentino Caption"/>
        <w:tblDescription w:val="In the Matter of Robert E. Gentino, A Member of the State Bar, No 93808  Case Number 15-O-13576  Opinion"/>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183425">
            <w:pPr>
              <w:tabs>
                <w:tab w:val="left" w:pos="720"/>
              </w:tabs>
            </w:pPr>
            <w:bookmarkStart w:id="1" w:name="_GoBack"/>
            <w:bookmarkEnd w:id="1"/>
            <w:r>
              <w:t>In the Matter of</w:t>
            </w:r>
          </w:p>
          <w:p w:rsidR="00832223" w:rsidRDefault="00832223" w:rsidP="00183425">
            <w:pPr>
              <w:tabs>
                <w:tab w:val="left" w:pos="720"/>
              </w:tabs>
            </w:pPr>
          </w:p>
          <w:p w:rsidR="00832223" w:rsidRPr="008F3169" w:rsidRDefault="00095C81" w:rsidP="00183425">
            <w:pPr>
              <w:tabs>
                <w:tab w:val="left" w:pos="720"/>
              </w:tabs>
            </w:pPr>
            <w:bookmarkStart w:id="2" w:name="Respondent"/>
            <w:bookmarkEnd w:id="2"/>
            <w:r>
              <w:t>ROBERT E. GENTINO</w:t>
            </w:r>
            <w:r w:rsidR="00832223" w:rsidRPr="008F3169">
              <w:t>,</w:t>
            </w:r>
          </w:p>
          <w:p w:rsidR="00832223" w:rsidRDefault="00832223" w:rsidP="00183425">
            <w:pPr>
              <w:tabs>
                <w:tab w:val="left" w:pos="720"/>
              </w:tabs>
            </w:pPr>
          </w:p>
          <w:p w:rsidR="00832223" w:rsidRPr="00C11CC8" w:rsidRDefault="00B70F35" w:rsidP="00183425">
            <w:pPr>
              <w:tabs>
                <w:tab w:val="left" w:pos="720"/>
              </w:tabs>
            </w:pPr>
            <w:bookmarkStart w:id="3" w:name="type"/>
            <w:bookmarkEnd w:id="3"/>
            <w:r>
              <w:t>A Member of the State Bar, No.</w:t>
            </w:r>
            <w:r w:rsidR="00832223">
              <w:t xml:space="preserve"> </w:t>
            </w:r>
            <w:bookmarkStart w:id="4" w:name="memno"/>
            <w:bookmarkStart w:id="5" w:name="MemberNo"/>
            <w:bookmarkEnd w:id="4"/>
            <w:bookmarkEnd w:id="5"/>
            <w:r w:rsidR="00095C81">
              <w:t>93808</w:t>
            </w:r>
            <w:r>
              <w:t>.</w:t>
            </w:r>
          </w:p>
        </w:tc>
        <w:tc>
          <w:tcPr>
            <w:tcW w:w="497" w:type="dxa"/>
            <w:tcBorders>
              <w:top w:val="nil"/>
              <w:left w:val="nil"/>
              <w:bottom w:val="nil"/>
              <w:right w:val="nil"/>
            </w:tcBorders>
            <w:tcMar>
              <w:left w:w="0" w:type="dxa"/>
              <w:right w:w="0" w:type="dxa"/>
            </w:tcMar>
          </w:tcPr>
          <w:p w:rsidR="00832223" w:rsidRDefault="00832223" w:rsidP="00183425">
            <w:pPr>
              <w:tabs>
                <w:tab w:val="left" w:pos="720"/>
              </w:tabs>
              <w:rPr>
                <w:b/>
              </w:rPr>
            </w:pPr>
            <w:r>
              <w:rPr>
                <w:b/>
              </w:rPr>
              <w:t>)</w:t>
            </w:r>
          </w:p>
          <w:p w:rsidR="00832223" w:rsidRPr="00C11CC8" w:rsidRDefault="00832223" w:rsidP="00183425">
            <w:pPr>
              <w:tabs>
                <w:tab w:val="left" w:pos="720"/>
              </w:tabs>
              <w:rPr>
                <w:b/>
              </w:rPr>
            </w:pPr>
            <w:r>
              <w:rPr>
                <w:b/>
              </w:rPr>
              <w:t>)</w:t>
            </w:r>
            <w:r>
              <w:rPr>
                <w:b/>
              </w:rPr>
              <w:br/>
              <w:t>)</w:t>
            </w:r>
            <w:r>
              <w:rPr>
                <w:b/>
              </w:rPr>
              <w:br/>
              <w:t>)</w:t>
            </w:r>
            <w:r>
              <w:rPr>
                <w:b/>
              </w:rPr>
              <w:br/>
              <w:t>)</w:t>
            </w:r>
            <w:r>
              <w:rPr>
                <w:b/>
              </w:rPr>
              <w:br/>
              <w:t>)</w:t>
            </w:r>
          </w:p>
        </w:tc>
        <w:tc>
          <w:tcPr>
            <w:tcW w:w="4201" w:type="dxa"/>
            <w:tcBorders>
              <w:top w:val="nil"/>
              <w:left w:val="nil"/>
              <w:bottom w:val="nil"/>
              <w:right w:val="nil"/>
            </w:tcBorders>
          </w:tcPr>
          <w:p w:rsidR="00832223" w:rsidRPr="005E6703" w:rsidRDefault="00832223" w:rsidP="00183425">
            <w:pPr>
              <w:tabs>
                <w:tab w:val="left" w:pos="720"/>
              </w:tabs>
            </w:pPr>
            <w:r w:rsidRPr="005E6703">
              <w:t xml:space="preserve">Case No. </w:t>
            </w:r>
            <w:bookmarkStart w:id="6" w:name="caseno"/>
            <w:bookmarkEnd w:id="6"/>
            <w:r w:rsidR="00293263">
              <w:t>15-O</w:t>
            </w:r>
            <w:r w:rsidR="00095C81">
              <w:t>-13576</w:t>
            </w:r>
          </w:p>
          <w:p w:rsidR="00832223" w:rsidRDefault="00832223" w:rsidP="00183425">
            <w:pPr>
              <w:tabs>
                <w:tab w:val="left" w:pos="720"/>
              </w:tabs>
            </w:pPr>
          </w:p>
          <w:p w:rsidR="00832223" w:rsidRPr="00D90643" w:rsidRDefault="00B70F35" w:rsidP="00183425">
            <w:pPr>
              <w:tabs>
                <w:tab w:val="left" w:pos="720"/>
              </w:tabs>
            </w:pPr>
            <w:bookmarkStart w:id="7" w:name="title"/>
            <w:bookmarkEnd w:id="7"/>
            <w:r>
              <w:t>OPINION</w:t>
            </w:r>
          </w:p>
        </w:tc>
      </w:tr>
    </w:tbl>
    <w:p w:rsidR="00832223" w:rsidRDefault="00832223" w:rsidP="00183425">
      <w:pPr>
        <w:tabs>
          <w:tab w:val="left" w:pos="720"/>
        </w:tabs>
      </w:pPr>
    </w:p>
    <w:p w:rsidR="00832223" w:rsidRDefault="009307AA" w:rsidP="00183425">
      <w:pPr>
        <w:tabs>
          <w:tab w:val="left" w:pos="720"/>
        </w:tabs>
        <w:spacing w:line="480" w:lineRule="auto"/>
      </w:pPr>
      <w:r>
        <w:tab/>
      </w:r>
      <w:r w:rsidR="00E41E02">
        <w:t xml:space="preserve">A </w:t>
      </w:r>
      <w:r>
        <w:t xml:space="preserve">hearing judge found </w:t>
      </w:r>
      <w:r w:rsidR="00171FAB">
        <w:t xml:space="preserve">Robert E. Gentino </w:t>
      </w:r>
      <w:r>
        <w:t xml:space="preserve">culpable of </w:t>
      </w:r>
      <w:r w:rsidR="00314DC1">
        <w:t>t</w:t>
      </w:r>
      <w:r w:rsidR="00345F69">
        <w:t>hree</w:t>
      </w:r>
      <w:r w:rsidR="00314DC1">
        <w:t xml:space="preserve"> counts of </w:t>
      </w:r>
      <w:r w:rsidR="001B5B7E">
        <w:t xml:space="preserve">misconduct: </w:t>
      </w:r>
      <w:r w:rsidR="00345F69">
        <w:t>failure to</w:t>
      </w:r>
      <w:r w:rsidR="00171FAB">
        <w:t xml:space="preserve"> perform legal services with competence</w:t>
      </w:r>
      <w:r w:rsidR="00345F69">
        <w:t xml:space="preserve">, </w:t>
      </w:r>
      <w:r w:rsidR="00171FAB">
        <w:t>failure to communicate</w:t>
      </w:r>
      <w:r w:rsidR="00345F69">
        <w:t>,</w:t>
      </w:r>
      <w:r w:rsidR="00865A49">
        <w:t xml:space="preserve"> </w:t>
      </w:r>
      <w:r w:rsidR="00314DC1">
        <w:t>and</w:t>
      </w:r>
      <w:r w:rsidR="00171FAB">
        <w:t xml:space="preserve"> misrepresentation to his client constituting moral turpitude</w:t>
      </w:r>
      <w:r w:rsidR="00314DC1">
        <w:t xml:space="preserve">.  </w:t>
      </w:r>
      <w:r w:rsidR="00293263">
        <w:t>T</w:t>
      </w:r>
      <w:r w:rsidR="00314DC1">
        <w:t xml:space="preserve">he judge </w:t>
      </w:r>
      <w:r w:rsidR="00DA5A4C">
        <w:t>applied</w:t>
      </w:r>
      <w:r w:rsidR="00314DC1">
        <w:t xml:space="preserve"> standard</w:t>
      </w:r>
      <w:r w:rsidR="00126761">
        <w:t> </w:t>
      </w:r>
      <w:r w:rsidR="00293263">
        <w:t>2.11</w:t>
      </w:r>
      <w:r w:rsidR="00314DC1">
        <w:t>,</w:t>
      </w:r>
      <w:r w:rsidR="00314DC1">
        <w:rPr>
          <w:rStyle w:val="FootnoteReference"/>
        </w:rPr>
        <w:footnoteReference w:id="1"/>
      </w:r>
      <w:r w:rsidR="00314DC1">
        <w:t xml:space="preserve"> which provides </w:t>
      </w:r>
      <w:r w:rsidR="001C637E">
        <w:t xml:space="preserve">for </w:t>
      </w:r>
      <w:r w:rsidR="00293263">
        <w:t xml:space="preserve">presumptive discipline of actual suspension or </w:t>
      </w:r>
      <w:r w:rsidR="00314DC1">
        <w:t>disbarment</w:t>
      </w:r>
      <w:r w:rsidR="00293263">
        <w:t xml:space="preserve"> for acts involving moral turpitude</w:t>
      </w:r>
      <w:r w:rsidR="00314DC1">
        <w:t xml:space="preserve">.  </w:t>
      </w:r>
      <w:r w:rsidR="00DA5A4C">
        <w:t>However, a</w:t>
      </w:r>
      <w:r w:rsidR="00293263">
        <w:t xml:space="preserve">fter weighing significant factors in aggravation and mitigation, </w:t>
      </w:r>
      <w:r w:rsidR="00DA5A4C">
        <w:t>t</w:t>
      </w:r>
      <w:r w:rsidR="00314DC1">
        <w:t xml:space="preserve">he </w:t>
      </w:r>
      <w:r w:rsidR="00126761">
        <w:t xml:space="preserve">hearing </w:t>
      </w:r>
      <w:r w:rsidR="00314DC1">
        <w:t xml:space="preserve">judge </w:t>
      </w:r>
      <w:r w:rsidR="00BD5277">
        <w:t>concluded that a departure from standard</w:t>
      </w:r>
      <w:r w:rsidR="00DC4FED">
        <w:t> </w:t>
      </w:r>
      <w:r w:rsidR="00BD5277">
        <w:t xml:space="preserve">2.11 was justified and </w:t>
      </w:r>
      <w:r w:rsidR="00C305B4">
        <w:t>recommended a one-year stayed</w:t>
      </w:r>
      <w:r w:rsidR="00BD5277">
        <w:t xml:space="preserve"> suspension.</w:t>
      </w:r>
    </w:p>
    <w:p w:rsidR="00C11319" w:rsidRDefault="00BF63B0" w:rsidP="00183425">
      <w:pPr>
        <w:tabs>
          <w:tab w:val="left" w:pos="720"/>
        </w:tabs>
        <w:spacing w:line="480" w:lineRule="auto"/>
      </w:pPr>
      <w:r>
        <w:tab/>
      </w:r>
      <w:r w:rsidR="00CD2D5B">
        <w:t xml:space="preserve">Both </w:t>
      </w:r>
      <w:r w:rsidR="00BD5277">
        <w:t>Gen</w:t>
      </w:r>
      <w:r w:rsidR="00FD144E">
        <w:t>t</w:t>
      </w:r>
      <w:r w:rsidR="00BD5277">
        <w:t>ino</w:t>
      </w:r>
      <w:r>
        <w:t xml:space="preserve"> and </w:t>
      </w:r>
      <w:r w:rsidR="00A148CB">
        <w:t xml:space="preserve">the Office of Chief Trial Counsel of the State Bar (OCTC) appeal.  </w:t>
      </w:r>
      <w:r w:rsidR="00BD5277">
        <w:t xml:space="preserve">Gentino argues that the evidence failed to establish his </w:t>
      </w:r>
      <w:r w:rsidR="00C11319">
        <w:t xml:space="preserve">culpability, and that the judge excluded admissible evidence that </w:t>
      </w:r>
      <w:r w:rsidR="000E0340">
        <w:t>Gentino</w:t>
      </w:r>
      <w:r w:rsidR="00C11319">
        <w:t xml:space="preserve"> sought to introduce.  He also argues that the aggravating factors </w:t>
      </w:r>
      <w:r w:rsidR="00312AEC">
        <w:t>warranted</w:t>
      </w:r>
      <w:r w:rsidR="00C11319">
        <w:t xml:space="preserve"> less weight and that he is entitled to more mitigation.</w:t>
      </w:r>
      <w:r w:rsidR="00C43AB0">
        <w:rPr>
          <w:rStyle w:val="FootnoteReference"/>
        </w:rPr>
        <w:footnoteReference w:id="2"/>
      </w:r>
      <w:r w:rsidR="00C11319">
        <w:t xml:space="preserve">  </w:t>
      </w:r>
      <w:r w:rsidR="005C4319">
        <w:t xml:space="preserve">OCTC asks that we affirm the </w:t>
      </w:r>
      <w:r w:rsidR="00E07260">
        <w:t xml:space="preserve">hearing judge’s </w:t>
      </w:r>
      <w:r w:rsidR="005C4319">
        <w:t>culpability findings</w:t>
      </w:r>
      <w:r w:rsidR="00E07260">
        <w:t>,</w:t>
      </w:r>
      <w:r w:rsidR="005C4319">
        <w:t xml:space="preserve"> seeks additional aggravation</w:t>
      </w:r>
      <w:r w:rsidR="00C11319">
        <w:t xml:space="preserve"> for indifference</w:t>
      </w:r>
      <w:r w:rsidR="00444308">
        <w:t xml:space="preserve">, and </w:t>
      </w:r>
      <w:r w:rsidR="000E0340">
        <w:t>requests</w:t>
      </w:r>
      <w:r w:rsidR="00444308">
        <w:t xml:space="preserve"> that the </w:t>
      </w:r>
      <w:r w:rsidR="00312AEC">
        <w:t xml:space="preserve">mitigation </w:t>
      </w:r>
      <w:r w:rsidR="00444308">
        <w:t>weight be decreased</w:t>
      </w:r>
      <w:r w:rsidR="005C4319">
        <w:t xml:space="preserve">.  </w:t>
      </w:r>
      <w:r w:rsidR="00561295">
        <w:t>At trial</w:t>
      </w:r>
      <w:r w:rsidR="001C637E">
        <w:t>,</w:t>
      </w:r>
      <w:r w:rsidR="00561295">
        <w:t xml:space="preserve"> OCTC sought a 30-day actual </w:t>
      </w:r>
      <w:r w:rsidR="00561295">
        <w:lastRenderedPageBreak/>
        <w:t xml:space="preserve">suspension.  On review, </w:t>
      </w:r>
      <w:r w:rsidR="000E19EC">
        <w:t>it</w:t>
      </w:r>
      <w:r w:rsidR="00C11319">
        <w:t xml:space="preserve"> </w:t>
      </w:r>
      <w:r w:rsidR="00561295">
        <w:t>submits that the recommended discipline should be “</w:t>
      </w:r>
      <w:r w:rsidR="00444308">
        <w:t xml:space="preserve">at </w:t>
      </w:r>
      <w:r w:rsidR="00C11319">
        <w:t>least</w:t>
      </w:r>
      <w:r w:rsidR="00561295">
        <w:t>”</w:t>
      </w:r>
      <w:r w:rsidR="00C11319">
        <w:t xml:space="preserve"> a 30-day actual suspension.  </w:t>
      </w:r>
    </w:p>
    <w:p w:rsidR="00175256" w:rsidRDefault="00C11319" w:rsidP="00183425">
      <w:pPr>
        <w:tabs>
          <w:tab w:val="left" w:pos="720"/>
        </w:tabs>
        <w:spacing w:line="480" w:lineRule="auto"/>
      </w:pPr>
      <w:r>
        <w:tab/>
      </w:r>
      <w:r w:rsidR="00175256">
        <w:t>Upon our independent review of the record (Cal. Rules of Court, rule</w:t>
      </w:r>
      <w:r w:rsidR="00093262">
        <w:t> </w:t>
      </w:r>
      <w:r w:rsidR="00175256">
        <w:t xml:space="preserve">9.12), we affirm the hearing judge’s findings of fact and </w:t>
      </w:r>
      <w:r w:rsidR="00722C1D">
        <w:t xml:space="preserve">of </w:t>
      </w:r>
      <w:r w:rsidR="00175256">
        <w:t xml:space="preserve">culpability </w:t>
      </w:r>
      <w:r w:rsidR="00722C1D">
        <w:t>for failure to perform with competence and failure to communicate</w:t>
      </w:r>
      <w:r w:rsidR="00175256">
        <w:t xml:space="preserve">.  </w:t>
      </w:r>
      <w:r w:rsidR="00722C1D">
        <w:t xml:space="preserve">However, we do not find </w:t>
      </w:r>
      <w:r w:rsidR="000F37E6">
        <w:t xml:space="preserve">that </w:t>
      </w:r>
      <w:r w:rsidR="00722C1D">
        <w:t xml:space="preserve">Gentino </w:t>
      </w:r>
      <w:r w:rsidR="000F37E6">
        <w:t xml:space="preserve">made a misrepresentation constituting </w:t>
      </w:r>
      <w:r w:rsidR="00C305B4">
        <w:t>moral turpitude</w:t>
      </w:r>
      <w:r w:rsidR="00722C1D">
        <w:t xml:space="preserve">.  </w:t>
      </w:r>
      <w:r w:rsidR="00175256">
        <w:t xml:space="preserve">We uphold the judge’s aggravation and mitigation findings, with modifications.  </w:t>
      </w:r>
      <w:r w:rsidR="00AF285C">
        <w:t>Given that we do not find culpability for misrepresentation, we applied</w:t>
      </w:r>
      <w:r w:rsidR="00722C1D">
        <w:t xml:space="preserve"> and w</w:t>
      </w:r>
      <w:r w:rsidR="00AF285C">
        <w:t>eighed</w:t>
      </w:r>
      <w:r w:rsidR="00FD144E">
        <w:t xml:space="preserve"> the factors </w:t>
      </w:r>
      <w:r w:rsidR="00722C1D">
        <w:t xml:space="preserve">under </w:t>
      </w:r>
      <w:r w:rsidR="00190B3F">
        <w:t xml:space="preserve">a different </w:t>
      </w:r>
      <w:r w:rsidR="00AF285C">
        <w:t xml:space="preserve">standard </w:t>
      </w:r>
      <w:r w:rsidR="00190B3F">
        <w:t>than the hearing judge</w:t>
      </w:r>
      <w:r w:rsidR="000E19EC">
        <w:t xml:space="preserve"> used.</w:t>
      </w:r>
      <w:r w:rsidR="00FD144E">
        <w:t xml:space="preserve"> </w:t>
      </w:r>
      <w:r w:rsidR="000E19EC">
        <w:t xml:space="preserve"> C</w:t>
      </w:r>
      <w:r w:rsidR="00FD144E">
        <w:t xml:space="preserve">onsidering the </w:t>
      </w:r>
      <w:r w:rsidR="00C43AB0">
        <w:t xml:space="preserve">overall balance of </w:t>
      </w:r>
      <w:r w:rsidR="00FD144E">
        <w:t xml:space="preserve">aggravation and mitigation, we </w:t>
      </w:r>
      <w:r w:rsidR="00D27016">
        <w:t>also find that</w:t>
      </w:r>
      <w:r w:rsidR="00FD144E">
        <w:t xml:space="preserve"> </w:t>
      </w:r>
      <w:r w:rsidR="00AF285C">
        <w:t xml:space="preserve">a </w:t>
      </w:r>
      <w:r w:rsidR="00C305B4">
        <w:t xml:space="preserve">one-year stayed suspension </w:t>
      </w:r>
      <w:r w:rsidR="00190B3F">
        <w:t>i</w:t>
      </w:r>
      <w:r w:rsidR="00444308">
        <w:t>s appro</w:t>
      </w:r>
      <w:r w:rsidR="00EF6B39">
        <w:t xml:space="preserve">priate discipline.  </w:t>
      </w:r>
    </w:p>
    <w:p w:rsidR="004B2267" w:rsidRDefault="00995BA2" w:rsidP="00183425">
      <w:pPr>
        <w:pStyle w:val="ListParagraph"/>
        <w:tabs>
          <w:tab w:val="left" w:pos="720"/>
        </w:tabs>
        <w:spacing w:line="480" w:lineRule="auto"/>
        <w:ind w:left="0"/>
        <w:jc w:val="center"/>
        <w:rPr>
          <w:rFonts w:eastAsia="Times New Roman"/>
          <w:b/>
          <w:szCs w:val="24"/>
        </w:rPr>
      </w:pPr>
      <w:r>
        <w:rPr>
          <w:rFonts w:eastAsia="Times New Roman"/>
          <w:b/>
          <w:szCs w:val="24"/>
        </w:rPr>
        <w:t xml:space="preserve">I.  </w:t>
      </w:r>
      <w:r w:rsidR="004B2267" w:rsidRPr="00246900">
        <w:rPr>
          <w:rFonts w:eastAsia="Times New Roman"/>
          <w:b/>
          <w:szCs w:val="24"/>
        </w:rPr>
        <w:t>PROCEDURAL BACKGROUND</w:t>
      </w:r>
    </w:p>
    <w:p w:rsidR="004B2267" w:rsidRDefault="001578F4" w:rsidP="007B3082">
      <w:pPr>
        <w:tabs>
          <w:tab w:val="left" w:pos="720"/>
        </w:tabs>
        <w:spacing w:line="480" w:lineRule="auto"/>
        <w:ind w:firstLine="720"/>
        <w:rPr>
          <w:szCs w:val="24"/>
        </w:rPr>
      </w:pPr>
      <w:r>
        <w:rPr>
          <w:rFonts w:eastAsia="Times New Roman"/>
          <w:szCs w:val="24"/>
        </w:rPr>
        <w:t>On July</w:t>
      </w:r>
      <w:r w:rsidR="00DC4FED">
        <w:rPr>
          <w:rFonts w:eastAsia="Times New Roman"/>
          <w:szCs w:val="24"/>
        </w:rPr>
        <w:t> </w:t>
      </w:r>
      <w:r>
        <w:rPr>
          <w:rFonts w:eastAsia="Times New Roman"/>
          <w:szCs w:val="24"/>
        </w:rPr>
        <w:t>20, 2016</w:t>
      </w:r>
      <w:r w:rsidR="005F5005">
        <w:rPr>
          <w:rFonts w:eastAsia="Times New Roman"/>
          <w:szCs w:val="24"/>
        </w:rPr>
        <w:t>, OCTC filed a four</w:t>
      </w:r>
      <w:r w:rsidR="00FE425B">
        <w:rPr>
          <w:rFonts w:eastAsia="Times New Roman"/>
          <w:szCs w:val="24"/>
        </w:rPr>
        <w:t>-</w:t>
      </w:r>
      <w:r w:rsidR="005F5005">
        <w:rPr>
          <w:rFonts w:eastAsia="Times New Roman"/>
          <w:szCs w:val="24"/>
        </w:rPr>
        <w:t xml:space="preserve">count </w:t>
      </w:r>
      <w:r w:rsidR="00015966">
        <w:rPr>
          <w:rFonts w:eastAsia="Times New Roman"/>
          <w:szCs w:val="24"/>
        </w:rPr>
        <w:t>N</w:t>
      </w:r>
      <w:r w:rsidR="004E2A52">
        <w:rPr>
          <w:rFonts w:eastAsia="Times New Roman"/>
          <w:szCs w:val="24"/>
        </w:rPr>
        <w:t>otice of Disciplinary Charges (N</w:t>
      </w:r>
      <w:r w:rsidR="00015966">
        <w:rPr>
          <w:rFonts w:eastAsia="Times New Roman"/>
          <w:szCs w:val="24"/>
        </w:rPr>
        <w:t>DC</w:t>
      </w:r>
      <w:r w:rsidR="004E2A52">
        <w:rPr>
          <w:rFonts w:eastAsia="Times New Roman"/>
          <w:szCs w:val="24"/>
        </w:rPr>
        <w:t xml:space="preserve">) </w:t>
      </w:r>
      <w:r w:rsidR="003A34E1">
        <w:rPr>
          <w:rFonts w:eastAsia="Times New Roman"/>
          <w:szCs w:val="24"/>
        </w:rPr>
        <w:t>against</w:t>
      </w:r>
      <w:r>
        <w:rPr>
          <w:rFonts w:eastAsia="Times New Roman"/>
          <w:szCs w:val="24"/>
        </w:rPr>
        <w:t xml:space="preserve"> Gentino</w:t>
      </w:r>
      <w:r w:rsidR="003A34E1">
        <w:rPr>
          <w:rFonts w:eastAsia="Times New Roman"/>
          <w:szCs w:val="24"/>
        </w:rPr>
        <w:t>.  Spe</w:t>
      </w:r>
      <w:r>
        <w:rPr>
          <w:rFonts w:eastAsia="Times New Roman"/>
          <w:szCs w:val="24"/>
        </w:rPr>
        <w:t xml:space="preserve">cifically, OCTC alleged that </w:t>
      </w:r>
      <w:r w:rsidR="00AE5FE9">
        <w:rPr>
          <w:rFonts w:eastAsia="Times New Roman"/>
          <w:szCs w:val="24"/>
        </w:rPr>
        <w:t>he</w:t>
      </w:r>
      <w:r w:rsidR="00C305B4">
        <w:rPr>
          <w:rFonts w:eastAsia="Times New Roman"/>
          <w:szCs w:val="24"/>
        </w:rPr>
        <w:t>:</w:t>
      </w:r>
      <w:r w:rsidR="005F5005">
        <w:rPr>
          <w:rFonts w:eastAsia="Times New Roman"/>
          <w:szCs w:val="24"/>
        </w:rPr>
        <w:t xml:space="preserve"> (1)</w:t>
      </w:r>
      <w:r w:rsidR="006848D5">
        <w:rPr>
          <w:rFonts w:eastAsia="Times New Roman"/>
          <w:szCs w:val="24"/>
        </w:rPr>
        <w:t> </w:t>
      </w:r>
      <w:r>
        <w:rPr>
          <w:rFonts w:eastAsia="Times New Roman"/>
          <w:szCs w:val="24"/>
        </w:rPr>
        <w:t xml:space="preserve">intentionally, recklessly, or repeatedly </w:t>
      </w:r>
      <w:r w:rsidR="00E37A44">
        <w:rPr>
          <w:rFonts w:eastAsia="Times New Roman"/>
          <w:szCs w:val="24"/>
        </w:rPr>
        <w:t xml:space="preserve">failed to </w:t>
      </w:r>
      <w:r>
        <w:rPr>
          <w:rFonts w:eastAsia="Times New Roman"/>
          <w:szCs w:val="24"/>
        </w:rPr>
        <w:t xml:space="preserve">perform legal services with competence </w:t>
      </w:r>
      <w:r w:rsidR="00AE5FE9">
        <w:rPr>
          <w:rFonts w:eastAsia="Times New Roman"/>
          <w:szCs w:val="24"/>
        </w:rPr>
        <w:t>during</w:t>
      </w:r>
      <w:r>
        <w:rPr>
          <w:rFonts w:eastAsia="Times New Roman"/>
          <w:szCs w:val="24"/>
        </w:rPr>
        <w:t xml:space="preserve"> his representation of Desiree Galvez </w:t>
      </w:r>
      <w:r w:rsidR="00E50BE4">
        <w:rPr>
          <w:rFonts w:eastAsia="Times New Roman"/>
          <w:szCs w:val="24"/>
        </w:rPr>
        <w:t xml:space="preserve">in an action entitled </w:t>
      </w:r>
      <w:r w:rsidR="00E50BE4">
        <w:rPr>
          <w:rFonts w:eastAsia="Times New Roman"/>
          <w:i/>
          <w:szCs w:val="24"/>
        </w:rPr>
        <w:t>Constantina Pair v. Desiree Galvez, et al.</w:t>
      </w:r>
      <w:r w:rsidR="00AE5FE9">
        <w:rPr>
          <w:rFonts w:eastAsia="Times New Roman"/>
          <w:i/>
          <w:szCs w:val="24"/>
        </w:rPr>
        <w:t xml:space="preserve"> </w:t>
      </w:r>
      <w:r w:rsidR="009D3AC0" w:rsidRPr="00A051D1">
        <w:rPr>
          <w:rFonts w:eastAsia="Times New Roman"/>
          <w:szCs w:val="24"/>
        </w:rPr>
        <w:t>(</w:t>
      </w:r>
      <w:r w:rsidR="009D3AC0">
        <w:rPr>
          <w:rFonts w:eastAsia="Times New Roman"/>
          <w:i/>
          <w:szCs w:val="24"/>
        </w:rPr>
        <w:t>Pair</w:t>
      </w:r>
      <w:r w:rsidR="009D3AC0" w:rsidRPr="007C16AB">
        <w:rPr>
          <w:rFonts w:eastAsia="Times New Roman"/>
          <w:szCs w:val="24"/>
        </w:rPr>
        <w:t>)</w:t>
      </w:r>
      <w:r w:rsidR="00E50BE4" w:rsidRPr="007C16AB">
        <w:rPr>
          <w:rFonts w:eastAsia="Times New Roman"/>
          <w:szCs w:val="24"/>
        </w:rPr>
        <w:t>,</w:t>
      </w:r>
      <w:r w:rsidR="00E50BE4">
        <w:rPr>
          <w:rFonts w:eastAsia="Times New Roman"/>
          <w:i/>
          <w:szCs w:val="24"/>
        </w:rPr>
        <w:t xml:space="preserve"> </w:t>
      </w:r>
      <w:r>
        <w:rPr>
          <w:rFonts w:eastAsia="Times New Roman"/>
          <w:szCs w:val="24"/>
        </w:rPr>
        <w:t xml:space="preserve">in willful violation of </w:t>
      </w:r>
      <w:r w:rsidR="00265E83">
        <w:rPr>
          <w:rFonts w:eastAsia="Times New Roman"/>
          <w:szCs w:val="24"/>
        </w:rPr>
        <w:t xml:space="preserve">  </w:t>
      </w:r>
      <w:r>
        <w:rPr>
          <w:rFonts w:eastAsia="Times New Roman"/>
          <w:szCs w:val="24"/>
        </w:rPr>
        <w:t>rule</w:t>
      </w:r>
      <w:r w:rsidR="00DC4FED">
        <w:rPr>
          <w:rFonts w:eastAsia="Times New Roman"/>
          <w:szCs w:val="24"/>
        </w:rPr>
        <w:t> </w:t>
      </w:r>
      <w:r>
        <w:rPr>
          <w:rFonts w:eastAsia="Times New Roman"/>
          <w:szCs w:val="24"/>
        </w:rPr>
        <w:t>3-110(A)</w:t>
      </w:r>
      <w:r w:rsidR="00E37A44">
        <w:rPr>
          <w:rFonts w:eastAsia="Times New Roman"/>
          <w:szCs w:val="24"/>
        </w:rPr>
        <w:t xml:space="preserve"> of the Rules of Professional Conduct;</w:t>
      </w:r>
      <w:r w:rsidR="00E37A44" w:rsidRPr="00E37A44">
        <w:rPr>
          <w:rFonts w:eastAsia="Times New Roman"/>
          <w:szCs w:val="24"/>
          <w:vertAlign w:val="superscript"/>
        </w:rPr>
        <w:footnoteReference w:id="3"/>
      </w:r>
      <w:r w:rsidR="00E37A44">
        <w:rPr>
          <w:rFonts w:eastAsia="Times New Roman"/>
          <w:szCs w:val="24"/>
        </w:rPr>
        <w:t xml:space="preserve"> </w:t>
      </w:r>
      <w:r w:rsidR="00684319">
        <w:rPr>
          <w:rFonts w:eastAsia="Times New Roman"/>
          <w:szCs w:val="24"/>
        </w:rPr>
        <w:t>(2)</w:t>
      </w:r>
      <w:r w:rsidR="006848D5">
        <w:rPr>
          <w:rFonts w:eastAsia="Times New Roman"/>
          <w:szCs w:val="24"/>
        </w:rPr>
        <w:t> </w:t>
      </w:r>
      <w:r w:rsidR="001C49A2">
        <w:rPr>
          <w:rFonts w:eastAsia="Times New Roman"/>
          <w:szCs w:val="24"/>
        </w:rPr>
        <w:t xml:space="preserve">failed to inform his client of numerous significant developments in the </w:t>
      </w:r>
      <w:r w:rsidR="001C49A2">
        <w:rPr>
          <w:rFonts w:eastAsia="Times New Roman"/>
          <w:i/>
          <w:szCs w:val="24"/>
        </w:rPr>
        <w:t xml:space="preserve">Pair </w:t>
      </w:r>
      <w:r w:rsidR="001C49A2">
        <w:rPr>
          <w:rFonts w:eastAsia="Times New Roman"/>
          <w:szCs w:val="24"/>
        </w:rPr>
        <w:t xml:space="preserve">matter, </w:t>
      </w:r>
      <w:r w:rsidR="00684319">
        <w:t>in violation of section 6</w:t>
      </w:r>
      <w:r w:rsidR="001C49A2">
        <w:t>068, subdivision</w:t>
      </w:r>
      <w:r w:rsidR="00DC4FED">
        <w:t> </w:t>
      </w:r>
      <w:r w:rsidR="001C49A2">
        <w:t>(m)</w:t>
      </w:r>
      <w:r w:rsidR="0022633E">
        <w:t>,</w:t>
      </w:r>
      <w:r w:rsidR="00684319">
        <w:t xml:space="preserve"> of the </w:t>
      </w:r>
      <w:r w:rsidR="00684319">
        <w:rPr>
          <w:szCs w:val="24"/>
        </w:rPr>
        <w:t>Business and Professions Code;</w:t>
      </w:r>
      <w:r w:rsidR="00684319">
        <w:rPr>
          <w:rStyle w:val="FootnoteReference"/>
        </w:rPr>
        <w:footnoteReference w:id="4"/>
      </w:r>
      <w:r w:rsidR="00C661B0">
        <w:rPr>
          <w:szCs w:val="24"/>
        </w:rPr>
        <w:t xml:space="preserve"> (3)</w:t>
      </w:r>
      <w:r w:rsidR="006848D5">
        <w:rPr>
          <w:szCs w:val="24"/>
        </w:rPr>
        <w:t> </w:t>
      </w:r>
      <w:r w:rsidR="00263C59">
        <w:rPr>
          <w:szCs w:val="24"/>
        </w:rPr>
        <w:t>made representations to his client that he knew</w:t>
      </w:r>
      <w:r w:rsidR="00AE5FE9">
        <w:rPr>
          <w:szCs w:val="24"/>
        </w:rPr>
        <w:t>,</w:t>
      </w:r>
      <w:r w:rsidR="00263C59">
        <w:rPr>
          <w:szCs w:val="24"/>
        </w:rPr>
        <w:t xml:space="preserve"> or was grossly negligent in not knowing</w:t>
      </w:r>
      <w:r w:rsidR="00AE5FE9">
        <w:rPr>
          <w:szCs w:val="24"/>
        </w:rPr>
        <w:t>,</w:t>
      </w:r>
      <w:r w:rsidR="00263C59">
        <w:rPr>
          <w:szCs w:val="24"/>
        </w:rPr>
        <w:t xml:space="preserve"> were false, thereby committing an act involving moral </w:t>
      </w:r>
      <w:r w:rsidR="00263C59">
        <w:rPr>
          <w:szCs w:val="24"/>
        </w:rPr>
        <w:lastRenderedPageBreak/>
        <w:t>turpitude, dishonesty</w:t>
      </w:r>
      <w:r w:rsidR="00AE5FE9">
        <w:rPr>
          <w:szCs w:val="24"/>
        </w:rPr>
        <w:t>,</w:t>
      </w:r>
      <w:r w:rsidR="00263C59">
        <w:rPr>
          <w:szCs w:val="24"/>
        </w:rPr>
        <w:t xml:space="preserve"> or corruption</w:t>
      </w:r>
      <w:r w:rsidR="00AE5FE9">
        <w:rPr>
          <w:szCs w:val="24"/>
        </w:rPr>
        <w:t>,</w:t>
      </w:r>
      <w:r w:rsidR="00263C59">
        <w:rPr>
          <w:szCs w:val="24"/>
        </w:rPr>
        <w:t xml:space="preserve"> in willful violation of section 6106;</w:t>
      </w:r>
      <w:r w:rsidR="00394C0C">
        <w:rPr>
          <w:rStyle w:val="FootnoteReference"/>
          <w:szCs w:val="24"/>
        </w:rPr>
        <w:footnoteReference w:id="5"/>
      </w:r>
      <w:r w:rsidR="00C661B0">
        <w:rPr>
          <w:szCs w:val="24"/>
        </w:rPr>
        <w:t xml:space="preserve"> and (4)</w:t>
      </w:r>
      <w:r w:rsidR="006848D5">
        <w:rPr>
          <w:szCs w:val="24"/>
        </w:rPr>
        <w:t> </w:t>
      </w:r>
      <w:r w:rsidR="0090287F" w:rsidRPr="00C450FA">
        <w:rPr>
          <w:szCs w:val="24"/>
        </w:rPr>
        <w:t xml:space="preserve">concealed additional facts from his client </w:t>
      </w:r>
      <w:r w:rsidR="00C450FA">
        <w:rPr>
          <w:szCs w:val="24"/>
        </w:rPr>
        <w:t>when</w:t>
      </w:r>
      <w:r w:rsidR="0090287F" w:rsidRPr="00C450FA">
        <w:rPr>
          <w:szCs w:val="24"/>
        </w:rPr>
        <w:t xml:space="preserve"> he knew</w:t>
      </w:r>
      <w:r w:rsidR="00AE5FE9" w:rsidRPr="00C450FA">
        <w:rPr>
          <w:szCs w:val="24"/>
        </w:rPr>
        <w:t>,</w:t>
      </w:r>
      <w:r w:rsidR="0090287F" w:rsidRPr="00C450FA">
        <w:rPr>
          <w:szCs w:val="24"/>
        </w:rPr>
        <w:t xml:space="preserve"> or was grossly negligent in not knowing</w:t>
      </w:r>
      <w:r w:rsidR="00AE5FE9" w:rsidRPr="00C450FA">
        <w:rPr>
          <w:szCs w:val="24"/>
        </w:rPr>
        <w:t>,</w:t>
      </w:r>
      <w:r w:rsidR="0090287F" w:rsidRPr="00C450FA">
        <w:rPr>
          <w:szCs w:val="24"/>
        </w:rPr>
        <w:t xml:space="preserve"> </w:t>
      </w:r>
      <w:r w:rsidR="00C450FA">
        <w:rPr>
          <w:szCs w:val="24"/>
        </w:rPr>
        <w:t>that the concealment was dishonest</w:t>
      </w:r>
      <w:r w:rsidR="0090287F" w:rsidRPr="00C450FA">
        <w:rPr>
          <w:szCs w:val="24"/>
        </w:rPr>
        <w:t>,</w:t>
      </w:r>
      <w:r w:rsidR="0090287F">
        <w:rPr>
          <w:szCs w:val="24"/>
        </w:rPr>
        <w:t xml:space="preserve"> thereby committing an act involving moral turpitude, dishonesty</w:t>
      </w:r>
      <w:r w:rsidR="007F1931">
        <w:rPr>
          <w:szCs w:val="24"/>
        </w:rPr>
        <w:t>,</w:t>
      </w:r>
      <w:r w:rsidR="0090287F">
        <w:rPr>
          <w:szCs w:val="24"/>
        </w:rPr>
        <w:t xml:space="preserve"> or corruption</w:t>
      </w:r>
      <w:r w:rsidR="007F1931">
        <w:rPr>
          <w:szCs w:val="24"/>
        </w:rPr>
        <w:t>,</w:t>
      </w:r>
      <w:r w:rsidR="0090287F">
        <w:rPr>
          <w:szCs w:val="24"/>
        </w:rPr>
        <w:t xml:space="preserve"> in willful violation of section</w:t>
      </w:r>
      <w:r w:rsidR="00DC4FED">
        <w:rPr>
          <w:szCs w:val="24"/>
        </w:rPr>
        <w:t> </w:t>
      </w:r>
      <w:r w:rsidR="0090287F">
        <w:rPr>
          <w:szCs w:val="24"/>
        </w:rPr>
        <w:t>6106</w:t>
      </w:r>
      <w:r w:rsidR="00F85B14">
        <w:rPr>
          <w:szCs w:val="24"/>
        </w:rPr>
        <w:t xml:space="preserve">.  </w:t>
      </w:r>
    </w:p>
    <w:p w:rsidR="007D0795" w:rsidRDefault="000F6A61" w:rsidP="00183425">
      <w:pPr>
        <w:tabs>
          <w:tab w:val="left" w:pos="720"/>
        </w:tabs>
        <w:spacing w:line="480" w:lineRule="auto"/>
        <w:ind w:firstLine="720"/>
      </w:pPr>
      <w:r>
        <w:t>T</w:t>
      </w:r>
      <w:r w:rsidR="00827F27">
        <w:t xml:space="preserve">rial </w:t>
      </w:r>
      <w:r>
        <w:t>took place</w:t>
      </w:r>
      <w:r w:rsidR="00452436">
        <w:t xml:space="preserve"> on </w:t>
      </w:r>
      <w:r w:rsidR="00827F27">
        <w:t>October</w:t>
      </w:r>
      <w:r w:rsidR="00DC4FED">
        <w:t> </w:t>
      </w:r>
      <w:r w:rsidR="00827F27">
        <w:t xml:space="preserve">25, 26, and 27, 2016.  </w:t>
      </w:r>
      <w:r w:rsidR="003F4F0F">
        <w:t>The hearing j</w:t>
      </w:r>
      <w:r w:rsidR="00827F27">
        <w:t>udge issued her decision on January</w:t>
      </w:r>
      <w:r w:rsidR="00DC4FED">
        <w:t> </w:t>
      </w:r>
      <w:r w:rsidR="00827F27">
        <w:t>24, 2017</w:t>
      </w:r>
      <w:r w:rsidR="003F4F0F">
        <w:t xml:space="preserve">.  </w:t>
      </w:r>
    </w:p>
    <w:p w:rsidR="004B2267" w:rsidRDefault="0032425A" w:rsidP="00D24488">
      <w:pPr>
        <w:tabs>
          <w:tab w:val="left" w:pos="720"/>
        </w:tabs>
        <w:spacing w:line="480" w:lineRule="auto"/>
        <w:jc w:val="center"/>
        <w:rPr>
          <w:b/>
        </w:rPr>
      </w:pPr>
      <w:r>
        <w:rPr>
          <w:b/>
        </w:rPr>
        <w:t>II</w:t>
      </w:r>
      <w:r w:rsidR="00995BA2">
        <w:rPr>
          <w:b/>
        </w:rPr>
        <w:t xml:space="preserve">.  </w:t>
      </w:r>
      <w:r w:rsidR="004B2267" w:rsidRPr="00C154D0">
        <w:rPr>
          <w:b/>
        </w:rPr>
        <w:t>FACTUAL BACKGROUND</w:t>
      </w:r>
      <w:r w:rsidR="004B2267" w:rsidRPr="007C16AB">
        <w:rPr>
          <w:b/>
          <w:vertAlign w:val="superscript"/>
        </w:rPr>
        <w:footnoteReference w:id="6"/>
      </w:r>
    </w:p>
    <w:p w:rsidR="00350B72" w:rsidRDefault="00015843" w:rsidP="00350B72">
      <w:pPr>
        <w:tabs>
          <w:tab w:val="left" w:pos="720"/>
        </w:tabs>
        <w:spacing w:line="480" w:lineRule="auto"/>
        <w:rPr>
          <w:rFonts w:eastAsia="Times New Roman"/>
          <w:szCs w:val="24"/>
        </w:rPr>
      </w:pPr>
      <w:r>
        <w:rPr>
          <w:b/>
        </w:rPr>
        <w:tab/>
      </w:r>
      <w:r>
        <w:t xml:space="preserve">Gentino was admitted to </w:t>
      </w:r>
      <w:r w:rsidR="00DC4FED">
        <w:t>the practice of law on December 16, 1980.  On October </w:t>
      </w:r>
      <w:r>
        <w:t xml:space="preserve">28, 2013, Galvez hired Gentino to represent her </w:t>
      </w:r>
      <w:r w:rsidR="00D62FC3">
        <w:t xml:space="preserve">in </w:t>
      </w:r>
      <w:r w:rsidR="009D3AC0">
        <w:rPr>
          <w:i/>
        </w:rPr>
        <w:t xml:space="preserve">Pair, </w:t>
      </w:r>
      <w:r w:rsidR="009D3AC0">
        <w:t xml:space="preserve">which was </w:t>
      </w:r>
      <w:r w:rsidR="00D62FC3">
        <w:t>pending in Los Angeles County Superior Court</w:t>
      </w:r>
      <w:r w:rsidR="00D62FC3">
        <w:rPr>
          <w:rFonts w:eastAsia="Times New Roman"/>
          <w:i/>
          <w:szCs w:val="24"/>
        </w:rPr>
        <w:t>.</w:t>
      </w:r>
      <w:r w:rsidR="00D62FC3">
        <w:rPr>
          <w:rFonts w:eastAsia="Times New Roman"/>
          <w:szCs w:val="24"/>
        </w:rPr>
        <w:t xml:space="preserve">  On November</w:t>
      </w:r>
      <w:r w:rsidR="003B2852">
        <w:rPr>
          <w:rFonts w:eastAsia="Times New Roman"/>
          <w:szCs w:val="24"/>
        </w:rPr>
        <w:t> </w:t>
      </w:r>
      <w:r w:rsidR="00D62FC3">
        <w:rPr>
          <w:rFonts w:eastAsia="Times New Roman"/>
          <w:szCs w:val="24"/>
        </w:rPr>
        <w:t xml:space="preserve">1, 2013, Gentino filed a </w:t>
      </w:r>
      <w:r w:rsidR="000F6A61">
        <w:rPr>
          <w:rFonts w:eastAsia="Times New Roman"/>
          <w:szCs w:val="24"/>
        </w:rPr>
        <w:t xml:space="preserve">demurrer and </w:t>
      </w:r>
      <w:r w:rsidR="00D62FC3">
        <w:rPr>
          <w:rFonts w:eastAsia="Times New Roman"/>
          <w:szCs w:val="24"/>
        </w:rPr>
        <w:t>cross</w:t>
      </w:r>
      <w:r w:rsidR="00E41B3F">
        <w:rPr>
          <w:rFonts w:eastAsia="Times New Roman"/>
          <w:szCs w:val="24"/>
        </w:rPr>
        <w:t>-</w:t>
      </w:r>
      <w:r w:rsidR="00D62FC3">
        <w:rPr>
          <w:rFonts w:eastAsia="Times New Roman"/>
          <w:szCs w:val="24"/>
        </w:rPr>
        <w:t xml:space="preserve">complaint.  </w:t>
      </w:r>
      <w:r w:rsidR="009D3AC0">
        <w:rPr>
          <w:rFonts w:eastAsia="Times New Roman"/>
          <w:szCs w:val="24"/>
        </w:rPr>
        <w:t xml:space="preserve">The parties </w:t>
      </w:r>
      <w:r w:rsidR="00D62FC3">
        <w:rPr>
          <w:rFonts w:eastAsia="Times New Roman"/>
          <w:szCs w:val="24"/>
        </w:rPr>
        <w:t>attended a Case Management Conference (CMC) on January</w:t>
      </w:r>
      <w:r w:rsidR="003B2852">
        <w:rPr>
          <w:rFonts w:eastAsia="Times New Roman"/>
          <w:szCs w:val="24"/>
        </w:rPr>
        <w:t> </w:t>
      </w:r>
      <w:r w:rsidR="00D62FC3">
        <w:rPr>
          <w:rFonts w:eastAsia="Times New Roman"/>
          <w:szCs w:val="24"/>
        </w:rPr>
        <w:t>15, 2014, which was continued to March</w:t>
      </w:r>
      <w:r w:rsidR="003B2852">
        <w:rPr>
          <w:rFonts w:eastAsia="Times New Roman"/>
          <w:szCs w:val="24"/>
        </w:rPr>
        <w:t> </w:t>
      </w:r>
      <w:r w:rsidR="00D62FC3">
        <w:rPr>
          <w:rFonts w:eastAsia="Times New Roman"/>
          <w:szCs w:val="24"/>
        </w:rPr>
        <w:t>17, 2014.</w:t>
      </w:r>
      <w:r w:rsidR="009D3AC0">
        <w:rPr>
          <w:rFonts w:eastAsia="Times New Roman"/>
          <w:szCs w:val="24"/>
        </w:rPr>
        <w:t xml:space="preserve">  On March</w:t>
      </w:r>
      <w:r w:rsidR="003B2852">
        <w:rPr>
          <w:rFonts w:eastAsia="Times New Roman"/>
          <w:szCs w:val="24"/>
        </w:rPr>
        <w:t> </w:t>
      </w:r>
      <w:r w:rsidR="009D3AC0">
        <w:rPr>
          <w:rFonts w:eastAsia="Times New Roman"/>
          <w:szCs w:val="24"/>
        </w:rPr>
        <w:t xml:space="preserve">4, 2014, </w:t>
      </w:r>
      <w:r w:rsidR="000F6A61">
        <w:rPr>
          <w:rFonts w:eastAsia="Times New Roman"/>
          <w:szCs w:val="24"/>
        </w:rPr>
        <w:t xml:space="preserve">the </w:t>
      </w:r>
      <w:r w:rsidR="007C16AB">
        <w:rPr>
          <w:rFonts w:eastAsia="Times New Roman"/>
          <w:szCs w:val="24"/>
        </w:rPr>
        <w:t>plaintiff filed a first</w:t>
      </w:r>
      <w:r w:rsidR="00535F18">
        <w:rPr>
          <w:rFonts w:eastAsia="Times New Roman"/>
          <w:szCs w:val="24"/>
        </w:rPr>
        <w:t xml:space="preserve"> amended complaint, which mooted the demurrer.</w:t>
      </w:r>
    </w:p>
    <w:p w:rsidR="00535F18" w:rsidRPr="00AF76D6" w:rsidRDefault="00CA5245" w:rsidP="00CA5245">
      <w:pPr>
        <w:pStyle w:val="ListParagraph"/>
        <w:tabs>
          <w:tab w:val="left" w:pos="720"/>
        </w:tabs>
        <w:spacing w:line="480" w:lineRule="auto"/>
        <w:ind w:left="0"/>
        <w:rPr>
          <w:rFonts w:eastAsia="Times New Roman"/>
          <w:b/>
          <w:szCs w:val="24"/>
        </w:rPr>
      </w:pPr>
      <w:r>
        <w:rPr>
          <w:rFonts w:eastAsia="Times New Roman"/>
          <w:b/>
          <w:szCs w:val="24"/>
        </w:rPr>
        <w:t>A.</w:t>
      </w:r>
      <w:r>
        <w:rPr>
          <w:rFonts w:eastAsia="Times New Roman"/>
          <w:b/>
          <w:szCs w:val="24"/>
        </w:rPr>
        <w:tab/>
      </w:r>
      <w:r w:rsidR="00535F18" w:rsidRPr="00AF76D6">
        <w:rPr>
          <w:rFonts w:eastAsia="Times New Roman"/>
          <w:b/>
          <w:szCs w:val="24"/>
        </w:rPr>
        <w:t>March 17, 2014</w:t>
      </w:r>
      <w:r w:rsidR="007C16AB">
        <w:rPr>
          <w:rFonts w:eastAsia="Times New Roman"/>
          <w:b/>
          <w:szCs w:val="24"/>
        </w:rPr>
        <w:t>,</w:t>
      </w:r>
      <w:r w:rsidR="00535F18" w:rsidRPr="00AF76D6">
        <w:rPr>
          <w:rFonts w:eastAsia="Times New Roman"/>
          <w:b/>
          <w:szCs w:val="24"/>
        </w:rPr>
        <w:t xml:space="preserve"> CMC</w:t>
      </w:r>
    </w:p>
    <w:p w:rsidR="00AE37AE" w:rsidRDefault="00D62FC3" w:rsidP="00350B72">
      <w:pPr>
        <w:tabs>
          <w:tab w:val="left" w:pos="720"/>
        </w:tabs>
        <w:spacing w:line="480" w:lineRule="auto"/>
        <w:rPr>
          <w:rFonts w:eastAsia="Times New Roman"/>
          <w:szCs w:val="24"/>
        </w:rPr>
      </w:pPr>
      <w:r>
        <w:rPr>
          <w:rFonts w:eastAsia="Times New Roman"/>
          <w:szCs w:val="24"/>
        </w:rPr>
        <w:tab/>
        <w:t>Gentino did not attend the CMC on March</w:t>
      </w:r>
      <w:r w:rsidR="003B2852">
        <w:rPr>
          <w:rFonts w:eastAsia="Times New Roman"/>
          <w:szCs w:val="24"/>
        </w:rPr>
        <w:t> </w:t>
      </w:r>
      <w:r>
        <w:rPr>
          <w:rFonts w:eastAsia="Times New Roman"/>
          <w:szCs w:val="24"/>
        </w:rPr>
        <w:t xml:space="preserve">17, 2014.  He </w:t>
      </w:r>
      <w:r w:rsidR="00126078">
        <w:rPr>
          <w:rFonts w:eastAsia="Times New Roman"/>
          <w:szCs w:val="24"/>
        </w:rPr>
        <w:t>was scheduled for</w:t>
      </w:r>
      <w:r>
        <w:rPr>
          <w:rFonts w:eastAsia="Times New Roman"/>
          <w:szCs w:val="24"/>
        </w:rPr>
        <w:t xml:space="preserve"> three court appearances that morning</w:t>
      </w:r>
      <w:r w:rsidR="001C637E">
        <w:rPr>
          <w:rFonts w:eastAsia="Times New Roman"/>
          <w:szCs w:val="24"/>
        </w:rPr>
        <w:t>, each begin</w:t>
      </w:r>
      <w:r w:rsidR="00126078">
        <w:rPr>
          <w:rFonts w:eastAsia="Times New Roman"/>
          <w:szCs w:val="24"/>
        </w:rPr>
        <w:t>ning</w:t>
      </w:r>
      <w:r w:rsidR="001C637E">
        <w:rPr>
          <w:rFonts w:eastAsia="Times New Roman"/>
          <w:szCs w:val="24"/>
        </w:rPr>
        <w:t xml:space="preserve"> at 8:30 a.m</w:t>
      </w:r>
      <w:r>
        <w:rPr>
          <w:rFonts w:eastAsia="Times New Roman"/>
          <w:szCs w:val="24"/>
        </w:rPr>
        <w:t xml:space="preserve">.  He </w:t>
      </w:r>
      <w:r w:rsidR="00E67151">
        <w:rPr>
          <w:rFonts w:eastAsia="Times New Roman"/>
          <w:szCs w:val="24"/>
        </w:rPr>
        <w:t xml:space="preserve">checked in </w:t>
      </w:r>
      <w:r w:rsidR="00C450FA">
        <w:rPr>
          <w:rFonts w:eastAsia="Times New Roman"/>
          <w:szCs w:val="24"/>
        </w:rPr>
        <w:t>to</w:t>
      </w:r>
      <w:r>
        <w:rPr>
          <w:rFonts w:eastAsia="Times New Roman"/>
          <w:szCs w:val="24"/>
        </w:rPr>
        <w:t xml:space="preserve"> the other two matters first</w:t>
      </w:r>
      <w:r w:rsidR="00EF544E">
        <w:rPr>
          <w:rFonts w:eastAsia="Times New Roman"/>
          <w:szCs w:val="24"/>
        </w:rPr>
        <w:t>, and, b</w:t>
      </w:r>
      <w:r>
        <w:rPr>
          <w:rFonts w:eastAsia="Times New Roman"/>
          <w:szCs w:val="24"/>
        </w:rPr>
        <w:t xml:space="preserve">y the time </w:t>
      </w:r>
      <w:r w:rsidR="00932AF4">
        <w:rPr>
          <w:rFonts w:eastAsia="Times New Roman"/>
          <w:szCs w:val="24"/>
        </w:rPr>
        <w:t xml:space="preserve">Gentino </w:t>
      </w:r>
      <w:r w:rsidR="00C450FA">
        <w:rPr>
          <w:rFonts w:eastAsia="Times New Roman"/>
          <w:szCs w:val="24"/>
        </w:rPr>
        <w:t>arrived</w:t>
      </w:r>
      <w:r>
        <w:rPr>
          <w:rFonts w:eastAsia="Times New Roman"/>
          <w:szCs w:val="24"/>
        </w:rPr>
        <w:t xml:space="preserve"> for the </w:t>
      </w:r>
      <w:r>
        <w:rPr>
          <w:rFonts w:eastAsia="Times New Roman"/>
          <w:i/>
          <w:szCs w:val="24"/>
        </w:rPr>
        <w:t>Pair</w:t>
      </w:r>
      <w:r w:rsidR="00AE37AE">
        <w:rPr>
          <w:rFonts w:eastAsia="Times New Roman"/>
          <w:szCs w:val="24"/>
        </w:rPr>
        <w:t xml:space="preserve"> </w:t>
      </w:r>
      <w:r w:rsidR="000F6A61">
        <w:rPr>
          <w:rFonts w:eastAsia="Times New Roman"/>
          <w:szCs w:val="24"/>
        </w:rPr>
        <w:t>hearing</w:t>
      </w:r>
      <w:r w:rsidR="001C637E">
        <w:rPr>
          <w:rFonts w:eastAsia="Times New Roman"/>
          <w:szCs w:val="24"/>
        </w:rPr>
        <w:t xml:space="preserve"> at 8:35 a.m.</w:t>
      </w:r>
      <w:r>
        <w:rPr>
          <w:rFonts w:eastAsia="Times New Roman"/>
          <w:szCs w:val="24"/>
        </w:rPr>
        <w:t xml:space="preserve">, </w:t>
      </w:r>
      <w:r w:rsidR="00932AF4">
        <w:rPr>
          <w:rFonts w:eastAsia="Times New Roman"/>
          <w:szCs w:val="24"/>
        </w:rPr>
        <w:t xml:space="preserve">the judge had </w:t>
      </w:r>
      <w:r w:rsidR="00126078">
        <w:rPr>
          <w:rFonts w:eastAsia="Times New Roman"/>
          <w:szCs w:val="24"/>
        </w:rPr>
        <w:t>already held</w:t>
      </w:r>
      <w:r w:rsidR="00932AF4">
        <w:rPr>
          <w:rFonts w:eastAsia="Times New Roman"/>
          <w:szCs w:val="24"/>
        </w:rPr>
        <w:t xml:space="preserve"> </w:t>
      </w:r>
      <w:r w:rsidR="00EF544E">
        <w:rPr>
          <w:rFonts w:eastAsia="Times New Roman"/>
          <w:szCs w:val="24"/>
        </w:rPr>
        <w:t>the CMC</w:t>
      </w:r>
      <w:r w:rsidR="00932AF4">
        <w:rPr>
          <w:rFonts w:eastAsia="Times New Roman"/>
          <w:szCs w:val="24"/>
        </w:rPr>
        <w:t xml:space="preserve">.  </w:t>
      </w:r>
      <w:r w:rsidR="00452436">
        <w:rPr>
          <w:rFonts w:eastAsia="Times New Roman"/>
          <w:szCs w:val="24"/>
        </w:rPr>
        <w:t xml:space="preserve">The judge issued a </w:t>
      </w:r>
      <w:r w:rsidR="00B97DBB">
        <w:rPr>
          <w:rFonts w:eastAsia="Times New Roman"/>
          <w:szCs w:val="24"/>
        </w:rPr>
        <w:t xml:space="preserve">minute order and </w:t>
      </w:r>
      <w:r w:rsidR="00452436">
        <w:rPr>
          <w:rFonts w:eastAsia="Times New Roman"/>
          <w:szCs w:val="24"/>
        </w:rPr>
        <w:t xml:space="preserve">a </w:t>
      </w:r>
      <w:r w:rsidR="00B97DBB">
        <w:rPr>
          <w:rFonts w:eastAsia="Times New Roman"/>
          <w:szCs w:val="24"/>
        </w:rPr>
        <w:t>case management order</w:t>
      </w:r>
      <w:r w:rsidR="00EF544E">
        <w:rPr>
          <w:rFonts w:eastAsia="Times New Roman"/>
          <w:szCs w:val="24"/>
        </w:rPr>
        <w:t>,</w:t>
      </w:r>
      <w:r w:rsidR="00AE37AE">
        <w:rPr>
          <w:rFonts w:eastAsia="Times New Roman"/>
          <w:szCs w:val="24"/>
        </w:rPr>
        <w:t xml:space="preserve"> both noting that no appearance was made </w:t>
      </w:r>
      <w:r w:rsidR="00F77C0F">
        <w:rPr>
          <w:rFonts w:eastAsia="Times New Roman"/>
          <w:szCs w:val="24"/>
        </w:rPr>
        <w:t>on behalf o</w:t>
      </w:r>
      <w:r w:rsidR="00AE37AE">
        <w:rPr>
          <w:rFonts w:eastAsia="Times New Roman"/>
          <w:szCs w:val="24"/>
        </w:rPr>
        <w:t>f Galvez</w:t>
      </w:r>
      <w:r w:rsidR="00B97DBB">
        <w:rPr>
          <w:rFonts w:eastAsia="Times New Roman"/>
          <w:szCs w:val="24"/>
        </w:rPr>
        <w:t xml:space="preserve">.  </w:t>
      </w:r>
      <w:r w:rsidR="00454F3F">
        <w:rPr>
          <w:rFonts w:eastAsia="Times New Roman"/>
          <w:szCs w:val="24"/>
        </w:rPr>
        <w:t xml:space="preserve">The minute order </w:t>
      </w:r>
      <w:r w:rsidR="00F77C0F">
        <w:rPr>
          <w:rFonts w:eastAsia="Times New Roman"/>
          <w:szCs w:val="24"/>
        </w:rPr>
        <w:t>specified</w:t>
      </w:r>
      <w:r w:rsidR="00454F3F">
        <w:rPr>
          <w:rFonts w:eastAsia="Times New Roman"/>
          <w:szCs w:val="24"/>
        </w:rPr>
        <w:t xml:space="preserve"> </w:t>
      </w:r>
      <w:r w:rsidR="00B97DBB">
        <w:rPr>
          <w:rFonts w:eastAsia="Times New Roman"/>
          <w:szCs w:val="24"/>
        </w:rPr>
        <w:t>that trial was set for</w:t>
      </w:r>
      <w:r w:rsidR="00AE37AE">
        <w:rPr>
          <w:rFonts w:eastAsia="Times New Roman"/>
          <w:szCs w:val="24"/>
        </w:rPr>
        <w:t xml:space="preserve"> </w:t>
      </w:r>
      <w:r w:rsidR="00AE37AE">
        <w:rPr>
          <w:rFonts w:eastAsia="Times New Roman"/>
          <w:szCs w:val="24"/>
        </w:rPr>
        <w:lastRenderedPageBreak/>
        <w:t>September</w:t>
      </w:r>
      <w:r w:rsidR="003B2852">
        <w:rPr>
          <w:rFonts w:eastAsia="Times New Roman"/>
          <w:szCs w:val="24"/>
        </w:rPr>
        <w:t> </w:t>
      </w:r>
      <w:r w:rsidR="00AE37AE">
        <w:rPr>
          <w:rFonts w:eastAsia="Times New Roman"/>
          <w:szCs w:val="24"/>
        </w:rPr>
        <w:t>8, 2014, and direct</w:t>
      </w:r>
      <w:r w:rsidR="00126078">
        <w:rPr>
          <w:rFonts w:eastAsia="Times New Roman"/>
          <w:szCs w:val="24"/>
        </w:rPr>
        <w:t>ed</w:t>
      </w:r>
      <w:r w:rsidR="00B97DBB">
        <w:rPr>
          <w:rFonts w:eastAsia="Times New Roman"/>
          <w:szCs w:val="24"/>
        </w:rPr>
        <w:t xml:space="preserve"> the parties to file trial briefs, witness lists</w:t>
      </w:r>
      <w:r w:rsidR="00126078">
        <w:rPr>
          <w:rFonts w:eastAsia="Times New Roman"/>
          <w:szCs w:val="24"/>
        </w:rPr>
        <w:t>,</w:t>
      </w:r>
      <w:r w:rsidR="00B97DBB">
        <w:rPr>
          <w:rFonts w:eastAsia="Times New Roman"/>
          <w:szCs w:val="24"/>
        </w:rPr>
        <w:t xml:space="preserve"> and exhibit lists five days before the trial date.  </w:t>
      </w:r>
    </w:p>
    <w:p w:rsidR="00D62FC3" w:rsidRDefault="00AE37AE" w:rsidP="00350B72">
      <w:pPr>
        <w:tabs>
          <w:tab w:val="left" w:pos="720"/>
        </w:tabs>
        <w:spacing w:line="480" w:lineRule="auto"/>
        <w:rPr>
          <w:rFonts w:eastAsia="Times New Roman"/>
          <w:szCs w:val="24"/>
        </w:rPr>
      </w:pPr>
      <w:r>
        <w:rPr>
          <w:rFonts w:eastAsia="Times New Roman"/>
          <w:szCs w:val="24"/>
        </w:rPr>
        <w:tab/>
      </w:r>
      <w:r w:rsidR="00975F8F">
        <w:rPr>
          <w:rFonts w:eastAsia="Times New Roman"/>
          <w:szCs w:val="24"/>
        </w:rPr>
        <w:t>The p</w:t>
      </w:r>
      <w:r w:rsidR="00B97DBB">
        <w:rPr>
          <w:rFonts w:eastAsia="Times New Roman"/>
          <w:szCs w:val="24"/>
        </w:rPr>
        <w:t>laintiff was ordered to</w:t>
      </w:r>
      <w:r w:rsidR="00F77C0F">
        <w:rPr>
          <w:rFonts w:eastAsia="Times New Roman"/>
          <w:szCs w:val="24"/>
        </w:rPr>
        <w:t xml:space="preserve"> provide</w:t>
      </w:r>
      <w:r w:rsidR="00B97DBB">
        <w:rPr>
          <w:rFonts w:eastAsia="Times New Roman"/>
          <w:szCs w:val="24"/>
        </w:rPr>
        <w:t xml:space="preserve"> notice.  On March</w:t>
      </w:r>
      <w:r w:rsidR="003B2852">
        <w:rPr>
          <w:rFonts w:eastAsia="Times New Roman"/>
          <w:szCs w:val="24"/>
        </w:rPr>
        <w:t> </w:t>
      </w:r>
      <w:r w:rsidR="00B97DBB">
        <w:rPr>
          <w:rFonts w:eastAsia="Times New Roman"/>
          <w:szCs w:val="24"/>
        </w:rPr>
        <w:t xml:space="preserve">18, 2014, </w:t>
      </w:r>
      <w:r w:rsidR="00975F8F">
        <w:rPr>
          <w:rFonts w:eastAsia="Times New Roman"/>
          <w:szCs w:val="24"/>
        </w:rPr>
        <w:t>the p</w:t>
      </w:r>
      <w:r w:rsidR="00B97DBB">
        <w:rPr>
          <w:rFonts w:eastAsia="Times New Roman"/>
          <w:szCs w:val="24"/>
        </w:rPr>
        <w:t>laintiff served Gentino with a Notice of Ruling regarding the CMC</w:t>
      </w:r>
      <w:r w:rsidR="00F77C0F">
        <w:rPr>
          <w:rFonts w:eastAsia="Times New Roman"/>
          <w:szCs w:val="24"/>
        </w:rPr>
        <w:t>, but it</w:t>
      </w:r>
      <w:r w:rsidR="00B97DBB">
        <w:rPr>
          <w:rFonts w:eastAsia="Times New Roman"/>
          <w:szCs w:val="24"/>
        </w:rPr>
        <w:t xml:space="preserve"> did not include the </w:t>
      </w:r>
      <w:r w:rsidR="00E871AC">
        <w:rPr>
          <w:rFonts w:eastAsia="Times New Roman"/>
          <w:szCs w:val="24"/>
        </w:rPr>
        <w:t xml:space="preserve">judge’s </w:t>
      </w:r>
      <w:r w:rsidR="00B97DBB">
        <w:rPr>
          <w:rFonts w:eastAsia="Times New Roman"/>
          <w:szCs w:val="24"/>
        </w:rPr>
        <w:t xml:space="preserve">order </w:t>
      </w:r>
      <w:r w:rsidR="00975F8F">
        <w:rPr>
          <w:rFonts w:eastAsia="Times New Roman"/>
          <w:szCs w:val="24"/>
        </w:rPr>
        <w:t>to</w:t>
      </w:r>
      <w:r w:rsidR="00B97DBB">
        <w:rPr>
          <w:rFonts w:eastAsia="Times New Roman"/>
          <w:szCs w:val="24"/>
        </w:rPr>
        <w:t xml:space="preserve"> fil</w:t>
      </w:r>
      <w:r w:rsidR="00F77C0F">
        <w:rPr>
          <w:rFonts w:eastAsia="Times New Roman"/>
          <w:szCs w:val="24"/>
        </w:rPr>
        <w:t>e</w:t>
      </w:r>
      <w:r w:rsidR="00B97DBB">
        <w:rPr>
          <w:rFonts w:eastAsia="Times New Roman"/>
          <w:szCs w:val="24"/>
        </w:rPr>
        <w:t xml:space="preserve"> trial briefs and related lists five days before trial.  </w:t>
      </w:r>
      <w:r w:rsidR="004B3A1E">
        <w:rPr>
          <w:rFonts w:eastAsia="Times New Roman"/>
          <w:szCs w:val="24"/>
        </w:rPr>
        <w:t>Gentino did not check the Los Angeles Superior Court</w:t>
      </w:r>
      <w:r w:rsidR="00975F8F">
        <w:rPr>
          <w:rFonts w:eastAsia="Times New Roman"/>
          <w:szCs w:val="24"/>
        </w:rPr>
        <w:t>’s local rules</w:t>
      </w:r>
      <w:r w:rsidR="004B3A1E">
        <w:rPr>
          <w:rFonts w:eastAsia="Times New Roman"/>
          <w:szCs w:val="24"/>
        </w:rPr>
        <w:t xml:space="preserve"> to </w:t>
      </w:r>
      <w:r w:rsidR="00975F8F">
        <w:rPr>
          <w:rFonts w:eastAsia="Times New Roman"/>
          <w:szCs w:val="24"/>
        </w:rPr>
        <w:t>ascertain if</w:t>
      </w:r>
      <w:r w:rsidR="004B3A1E">
        <w:rPr>
          <w:rFonts w:eastAsia="Times New Roman"/>
          <w:szCs w:val="24"/>
        </w:rPr>
        <w:t xml:space="preserve"> </w:t>
      </w:r>
      <w:r w:rsidR="00F760BD">
        <w:rPr>
          <w:rFonts w:eastAsia="Times New Roman"/>
          <w:szCs w:val="24"/>
        </w:rPr>
        <w:t xml:space="preserve">he had </w:t>
      </w:r>
      <w:r w:rsidR="00975F8F">
        <w:rPr>
          <w:rFonts w:eastAsia="Times New Roman"/>
          <w:szCs w:val="24"/>
        </w:rPr>
        <w:t xml:space="preserve">to fulfill </w:t>
      </w:r>
      <w:r w:rsidR="004B3A1E">
        <w:rPr>
          <w:rFonts w:eastAsia="Times New Roman"/>
          <w:szCs w:val="24"/>
        </w:rPr>
        <w:t xml:space="preserve">any particular requirements </w:t>
      </w:r>
      <w:r w:rsidR="00E8515E">
        <w:rPr>
          <w:rFonts w:eastAsia="Times New Roman"/>
          <w:szCs w:val="24"/>
        </w:rPr>
        <w:t>to prepare for trial</w:t>
      </w:r>
      <w:r w:rsidR="007C16AB">
        <w:rPr>
          <w:rFonts w:eastAsia="Times New Roman"/>
          <w:szCs w:val="24"/>
        </w:rPr>
        <w:t>,</w:t>
      </w:r>
      <w:r w:rsidR="00CD5FF2">
        <w:rPr>
          <w:rFonts w:eastAsia="Times New Roman"/>
          <w:szCs w:val="24"/>
        </w:rPr>
        <w:t xml:space="preserve"> </w:t>
      </w:r>
      <w:r w:rsidR="00975F8F">
        <w:rPr>
          <w:rFonts w:eastAsia="Times New Roman"/>
          <w:szCs w:val="24"/>
        </w:rPr>
        <w:t>n</w:t>
      </w:r>
      <w:r w:rsidR="00CD5FF2">
        <w:rPr>
          <w:rFonts w:eastAsia="Times New Roman"/>
          <w:szCs w:val="24"/>
        </w:rPr>
        <w:t xml:space="preserve">or </w:t>
      </w:r>
      <w:r w:rsidR="00975F8F">
        <w:rPr>
          <w:rFonts w:eastAsia="Times New Roman"/>
          <w:szCs w:val="24"/>
        </w:rPr>
        <w:t xml:space="preserve">did he </w:t>
      </w:r>
      <w:r w:rsidR="00CD5FF2">
        <w:rPr>
          <w:rFonts w:eastAsia="Times New Roman"/>
          <w:szCs w:val="24"/>
        </w:rPr>
        <w:t>obtain a copy of the minute order to confirm the judge’s ruling</w:t>
      </w:r>
      <w:r w:rsidR="00E8515E">
        <w:rPr>
          <w:rFonts w:eastAsia="Times New Roman"/>
          <w:szCs w:val="24"/>
        </w:rPr>
        <w:t xml:space="preserve">.  </w:t>
      </w:r>
    </w:p>
    <w:p w:rsidR="00AE37AE" w:rsidRPr="00AE37AE" w:rsidRDefault="00CA5245" w:rsidP="00CA5245">
      <w:pPr>
        <w:pStyle w:val="ListParagraph"/>
        <w:tabs>
          <w:tab w:val="left" w:pos="720"/>
        </w:tabs>
        <w:spacing w:line="480" w:lineRule="auto"/>
        <w:ind w:left="0"/>
        <w:rPr>
          <w:rFonts w:eastAsia="Times New Roman"/>
          <w:b/>
          <w:szCs w:val="24"/>
        </w:rPr>
      </w:pPr>
      <w:r>
        <w:rPr>
          <w:rFonts w:eastAsia="Times New Roman"/>
          <w:b/>
          <w:szCs w:val="24"/>
        </w:rPr>
        <w:t>B.</w:t>
      </w:r>
      <w:r>
        <w:rPr>
          <w:rFonts w:eastAsia="Times New Roman"/>
          <w:b/>
          <w:szCs w:val="24"/>
        </w:rPr>
        <w:tab/>
      </w:r>
      <w:r w:rsidR="00AE37AE">
        <w:rPr>
          <w:rFonts w:eastAsia="Times New Roman"/>
          <w:b/>
          <w:szCs w:val="24"/>
        </w:rPr>
        <w:t>Default Entered</w:t>
      </w:r>
    </w:p>
    <w:p w:rsidR="00E871AC" w:rsidRDefault="0099400C" w:rsidP="00350B72">
      <w:pPr>
        <w:tabs>
          <w:tab w:val="left" w:pos="720"/>
        </w:tabs>
        <w:spacing w:line="480" w:lineRule="auto"/>
        <w:rPr>
          <w:rFonts w:eastAsia="Times New Roman"/>
          <w:szCs w:val="24"/>
        </w:rPr>
      </w:pPr>
      <w:r>
        <w:rPr>
          <w:rFonts w:eastAsia="Times New Roman"/>
          <w:szCs w:val="24"/>
        </w:rPr>
        <w:tab/>
      </w:r>
      <w:r w:rsidR="00C86C93">
        <w:rPr>
          <w:rFonts w:eastAsia="Times New Roman"/>
          <w:szCs w:val="24"/>
        </w:rPr>
        <w:t xml:space="preserve">On </w:t>
      </w:r>
      <w:r w:rsidR="00ED5756">
        <w:rPr>
          <w:rFonts w:eastAsia="Times New Roman"/>
          <w:szCs w:val="24"/>
        </w:rPr>
        <w:t>March</w:t>
      </w:r>
      <w:r w:rsidR="00FE00F1">
        <w:rPr>
          <w:rFonts w:eastAsia="Times New Roman"/>
          <w:szCs w:val="24"/>
        </w:rPr>
        <w:t> </w:t>
      </w:r>
      <w:r w:rsidR="00ED5756">
        <w:rPr>
          <w:rFonts w:eastAsia="Times New Roman"/>
          <w:szCs w:val="24"/>
        </w:rPr>
        <w:t>4, 2014</w:t>
      </w:r>
      <w:r w:rsidR="00C86C93" w:rsidRPr="00ED5756">
        <w:rPr>
          <w:rFonts w:eastAsia="Times New Roman"/>
          <w:szCs w:val="24"/>
        </w:rPr>
        <w:t>,</w:t>
      </w:r>
      <w:r w:rsidR="00C86C93">
        <w:rPr>
          <w:rFonts w:eastAsia="Times New Roman"/>
          <w:szCs w:val="24"/>
        </w:rPr>
        <w:t xml:space="preserve"> the plaintiff filed a</w:t>
      </w:r>
      <w:r w:rsidR="001C389A">
        <w:rPr>
          <w:rFonts w:eastAsia="Times New Roman"/>
          <w:szCs w:val="24"/>
        </w:rPr>
        <w:t xml:space="preserve"> first</w:t>
      </w:r>
      <w:r w:rsidR="00C86C93">
        <w:rPr>
          <w:rFonts w:eastAsia="Times New Roman"/>
          <w:szCs w:val="24"/>
        </w:rPr>
        <w:t xml:space="preserve"> amended complaint.  In response, o</w:t>
      </w:r>
      <w:r>
        <w:rPr>
          <w:rFonts w:eastAsia="Times New Roman"/>
          <w:szCs w:val="24"/>
        </w:rPr>
        <w:t>n July</w:t>
      </w:r>
      <w:r w:rsidR="003B2852">
        <w:rPr>
          <w:rFonts w:eastAsia="Times New Roman"/>
          <w:szCs w:val="24"/>
        </w:rPr>
        <w:t> </w:t>
      </w:r>
      <w:r>
        <w:rPr>
          <w:rFonts w:eastAsia="Times New Roman"/>
          <w:szCs w:val="24"/>
        </w:rPr>
        <w:t xml:space="preserve">7, 2014, Gentino filed a demurrer and motion to strike portions of the </w:t>
      </w:r>
      <w:r w:rsidR="00871E4D">
        <w:rPr>
          <w:rFonts w:eastAsia="Times New Roman"/>
          <w:szCs w:val="24"/>
        </w:rPr>
        <w:t xml:space="preserve">amended </w:t>
      </w:r>
      <w:r>
        <w:rPr>
          <w:rFonts w:eastAsia="Times New Roman"/>
          <w:szCs w:val="24"/>
        </w:rPr>
        <w:t>complaint</w:t>
      </w:r>
      <w:r w:rsidR="00F77C0F">
        <w:rPr>
          <w:rFonts w:eastAsia="Times New Roman"/>
          <w:szCs w:val="24"/>
        </w:rPr>
        <w:t xml:space="preserve">, and </w:t>
      </w:r>
      <w:r w:rsidR="00E67151">
        <w:rPr>
          <w:rFonts w:eastAsia="Times New Roman"/>
          <w:szCs w:val="24"/>
        </w:rPr>
        <w:t xml:space="preserve">received a </w:t>
      </w:r>
      <w:r w:rsidR="00C86C93">
        <w:rPr>
          <w:rFonts w:eastAsia="Times New Roman"/>
          <w:szCs w:val="24"/>
        </w:rPr>
        <w:t xml:space="preserve">hearing </w:t>
      </w:r>
      <w:r w:rsidR="00E67151">
        <w:rPr>
          <w:rFonts w:eastAsia="Times New Roman"/>
          <w:szCs w:val="24"/>
        </w:rPr>
        <w:t>date of</w:t>
      </w:r>
      <w:r w:rsidR="00F760BD">
        <w:rPr>
          <w:rFonts w:eastAsia="Times New Roman"/>
          <w:szCs w:val="24"/>
        </w:rPr>
        <w:t xml:space="preserve"> September</w:t>
      </w:r>
      <w:r w:rsidR="003B2852">
        <w:rPr>
          <w:rFonts w:eastAsia="Times New Roman"/>
          <w:szCs w:val="24"/>
        </w:rPr>
        <w:t> </w:t>
      </w:r>
      <w:r w:rsidR="00F760BD">
        <w:rPr>
          <w:rFonts w:eastAsia="Times New Roman"/>
          <w:szCs w:val="24"/>
        </w:rPr>
        <w:t>8, 2014</w:t>
      </w:r>
      <w:r w:rsidR="00E871AC">
        <w:rPr>
          <w:rFonts w:eastAsia="Times New Roman"/>
          <w:szCs w:val="24"/>
        </w:rPr>
        <w:t>,</w:t>
      </w:r>
      <w:r w:rsidR="00F760BD">
        <w:rPr>
          <w:rFonts w:eastAsia="Times New Roman"/>
          <w:szCs w:val="24"/>
        </w:rPr>
        <w:t xml:space="preserve"> </w:t>
      </w:r>
      <w:r>
        <w:rPr>
          <w:rFonts w:eastAsia="Times New Roman"/>
          <w:szCs w:val="24"/>
        </w:rPr>
        <w:t>the date set for trial</w:t>
      </w:r>
      <w:r w:rsidR="00F77C0F">
        <w:rPr>
          <w:rFonts w:eastAsia="Times New Roman"/>
          <w:szCs w:val="24"/>
        </w:rPr>
        <w:t xml:space="preserve">.  </w:t>
      </w:r>
      <w:r w:rsidR="00523A41">
        <w:rPr>
          <w:rFonts w:eastAsia="Times New Roman"/>
          <w:szCs w:val="24"/>
        </w:rPr>
        <w:t>Gentino</w:t>
      </w:r>
      <w:r>
        <w:rPr>
          <w:rFonts w:eastAsia="Times New Roman"/>
          <w:szCs w:val="24"/>
        </w:rPr>
        <w:t xml:space="preserve"> did not seek an order to shorten time for the hearing on the demurrer</w:t>
      </w:r>
      <w:r w:rsidR="00CD5FF2">
        <w:rPr>
          <w:rFonts w:eastAsia="Times New Roman"/>
          <w:szCs w:val="24"/>
        </w:rPr>
        <w:t xml:space="preserve"> </w:t>
      </w:r>
      <w:r w:rsidR="00871E4D">
        <w:rPr>
          <w:rFonts w:eastAsia="Times New Roman"/>
          <w:szCs w:val="24"/>
        </w:rPr>
        <w:t xml:space="preserve">so it could be </w:t>
      </w:r>
      <w:r w:rsidR="00F77C0F">
        <w:rPr>
          <w:rFonts w:eastAsia="Times New Roman"/>
          <w:szCs w:val="24"/>
        </w:rPr>
        <w:t>addressed prior to the</w:t>
      </w:r>
      <w:r w:rsidR="00871E4D">
        <w:rPr>
          <w:rFonts w:eastAsia="Times New Roman"/>
          <w:szCs w:val="24"/>
        </w:rPr>
        <w:t xml:space="preserve"> trial</w:t>
      </w:r>
      <w:r w:rsidR="00F77C0F">
        <w:rPr>
          <w:rFonts w:eastAsia="Times New Roman"/>
          <w:szCs w:val="24"/>
        </w:rPr>
        <w:t xml:space="preserve"> date</w:t>
      </w:r>
      <w:r>
        <w:rPr>
          <w:rFonts w:eastAsia="Times New Roman"/>
          <w:szCs w:val="24"/>
        </w:rPr>
        <w:t xml:space="preserve">.  </w:t>
      </w:r>
    </w:p>
    <w:p w:rsidR="0099400C" w:rsidRDefault="00E871AC" w:rsidP="00350B72">
      <w:pPr>
        <w:tabs>
          <w:tab w:val="left" w:pos="720"/>
        </w:tabs>
        <w:spacing w:line="480" w:lineRule="auto"/>
        <w:rPr>
          <w:rFonts w:eastAsia="Times New Roman"/>
          <w:szCs w:val="24"/>
        </w:rPr>
      </w:pPr>
      <w:r>
        <w:rPr>
          <w:rFonts w:eastAsia="Times New Roman"/>
          <w:szCs w:val="24"/>
        </w:rPr>
        <w:tab/>
      </w:r>
      <w:r w:rsidR="0099400C">
        <w:rPr>
          <w:rFonts w:eastAsia="Times New Roman"/>
          <w:szCs w:val="24"/>
        </w:rPr>
        <w:t>Galvez did not know</w:t>
      </w:r>
      <w:r w:rsidR="000460C4">
        <w:rPr>
          <w:rFonts w:eastAsia="Times New Roman"/>
          <w:szCs w:val="24"/>
        </w:rPr>
        <w:t xml:space="preserve"> that </w:t>
      </w:r>
      <w:r w:rsidR="004978CB">
        <w:rPr>
          <w:rFonts w:eastAsia="Times New Roman"/>
          <w:szCs w:val="24"/>
        </w:rPr>
        <w:t xml:space="preserve">Gentino had filed </w:t>
      </w:r>
      <w:r w:rsidR="000460C4">
        <w:rPr>
          <w:rFonts w:eastAsia="Times New Roman"/>
          <w:szCs w:val="24"/>
        </w:rPr>
        <w:t>a demurrer</w:t>
      </w:r>
      <w:r w:rsidR="00F37B9C">
        <w:rPr>
          <w:rFonts w:eastAsia="Times New Roman"/>
          <w:szCs w:val="24"/>
        </w:rPr>
        <w:t>.  She</w:t>
      </w:r>
      <w:r w:rsidR="00EF544E">
        <w:rPr>
          <w:rFonts w:eastAsia="Times New Roman"/>
          <w:szCs w:val="24"/>
        </w:rPr>
        <w:t xml:space="preserve"> knew that </w:t>
      </w:r>
      <w:r w:rsidR="000460C4">
        <w:rPr>
          <w:rFonts w:eastAsia="Times New Roman"/>
          <w:szCs w:val="24"/>
        </w:rPr>
        <w:t xml:space="preserve">a court date </w:t>
      </w:r>
      <w:r w:rsidR="00EF544E">
        <w:rPr>
          <w:rFonts w:eastAsia="Times New Roman"/>
          <w:szCs w:val="24"/>
        </w:rPr>
        <w:t xml:space="preserve">was </w:t>
      </w:r>
      <w:r w:rsidR="000460C4">
        <w:rPr>
          <w:rFonts w:eastAsia="Times New Roman"/>
          <w:szCs w:val="24"/>
        </w:rPr>
        <w:t>set for September</w:t>
      </w:r>
      <w:r w:rsidR="003B2852">
        <w:rPr>
          <w:rFonts w:eastAsia="Times New Roman"/>
          <w:szCs w:val="24"/>
        </w:rPr>
        <w:t> </w:t>
      </w:r>
      <w:r w:rsidR="000460C4">
        <w:rPr>
          <w:rFonts w:eastAsia="Times New Roman"/>
          <w:szCs w:val="24"/>
        </w:rPr>
        <w:t>8</w:t>
      </w:r>
      <w:r w:rsidR="00EF544E">
        <w:rPr>
          <w:rFonts w:eastAsia="Times New Roman"/>
          <w:szCs w:val="24"/>
        </w:rPr>
        <w:t>,</w:t>
      </w:r>
      <w:r w:rsidR="000460C4">
        <w:rPr>
          <w:rFonts w:eastAsia="Times New Roman"/>
          <w:szCs w:val="24"/>
        </w:rPr>
        <w:t xml:space="preserve"> but </w:t>
      </w:r>
      <w:r w:rsidR="00EF544E">
        <w:rPr>
          <w:rFonts w:eastAsia="Times New Roman"/>
          <w:szCs w:val="24"/>
        </w:rPr>
        <w:t xml:space="preserve">she </w:t>
      </w:r>
      <w:r w:rsidR="000460C4">
        <w:rPr>
          <w:rFonts w:eastAsia="Times New Roman"/>
          <w:szCs w:val="24"/>
        </w:rPr>
        <w:t xml:space="preserve">was not sure </w:t>
      </w:r>
      <w:r w:rsidR="00EF544E">
        <w:rPr>
          <w:rFonts w:eastAsia="Times New Roman"/>
          <w:szCs w:val="24"/>
        </w:rPr>
        <w:t>why</w:t>
      </w:r>
      <w:r w:rsidR="000460C4">
        <w:rPr>
          <w:rFonts w:eastAsia="Times New Roman"/>
          <w:szCs w:val="24"/>
        </w:rPr>
        <w:t xml:space="preserve">.  </w:t>
      </w:r>
      <w:r w:rsidR="00871E4D">
        <w:rPr>
          <w:rFonts w:eastAsia="Times New Roman"/>
          <w:szCs w:val="24"/>
        </w:rPr>
        <w:t xml:space="preserve">She testified </w:t>
      </w:r>
      <w:r w:rsidR="00EF544E">
        <w:rPr>
          <w:rFonts w:eastAsia="Times New Roman"/>
          <w:szCs w:val="24"/>
        </w:rPr>
        <w:t xml:space="preserve">she believed </w:t>
      </w:r>
      <w:r w:rsidR="00871E4D">
        <w:rPr>
          <w:rFonts w:eastAsia="Times New Roman"/>
          <w:szCs w:val="24"/>
        </w:rPr>
        <w:t xml:space="preserve">they were going to court to get “an extension of some sort.” </w:t>
      </w:r>
    </w:p>
    <w:p w:rsidR="004A38DF" w:rsidRDefault="004E7873" w:rsidP="00350B72">
      <w:pPr>
        <w:tabs>
          <w:tab w:val="left" w:pos="720"/>
        </w:tabs>
        <w:spacing w:line="480" w:lineRule="auto"/>
        <w:rPr>
          <w:rFonts w:eastAsia="Times New Roman"/>
          <w:szCs w:val="24"/>
        </w:rPr>
      </w:pPr>
      <w:r>
        <w:rPr>
          <w:rFonts w:eastAsia="Times New Roman"/>
          <w:szCs w:val="24"/>
        </w:rPr>
        <w:tab/>
        <w:t>On September</w:t>
      </w:r>
      <w:r w:rsidR="003B2852">
        <w:rPr>
          <w:rFonts w:eastAsia="Times New Roman"/>
          <w:szCs w:val="24"/>
        </w:rPr>
        <w:t> </w:t>
      </w:r>
      <w:r>
        <w:rPr>
          <w:rFonts w:eastAsia="Times New Roman"/>
          <w:szCs w:val="24"/>
        </w:rPr>
        <w:t xml:space="preserve">8, 2014, </w:t>
      </w:r>
      <w:r w:rsidR="00515AA3">
        <w:rPr>
          <w:rFonts w:eastAsia="Times New Roman"/>
          <w:szCs w:val="24"/>
        </w:rPr>
        <w:t>Gentino reviewed the court’s tentative ruling</w:t>
      </w:r>
      <w:r w:rsidR="00F37B9C">
        <w:rPr>
          <w:rFonts w:eastAsia="Times New Roman"/>
          <w:szCs w:val="24"/>
        </w:rPr>
        <w:t xml:space="preserve"> striking </w:t>
      </w:r>
      <w:r w:rsidR="0086764F">
        <w:rPr>
          <w:rFonts w:eastAsia="Times New Roman"/>
          <w:szCs w:val="24"/>
        </w:rPr>
        <w:t>both the</w:t>
      </w:r>
      <w:r w:rsidR="007A1265">
        <w:rPr>
          <w:rFonts w:eastAsia="Times New Roman"/>
          <w:szCs w:val="24"/>
        </w:rPr>
        <w:t xml:space="preserve"> demurrer and </w:t>
      </w:r>
      <w:r w:rsidR="0086764F">
        <w:rPr>
          <w:rFonts w:eastAsia="Times New Roman"/>
          <w:szCs w:val="24"/>
        </w:rPr>
        <w:t xml:space="preserve">the </w:t>
      </w:r>
      <w:r w:rsidR="007A1265">
        <w:rPr>
          <w:rFonts w:eastAsia="Times New Roman"/>
          <w:szCs w:val="24"/>
        </w:rPr>
        <w:t xml:space="preserve">motion to strike.  He did not tell Galvez </w:t>
      </w:r>
      <w:r w:rsidR="00F37B9C">
        <w:rPr>
          <w:rFonts w:eastAsia="Times New Roman"/>
          <w:szCs w:val="24"/>
        </w:rPr>
        <w:t xml:space="preserve">about the tentative ruling.  </w:t>
      </w:r>
      <w:r w:rsidR="00EF544E">
        <w:rPr>
          <w:rFonts w:eastAsia="Times New Roman"/>
          <w:szCs w:val="24"/>
        </w:rPr>
        <w:t xml:space="preserve">On Gentino’s advice, </w:t>
      </w:r>
      <w:r w:rsidR="007A1265">
        <w:rPr>
          <w:rFonts w:eastAsia="Times New Roman"/>
          <w:szCs w:val="24"/>
        </w:rPr>
        <w:t xml:space="preserve">Galvez waited in the hallway during the </w:t>
      </w:r>
      <w:r w:rsidR="00523A41">
        <w:rPr>
          <w:rFonts w:eastAsia="Times New Roman"/>
          <w:szCs w:val="24"/>
        </w:rPr>
        <w:t xml:space="preserve">demurrer </w:t>
      </w:r>
      <w:r w:rsidR="007A1265">
        <w:rPr>
          <w:rFonts w:eastAsia="Times New Roman"/>
          <w:szCs w:val="24"/>
        </w:rPr>
        <w:t>hearing</w:t>
      </w:r>
      <w:r w:rsidR="005C41A4">
        <w:rPr>
          <w:rFonts w:eastAsia="Times New Roman"/>
          <w:szCs w:val="24"/>
        </w:rPr>
        <w:t>, a</w:t>
      </w:r>
      <w:r w:rsidR="00CD5FF2">
        <w:rPr>
          <w:rFonts w:eastAsia="Times New Roman"/>
          <w:szCs w:val="24"/>
        </w:rPr>
        <w:t>t</w:t>
      </w:r>
      <w:r w:rsidR="005C41A4">
        <w:rPr>
          <w:rFonts w:eastAsia="Times New Roman"/>
          <w:szCs w:val="24"/>
        </w:rPr>
        <w:t xml:space="preserve"> which</w:t>
      </w:r>
      <w:r w:rsidR="00CD5FF2">
        <w:rPr>
          <w:rFonts w:eastAsia="Times New Roman"/>
          <w:szCs w:val="24"/>
        </w:rPr>
        <w:t xml:space="preserve"> t</w:t>
      </w:r>
      <w:r w:rsidR="0078772C">
        <w:rPr>
          <w:rFonts w:eastAsia="Times New Roman"/>
          <w:szCs w:val="24"/>
        </w:rPr>
        <w:t>he judge upheld his tentative ruling.  The minute order states</w:t>
      </w:r>
      <w:r w:rsidR="00583725">
        <w:rPr>
          <w:rFonts w:eastAsia="Times New Roman"/>
          <w:szCs w:val="24"/>
        </w:rPr>
        <w:t>,</w:t>
      </w:r>
      <w:r w:rsidR="001C389A">
        <w:rPr>
          <w:rFonts w:eastAsia="Times New Roman"/>
          <w:szCs w:val="24"/>
        </w:rPr>
        <w:t xml:space="preserve"> “t</w:t>
      </w:r>
      <w:r w:rsidR="0078772C">
        <w:rPr>
          <w:rFonts w:eastAsia="Times New Roman"/>
          <w:szCs w:val="24"/>
        </w:rPr>
        <w:t xml:space="preserve">his day’s trial </w:t>
      </w:r>
      <w:r w:rsidR="001C389A">
        <w:rPr>
          <w:rFonts w:eastAsia="Times New Roman"/>
          <w:szCs w:val="24"/>
        </w:rPr>
        <w:t xml:space="preserve">date </w:t>
      </w:r>
      <w:r w:rsidR="0078772C">
        <w:rPr>
          <w:rFonts w:eastAsia="Times New Roman"/>
          <w:szCs w:val="24"/>
        </w:rPr>
        <w:t>was known to all parties at the time of the filing of the first amended complaint and demurrer and motion and demurring party had the opportunity to respond, and chose not to.”  The order further states</w:t>
      </w:r>
      <w:r w:rsidR="000B5B1A">
        <w:rPr>
          <w:rFonts w:eastAsia="Times New Roman"/>
          <w:szCs w:val="24"/>
        </w:rPr>
        <w:t>, “P</w:t>
      </w:r>
      <w:r w:rsidR="0078772C">
        <w:rPr>
          <w:rFonts w:eastAsia="Times New Roman"/>
          <w:szCs w:val="24"/>
        </w:rPr>
        <w:t>ursuant to Section</w:t>
      </w:r>
      <w:r w:rsidR="003B2852">
        <w:rPr>
          <w:rFonts w:eastAsia="Times New Roman"/>
          <w:szCs w:val="24"/>
        </w:rPr>
        <w:t> </w:t>
      </w:r>
      <w:r w:rsidR="0078772C">
        <w:rPr>
          <w:rFonts w:eastAsia="Times New Roman"/>
          <w:szCs w:val="24"/>
        </w:rPr>
        <w:t>471.5 CCP</w:t>
      </w:r>
      <w:r w:rsidR="0086764F">
        <w:rPr>
          <w:rStyle w:val="FootnoteReference"/>
          <w:rFonts w:eastAsia="Times New Roman"/>
          <w:szCs w:val="24"/>
        </w:rPr>
        <w:footnoteReference w:id="7"/>
      </w:r>
      <w:r w:rsidR="0078772C">
        <w:rPr>
          <w:rFonts w:eastAsia="Times New Roman"/>
          <w:szCs w:val="24"/>
        </w:rPr>
        <w:t xml:space="preserve">, the Court finds Defendant’s responsive pleading to the </w:t>
      </w:r>
      <w:r w:rsidR="0078772C">
        <w:rPr>
          <w:rFonts w:eastAsia="Times New Roman"/>
          <w:szCs w:val="24"/>
        </w:rPr>
        <w:lastRenderedPageBreak/>
        <w:t xml:space="preserve">amended complaint </w:t>
      </w:r>
      <w:r w:rsidR="00BB0EA6">
        <w:rPr>
          <w:rFonts w:eastAsia="Times New Roman"/>
          <w:szCs w:val="24"/>
        </w:rPr>
        <w:t xml:space="preserve">[demurrer and motion to strike] </w:t>
      </w:r>
      <w:r w:rsidR="0078772C">
        <w:rPr>
          <w:rFonts w:eastAsia="Times New Roman"/>
          <w:szCs w:val="24"/>
        </w:rPr>
        <w:t xml:space="preserve">to be grossly untimely and orders default entered as to Defendant Desire </w:t>
      </w:r>
      <w:r w:rsidR="000F14AC">
        <w:rPr>
          <w:rFonts w:eastAsia="Times New Roman"/>
          <w:szCs w:val="24"/>
        </w:rPr>
        <w:t>[</w:t>
      </w:r>
      <w:r w:rsidR="000F14AC" w:rsidRPr="00C362AB">
        <w:rPr>
          <w:rFonts w:eastAsia="Times New Roman"/>
          <w:i/>
          <w:szCs w:val="24"/>
        </w:rPr>
        <w:t>sic</w:t>
      </w:r>
      <w:r w:rsidR="000F14AC">
        <w:rPr>
          <w:rFonts w:eastAsia="Times New Roman"/>
          <w:szCs w:val="24"/>
        </w:rPr>
        <w:t xml:space="preserve">] </w:t>
      </w:r>
      <w:r w:rsidR="0078772C">
        <w:rPr>
          <w:rFonts w:eastAsia="Times New Roman"/>
          <w:szCs w:val="24"/>
        </w:rPr>
        <w:t>Galvez</w:t>
      </w:r>
      <w:r w:rsidR="001C389A">
        <w:rPr>
          <w:rFonts w:eastAsia="Times New Roman"/>
          <w:szCs w:val="24"/>
        </w:rPr>
        <w:t xml:space="preserve"> </w:t>
      </w:r>
      <w:r w:rsidR="0078772C">
        <w:rPr>
          <w:rFonts w:eastAsia="Times New Roman"/>
          <w:szCs w:val="24"/>
        </w:rPr>
        <w:t>. . .</w:t>
      </w:r>
      <w:r w:rsidR="00271738">
        <w:rPr>
          <w:rFonts w:eastAsia="Times New Roman"/>
          <w:szCs w:val="24"/>
        </w:rPr>
        <w:t xml:space="preserve"> </w:t>
      </w:r>
      <w:r w:rsidR="000F14AC">
        <w:rPr>
          <w:rFonts w:eastAsia="Times New Roman"/>
          <w:szCs w:val="24"/>
        </w:rPr>
        <w:t>,</w:t>
      </w:r>
      <w:r w:rsidR="0078772C">
        <w:rPr>
          <w:rFonts w:eastAsia="Times New Roman"/>
          <w:szCs w:val="24"/>
        </w:rPr>
        <w:t xml:space="preserve"> and her answer stricken.”  </w:t>
      </w:r>
      <w:r w:rsidR="000F14AC">
        <w:rPr>
          <w:rFonts w:eastAsia="Times New Roman"/>
          <w:szCs w:val="24"/>
        </w:rPr>
        <w:t xml:space="preserve">After ruling on the demurrer, the court held a default “prove up” trial and found in favor of the plaintiff, awarding </w:t>
      </w:r>
      <w:r w:rsidR="001C389A">
        <w:rPr>
          <w:rFonts w:eastAsia="Times New Roman"/>
          <w:szCs w:val="24"/>
        </w:rPr>
        <w:t>$37,526.95</w:t>
      </w:r>
      <w:r w:rsidR="00B145FF">
        <w:rPr>
          <w:rStyle w:val="FootnoteReference"/>
          <w:rFonts w:eastAsia="Times New Roman"/>
          <w:szCs w:val="24"/>
        </w:rPr>
        <w:footnoteReference w:id="8"/>
      </w:r>
      <w:r w:rsidR="000F14AC">
        <w:rPr>
          <w:rFonts w:eastAsia="Times New Roman"/>
          <w:szCs w:val="24"/>
        </w:rPr>
        <w:t xml:space="preserve"> in damages.</w:t>
      </w:r>
    </w:p>
    <w:p w:rsidR="003D453E" w:rsidRDefault="004A38DF" w:rsidP="004A38DF">
      <w:pPr>
        <w:tabs>
          <w:tab w:val="left" w:pos="720"/>
        </w:tabs>
        <w:spacing w:line="480" w:lineRule="auto"/>
        <w:rPr>
          <w:rFonts w:eastAsia="Times New Roman"/>
          <w:szCs w:val="24"/>
        </w:rPr>
      </w:pPr>
      <w:r>
        <w:rPr>
          <w:rFonts w:eastAsia="Times New Roman"/>
          <w:szCs w:val="24"/>
        </w:rPr>
        <w:tab/>
        <w:t>Gentino did not remain in the courtroom during the “prove up” trial.  Instead</w:t>
      </w:r>
      <w:r w:rsidR="00763591">
        <w:rPr>
          <w:rFonts w:eastAsia="Times New Roman"/>
          <w:szCs w:val="24"/>
        </w:rPr>
        <w:t>,</w:t>
      </w:r>
      <w:r>
        <w:rPr>
          <w:rFonts w:eastAsia="Times New Roman"/>
          <w:szCs w:val="24"/>
        </w:rPr>
        <w:t xml:space="preserve"> he </w:t>
      </w:r>
      <w:r w:rsidR="005C41A4">
        <w:rPr>
          <w:rFonts w:eastAsia="Times New Roman"/>
          <w:szCs w:val="24"/>
        </w:rPr>
        <w:t>left</w:t>
      </w:r>
      <w:r w:rsidR="00D93441">
        <w:rPr>
          <w:rFonts w:eastAsia="Times New Roman"/>
          <w:szCs w:val="24"/>
        </w:rPr>
        <w:t xml:space="preserve"> to speak with Galvez</w:t>
      </w:r>
      <w:r w:rsidR="001D7565">
        <w:rPr>
          <w:rFonts w:eastAsia="Times New Roman"/>
          <w:szCs w:val="24"/>
        </w:rPr>
        <w:t>.  He told her that</w:t>
      </w:r>
      <w:r w:rsidR="00D93441">
        <w:rPr>
          <w:rFonts w:eastAsia="Times New Roman"/>
          <w:szCs w:val="24"/>
        </w:rPr>
        <w:t xml:space="preserve"> she had lost her case because the c</w:t>
      </w:r>
      <w:r w:rsidR="00AF285C">
        <w:rPr>
          <w:rFonts w:eastAsia="Times New Roman"/>
          <w:szCs w:val="24"/>
        </w:rPr>
        <w:t xml:space="preserve">ourt made an error.  </w:t>
      </w:r>
      <w:r w:rsidR="00A35A76">
        <w:rPr>
          <w:rFonts w:eastAsia="Times New Roman"/>
          <w:szCs w:val="24"/>
        </w:rPr>
        <w:t xml:space="preserve">Gentino testified that he also told Galvez that his demurrer was untimely.  </w:t>
      </w:r>
      <w:r w:rsidR="00763591">
        <w:rPr>
          <w:rFonts w:eastAsia="Times New Roman"/>
          <w:szCs w:val="24"/>
        </w:rPr>
        <w:t xml:space="preserve">Based on </w:t>
      </w:r>
      <w:r w:rsidR="005C41A4">
        <w:rPr>
          <w:rFonts w:eastAsia="Times New Roman"/>
          <w:szCs w:val="24"/>
        </w:rPr>
        <w:t>his</w:t>
      </w:r>
      <w:r w:rsidR="00763591">
        <w:rPr>
          <w:rFonts w:eastAsia="Times New Roman"/>
          <w:szCs w:val="24"/>
        </w:rPr>
        <w:t xml:space="preserve"> remarks, </w:t>
      </w:r>
      <w:r w:rsidR="008332D8">
        <w:rPr>
          <w:rFonts w:eastAsia="Times New Roman"/>
          <w:szCs w:val="24"/>
        </w:rPr>
        <w:t>Galvez believed she had lost the case</w:t>
      </w:r>
      <w:r w:rsidR="00583725">
        <w:rPr>
          <w:rFonts w:eastAsia="Times New Roman"/>
          <w:szCs w:val="24"/>
        </w:rPr>
        <w:t>,</w:t>
      </w:r>
      <w:r w:rsidR="008332D8">
        <w:rPr>
          <w:rFonts w:eastAsia="Times New Roman"/>
          <w:szCs w:val="24"/>
        </w:rPr>
        <w:t xml:space="preserve"> but </w:t>
      </w:r>
      <w:r w:rsidR="00583725">
        <w:rPr>
          <w:rFonts w:eastAsia="Times New Roman"/>
          <w:szCs w:val="24"/>
        </w:rPr>
        <w:t xml:space="preserve">testified </w:t>
      </w:r>
      <w:r w:rsidR="008332D8">
        <w:rPr>
          <w:rFonts w:eastAsia="Times New Roman"/>
          <w:szCs w:val="24"/>
        </w:rPr>
        <w:t xml:space="preserve">that Gentino </w:t>
      </w:r>
      <w:r w:rsidR="00583725">
        <w:rPr>
          <w:rFonts w:eastAsia="Times New Roman"/>
          <w:szCs w:val="24"/>
        </w:rPr>
        <w:t xml:space="preserve">told her he </w:t>
      </w:r>
      <w:r w:rsidR="008332D8">
        <w:rPr>
          <w:rFonts w:eastAsia="Times New Roman"/>
          <w:szCs w:val="24"/>
        </w:rPr>
        <w:t xml:space="preserve">would </w:t>
      </w:r>
      <w:r w:rsidR="00F4160A">
        <w:rPr>
          <w:rFonts w:eastAsia="Times New Roman"/>
          <w:szCs w:val="24"/>
        </w:rPr>
        <w:t xml:space="preserve">“fall on his sword” and do something to save her case.  </w:t>
      </w:r>
      <w:r w:rsidR="004E6A40">
        <w:rPr>
          <w:rFonts w:eastAsia="Times New Roman"/>
          <w:szCs w:val="24"/>
        </w:rPr>
        <w:t xml:space="preserve">Gentino </w:t>
      </w:r>
      <w:r w:rsidR="005C41A4">
        <w:rPr>
          <w:rFonts w:eastAsia="Times New Roman"/>
          <w:szCs w:val="24"/>
        </w:rPr>
        <w:t>confirmed</w:t>
      </w:r>
      <w:r w:rsidR="0014098E">
        <w:rPr>
          <w:rFonts w:eastAsia="Times New Roman"/>
          <w:szCs w:val="24"/>
        </w:rPr>
        <w:t xml:space="preserve"> that </w:t>
      </w:r>
      <w:r w:rsidR="00583725">
        <w:rPr>
          <w:rFonts w:eastAsia="Times New Roman"/>
          <w:szCs w:val="24"/>
        </w:rPr>
        <w:t>he told Galvez he would be able to save her case from the default entered against her</w:t>
      </w:r>
      <w:r w:rsidR="004E6A40">
        <w:rPr>
          <w:rFonts w:eastAsia="Times New Roman"/>
          <w:szCs w:val="24"/>
        </w:rPr>
        <w:t xml:space="preserve">.  </w:t>
      </w:r>
    </w:p>
    <w:p w:rsidR="00D56A4E" w:rsidRDefault="003D453E" w:rsidP="004A38DF">
      <w:pPr>
        <w:tabs>
          <w:tab w:val="left" w:pos="720"/>
        </w:tabs>
        <w:spacing w:line="480" w:lineRule="auto"/>
        <w:rPr>
          <w:rFonts w:eastAsia="Times New Roman"/>
          <w:szCs w:val="24"/>
        </w:rPr>
      </w:pPr>
      <w:r>
        <w:rPr>
          <w:rFonts w:eastAsia="Times New Roman"/>
          <w:szCs w:val="24"/>
        </w:rPr>
        <w:tab/>
      </w:r>
      <w:r w:rsidR="00D56A4E">
        <w:rPr>
          <w:rFonts w:eastAsia="Times New Roman"/>
          <w:szCs w:val="24"/>
        </w:rPr>
        <w:t>On September</w:t>
      </w:r>
      <w:r w:rsidR="003B2852">
        <w:rPr>
          <w:rFonts w:eastAsia="Times New Roman"/>
          <w:szCs w:val="24"/>
        </w:rPr>
        <w:t> </w:t>
      </w:r>
      <w:r w:rsidR="00D56A4E">
        <w:rPr>
          <w:rFonts w:eastAsia="Times New Roman"/>
          <w:szCs w:val="24"/>
        </w:rPr>
        <w:t>18, 2014, plaintiff’s counsel served Gentino with the proposed Judgment</w:t>
      </w:r>
      <w:r w:rsidR="00BB22F2">
        <w:rPr>
          <w:rFonts w:eastAsia="Times New Roman"/>
          <w:szCs w:val="24"/>
        </w:rPr>
        <w:t>, which included a m</w:t>
      </w:r>
      <w:r w:rsidR="00B35691">
        <w:rPr>
          <w:rFonts w:eastAsia="Times New Roman"/>
          <w:szCs w:val="24"/>
        </w:rPr>
        <w:t>emorandum of c</w:t>
      </w:r>
      <w:r w:rsidR="00D56A4E">
        <w:rPr>
          <w:rFonts w:eastAsia="Times New Roman"/>
          <w:szCs w:val="24"/>
        </w:rPr>
        <w:t xml:space="preserve">osts.  The costs </w:t>
      </w:r>
      <w:r w:rsidR="00D459CD">
        <w:rPr>
          <w:rFonts w:eastAsia="Times New Roman"/>
          <w:szCs w:val="24"/>
        </w:rPr>
        <w:t>were</w:t>
      </w:r>
      <w:r w:rsidR="00D56A4E">
        <w:rPr>
          <w:rFonts w:eastAsia="Times New Roman"/>
          <w:szCs w:val="24"/>
        </w:rPr>
        <w:t xml:space="preserve"> </w:t>
      </w:r>
      <w:r w:rsidR="00D56A4E" w:rsidRPr="00C450FA">
        <w:rPr>
          <w:rFonts w:eastAsia="Times New Roman"/>
          <w:szCs w:val="24"/>
        </w:rPr>
        <w:t>$4,417.95</w:t>
      </w:r>
      <w:r w:rsidR="00D56A4E">
        <w:rPr>
          <w:rFonts w:eastAsia="Times New Roman"/>
          <w:szCs w:val="24"/>
        </w:rPr>
        <w:t xml:space="preserve">, resulting in a total judgment of </w:t>
      </w:r>
      <w:r w:rsidR="00D56A4E" w:rsidRPr="00C450FA">
        <w:rPr>
          <w:rFonts w:eastAsia="Times New Roman"/>
          <w:szCs w:val="24"/>
        </w:rPr>
        <w:t>$41,944.</w:t>
      </w:r>
      <w:r w:rsidR="00594A20">
        <w:rPr>
          <w:rFonts w:eastAsia="Times New Roman"/>
          <w:szCs w:val="24"/>
        </w:rPr>
        <w:t>90</w:t>
      </w:r>
      <w:r w:rsidR="00D56A4E">
        <w:rPr>
          <w:rFonts w:eastAsia="Times New Roman"/>
          <w:szCs w:val="24"/>
        </w:rPr>
        <w:t>.  On September</w:t>
      </w:r>
      <w:r w:rsidR="003B2852">
        <w:rPr>
          <w:rFonts w:eastAsia="Times New Roman"/>
          <w:szCs w:val="24"/>
        </w:rPr>
        <w:t> </w:t>
      </w:r>
      <w:r w:rsidR="00D56A4E">
        <w:rPr>
          <w:rFonts w:eastAsia="Times New Roman"/>
          <w:szCs w:val="24"/>
        </w:rPr>
        <w:t>23, 2014, Gentino emailed</w:t>
      </w:r>
      <w:r w:rsidR="007B264A">
        <w:rPr>
          <w:rFonts w:eastAsia="Times New Roman"/>
          <w:szCs w:val="24"/>
        </w:rPr>
        <w:t xml:space="preserve"> Galvez a copy of the proposed J</w:t>
      </w:r>
      <w:r w:rsidR="00D56A4E">
        <w:rPr>
          <w:rFonts w:eastAsia="Times New Roman"/>
          <w:szCs w:val="24"/>
        </w:rPr>
        <w:t xml:space="preserve">udgment with no explanation.  </w:t>
      </w:r>
      <w:r w:rsidR="00D459CD">
        <w:rPr>
          <w:rFonts w:eastAsia="Times New Roman"/>
          <w:szCs w:val="24"/>
        </w:rPr>
        <w:t>She</w:t>
      </w:r>
      <w:r w:rsidR="00D56A4E">
        <w:rPr>
          <w:rFonts w:eastAsia="Times New Roman"/>
          <w:szCs w:val="24"/>
        </w:rPr>
        <w:t xml:space="preserve"> replied that same day</w:t>
      </w:r>
      <w:r w:rsidR="00D459CD">
        <w:rPr>
          <w:rFonts w:eastAsia="Times New Roman"/>
          <w:szCs w:val="24"/>
        </w:rPr>
        <w:t>,</w:t>
      </w:r>
      <w:r w:rsidR="00D56A4E">
        <w:rPr>
          <w:rFonts w:eastAsia="Times New Roman"/>
          <w:szCs w:val="24"/>
        </w:rPr>
        <w:t xml:space="preserve"> </w:t>
      </w:r>
      <w:r w:rsidR="000B5B1A">
        <w:rPr>
          <w:rFonts w:eastAsia="Times New Roman"/>
          <w:szCs w:val="24"/>
        </w:rPr>
        <w:t>asking, “S</w:t>
      </w:r>
      <w:r w:rsidR="00336180">
        <w:rPr>
          <w:rFonts w:eastAsia="Times New Roman"/>
          <w:szCs w:val="24"/>
        </w:rPr>
        <w:t>o am I not going to trial?  I owe $42,000.00 basically?</w:t>
      </w:r>
      <w:r w:rsidR="009A79E2">
        <w:rPr>
          <w:rFonts w:eastAsia="Times New Roman"/>
          <w:szCs w:val="24"/>
        </w:rPr>
        <w:t xml:space="preserve"> </w:t>
      </w:r>
      <w:r w:rsidR="00336180">
        <w:rPr>
          <w:rFonts w:eastAsia="Times New Roman"/>
          <w:szCs w:val="24"/>
        </w:rPr>
        <w:t xml:space="preserve">. . . Not </w:t>
      </w:r>
      <w:r w:rsidR="009D07C3">
        <w:rPr>
          <w:rFonts w:eastAsia="Times New Roman"/>
          <w:szCs w:val="24"/>
        </w:rPr>
        <w:t xml:space="preserve">really sure what this means.”  </w:t>
      </w:r>
      <w:r w:rsidR="00336180">
        <w:rPr>
          <w:rFonts w:eastAsia="Times New Roman"/>
          <w:szCs w:val="24"/>
        </w:rPr>
        <w:t xml:space="preserve">Gentino replied </w:t>
      </w:r>
      <w:r w:rsidR="00197982">
        <w:rPr>
          <w:rFonts w:eastAsia="Times New Roman"/>
          <w:szCs w:val="24"/>
        </w:rPr>
        <w:t>that he would “file a motion to vacate Order striking our demurrer and vacated [</w:t>
      </w:r>
      <w:r w:rsidR="00197982" w:rsidRPr="00C362AB">
        <w:rPr>
          <w:rFonts w:eastAsia="Times New Roman"/>
          <w:i/>
          <w:szCs w:val="24"/>
        </w:rPr>
        <w:t>sic</w:t>
      </w:r>
      <w:r w:rsidR="00197982">
        <w:rPr>
          <w:rFonts w:eastAsia="Times New Roman"/>
          <w:szCs w:val="24"/>
        </w:rPr>
        <w:t xml:space="preserve">] default judgment which will likely be granted.  Then you go to trial.”  Gentino did not inform Galvez that </w:t>
      </w:r>
      <w:r w:rsidR="00C362AB">
        <w:rPr>
          <w:rFonts w:eastAsia="Times New Roman"/>
          <w:szCs w:val="24"/>
        </w:rPr>
        <w:t xml:space="preserve">the Judgment was </w:t>
      </w:r>
      <w:r w:rsidR="00197982">
        <w:rPr>
          <w:rFonts w:eastAsia="Times New Roman"/>
          <w:szCs w:val="24"/>
        </w:rPr>
        <w:t>filed</w:t>
      </w:r>
      <w:r w:rsidR="00C362AB">
        <w:rPr>
          <w:rFonts w:eastAsia="Times New Roman"/>
          <w:szCs w:val="24"/>
        </w:rPr>
        <w:t xml:space="preserve"> on October 9, 2014</w:t>
      </w:r>
      <w:r w:rsidR="00197982">
        <w:rPr>
          <w:rFonts w:eastAsia="Times New Roman"/>
          <w:szCs w:val="24"/>
        </w:rPr>
        <w:t xml:space="preserve">.  </w:t>
      </w:r>
    </w:p>
    <w:p w:rsidR="004E6A40" w:rsidRPr="004E6A40" w:rsidRDefault="00CA5245" w:rsidP="00CA5245">
      <w:pPr>
        <w:pStyle w:val="ListParagraph"/>
        <w:tabs>
          <w:tab w:val="left" w:pos="720"/>
        </w:tabs>
        <w:spacing w:line="480" w:lineRule="auto"/>
        <w:ind w:left="0"/>
        <w:rPr>
          <w:rFonts w:eastAsia="Times New Roman"/>
          <w:b/>
          <w:szCs w:val="24"/>
        </w:rPr>
      </w:pPr>
      <w:r>
        <w:rPr>
          <w:rFonts w:eastAsia="Times New Roman"/>
          <w:b/>
          <w:szCs w:val="24"/>
        </w:rPr>
        <w:t>C.</w:t>
      </w:r>
      <w:r>
        <w:rPr>
          <w:rFonts w:eastAsia="Times New Roman"/>
          <w:b/>
          <w:szCs w:val="24"/>
        </w:rPr>
        <w:tab/>
      </w:r>
      <w:r w:rsidR="004E6A40">
        <w:rPr>
          <w:rFonts w:eastAsia="Times New Roman"/>
          <w:b/>
          <w:szCs w:val="24"/>
        </w:rPr>
        <w:t>Motion to Reconsider and Vacate</w:t>
      </w:r>
    </w:p>
    <w:p w:rsidR="00DD1FFC" w:rsidRDefault="00197982" w:rsidP="004A38DF">
      <w:pPr>
        <w:tabs>
          <w:tab w:val="left" w:pos="720"/>
        </w:tabs>
        <w:spacing w:line="480" w:lineRule="auto"/>
        <w:rPr>
          <w:rFonts w:eastAsia="Times New Roman"/>
          <w:szCs w:val="24"/>
        </w:rPr>
      </w:pPr>
      <w:r>
        <w:rPr>
          <w:rFonts w:eastAsia="Times New Roman"/>
          <w:szCs w:val="24"/>
        </w:rPr>
        <w:tab/>
        <w:t>On December</w:t>
      </w:r>
      <w:r w:rsidR="003B2852">
        <w:rPr>
          <w:rFonts w:eastAsia="Times New Roman"/>
          <w:szCs w:val="24"/>
        </w:rPr>
        <w:t> </w:t>
      </w:r>
      <w:r>
        <w:rPr>
          <w:rFonts w:eastAsia="Times New Roman"/>
          <w:szCs w:val="24"/>
        </w:rPr>
        <w:t>5</w:t>
      </w:r>
      <w:r w:rsidR="004E6A40">
        <w:rPr>
          <w:rFonts w:eastAsia="Times New Roman"/>
          <w:szCs w:val="24"/>
        </w:rPr>
        <w:t>, 2014</w:t>
      </w:r>
      <w:r>
        <w:rPr>
          <w:rFonts w:eastAsia="Times New Roman"/>
          <w:szCs w:val="24"/>
        </w:rPr>
        <w:t xml:space="preserve">, Gentino filed a </w:t>
      </w:r>
      <w:r w:rsidR="00DD1FFC">
        <w:rPr>
          <w:rFonts w:eastAsia="Times New Roman"/>
          <w:szCs w:val="24"/>
        </w:rPr>
        <w:t>“</w:t>
      </w:r>
      <w:r>
        <w:rPr>
          <w:rFonts w:eastAsia="Times New Roman"/>
          <w:szCs w:val="24"/>
        </w:rPr>
        <w:t xml:space="preserve">Motion to Reconsider and Vacate Order Striking Demurrer and Motion to Strike </w:t>
      </w:r>
      <w:r w:rsidR="006D71BA">
        <w:rPr>
          <w:rFonts w:eastAsia="Times New Roman"/>
          <w:szCs w:val="24"/>
        </w:rPr>
        <w:t xml:space="preserve">and </w:t>
      </w:r>
      <w:r>
        <w:rPr>
          <w:rFonts w:eastAsia="Times New Roman"/>
          <w:szCs w:val="24"/>
        </w:rPr>
        <w:t>Entry of Default Judgment</w:t>
      </w:r>
      <w:r w:rsidR="00A935E4">
        <w:rPr>
          <w:rFonts w:eastAsia="Times New Roman"/>
          <w:szCs w:val="24"/>
        </w:rPr>
        <w:t>,</w:t>
      </w:r>
      <w:r w:rsidR="006D71BA">
        <w:rPr>
          <w:rFonts w:eastAsia="Times New Roman"/>
          <w:szCs w:val="24"/>
        </w:rPr>
        <w:t xml:space="preserve"> or Alternatively</w:t>
      </w:r>
      <w:r w:rsidR="00A935E4">
        <w:rPr>
          <w:rFonts w:eastAsia="Times New Roman"/>
          <w:szCs w:val="24"/>
        </w:rPr>
        <w:t>,</w:t>
      </w:r>
      <w:r w:rsidR="006D71BA">
        <w:rPr>
          <w:rFonts w:eastAsia="Times New Roman"/>
          <w:szCs w:val="24"/>
        </w:rPr>
        <w:t xml:space="preserve"> to Vacate Order Striking Demurrer and Motion to Strike and Entry of Default Judgment</w:t>
      </w:r>
      <w:r w:rsidR="00DD1FFC">
        <w:rPr>
          <w:rFonts w:eastAsia="Times New Roman"/>
          <w:szCs w:val="24"/>
        </w:rPr>
        <w:t>.”</w:t>
      </w:r>
      <w:r>
        <w:rPr>
          <w:rFonts w:eastAsia="Times New Roman"/>
          <w:szCs w:val="24"/>
        </w:rPr>
        <w:t xml:space="preserve">  The </w:t>
      </w:r>
      <w:r w:rsidR="00EA20F6">
        <w:rPr>
          <w:rFonts w:eastAsia="Times New Roman"/>
          <w:szCs w:val="24"/>
        </w:rPr>
        <w:t xml:space="preserve">hearing on the </w:t>
      </w:r>
      <w:r w:rsidR="00EA20F6">
        <w:rPr>
          <w:rFonts w:eastAsia="Times New Roman"/>
          <w:szCs w:val="24"/>
        </w:rPr>
        <w:lastRenderedPageBreak/>
        <w:t>motion was scheduled for December</w:t>
      </w:r>
      <w:r w:rsidR="003B2852">
        <w:rPr>
          <w:rFonts w:eastAsia="Times New Roman"/>
          <w:szCs w:val="24"/>
        </w:rPr>
        <w:t> </w:t>
      </w:r>
      <w:r w:rsidR="00EA20F6">
        <w:rPr>
          <w:rFonts w:eastAsia="Times New Roman"/>
          <w:szCs w:val="24"/>
        </w:rPr>
        <w:t>31, 2014.  Gentino emailed Galvez a copy of the motion on December</w:t>
      </w:r>
      <w:r w:rsidR="003B2852">
        <w:rPr>
          <w:rFonts w:eastAsia="Times New Roman"/>
          <w:szCs w:val="24"/>
        </w:rPr>
        <w:t> </w:t>
      </w:r>
      <w:r w:rsidR="00EA20F6">
        <w:rPr>
          <w:rFonts w:eastAsia="Times New Roman"/>
          <w:szCs w:val="24"/>
        </w:rPr>
        <w:t>22, 2014</w:t>
      </w:r>
      <w:r w:rsidR="007B264A">
        <w:rPr>
          <w:rFonts w:eastAsia="Times New Roman"/>
          <w:szCs w:val="24"/>
        </w:rPr>
        <w:t>,</w:t>
      </w:r>
      <w:r w:rsidR="00EA20F6">
        <w:rPr>
          <w:rFonts w:eastAsia="Times New Roman"/>
          <w:szCs w:val="24"/>
        </w:rPr>
        <w:t xml:space="preserve"> without providing any explanation.  </w:t>
      </w:r>
    </w:p>
    <w:p w:rsidR="00197982" w:rsidRDefault="00DD1FFC" w:rsidP="004A38DF">
      <w:pPr>
        <w:tabs>
          <w:tab w:val="left" w:pos="720"/>
        </w:tabs>
        <w:spacing w:line="480" w:lineRule="auto"/>
        <w:rPr>
          <w:rFonts w:eastAsia="Times New Roman"/>
          <w:szCs w:val="24"/>
        </w:rPr>
      </w:pPr>
      <w:r>
        <w:rPr>
          <w:rFonts w:eastAsia="Times New Roman"/>
          <w:szCs w:val="24"/>
        </w:rPr>
        <w:tab/>
      </w:r>
      <w:r w:rsidR="00EA20F6">
        <w:rPr>
          <w:rFonts w:eastAsia="Times New Roman"/>
          <w:szCs w:val="24"/>
        </w:rPr>
        <w:t>On December</w:t>
      </w:r>
      <w:r w:rsidR="003B2852">
        <w:rPr>
          <w:rFonts w:eastAsia="Times New Roman"/>
          <w:szCs w:val="24"/>
        </w:rPr>
        <w:t> </w:t>
      </w:r>
      <w:r w:rsidR="00EA20F6">
        <w:rPr>
          <w:rFonts w:eastAsia="Times New Roman"/>
          <w:szCs w:val="24"/>
        </w:rPr>
        <w:t>30, 2014, the court issued a tentative ruling denying Gentino’s motion</w:t>
      </w:r>
      <w:r w:rsidR="00B35691">
        <w:rPr>
          <w:rFonts w:eastAsia="Times New Roman"/>
          <w:szCs w:val="24"/>
        </w:rPr>
        <w:t xml:space="preserve"> on multiple grounds</w:t>
      </w:r>
      <w:r w:rsidR="00EA20F6">
        <w:rPr>
          <w:rFonts w:eastAsia="Times New Roman"/>
          <w:szCs w:val="24"/>
        </w:rPr>
        <w:t xml:space="preserve">.  </w:t>
      </w:r>
      <w:r w:rsidR="00EF393A">
        <w:rPr>
          <w:rFonts w:eastAsia="Times New Roman"/>
          <w:szCs w:val="24"/>
        </w:rPr>
        <w:t>Specifically, the</w:t>
      </w:r>
      <w:r w:rsidR="00AC076A">
        <w:rPr>
          <w:rFonts w:eastAsia="Times New Roman"/>
          <w:szCs w:val="24"/>
        </w:rPr>
        <w:t xml:space="preserve"> </w:t>
      </w:r>
      <w:r>
        <w:rPr>
          <w:rFonts w:eastAsia="Times New Roman"/>
          <w:szCs w:val="24"/>
        </w:rPr>
        <w:t xml:space="preserve">ruling </w:t>
      </w:r>
      <w:r w:rsidR="00C362AB">
        <w:rPr>
          <w:rFonts w:eastAsia="Times New Roman"/>
          <w:szCs w:val="24"/>
        </w:rPr>
        <w:t>indicated</w:t>
      </w:r>
      <w:r>
        <w:rPr>
          <w:rFonts w:eastAsia="Times New Roman"/>
          <w:szCs w:val="24"/>
        </w:rPr>
        <w:t xml:space="preserve"> that the motion to reconsider under Code of Civil Procedure section</w:t>
      </w:r>
      <w:r w:rsidR="003B2852">
        <w:rPr>
          <w:rFonts w:eastAsia="Times New Roman"/>
          <w:szCs w:val="24"/>
        </w:rPr>
        <w:t> </w:t>
      </w:r>
      <w:r>
        <w:rPr>
          <w:rFonts w:eastAsia="Times New Roman"/>
          <w:szCs w:val="24"/>
        </w:rPr>
        <w:t>1008, subdivision</w:t>
      </w:r>
      <w:r w:rsidR="003B2852">
        <w:rPr>
          <w:rFonts w:eastAsia="Times New Roman"/>
          <w:szCs w:val="24"/>
        </w:rPr>
        <w:t> </w:t>
      </w:r>
      <w:r>
        <w:rPr>
          <w:rFonts w:eastAsia="Times New Roman"/>
          <w:szCs w:val="24"/>
        </w:rPr>
        <w:t>(a)</w:t>
      </w:r>
      <w:r w:rsidR="00AC076A">
        <w:rPr>
          <w:rFonts w:eastAsia="Times New Roman"/>
          <w:szCs w:val="24"/>
        </w:rPr>
        <w:t>,</w:t>
      </w:r>
      <w:r>
        <w:rPr>
          <w:rFonts w:eastAsia="Times New Roman"/>
          <w:szCs w:val="24"/>
        </w:rPr>
        <w:t xml:space="preserve"> was denied because </w:t>
      </w:r>
      <w:r w:rsidR="00C362AB">
        <w:rPr>
          <w:rFonts w:eastAsia="Times New Roman"/>
          <w:szCs w:val="24"/>
        </w:rPr>
        <w:t>it</w:t>
      </w:r>
      <w:r>
        <w:rPr>
          <w:rFonts w:eastAsia="Times New Roman"/>
          <w:szCs w:val="24"/>
        </w:rPr>
        <w:t xml:space="preserve"> failed to establish new law to support reconsideration</w:t>
      </w:r>
      <w:r w:rsidR="00F81108">
        <w:rPr>
          <w:rFonts w:eastAsia="Times New Roman"/>
          <w:szCs w:val="24"/>
        </w:rPr>
        <w:t>,</w:t>
      </w:r>
      <w:r>
        <w:rPr>
          <w:rFonts w:eastAsia="Times New Roman"/>
          <w:szCs w:val="24"/>
        </w:rPr>
        <w:t xml:space="preserve"> as required by the statute.  Further, the court found that </w:t>
      </w:r>
      <w:r w:rsidR="004018E9">
        <w:rPr>
          <w:rFonts w:eastAsia="Times New Roman"/>
          <w:szCs w:val="24"/>
        </w:rPr>
        <w:t xml:space="preserve">the </w:t>
      </w:r>
      <w:r>
        <w:rPr>
          <w:rFonts w:eastAsia="Times New Roman"/>
          <w:szCs w:val="24"/>
        </w:rPr>
        <w:t xml:space="preserve">entry of judgment precluded </w:t>
      </w:r>
      <w:r w:rsidR="004018E9">
        <w:rPr>
          <w:rFonts w:eastAsia="Times New Roman"/>
          <w:szCs w:val="24"/>
        </w:rPr>
        <w:t xml:space="preserve">it </w:t>
      </w:r>
      <w:r>
        <w:rPr>
          <w:rFonts w:eastAsia="Times New Roman"/>
          <w:szCs w:val="24"/>
        </w:rPr>
        <w:t xml:space="preserve">from reconsidering its motion orders.  The tentative ruling also </w:t>
      </w:r>
      <w:r w:rsidR="0014098E">
        <w:rPr>
          <w:rFonts w:eastAsia="Times New Roman"/>
          <w:szCs w:val="24"/>
        </w:rPr>
        <w:t xml:space="preserve">stated </w:t>
      </w:r>
      <w:r>
        <w:rPr>
          <w:rFonts w:eastAsia="Times New Roman"/>
          <w:szCs w:val="24"/>
        </w:rPr>
        <w:t>that the motion to vacate under Code of Civil Procedure section</w:t>
      </w:r>
      <w:r w:rsidR="003B2852">
        <w:rPr>
          <w:rFonts w:eastAsia="Times New Roman"/>
          <w:szCs w:val="24"/>
        </w:rPr>
        <w:t> </w:t>
      </w:r>
      <w:r>
        <w:rPr>
          <w:rFonts w:eastAsia="Times New Roman"/>
          <w:szCs w:val="24"/>
        </w:rPr>
        <w:t>473, subdivision</w:t>
      </w:r>
      <w:r w:rsidR="003B2852">
        <w:rPr>
          <w:rFonts w:eastAsia="Times New Roman"/>
          <w:szCs w:val="24"/>
        </w:rPr>
        <w:t> </w:t>
      </w:r>
      <w:r>
        <w:rPr>
          <w:rFonts w:eastAsia="Times New Roman"/>
          <w:szCs w:val="24"/>
        </w:rPr>
        <w:t>(b)</w:t>
      </w:r>
      <w:r w:rsidR="00AC076A">
        <w:rPr>
          <w:rFonts w:eastAsia="Times New Roman"/>
          <w:szCs w:val="24"/>
        </w:rPr>
        <w:t>,</w:t>
      </w:r>
      <w:r>
        <w:rPr>
          <w:rFonts w:eastAsia="Times New Roman"/>
          <w:szCs w:val="24"/>
        </w:rPr>
        <w:t xml:space="preserve"> was denied because no evidence to support excusable mistake or neglect was presented, and because Gentino did not attach a copy of the answer or other pleading proposed to be filed, as required by the statute.  </w:t>
      </w:r>
      <w:r w:rsidR="000B5B1A">
        <w:rPr>
          <w:rFonts w:eastAsia="Times New Roman"/>
          <w:szCs w:val="24"/>
        </w:rPr>
        <w:t>After receiving the tentative ruling</w:t>
      </w:r>
      <w:r w:rsidR="00F81108">
        <w:rPr>
          <w:rFonts w:eastAsia="Times New Roman"/>
          <w:szCs w:val="24"/>
        </w:rPr>
        <w:t>,</w:t>
      </w:r>
      <w:r w:rsidR="000B5B1A">
        <w:rPr>
          <w:rFonts w:eastAsia="Times New Roman"/>
          <w:szCs w:val="24"/>
        </w:rPr>
        <w:t xml:space="preserve"> Gentino filed a notice by fax at 2:41</w:t>
      </w:r>
      <w:r w:rsidR="00DA265A">
        <w:rPr>
          <w:rFonts w:eastAsia="Times New Roman"/>
          <w:szCs w:val="24"/>
        </w:rPr>
        <w:t> </w:t>
      </w:r>
      <w:r w:rsidR="000B5B1A">
        <w:rPr>
          <w:rFonts w:eastAsia="Times New Roman"/>
          <w:szCs w:val="24"/>
        </w:rPr>
        <w:t>p.m.</w:t>
      </w:r>
      <w:r w:rsidR="0005538B">
        <w:rPr>
          <w:rFonts w:eastAsia="Times New Roman"/>
          <w:szCs w:val="24"/>
        </w:rPr>
        <w:t xml:space="preserve"> that same day</w:t>
      </w:r>
      <w:r w:rsidR="00EF393A">
        <w:rPr>
          <w:rFonts w:eastAsia="Times New Roman"/>
          <w:szCs w:val="24"/>
        </w:rPr>
        <w:t>, indicating</w:t>
      </w:r>
      <w:r w:rsidR="004018E9">
        <w:rPr>
          <w:rFonts w:eastAsia="Times New Roman"/>
          <w:szCs w:val="24"/>
        </w:rPr>
        <w:t xml:space="preserve"> that he was withdrawing the motion</w:t>
      </w:r>
      <w:r w:rsidR="00EA20F6">
        <w:rPr>
          <w:rFonts w:eastAsia="Times New Roman"/>
          <w:szCs w:val="24"/>
        </w:rPr>
        <w:t>.  He did not appear at the hearing</w:t>
      </w:r>
      <w:r>
        <w:rPr>
          <w:rFonts w:eastAsia="Times New Roman"/>
          <w:szCs w:val="24"/>
        </w:rPr>
        <w:t xml:space="preserve"> or </w:t>
      </w:r>
      <w:r w:rsidR="00045202">
        <w:rPr>
          <w:rFonts w:eastAsia="Times New Roman"/>
          <w:szCs w:val="24"/>
        </w:rPr>
        <w:t xml:space="preserve">inform Galvez about the tentative ruling or his withdrawal of the motion.  </w:t>
      </w:r>
      <w:r w:rsidR="003F6C3F">
        <w:rPr>
          <w:rFonts w:eastAsia="Times New Roman"/>
          <w:szCs w:val="24"/>
        </w:rPr>
        <w:t xml:space="preserve">At the hearing, the court noted </w:t>
      </w:r>
      <w:r w:rsidR="00D21B62">
        <w:rPr>
          <w:rFonts w:eastAsia="Times New Roman"/>
          <w:szCs w:val="24"/>
        </w:rPr>
        <w:t xml:space="preserve">Gentino’s failure to appear </w:t>
      </w:r>
      <w:r w:rsidR="00A50FDF">
        <w:rPr>
          <w:rFonts w:eastAsia="Times New Roman"/>
          <w:szCs w:val="24"/>
        </w:rPr>
        <w:t xml:space="preserve">and </w:t>
      </w:r>
      <w:r w:rsidR="0005538B">
        <w:rPr>
          <w:rFonts w:eastAsia="Times New Roman"/>
          <w:szCs w:val="24"/>
        </w:rPr>
        <w:t xml:space="preserve">entered the </w:t>
      </w:r>
      <w:r w:rsidR="003F6C3F">
        <w:rPr>
          <w:rFonts w:eastAsia="Times New Roman"/>
          <w:szCs w:val="24"/>
        </w:rPr>
        <w:t xml:space="preserve">tentative ruling </w:t>
      </w:r>
      <w:r w:rsidR="00D21B62">
        <w:rPr>
          <w:rFonts w:eastAsia="Times New Roman"/>
          <w:szCs w:val="24"/>
        </w:rPr>
        <w:t xml:space="preserve">as </w:t>
      </w:r>
      <w:r w:rsidR="003F6C3F">
        <w:rPr>
          <w:rFonts w:eastAsia="Times New Roman"/>
          <w:szCs w:val="24"/>
        </w:rPr>
        <w:t xml:space="preserve">the order of the court.  </w:t>
      </w:r>
    </w:p>
    <w:p w:rsidR="00D21B62" w:rsidRPr="00D21B62" w:rsidRDefault="00CA5245" w:rsidP="00CA5245">
      <w:pPr>
        <w:pStyle w:val="ListParagraph"/>
        <w:tabs>
          <w:tab w:val="left" w:pos="720"/>
        </w:tabs>
        <w:spacing w:line="480" w:lineRule="auto"/>
        <w:ind w:left="0"/>
        <w:rPr>
          <w:rFonts w:eastAsia="Times New Roman"/>
          <w:b/>
          <w:szCs w:val="24"/>
        </w:rPr>
      </w:pPr>
      <w:r>
        <w:rPr>
          <w:rFonts w:eastAsia="Times New Roman"/>
          <w:b/>
          <w:szCs w:val="24"/>
        </w:rPr>
        <w:t>D.</w:t>
      </w:r>
      <w:r>
        <w:rPr>
          <w:rFonts w:eastAsia="Times New Roman"/>
          <w:b/>
          <w:szCs w:val="24"/>
        </w:rPr>
        <w:tab/>
      </w:r>
      <w:r w:rsidR="00D21B62">
        <w:rPr>
          <w:rFonts w:eastAsia="Times New Roman"/>
          <w:b/>
          <w:szCs w:val="24"/>
        </w:rPr>
        <w:t>Gentino Takes No Further Action to Appeal Default Judgment</w:t>
      </w:r>
    </w:p>
    <w:p w:rsidR="00B21197" w:rsidRDefault="00B21197" w:rsidP="003A3408">
      <w:pPr>
        <w:tabs>
          <w:tab w:val="left" w:pos="720"/>
        </w:tabs>
        <w:spacing w:line="480" w:lineRule="auto"/>
        <w:rPr>
          <w:rFonts w:eastAsia="Times New Roman"/>
          <w:szCs w:val="24"/>
        </w:rPr>
      </w:pPr>
      <w:r>
        <w:rPr>
          <w:rFonts w:eastAsia="Times New Roman"/>
          <w:szCs w:val="24"/>
        </w:rPr>
        <w:tab/>
      </w:r>
      <w:r w:rsidR="00723D01">
        <w:rPr>
          <w:rFonts w:eastAsia="Times New Roman"/>
          <w:szCs w:val="24"/>
        </w:rPr>
        <w:t>Between January</w:t>
      </w:r>
      <w:r w:rsidR="003B2852">
        <w:rPr>
          <w:rFonts w:eastAsia="Times New Roman"/>
          <w:szCs w:val="24"/>
        </w:rPr>
        <w:t> </w:t>
      </w:r>
      <w:r w:rsidR="00723D01">
        <w:rPr>
          <w:rFonts w:eastAsia="Times New Roman"/>
          <w:szCs w:val="24"/>
        </w:rPr>
        <w:t>2 and January</w:t>
      </w:r>
      <w:r w:rsidR="003B2852">
        <w:rPr>
          <w:rFonts w:eastAsia="Times New Roman"/>
          <w:szCs w:val="24"/>
        </w:rPr>
        <w:t> </w:t>
      </w:r>
      <w:r w:rsidR="00723D01">
        <w:rPr>
          <w:rFonts w:eastAsia="Times New Roman"/>
          <w:szCs w:val="24"/>
        </w:rPr>
        <w:t>8</w:t>
      </w:r>
      <w:r w:rsidR="001109D4">
        <w:rPr>
          <w:rFonts w:eastAsia="Times New Roman"/>
          <w:szCs w:val="24"/>
        </w:rPr>
        <w:t xml:space="preserve">, 2015, Gentino and Galvez exchanged emails </w:t>
      </w:r>
      <w:r w:rsidR="004018E9">
        <w:rPr>
          <w:rFonts w:eastAsia="Times New Roman"/>
          <w:szCs w:val="24"/>
        </w:rPr>
        <w:t>to</w:t>
      </w:r>
      <w:r w:rsidR="001109D4">
        <w:rPr>
          <w:rFonts w:eastAsia="Times New Roman"/>
          <w:szCs w:val="24"/>
        </w:rPr>
        <w:t xml:space="preserve"> </w:t>
      </w:r>
      <w:r w:rsidR="00F81108">
        <w:rPr>
          <w:rFonts w:eastAsia="Times New Roman"/>
          <w:szCs w:val="24"/>
        </w:rPr>
        <w:t>schedul</w:t>
      </w:r>
      <w:r w:rsidR="004018E9">
        <w:rPr>
          <w:rFonts w:eastAsia="Times New Roman"/>
          <w:szCs w:val="24"/>
        </w:rPr>
        <w:t>e</w:t>
      </w:r>
      <w:r w:rsidR="001109D4">
        <w:rPr>
          <w:rFonts w:eastAsia="Times New Roman"/>
          <w:szCs w:val="24"/>
        </w:rPr>
        <w:t xml:space="preserve"> a </w:t>
      </w:r>
      <w:r w:rsidR="004018E9">
        <w:rPr>
          <w:rFonts w:eastAsia="Times New Roman"/>
          <w:szCs w:val="24"/>
        </w:rPr>
        <w:t xml:space="preserve">meeting </w:t>
      </w:r>
      <w:r w:rsidR="00723D01">
        <w:rPr>
          <w:rFonts w:eastAsia="Times New Roman"/>
          <w:szCs w:val="24"/>
        </w:rPr>
        <w:t xml:space="preserve">about </w:t>
      </w:r>
      <w:r w:rsidR="00F81108">
        <w:rPr>
          <w:rFonts w:eastAsia="Times New Roman"/>
          <w:szCs w:val="24"/>
        </w:rPr>
        <w:t>her case</w:t>
      </w:r>
      <w:r w:rsidR="00723D01">
        <w:rPr>
          <w:rFonts w:eastAsia="Times New Roman"/>
          <w:szCs w:val="24"/>
        </w:rPr>
        <w:t xml:space="preserve"> status</w:t>
      </w:r>
      <w:r w:rsidR="001109D4">
        <w:rPr>
          <w:rFonts w:eastAsia="Times New Roman"/>
          <w:szCs w:val="24"/>
        </w:rPr>
        <w:t>.  On January</w:t>
      </w:r>
      <w:r w:rsidR="003B2852">
        <w:rPr>
          <w:rFonts w:eastAsia="Times New Roman"/>
          <w:szCs w:val="24"/>
        </w:rPr>
        <w:t> </w:t>
      </w:r>
      <w:r w:rsidR="001109D4">
        <w:rPr>
          <w:rFonts w:eastAsia="Times New Roman"/>
          <w:szCs w:val="24"/>
        </w:rPr>
        <w:t xml:space="preserve">8, 2015, Gentino sent Galvez </w:t>
      </w:r>
      <w:r w:rsidR="00920E8F">
        <w:rPr>
          <w:rFonts w:eastAsia="Times New Roman"/>
          <w:szCs w:val="24"/>
        </w:rPr>
        <w:t xml:space="preserve">a </w:t>
      </w:r>
      <w:r w:rsidR="001109D4">
        <w:rPr>
          <w:rFonts w:eastAsia="Times New Roman"/>
          <w:szCs w:val="24"/>
        </w:rPr>
        <w:t>cop</w:t>
      </w:r>
      <w:r w:rsidR="00920E8F">
        <w:rPr>
          <w:rFonts w:eastAsia="Times New Roman"/>
          <w:szCs w:val="24"/>
        </w:rPr>
        <w:t>y</w:t>
      </w:r>
      <w:r w:rsidR="001109D4">
        <w:rPr>
          <w:rFonts w:eastAsia="Times New Roman"/>
          <w:szCs w:val="24"/>
        </w:rPr>
        <w:t xml:space="preserve"> of his motion to reconsider and vacate, </w:t>
      </w:r>
      <w:r w:rsidR="007B264A">
        <w:rPr>
          <w:rFonts w:eastAsia="Times New Roman"/>
          <w:szCs w:val="24"/>
        </w:rPr>
        <w:t xml:space="preserve">again </w:t>
      </w:r>
      <w:r w:rsidR="001109D4">
        <w:rPr>
          <w:rFonts w:eastAsia="Times New Roman"/>
          <w:szCs w:val="24"/>
        </w:rPr>
        <w:t xml:space="preserve">without </w:t>
      </w:r>
      <w:r w:rsidR="00F81108">
        <w:rPr>
          <w:rFonts w:eastAsia="Times New Roman"/>
          <w:szCs w:val="24"/>
        </w:rPr>
        <w:t xml:space="preserve">any </w:t>
      </w:r>
      <w:r w:rsidR="001109D4">
        <w:rPr>
          <w:rFonts w:eastAsia="Times New Roman"/>
          <w:szCs w:val="24"/>
        </w:rPr>
        <w:t xml:space="preserve">explanation.  </w:t>
      </w:r>
      <w:r w:rsidR="00920E8F">
        <w:rPr>
          <w:rFonts w:eastAsia="Times New Roman"/>
          <w:szCs w:val="24"/>
        </w:rPr>
        <w:t>She replied by</w:t>
      </w:r>
      <w:r w:rsidR="001109D4">
        <w:rPr>
          <w:rFonts w:eastAsia="Times New Roman"/>
          <w:szCs w:val="24"/>
        </w:rPr>
        <w:t xml:space="preserve"> email</w:t>
      </w:r>
      <w:r w:rsidR="00271738">
        <w:rPr>
          <w:rFonts w:eastAsia="Times New Roman"/>
          <w:szCs w:val="24"/>
        </w:rPr>
        <w:t xml:space="preserve"> the same day</w:t>
      </w:r>
      <w:r w:rsidR="00920E8F">
        <w:rPr>
          <w:rFonts w:eastAsia="Times New Roman"/>
          <w:szCs w:val="24"/>
        </w:rPr>
        <w:t>,</w:t>
      </w:r>
      <w:r w:rsidR="00271738">
        <w:rPr>
          <w:rFonts w:eastAsia="Times New Roman"/>
          <w:szCs w:val="24"/>
        </w:rPr>
        <w:t xml:space="preserve"> </w:t>
      </w:r>
      <w:r w:rsidR="001109D4">
        <w:rPr>
          <w:rFonts w:eastAsia="Times New Roman"/>
          <w:szCs w:val="24"/>
        </w:rPr>
        <w:t xml:space="preserve">indicating that she had read his emails and printed the attachments.  </w:t>
      </w:r>
      <w:r w:rsidR="00687160">
        <w:rPr>
          <w:rFonts w:eastAsia="Times New Roman"/>
          <w:szCs w:val="24"/>
        </w:rPr>
        <w:t xml:space="preserve">Her email </w:t>
      </w:r>
      <w:r w:rsidR="00920E8F">
        <w:rPr>
          <w:rFonts w:eastAsia="Times New Roman"/>
          <w:szCs w:val="24"/>
        </w:rPr>
        <w:t xml:space="preserve">also </w:t>
      </w:r>
      <w:r w:rsidR="001109D4">
        <w:rPr>
          <w:rFonts w:eastAsia="Times New Roman"/>
          <w:szCs w:val="24"/>
        </w:rPr>
        <w:t>said that her “case was lost due to an untimely filing</w:t>
      </w:r>
      <w:r w:rsidR="005333DA">
        <w:rPr>
          <w:rFonts w:eastAsia="Times New Roman"/>
          <w:szCs w:val="24"/>
        </w:rPr>
        <w:t xml:space="preserve">” and </w:t>
      </w:r>
      <w:r w:rsidR="00920E8F">
        <w:rPr>
          <w:rFonts w:eastAsia="Times New Roman"/>
          <w:szCs w:val="24"/>
        </w:rPr>
        <w:t>pointed out</w:t>
      </w:r>
      <w:r w:rsidR="005333DA">
        <w:rPr>
          <w:rFonts w:eastAsia="Times New Roman"/>
          <w:szCs w:val="24"/>
        </w:rPr>
        <w:t xml:space="preserve"> that Gentino had told her that </w:t>
      </w:r>
      <w:r w:rsidR="00920E8F">
        <w:rPr>
          <w:rFonts w:eastAsia="Times New Roman"/>
          <w:szCs w:val="24"/>
        </w:rPr>
        <w:t>she would be able</w:t>
      </w:r>
      <w:r w:rsidR="005333DA">
        <w:rPr>
          <w:rFonts w:eastAsia="Times New Roman"/>
          <w:szCs w:val="24"/>
        </w:rPr>
        <w:t xml:space="preserve"> to appeal.  She asked </w:t>
      </w:r>
      <w:r w:rsidR="00920E8F">
        <w:rPr>
          <w:rFonts w:eastAsia="Times New Roman"/>
          <w:szCs w:val="24"/>
        </w:rPr>
        <w:t>him</w:t>
      </w:r>
      <w:r w:rsidR="005333DA">
        <w:rPr>
          <w:rFonts w:eastAsia="Times New Roman"/>
          <w:szCs w:val="24"/>
        </w:rPr>
        <w:t xml:space="preserve">, “Did the judge accept that appeal?  If yes, where do we go from here?  If no, where do we go from here?”  In reply, Gentino </w:t>
      </w:r>
      <w:r w:rsidR="004018E9">
        <w:rPr>
          <w:rFonts w:eastAsia="Times New Roman"/>
          <w:szCs w:val="24"/>
        </w:rPr>
        <w:t>explained</w:t>
      </w:r>
      <w:r w:rsidR="003A3408">
        <w:rPr>
          <w:rFonts w:eastAsia="Times New Roman"/>
          <w:szCs w:val="24"/>
        </w:rPr>
        <w:t xml:space="preserve"> that the “demurr</w:t>
      </w:r>
      <w:r w:rsidR="004018E9">
        <w:rPr>
          <w:rFonts w:eastAsia="Times New Roman"/>
          <w:szCs w:val="24"/>
        </w:rPr>
        <w:t>er was struck due to the Court’</w:t>
      </w:r>
      <w:r w:rsidR="003A3408" w:rsidRPr="003A3408">
        <w:rPr>
          <w:rFonts w:eastAsia="Times New Roman"/>
          <w:szCs w:val="24"/>
        </w:rPr>
        <w:t>s belief</w:t>
      </w:r>
      <w:r w:rsidR="00920E8F">
        <w:rPr>
          <w:rFonts w:eastAsia="Times New Roman"/>
          <w:szCs w:val="24"/>
        </w:rPr>
        <w:t xml:space="preserve"> </w:t>
      </w:r>
      <w:r w:rsidR="003A3408" w:rsidRPr="003A3408">
        <w:rPr>
          <w:rFonts w:eastAsia="Times New Roman"/>
          <w:szCs w:val="24"/>
        </w:rPr>
        <w:t xml:space="preserve">that the filing was untimely though the Motion </w:t>
      </w:r>
      <w:r w:rsidR="003A3408">
        <w:rPr>
          <w:rFonts w:eastAsia="Times New Roman"/>
          <w:szCs w:val="24"/>
        </w:rPr>
        <w:t xml:space="preserve">authorities </w:t>
      </w:r>
      <w:r w:rsidR="003A3408" w:rsidRPr="003A3408">
        <w:rPr>
          <w:rFonts w:eastAsia="Times New Roman"/>
          <w:szCs w:val="24"/>
        </w:rPr>
        <w:t xml:space="preserve">support the timeliness of the </w:t>
      </w:r>
      <w:r w:rsidR="003A3408">
        <w:rPr>
          <w:rFonts w:eastAsia="Times New Roman"/>
          <w:szCs w:val="24"/>
        </w:rPr>
        <w:t>demurr</w:t>
      </w:r>
      <w:r w:rsidR="003A3408" w:rsidRPr="003A3408">
        <w:rPr>
          <w:rFonts w:eastAsia="Times New Roman"/>
          <w:szCs w:val="24"/>
        </w:rPr>
        <w:t>er</w:t>
      </w:r>
      <w:r w:rsidR="004018E9">
        <w:rPr>
          <w:rFonts w:eastAsia="Times New Roman"/>
          <w:szCs w:val="24"/>
        </w:rPr>
        <w:t>.</w:t>
      </w:r>
      <w:r w:rsidR="003A3408">
        <w:rPr>
          <w:rFonts w:eastAsia="Times New Roman"/>
          <w:szCs w:val="24"/>
        </w:rPr>
        <w:t xml:space="preserve">” </w:t>
      </w:r>
      <w:r w:rsidR="004018E9">
        <w:rPr>
          <w:rFonts w:eastAsia="Times New Roman"/>
          <w:szCs w:val="24"/>
        </w:rPr>
        <w:t xml:space="preserve"> He also</w:t>
      </w:r>
      <w:r w:rsidR="003A3408">
        <w:rPr>
          <w:rFonts w:eastAsia="Times New Roman"/>
          <w:szCs w:val="24"/>
        </w:rPr>
        <w:t xml:space="preserve"> </w:t>
      </w:r>
      <w:r w:rsidR="001123A0">
        <w:rPr>
          <w:rFonts w:eastAsia="Times New Roman"/>
          <w:szCs w:val="24"/>
        </w:rPr>
        <w:t>asserted</w:t>
      </w:r>
      <w:r w:rsidR="005333DA">
        <w:rPr>
          <w:rFonts w:eastAsia="Times New Roman"/>
          <w:szCs w:val="24"/>
        </w:rPr>
        <w:t xml:space="preserve"> that he had six months from </w:t>
      </w:r>
      <w:r w:rsidR="005333DA">
        <w:rPr>
          <w:rFonts w:eastAsia="Times New Roman"/>
          <w:szCs w:val="24"/>
        </w:rPr>
        <w:lastRenderedPageBreak/>
        <w:t>the September</w:t>
      </w:r>
      <w:r w:rsidR="003B2852">
        <w:rPr>
          <w:rFonts w:eastAsia="Times New Roman"/>
          <w:szCs w:val="24"/>
        </w:rPr>
        <w:t> </w:t>
      </w:r>
      <w:r w:rsidR="005333DA">
        <w:rPr>
          <w:rFonts w:eastAsia="Times New Roman"/>
          <w:szCs w:val="24"/>
        </w:rPr>
        <w:t>8</w:t>
      </w:r>
      <w:r w:rsidR="007B264A">
        <w:rPr>
          <w:rFonts w:eastAsia="Times New Roman"/>
          <w:szCs w:val="24"/>
        </w:rPr>
        <w:t>,</w:t>
      </w:r>
      <w:r w:rsidR="005333DA">
        <w:rPr>
          <w:rFonts w:eastAsia="Times New Roman"/>
          <w:szCs w:val="24"/>
        </w:rPr>
        <w:t xml:space="preserve"> 2014</w:t>
      </w:r>
      <w:r w:rsidR="00B51F77">
        <w:rPr>
          <w:rFonts w:eastAsia="Times New Roman"/>
          <w:szCs w:val="24"/>
        </w:rPr>
        <w:t>,</w:t>
      </w:r>
      <w:r w:rsidR="005333DA">
        <w:rPr>
          <w:rFonts w:eastAsia="Times New Roman"/>
          <w:szCs w:val="24"/>
        </w:rPr>
        <w:t xml:space="preserve"> trial date to file another motion</w:t>
      </w:r>
      <w:r w:rsidR="00E67151">
        <w:rPr>
          <w:rFonts w:eastAsia="Times New Roman"/>
          <w:szCs w:val="24"/>
        </w:rPr>
        <w:t>,</w:t>
      </w:r>
      <w:r w:rsidR="005333DA">
        <w:rPr>
          <w:rFonts w:eastAsia="Times New Roman"/>
          <w:szCs w:val="24"/>
        </w:rPr>
        <w:t xml:space="preserve"> “which removes discretion and makes it mandatory to grant the motion on an attorney affidavit of fault.”  </w:t>
      </w:r>
      <w:r w:rsidR="004B3A1E">
        <w:rPr>
          <w:rFonts w:eastAsia="Times New Roman"/>
          <w:szCs w:val="24"/>
        </w:rPr>
        <w:t xml:space="preserve">Gentino stated that he was willing to file such a motion, but wanted to discuss it with </w:t>
      </w:r>
      <w:r w:rsidR="00325C6B">
        <w:rPr>
          <w:rFonts w:eastAsia="Times New Roman"/>
          <w:szCs w:val="24"/>
        </w:rPr>
        <w:t>her first</w:t>
      </w:r>
      <w:r w:rsidR="004B3A1E">
        <w:rPr>
          <w:rFonts w:eastAsia="Times New Roman"/>
          <w:szCs w:val="24"/>
        </w:rPr>
        <w:t xml:space="preserve">.  </w:t>
      </w:r>
    </w:p>
    <w:p w:rsidR="00826371" w:rsidRDefault="00EC430C" w:rsidP="004A38DF">
      <w:pPr>
        <w:tabs>
          <w:tab w:val="left" w:pos="720"/>
        </w:tabs>
        <w:spacing w:line="480" w:lineRule="auto"/>
        <w:rPr>
          <w:rFonts w:eastAsia="Times New Roman"/>
          <w:szCs w:val="24"/>
        </w:rPr>
      </w:pPr>
      <w:r>
        <w:rPr>
          <w:rFonts w:eastAsia="Times New Roman"/>
          <w:szCs w:val="24"/>
        </w:rPr>
        <w:tab/>
        <w:t>Gen</w:t>
      </w:r>
      <w:r w:rsidR="00687160">
        <w:rPr>
          <w:rFonts w:eastAsia="Times New Roman"/>
          <w:szCs w:val="24"/>
        </w:rPr>
        <w:t>t</w:t>
      </w:r>
      <w:r>
        <w:rPr>
          <w:rFonts w:eastAsia="Times New Roman"/>
          <w:szCs w:val="24"/>
        </w:rPr>
        <w:t>ino and Galvez met on January</w:t>
      </w:r>
      <w:r w:rsidR="003B2852">
        <w:rPr>
          <w:rFonts w:eastAsia="Times New Roman"/>
          <w:szCs w:val="24"/>
        </w:rPr>
        <w:t> </w:t>
      </w:r>
      <w:r>
        <w:rPr>
          <w:rFonts w:eastAsia="Times New Roman"/>
          <w:szCs w:val="24"/>
        </w:rPr>
        <w:t>14, 2015, to discuss the</w:t>
      </w:r>
      <w:r w:rsidR="00325C6B">
        <w:rPr>
          <w:rFonts w:eastAsia="Times New Roman"/>
          <w:szCs w:val="24"/>
        </w:rPr>
        <w:t xml:space="preserve"> </w:t>
      </w:r>
      <w:r w:rsidR="00E67151">
        <w:rPr>
          <w:rFonts w:eastAsia="Times New Roman"/>
          <w:szCs w:val="24"/>
        </w:rPr>
        <w:t>reasons for and against</w:t>
      </w:r>
      <w:r>
        <w:rPr>
          <w:rFonts w:eastAsia="Times New Roman"/>
          <w:szCs w:val="24"/>
        </w:rPr>
        <w:t xml:space="preserve"> filing a</w:t>
      </w:r>
      <w:r w:rsidR="00B51F77">
        <w:rPr>
          <w:rFonts w:eastAsia="Times New Roman"/>
          <w:szCs w:val="24"/>
        </w:rPr>
        <w:t xml:space="preserve"> second motion to vacate</w:t>
      </w:r>
      <w:r>
        <w:rPr>
          <w:rFonts w:eastAsia="Times New Roman"/>
          <w:szCs w:val="24"/>
        </w:rPr>
        <w:t xml:space="preserve">.  </w:t>
      </w:r>
      <w:r w:rsidR="00070973">
        <w:rPr>
          <w:rFonts w:eastAsia="Times New Roman"/>
          <w:szCs w:val="24"/>
        </w:rPr>
        <w:t>He</w:t>
      </w:r>
      <w:r w:rsidR="00FA7474">
        <w:rPr>
          <w:rFonts w:eastAsia="Times New Roman"/>
          <w:szCs w:val="24"/>
        </w:rPr>
        <w:t xml:space="preserve"> </w:t>
      </w:r>
      <w:r w:rsidR="00325C6B">
        <w:rPr>
          <w:rFonts w:eastAsia="Times New Roman"/>
          <w:szCs w:val="24"/>
        </w:rPr>
        <w:t>informed</w:t>
      </w:r>
      <w:r w:rsidR="00FA7474">
        <w:rPr>
          <w:rFonts w:eastAsia="Times New Roman"/>
          <w:szCs w:val="24"/>
        </w:rPr>
        <w:t xml:space="preserve"> </w:t>
      </w:r>
      <w:r w:rsidR="00070973">
        <w:rPr>
          <w:rFonts w:eastAsia="Times New Roman"/>
          <w:szCs w:val="24"/>
        </w:rPr>
        <w:t>her</w:t>
      </w:r>
      <w:r w:rsidR="00FA7474">
        <w:rPr>
          <w:rFonts w:eastAsia="Times New Roman"/>
          <w:szCs w:val="24"/>
        </w:rPr>
        <w:t xml:space="preserve"> that another motion would cost additional attorney fees and </w:t>
      </w:r>
      <w:r w:rsidR="0005538B">
        <w:rPr>
          <w:rFonts w:eastAsia="Times New Roman"/>
          <w:szCs w:val="24"/>
        </w:rPr>
        <w:t xml:space="preserve">risk </w:t>
      </w:r>
      <w:r w:rsidR="00070973">
        <w:rPr>
          <w:rFonts w:eastAsia="Times New Roman"/>
          <w:szCs w:val="24"/>
        </w:rPr>
        <w:t>increasing</w:t>
      </w:r>
      <w:r w:rsidR="00FA7474">
        <w:rPr>
          <w:rFonts w:eastAsia="Times New Roman"/>
          <w:szCs w:val="24"/>
        </w:rPr>
        <w:t xml:space="preserve"> the amount of </w:t>
      </w:r>
      <w:r w:rsidR="00FD20DD">
        <w:rPr>
          <w:rFonts w:eastAsia="Times New Roman"/>
          <w:szCs w:val="24"/>
        </w:rPr>
        <w:t>the j</w:t>
      </w:r>
      <w:r w:rsidR="00FA7474">
        <w:rPr>
          <w:rFonts w:eastAsia="Times New Roman"/>
          <w:szCs w:val="24"/>
        </w:rPr>
        <w:t xml:space="preserve">udgment.  </w:t>
      </w:r>
      <w:r w:rsidR="00070973">
        <w:rPr>
          <w:rFonts w:eastAsia="Times New Roman"/>
          <w:szCs w:val="24"/>
        </w:rPr>
        <w:t>They</w:t>
      </w:r>
      <w:r w:rsidR="0070500A">
        <w:rPr>
          <w:rFonts w:eastAsia="Times New Roman"/>
          <w:szCs w:val="24"/>
        </w:rPr>
        <w:t xml:space="preserve"> continued to commun</w:t>
      </w:r>
      <w:r w:rsidR="007B264A">
        <w:rPr>
          <w:rFonts w:eastAsia="Times New Roman"/>
          <w:szCs w:val="24"/>
        </w:rPr>
        <w:t>icate between January and April of</w:t>
      </w:r>
      <w:r w:rsidR="0070500A">
        <w:rPr>
          <w:rFonts w:eastAsia="Times New Roman"/>
          <w:szCs w:val="24"/>
        </w:rPr>
        <w:t xml:space="preserve"> 2015, but Galvez did not decide whether Gentino should file the new motion.  When she asked him for his opinion, he </w:t>
      </w:r>
      <w:r w:rsidR="00325C6B">
        <w:rPr>
          <w:rFonts w:eastAsia="Times New Roman"/>
          <w:szCs w:val="24"/>
        </w:rPr>
        <w:t>responded that</w:t>
      </w:r>
      <w:r w:rsidR="0070500A">
        <w:rPr>
          <w:rFonts w:eastAsia="Times New Roman"/>
          <w:szCs w:val="24"/>
        </w:rPr>
        <w:t xml:space="preserve"> it was her decision.  </w:t>
      </w:r>
      <w:r w:rsidR="003B2852">
        <w:rPr>
          <w:rFonts w:eastAsia="Times New Roman"/>
          <w:szCs w:val="24"/>
        </w:rPr>
        <w:t>On April </w:t>
      </w:r>
      <w:r w:rsidR="0082710F">
        <w:rPr>
          <w:rFonts w:eastAsia="Times New Roman"/>
          <w:szCs w:val="24"/>
        </w:rPr>
        <w:t xml:space="preserve">29, 2015, Gentino emailed Galvez and told her that since she had not </w:t>
      </w:r>
      <w:r w:rsidR="00325C6B">
        <w:rPr>
          <w:rFonts w:eastAsia="Times New Roman"/>
          <w:szCs w:val="24"/>
        </w:rPr>
        <w:t xml:space="preserve">yet </w:t>
      </w:r>
      <w:r w:rsidR="0082710F">
        <w:rPr>
          <w:rFonts w:eastAsia="Times New Roman"/>
          <w:szCs w:val="24"/>
        </w:rPr>
        <w:t>made a decision</w:t>
      </w:r>
      <w:r w:rsidR="00070973">
        <w:rPr>
          <w:rFonts w:eastAsia="Times New Roman"/>
          <w:szCs w:val="24"/>
        </w:rPr>
        <w:t>,</w:t>
      </w:r>
      <w:r w:rsidR="0082710F">
        <w:rPr>
          <w:rFonts w:eastAsia="Times New Roman"/>
          <w:szCs w:val="24"/>
        </w:rPr>
        <w:t xml:space="preserve"> he would file the motion</w:t>
      </w:r>
      <w:r w:rsidR="00325C6B">
        <w:rPr>
          <w:rFonts w:eastAsia="Times New Roman"/>
          <w:szCs w:val="24"/>
        </w:rPr>
        <w:t>, and</w:t>
      </w:r>
      <w:r w:rsidR="0082710F">
        <w:rPr>
          <w:rFonts w:eastAsia="Times New Roman"/>
          <w:szCs w:val="24"/>
        </w:rPr>
        <w:t xml:space="preserve"> she could later withdraw</w:t>
      </w:r>
      <w:r w:rsidR="00325C6B">
        <w:rPr>
          <w:rFonts w:eastAsia="Times New Roman"/>
          <w:szCs w:val="24"/>
        </w:rPr>
        <w:t xml:space="preserve"> it</w:t>
      </w:r>
      <w:r w:rsidR="0082710F">
        <w:rPr>
          <w:rFonts w:eastAsia="Times New Roman"/>
          <w:szCs w:val="24"/>
        </w:rPr>
        <w:t xml:space="preserve">.  He also </w:t>
      </w:r>
      <w:r w:rsidR="003308CC">
        <w:rPr>
          <w:rFonts w:eastAsia="Times New Roman"/>
          <w:szCs w:val="24"/>
        </w:rPr>
        <w:t>advised</w:t>
      </w:r>
      <w:r w:rsidR="0082710F">
        <w:rPr>
          <w:rFonts w:eastAsia="Times New Roman"/>
          <w:szCs w:val="24"/>
        </w:rPr>
        <w:t xml:space="preserve"> her she could consult with another professional</w:t>
      </w:r>
      <w:r w:rsidR="00687160">
        <w:rPr>
          <w:rFonts w:eastAsia="Times New Roman"/>
          <w:szCs w:val="24"/>
        </w:rPr>
        <w:t xml:space="preserve">, </w:t>
      </w:r>
      <w:r w:rsidR="003308CC">
        <w:rPr>
          <w:rFonts w:eastAsia="Times New Roman"/>
          <w:szCs w:val="24"/>
        </w:rPr>
        <w:t>to which</w:t>
      </w:r>
      <w:r w:rsidR="00687160">
        <w:rPr>
          <w:rFonts w:eastAsia="Times New Roman"/>
          <w:szCs w:val="24"/>
        </w:rPr>
        <w:t xml:space="preserve"> </w:t>
      </w:r>
      <w:r w:rsidR="0082710F">
        <w:rPr>
          <w:rFonts w:eastAsia="Times New Roman"/>
          <w:szCs w:val="24"/>
        </w:rPr>
        <w:t xml:space="preserve">Galvez replied that she would seek a second opinion.  </w:t>
      </w:r>
      <w:r w:rsidR="003B2852">
        <w:rPr>
          <w:rFonts w:eastAsia="Times New Roman"/>
          <w:szCs w:val="24"/>
        </w:rPr>
        <w:t>On April </w:t>
      </w:r>
      <w:r w:rsidR="007B264A">
        <w:rPr>
          <w:rFonts w:eastAsia="Times New Roman"/>
          <w:szCs w:val="24"/>
        </w:rPr>
        <w:t>30, 20</w:t>
      </w:r>
      <w:r w:rsidR="0070500A">
        <w:rPr>
          <w:rFonts w:eastAsia="Times New Roman"/>
          <w:szCs w:val="24"/>
        </w:rPr>
        <w:t xml:space="preserve">15, Gentino </w:t>
      </w:r>
      <w:r w:rsidR="0082710F">
        <w:rPr>
          <w:rFonts w:eastAsia="Times New Roman"/>
          <w:szCs w:val="24"/>
        </w:rPr>
        <w:t xml:space="preserve">again </w:t>
      </w:r>
      <w:r w:rsidR="0070500A">
        <w:rPr>
          <w:rFonts w:eastAsia="Times New Roman"/>
          <w:szCs w:val="24"/>
        </w:rPr>
        <w:t>emailed Galvez</w:t>
      </w:r>
      <w:r w:rsidR="003308CC">
        <w:rPr>
          <w:rFonts w:eastAsia="Times New Roman"/>
          <w:szCs w:val="24"/>
        </w:rPr>
        <w:t>, reported that</w:t>
      </w:r>
      <w:r w:rsidR="0070500A">
        <w:rPr>
          <w:rFonts w:eastAsia="Times New Roman"/>
          <w:szCs w:val="24"/>
        </w:rPr>
        <w:t xml:space="preserve"> he had reserved </w:t>
      </w:r>
      <w:r w:rsidR="007B264A">
        <w:rPr>
          <w:rFonts w:eastAsia="Times New Roman"/>
          <w:szCs w:val="24"/>
        </w:rPr>
        <w:t>May</w:t>
      </w:r>
      <w:r w:rsidR="003B2852">
        <w:rPr>
          <w:rFonts w:eastAsia="Times New Roman"/>
          <w:szCs w:val="24"/>
        </w:rPr>
        <w:t> </w:t>
      </w:r>
      <w:r w:rsidR="007B264A">
        <w:rPr>
          <w:rFonts w:eastAsia="Times New Roman"/>
          <w:szCs w:val="24"/>
        </w:rPr>
        <w:t>29</w:t>
      </w:r>
      <w:r w:rsidR="0070500A">
        <w:rPr>
          <w:rFonts w:eastAsia="Times New Roman"/>
          <w:szCs w:val="24"/>
        </w:rPr>
        <w:t xml:space="preserve"> for the new motion </w:t>
      </w:r>
      <w:r w:rsidR="00B51F77">
        <w:rPr>
          <w:rFonts w:eastAsia="Times New Roman"/>
          <w:szCs w:val="24"/>
        </w:rPr>
        <w:t>to vacate</w:t>
      </w:r>
      <w:r w:rsidR="003308CC">
        <w:rPr>
          <w:rFonts w:eastAsia="Times New Roman"/>
          <w:szCs w:val="24"/>
        </w:rPr>
        <w:t>,</w:t>
      </w:r>
      <w:r w:rsidR="00F36C42">
        <w:rPr>
          <w:rFonts w:eastAsia="Times New Roman"/>
          <w:szCs w:val="24"/>
        </w:rPr>
        <w:t xml:space="preserve"> and asked whether he should file it before she substituted him out of the case.  Galvez replied the same day</w:t>
      </w:r>
      <w:r w:rsidR="00AA1C59">
        <w:rPr>
          <w:rFonts w:eastAsia="Times New Roman"/>
          <w:szCs w:val="24"/>
        </w:rPr>
        <w:t>,</w:t>
      </w:r>
      <w:r w:rsidR="00F36C42">
        <w:rPr>
          <w:rFonts w:eastAsia="Times New Roman"/>
          <w:szCs w:val="24"/>
        </w:rPr>
        <w:t xml:space="preserve"> </w:t>
      </w:r>
      <w:r w:rsidR="00AA1C59">
        <w:rPr>
          <w:rFonts w:eastAsia="Times New Roman"/>
          <w:szCs w:val="24"/>
        </w:rPr>
        <w:t>stating</w:t>
      </w:r>
      <w:r w:rsidR="00F36C42">
        <w:rPr>
          <w:rFonts w:eastAsia="Times New Roman"/>
          <w:szCs w:val="24"/>
        </w:rPr>
        <w:t xml:space="preserve"> that she did not plan to </w:t>
      </w:r>
      <w:r w:rsidR="003308CC">
        <w:rPr>
          <w:rFonts w:eastAsia="Times New Roman"/>
          <w:szCs w:val="24"/>
        </w:rPr>
        <w:t>replace him</w:t>
      </w:r>
      <w:r w:rsidR="00FA7474">
        <w:rPr>
          <w:rFonts w:eastAsia="Times New Roman"/>
          <w:szCs w:val="24"/>
        </w:rPr>
        <w:t xml:space="preserve"> </w:t>
      </w:r>
      <w:r w:rsidR="00F36C42">
        <w:rPr>
          <w:rFonts w:eastAsia="Times New Roman"/>
          <w:szCs w:val="24"/>
        </w:rPr>
        <w:t xml:space="preserve">and </w:t>
      </w:r>
      <w:r w:rsidR="00085DDD">
        <w:rPr>
          <w:rFonts w:eastAsia="Times New Roman"/>
          <w:szCs w:val="24"/>
        </w:rPr>
        <w:t xml:space="preserve">that she </w:t>
      </w:r>
      <w:r w:rsidR="00F36C42">
        <w:rPr>
          <w:rFonts w:eastAsia="Times New Roman"/>
          <w:szCs w:val="24"/>
        </w:rPr>
        <w:t xml:space="preserve">assumed the motion was fine.  </w:t>
      </w:r>
      <w:r w:rsidR="00AA1C59">
        <w:rPr>
          <w:rFonts w:eastAsia="Times New Roman"/>
          <w:szCs w:val="24"/>
        </w:rPr>
        <w:t>I</w:t>
      </w:r>
      <w:r w:rsidR="00826371">
        <w:rPr>
          <w:rFonts w:eastAsia="Times New Roman"/>
          <w:szCs w:val="24"/>
        </w:rPr>
        <w:t>n April of 2015</w:t>
      </w:r>
      <w:r w:rsidR="00AA1C59">
        <w:rPr>
          <w:rFonts w:eastAsia="Times New Roman"/>
          <w:szCs w:val="24"/>
        </w:rPr>
        <w:t xml:space="preserve">, </w:t>
      </w:r>
      <w:r w:rsidR="003308CC">
        <w:rPr>
          <w:rFonts w:eastAsia="Times New Roman"/>
          <w:szCs w:val="24"/>
        </w:rPr>
        <w:t>she</w:t>
      </w:r>
      <w:r w:rsidR="00AA1C59">
        <w:rPr>
          <w:rFonts w:eastAsia="Times New Roman"/>
          <w:szCs w:val="24"/>
        </w:rPr>
        <w:t xml:space="preserve"> discovered</w:t>
      </w:r>
      <w:r w:rsidR="00826371">
        <w:rPr>
          <w:rFonts w:eastAsia="Times New Roman"/>
          <w:szCs w:val="24"/>
        </w:rPr>
        <w:t xml:space="preserve"> that Pair had placed liens on her bank accounts</w:t>
      </w:r>
      <w:r w:rsidR="003308CC">
        <w:rPr>
          <w:rFonts w:eastAsia="Times New Roman"/>
          <w:szCs w:val="24"/>
        </w:rPr>
        <w:t xml:space="preserve">, resulting in </w:t>
      </w:r>
      <w:r w:rsidR="00826371">
        <w:rPr>
          <w:rFonts w:eastAsia="Times New Roman"/>
          <w:szCs w:val="24"/>
        </w:rPr>
        <w:t>approximately $2</w:t>
      </w:r>
      <w:r w:rsidR="00AA1C59">
        <w:rPr>
          <w:rFonts w:eastAsia="Times New Roman"/>
          <w:szCs w:val="24"/>
        </w:rPr>
        <w:t>,</w:t>
      </w:r>
      <w:r w:rsidR="00826371">
        <w:rPr>
          <w:rFonts w:eastAsia="Times New Roman"/>
          <w:szCs w:val="24"/>
        </w:rPr>
        <w:t xml:space="preserve">000 </w:t>
      </w:r>
      <w:r w:rsidR="003308CC">
        <w:rPr>
          <w:rFonts w:eastAsia="Times New Roman"/>
          <w:szCs w:val="24"/>
        </w:rPr>
        <w:t>being removed</w:t>
      </w:r>
      <w:r w:rsidR="00826371">
        <w:rPr>
          <w:rFonts w:eastAsia="Times New Roman"/>
          <w:szCs w:val="24"/>
        </w:rPr>
        <w:t xml:space="preserve"> </w:t>
      </w:r>
      <w:r w:rsidR="003308CC">
        <w:rPr>
          <w:rFonts w:eastAsia="Times New Roman"/>
          <w:szCs w:val="24"/>
        </w:rPr>
        <w:t>from her accounts</w:t>
      </w:r>
      <w:r w:rsidR="00826371">
        <w:rPr>
          <w:rFonts w:eastAsia="Times New Roman"/>
          <w:szCs w:val="24"/>
        </w:rPr>
        <w:t xml:space="preserve">.  </w:t>
      </w:r>
    </w:p>
    <w:p w:rsidR="00DC2A5F" w:rsidRDefault="00826371" w:rsidP="00DB37E7">
      <w:pPr>
        <w:tabs>
          <w:tab w:val="left" w:pos="720"/>
        </w:tabs>
        <w:spacing w:line="480" w:lineRule="auto"/>
        <w:rPr>
          <w:rFonts w:eastAsia="Times New Roman"/>
          <w:szCs w:val="24"/>
        </w:rPr>
      </w:pPr>
      <w:r>
        <w:rPr>
          <w:rFonts w:eastAsia="Times New Roman"/>
          <w:szCs w:val="24"/>
        </w:rPr>
        <w:tab/>
      </w:r>
      <w:r w:rsidR="00DC2A5F">
        <w:rPr>
          <w:rFonts w:eastAsia="Times New Roman"/>
          <w:szCs w:val="24"/>
        </w:rPr>
        <w:t>On May</w:t>
      </w:r>
      <w:r w:rsidR="003B2852">
        <w:rPr>
          <w:rFonts w:eastAsia="Times New Roman"/>
          <w:szCs w:val="24"/>
        </w:rPr>
        <w:t> </w:t>
      </w:r>
      <w:r w:rsidR="00DC2A5F">
        <w:rPr>
          <w:rFonts w:eastAsia="Times New Roman"/>
          <w:szCs w:val="24"/>
        </w:rPr>
        <w:t xml:space="preserve">5, 2015, Galvez emailed Gentino and </w:t>
      </w:r>
      <w:r w:rsidR="003308CC">
        <w:rPr>
          <w:rFonts w:eastAsia="Times New Roman"/>
          <w:szCs w:val="24"/>
        </w:rPr>
        <w:t>directed</w:t>
      </w:r>
      <w:r w:rsidR="00DC2A5F">
        <w:rPr>
          <w:rFonts w:eastAsia="Times New Roman"/>
          <w:szCs w:val="24"/>
        </w:rPr>
        <w:t xml:space="preserve"> him to file the motion to vacate.  </w:t>
      </w:r>
      <w:r w:rsidR="000C64D0">
        <w:rPr>
          <w:rFonts w:eastAsia="Times New Roman"/>
          <w:szCs w:val="24"/>
        </w:rPr>
        <w:t>On May</w:t>
      </w:r>
      <w:r w:rsidR="003B2852">
        <w:rPr>
          <w:rFonts w:eastAsia="Times New Roman"/>
          <w:szCs w:val="24"/>
        </w:rPr>
        <w:t> </w:t>
      </w:r>
      <w:r w:rsidR="000C64D0">
        <w:rPr>
          <w:rFonts w:eastAsia="Times New Roman"/>
          <w:szCs w:val="24"/>
        </w:rPr>
        <w:t xml:space="preserve">29, 2015, </w:t>
      </w:r>
      <w:r w:rsidR="00AA1C59">
        <w:rPr>
          <w:rFonts w:eastAsia="Times New Roman"/>
          <w:szCs w:val="24"/>
        </w:rPr>
        <w:t>she</w:t>
      </w:r>
      <w:r w:rsidR="000C64D0">
        <w:rPr>
          <w:rFonts w:eastAsia="Times New Roman"/>
          <w:szCs w:val="24"/>
        </w:rPr>
        <w:t xml:space="preserve"> sent</w:t>
      </w:r>
      <w:r w:rsidR="00AA1C59">
        <w:rPr>
          <w:rFonts w:eastAsia="Times New Roman"/>
          <w:szCs w:val="24"/>
        </w:rPr>
        <w:t xml:space="preserve"> him</w:t>
      </w:r>
      <w:r w:rsidR="000C64D0">
        <w:rPr>
          <w:rFonts w:eastAsia="Times New Roman"/>
          <w:szCs w:val="24"/>
        </w:rPr>
        <w:t xml:space="preserve"> an email saying she thought the hearing was set for that day and asking him when she should go to court.  </w:t>
      </w:r>
      <w:r w:rsidR="00C450FA">
        <w:rPr>
          <w:rFonts w:eastAsia="Times New Roman"/>
          <w:szCs w:val="24"/>
        </w:rPr>
        <w:t xml:space="preserve">Gentino did not respond.  </w:t>
      </w:r>
      <w:r w:rsidR="00074F93">
        <w:rPr>
          <w:rFonts w:eastAsia="Times New Roman"/>
          <w:szCs w:val="24"/>
        </w:rPr>
        <w:t>On June</w:t>
      </w:r>
      <w:r w:rsidR="003B2852">
        <w:rPr>
          <w:rFonts w:eastAsia="Times New Roman"/>
          <w:szCs w:val="24"/>
        </w:rPr>
        <w:t> </w:t>
      </w:r>
      <w:r w:rsidR="00074F93">
        <w:rPr>
          <w:rFonts w:eastAsia="Times New Roman"/>
          <w:szCs w:val="24"/>
        </w:rPr>
        <w:t xml:space="preserve">4, 2015, </w:t>
      </w:r>
      <w:r w:rsidR="003308CC">
        <w:rPr>
          <w:rFonts w:eastAsia="Times New Roman"/>
          <w:szCs w:val="24"/>
        </w:rPr>
        <w:t>she</w:t>
      </w:r>
      <w:r w:rsidR="00074F93">
        <w:rPr>
          <w:rFonts w:eastAsia="Times New Roman"/>
          <w:szCs w:val="24"/>
        </w:rPr>
        <w:t xml:space="preserve"> emailed Gentino to</w:t>
      </w:r>
      <w:r w:rsidR="003308CC">
        <w:rPr>
          <w:rFonts w:eastAsia="Times New Roman"/>
          <w:szCs w:val="24"/>
        </w:rPr>
        <w:t xml:space="preserve"> find out</w:t>
      </w:r>
      <w:r w:rsidR="00074F93">
        <w:rPr>
          <w:rFonts w:eastAsia="Times New Roman"/>
          <w:szCs w:val="24"/>
        </w:rPr>
        <w:t xml:space="preserve"> if he had filed the motion to vacate and </w:t>
      </w:r>
      <w:r w:rsidR="003308CC">
        <w:rPr>
          <w:rFonts w:eastAsia="Times New Roman"/>
          <w:szCs w:val="24"/>
        </w:rPr>
        <w:t>to ask how</w:t>
      </w:r>
      <w:r w:rsidR="00074F93">
        <w:rPr>
          <w:rFonts w:eastAsia="Times New Roman"/>
          <w:szCs w:val="24"/>
        </w:rPr>
        <w:t xml:space="preserve"> Pair was allowed to place liens on her accounts.  </w:t>
      </w:r>
      <w:r w:rsidR="00DC2A5F">
        <w:rPr>
          <w:rFonts w:eastAsia="Times New Roman"/>
          <w:szCs w:val="24"/>
        </w:rPr>
        <w:t>On June</w:t>
      </w:r>
      <w:r w:rsidR="003B2852">
        <w:rPr>
          <w:rFonts w:eastAsia="Times New Roman"/>
          <w:szCs w:val="24"/>
        </w:rPr>
        <w:t> </w:t>
      </w:r>
      <w:r w:rsidR="00DC2A5F">
        <w:rPr>
          <w:rFonts w:eastAsia="Times New Roman"/>
          <w:szCs w:val="24"/>
        </w:rPr>
        <w:t xml:space="preserve">9, 2015, Galvez emailed Gentino to ask </w:t>
      </w:r>
      <w:r w:rsidR="003308CC">
        <w:rPr>
          <w:rFonts w:eastAsia="Times New Roman"/>
          <w:szCs w:val="24"/>
        </w:rPr>
        <w:t xml:space="preserve">again </w:t>
      </w:r>
      <w:r w:rsidR="00166A1D">
        <w:rPr>
          <w:rFonts w:eastAsia="Times New Roman"/>
          <w:szCs w:val="24"/>
        </w:rPr>
        <w:t>if</w:t>
      </w:r>
      <w:r w:rsidR="00DC2A5F">
        <w:rPr>
          <w:rFonts w:eastAsia="Times New Roman"/>
          <w:szCs w:val="24"/>
        </w:rPr>
        <w:t xml:space="preserve"> he had filed the motion to vacate </w:t>
      </w:r>
      <w:r w:rsidR="00166A1D">
        <w:rPr>
          <w:rFonts w:eastAsia="Times New Roman"/>
          <w:szCs w:val="24"/>
        </w:rPr>
        <w:t>since</w:t>
      </w:r>
      <w:r w:rsidR="00DC2A5F">
        <w:rPr>
          <w:rFonts w:eastAsia="Times New Roman"/>
          <w:szCs w:val="24"/>
        </w:rPr>
        <w:t xml:space="preserve"> </w:t>
      </w:r>
      <w:r w:rsidR="00B27F8C">
        <w:rPr>
          <w:rFonts w:eastAsia="Times New Roman"/>
          <w:szCs w:val="24"/>
        </w:rPr>
        <w:t xml:space="preserve">she “began asking almost 6 weeks ago.”  </w:t>
      </w:r>
      <w:r w:rsidR="00DC2A5F">
        <w:rPr>
          <w:rFonts w:eastAsia="Times New Roman"/>
          <w:szCs w:val="24"/>
        </w:rPr>
        <w:t xml:space="preserve">Gentino replied that he had </w:t>
      </w:r>
      <w:r w:rsidR="00DC2A5F">
        <w:rPr>
          <w:rFonts w:eastAsia="Times New Roman"/>
          <w:szCs w:val="24"/>
        </w:rPr>
        <w:lastRenderedPageBreak/>
        <w:t>reserved the date of May</w:t>
      </w:r>
      <w:r w:rsidR="003B2852">
        <w:rPr>
          <w:rFonts w:eastAsia="Times New Roman"/>
          <w:szCs w:val="24"/>
        </w:rPr>
        <w:t> </w:t>
      </w:r>
      <w:r w:rsidR="00DC2A5F">
        <w:rPr>
          <w:rFonts w:eastAsia="Times New Roman"/>
          <w:szCs w:val="24"/>
        </w:rPr>
        <w:t>31, 2015</w:t>
      </w:r>
      <w:r w:rsidR="00C314E7">
        <w:rPr>
          <w:rFonts w:eastAsia="Times New Roman"/>
          <w:szCs w:val="24"/>
        </w:rPr>
        <w:t>,</w:t>
      </w:r>
      <w:r w:rsidR="00DB37E7">
        <w:rPr>
          <w:rStyle w:val="FootnoteReference"/>
          <w:rFonts w:eastAsia="Times New Roman"/>
          <w:szCs w:val="24"/>
        </w:rPr>
        <w:footnoteReference w:id="9"/>
      </w:r>
      <w:r w:rsidR="00DC2A5F">
        <w:rPr>
          <w:rFonts w:eastAsia="Times New Roman"/>
          <w:szCs w:val="24"/>
        </w:rPr>
        <w:t xml:space="preserve"> for a hearing on the motion</w:t>
      </w:r>
      <w:r w:rsidR="00C5063C">
        <w:rPr>
          <w:rFonts w:eastAsia="Times New Roman"/>
          <w:szCs w:val="24"/>
        </w:rPr>
        <w:t>,</w:t>
      </w:r>
      <w:r w:rsidR="00DC2A5F">
        <w:rPr>
          <w:rFonts w:eastAsia="Times New Roman"/>
          <w:szCs w:val="24"/>
        </w:rPr>
        <w:t xml:space="preserve"> but did not file the motion </w:t>
      </w:r>
      <w:r w:rsidR="00DB37E7">
        <w:rPr>
          <w:rFonts w:eastAsia="Times New Roman"/>
          <w:szCs w:val="24"/>
        </w:rPr>
        <w:t>“</w:t>
      </w:r>
      <w:r w:rsidR="00DB37E7" w:rsidRPr="00DB37E7">
        <w:rPr>
          <w:rFonts w:eastAsia="Times New Roman"/>
          <w:szCs w:val="24"/>
        </w:rPr>
        <w:t xml:space="preserve">while </w:t>
      </w:r>
      <w:r w:rsidR="00DB37E7">
        <w:rPr>
          <w:rFonts w:eastAsia="Times New Roman"/>
          <w:szCs w:val="24"/>
        </w:rPr>
        <w:t>[he]</w:t>
      </w:r>
      <w:r w:rsidR="00DB37E7" w:rsidRPr="00DB37E7">
        <w:rPr>
          <w:rFonts w:eastAsia="Times New Roman"/>
          <w:szCs w:val="24"/>
        </w:rPr>
        <w:t xml:space="preserve"> awaited </w:t>
      </w:r>
      <w:r w:rsidR="00DB37E7">
        <w:rPr>
          <w:rFonts w:eastAsia="Times New Roman"/>
          <w:szCs w:val="24"/>
        </w:rPr>
        <w:t xml:space="preserve">[her] </w:t>
      </w:r>
      <w:r w:rsidR="00DB37E7" w:rsidRPr="00DB37E7">
        <w:rPr>
          <w:rFonts w:eastAsia="Times New Roman"/>
          <w:szCs w:val="24"/>
        </w:rPr>
        <w:t xml:space="preserve">decision since January whether </w:t>
      </w:r>
      <w:r w:rsidR="00DB37E7">
        <w:rPr>
          <w:rFonts w:eastAsia="Times New Roman"/>
          <w:szCs w:val="24"/>
        </w:rPr>
        <w:t xml:space="preserve">[she] </w:t>
      </w:r>
      <w:r w:rsidR="00DB37E7" w:rsidRPr="00DB37E7">
        <w:rPr>
          <w:rFonts w:eastAsia="Times New Roman"/>
          <w:szCs w:val="24"/>
        </w:rPr>
        <w:t>wanted to keep the</w:t>
      </w:r>
      <w:r w:rsidR="00DB37E7">
        <w:rPr>
          <w:rFonts w:eastAsia="Times New Roman"/>
          <w:szCs w:val="24"/>
        </w:rPr>
        <w:t xml:space="preserve"> res</w:t>
      </w:r>
      <w:r w:rsidR="00DB37E7" w:rsidRPr="00DB37E7">
        <w:rPr>
          <w:rFonts w:eastAsia="Times New Roman"/>
          <w:szCs w:val="24"/>
        </w:rPr>
        <w:t>ult, or pay additional fees and costs to challenge it by a motion for affidavit of fault</w:t>
      </w:r>
      <w:r w:rsidR="00DB37E7">
        <w:rPr>
          <w:rFonts w:eastAsia="Times New Roman"/>
          <w:szCs w:val="24"/>
        </w:rPr>
        <w:t xml:space="preserve">.”  </w:t>
      </w:r>
      <w:r w:rsidR="000C64D0">
        <w:rPr>
          <w:rFonts w:eastAsia="Times New Roman"/>
          <w:szCs w:val="24"/>
        </w:rPr>
        <w:t xml:space="preserve">He </w:t>
      </w:r>
      <w:r w:rsidR="007F4C64">
        <w:rPr>
          <w:rFonts w:eastAsia="Times New Roman"/>
          <w:szCs w:val="24"/>
        </w:rPr>
        <w:t xml:space="preserve">also </w:t>
      </w:r>
      <w:r w:rsidR="00703BCE">
        <w:rPr>
          <w:rFonts w:eastAsia="Times New Roman"/>
          <w:szCs w:val="24"/>
        </w:rPr>
        <w:t>disclosed</w:t>
      </w:r>
      <w:r w:rsidR="000C64D0">
        <w:rPr>
          <w:rFonts w:eastAsia="Times New Roman"/>
          <w:szCs w:val="24"/>
        </w:rPr>
        <w:t xml:space="preserve"> that</w:t>
      </w:r>
      <w:r w:rsidR="00BC07C0">
        <w:rPr>
          <w:rFonts w:eastAsia="Times New Roman"/>
          <w:szCs w:val="24"/>
        </w:rPr>
        <w:t>,</w:t>
      </w:r>
      <w:r w:rsidR="000C64D0">
        <w:rPr>
          <w:rFonts w:eastAsia="Times New Roman"/>
          <w:szCs w:val="24"/>
        </w:rPr>
        <w:t xml:space="preserve"> </w:t>
      </w:r>
      <w:r w:rsidR="00703BCE">
        <w:rPr>
          <w:rFonts w:eastAsia="Times New Roman"/>
          <w:szCs w:val="24"/>
        </w:rPr>
        <w:t>even though</w:t>
      </w:r>
      <w:r w:rsidR="000C64D0">
        <w:rPr>
          <w:rFonts w:eastAsia="Times New Roman"/>
          <w:szCs w:val="24"/>
        </w:rPr>
        <w:t xml:space="preserve"> he did not believe he was at fault, </w:t>
      </w:r>
      <w:r w:rsidR="007F4C64">
        <w:rPr>
          <w:rFonts w:eastAsia="Times New Roman"/>
          <w:szCs w:val="24"/>
        </w:rPr>
        <w:t xml:space="preserve">he had been willing to take the blame if she wished to pursue </w:t>
      </w:r>
      <w:r w:rsidR="00703BCE">
        <w:rPr>
          <w:rFonts w:eastAsia="Times New Roman"/>
          <w:szCs w:val="24"/>
        </w:rPr>
        <w:t>the motion</w:t>
      </w:r>
      <w:r w:rsidR="007F4C64">
        <w:rPr>
          <w:rFonts w:eastAsia="Times New Roman"/>
          <w:szCs w:val="24"/>
        </w:rPr>
        <w:t xml:space="preserve">.  </w:t>
      </w:r>
      <w:r w:rsidR="00EE3D19">
        <w:rPr>
          <w:rFonts w:eastAsia="Times New Roman"/>
          <w:szCs w:val="24"/>
        </w:rPr>
        <w:t>Finally, h</w:t>
      </w:r>
      <w:r w:rsidR="007F4C64">
        <w:rPr>
          <w:rFonts w:eastAsia="Times New Roman"/>
          <w:szCs w:val="24"/>
        </w:rPr>
        <w:t xml:space="preserve">e </w:t>
      </w:r>
      <w:r w:rsidR="00440F68">
        <w:rPr>
          <w:rFonts w:eastAsia="Times New Roman"/>
          <w:szCs w:val="24"/>
        </w:rPr>
        <w:t>wrote to</w:t>
      </w:r>
      <w:r w:rsidR="007F4C64">
        <w:rPr>
          <w:rFonts w:eastAsia="Times New Roman"/>
          <w:szCs w:val="24"/>
        </w:rPr>
        <w:t xml:space="preserve"> her that if her new attorney believed </w:t>
      </w:r>
      <w:r w:rsidR="00166A1D">
        <w:rPr>
          <w:rFonts w:eastAsia="Times New Roman"/>
          <w:szCs w:val="24"/>
        </w:rPr>
        <w:t>Gentino</w:t>
      </w:r>
      <w:r w:rsidR="007F4C64">
        <w:rPr>
          <w:rFonts w:eastAsia="Times New Roman"/>
          <w:szCs w:val="24"/>
        </w:rPr>
        <w:t xml:space="preserve"> was at fault, </w:t>
      </w:r>
      <w:r w:rsidR="00703BCE">
        <w:rPr>
          <w:rFonts w:eastAsia="Times New Roman"/>
          <w:szCs w:val="24"/>
        </w:rPr>
        <w:t>Galvez</w:t>
      </w:r>
      <w:r w:rsidR="007F4C64">
        <w:rPr>
          <w:rFonts w:eastAsia="Times New Roman"/>
          <w:szCs w:val="24"/>
        </w:rPr>
        <w:t xml:space="preserve"> could pursue an action against him for any damages </w:t>
      </w:r>
      <w:r w:rsidR="00703BCE">
        <w:rPr>
          <w:rFonts w:eastAsia="Times New Roman"/>
          <w:szCs w:val="24"/>
        </w:rPr>
        <w:t>she</w:t>
      </w:r>
      <w:r w:rsidR="007F4C64">
        <w:rPr>
          <w:rFonts w:eastAsia="Times New Roman"/>
          <w:szCs w:val="24"/>
        </w:rPr>
        <w:t xml:space="preserve"> believed he</w:t>
      </w:r>
      <w:r w:rsidR="00703BCE">
        <w:rPr>
          <w:rFonts w:eastAsia="Times New Roman"/>
          <w:szCs w:val="24"/>
        </w:rPr>
        <w:t xml:space="preserve"> had</w:t>
      </w:r>
      <w:r w:rsidR="007F4C64">
        <w:rPr>
          <w:rFonts w:eastAsia="Times New Roman"/>
          <w:szCs w:val="24"/>
        </w:rPr>
        <w:t xml:space="preserve"> caused.  </w:t>
      </w:r>
    </w:p>
    <w:p w:rsidR="004B2267" w:rsidRPr="00183425" w:rsidRDefault="00560E2B" w:rsidP="00183425">
      <w:pPr>
        <w:tabs>
          <w:tab w:val="left" w:pos="720"/>
        </w:tabs>
        <w:spacing w:line="480" w:lineRule="auto"/>
        <w:jc w:val="center"/>
        <w:rPr>
          <w:rFonts w:eastAsia="Times New Roman"/>
          <w:b/>
          <w:szCs w:val="24"/>
        </w:rPr>
      </w:pPr>
      <w:r>
        <w:rPr>
          <w:rFonts w:eastAsia="Times New Roman"/>
          <w:b/>
          <w:szCs w:val="24"/>
        </w:rPr>
        <w:t>III</w:t>
      </w:r>
      <w:r w:rsidR="00183425">
        <w:rPr>
          <w:rFonts w:eastAsia="Times New Roman"/>
          <w:b/>
          <w:szCs w:val="24"/>
        </w:rPr>
        <w:t xml:space="preserve">.  </w:t>
      </w:r>
      <w:r w:rsidR="00901763" w:rsidRPr="00183425">
        <w:rPr>
          <w:rFonts w:eastAsia="Times New Roman"/>
          <w:b/>
          <w:szCs w:val="24"/>
        </w:rPr>
        <w:t>CULPABILITY</w:t>
      </w:r>
    </w:p>
    <w:p w:rsidR="00F64CB6" w:rsidRPr="00EB3F2E" w:rsidRDefault="00183425" w:rsidP="00EB3F2E">
      <w:pPr>
        <w:pStyle w:val="ListParagraph"/>
        <w:numPr>
          <w:ilvl w:val="0"/>
          <w:numId w:val="23"/>
        </w:numPr>
        <w:tabs>
          <w:tab w:val="left" w:pos="720"/>
        </w:tabs>
        <w:spacing w:line="480" w:lineRule="auto"/>
        <w:rPr>
          <w:rFonts w:eastAsia="Times New Roman"/>
          <w:b/>
          <w:szCs w:val="24"/>
        </w:rPr>
      </w:pPr>
      <w:r>
        <w:rPr>
          <w:rFonts w:eastAsia="Times New Roman"/>
          <w:b/>
          <w:szCs w:val="24"/>
        </w:rPr>
        <w:tab/>
      </w:r>
      <w:r w:rsidR="00CA1B5E">
        <w:rPr>
          <w:rFonts w:eastAsia="Times New Roman"/>
          <w:b/>
          <w:szCs w:val="24"/>
        </w:rPr>
        <w:t>Count One</w:t>
      </w:r>
      <w:r w:rsidR="00CA5245">
        <w:rPr>
          <w:rFonts w:eastAsia="Times New Roman"/>
          <w:b/>
          <w:szCs w:val="24"/>
        </w:rPr>
        <w:t>—</w:t>
      </w:r>
      <w:r w:rsidR="00E11E9D">
        <w:rPr>
          <w:rFonts w:eastAsia="Times New Roman"/>
          <w:b/>
          <w:szCs w:val="24"/>
        </w:rPr>
        <w:t xml:space="preserve">Failure to </w:t>
      </w:r>
      <w:r w:rsidR="007D77F6">
        <w:rPr>
          <w:rFonts w:eastAsia="Times New Roman"/>
          <w:b/>
          <w:szCs w:val="24"/>
        </w:rPr>
        <w:t xml:space="preserve">Perform Legal Services with Competence </w:t>
      </w:r>
      <w:r w:rsidR="00427506">
        <w:rPr>
          <w:rFonts w:eastAsia="Times New Roman"/>
          <w:b/>
          <w:szCs w:val="24"/>
        </w:rPr>
        <w:t>(</w:t>
      </w:r>
      <w:r w:rsidR="00B50457">
        <w:rPr>
          <w:rFonts w:eastAsia="Times New Roman"/>
          <w:b/>
          <w:szCs w:val="24"/>
        </w:rPr>
        <w:t>Rule</w:t>
      </w:r>
      <w:r w:rsidR="007D77F6">
        <w:rPr>
          <w:rFonts w:eastAsia="Times New Roman"/>
          <w:b/>
          <w:szCs w:val="24"/>
        </w:rPr>
        <w:t> 3-11</w:t>
      </w:r>
      <w:r w:rsidR="00B50457">
        <w:rPr>
          <w:rFonts w:eastAsia="Times New Roman"/>
          <w:b/>
          <w:szCs w:val="24"/>
        </w:rPr>
        <w:t>0(A)</w:t>
      </w:r>
      <w:r w:rsidR="00427506">
        <w:rPr>
          <w:rFonts w:eastAsia="Times New Roman"/>
          <w:b/>
          <w:szCs w:val="24"/>
        </w:rPr>
        <w:t>)</w:t>
      </w:r>
    </w:p>
    <w:p w:rsidR="002F11D7" w:rsidRDefault="00D01957" w:rsidP="000B784F">
      <w:pPr>
        <w:tabs>
          <w:tab w:val="left" w:pos="720"/>
        </w:tabs>
        <w:spacing w:line="480" w:lineRule="auto"/>
        <w:rPr>
          <w:rFonts w:eastAsia="Times New Roman"/>
          <w:szCs w:val="24"/>
        </w:rPr>
      </w:pPr>
      <w:r>
        <w:rPr>
          <w:rFonts w:eastAsia="Times New Roman"/>
          <w:szCs w:val="24"/>
        </w:rPr>
        <w:tab/>
      </w:r>
      <w:r w:rsidR="00B51F77">
        <w:rPr>
          <w:rFonts w:eastAsia="Times New Roman"/>
          <w:szCs w:val="24"/>
        </w:rPr>
        <w:t>In count o</w:t>
      </w:r>
      <w:r w:rsidR="00A95CDB">
        <w:rPr>
          <w:rFonts w:eastAsia="Times New Roman"/>
          <w:szCs w:val="24"/>
        </w:rPr>
        <w:t xml:space="preserve">ne, </w:t>
      </w:r>
      <w:r w:rsidR="00E77DB3">
        <w:rPr>
          <w:rFonts w:eastAsia="Times New Roman"/>
          <w:szCs w:val="24"/>
        </w:rPr>
        <w:t xml:space="preserve">Gentino </w:t>
      </w:r>
      <w:r w:rsidR="00A95CDB">
        <w:rPr>
          <w:rFonts w:eastAsia="Times New Roman"/>
          <w:szCs w:val="24"/>
        </w:rPr>
        <w:t>was</w:t>
      </w:r>
      <w:r w:rsidR="00177944">
        <w:rPr>
          <w:rFonts w:eastAsia="Times New Roman"/>
          <w:szCs w:val="24"/>
        </w:rPr>
        <w:t xml:space="preserve"> cha</w:t>
      </w:r>
      <w:r w:rsidR="000B784F">
        <w:rPr>
          <w:rFonts w:eastAsia="Times New Roman"/>
          <w:szCs w:val="24"/>
        </w:rPr>
        <w:t xml:space="preserve">rged with </w:t>
      </w:r>
      <w:r w:rsidR="00C5063C">
        <w:rPr>
          <w:rFonts w:eastAsia="Times New Roman"/>
          <w:szCs w:val="24"/>
        </w:rPr>
        <w:t xml:space="preserve">“intentionally, recklessly, or repeatedly” </w:t>
      </w:r>
      <w:r w:rsidR="000B784F">
        <w:rPr>
          <w:rFonts w:eastAsia="Times New Roman"/>
          <w:szCs w:val="24"/>
        </w:rPr>
        <w:t xml:space="preserve">failing to </w:t>
      </w:r>
      <w:r w:rsidR="00E77DB3">
        <w:rPr>
          <w:rFonts w:eastAsia="Times New Roman"/>
          <w:szCs w:val="24"/>
        </w:rPr>
        <w:t xml:space="preserve">perform with competence.  We agree with the hearing judge that Gentino </w:t>
      </w:r>
      <w:r w:rsidR="00703BCE">
        <w:rPr>
          <w:rFonts w:eastAsia="Times New Roman"/>
          <w:szCs w:val="24"/>
        </w:rPr>
        <w:t xml:space="preserve">was culpable </w:t>
      </w:r>
      <w:r w:rsidR="00BC07C0">
        <w:rPr>
          <w:rFonts w:eastAsia="Times New Roman"/>
          <w:szCs w:val="24"/>
        </w:rPr>
        <w:t>as charged.  Initially</w:t>
      </w:r>
      <w:r w:rsidR="00703BCE">
        <w:rPr>
          <w:rFonts w:eastAsia="Times New Roman"/>
          <w:szCs w:val="24"/>
        </w:rPr>
        <w:t>, G</w:t>
      </w:r>
      <w:r w:rsidR="009A55F0">
        <w:rPr>
          <w:rFonts w:eastAsia="Times New Roman"/>
          <w:szCs w:val="24"/>
        </w:rPr>
        <w:t>e</w:t>
      </w:r>
      <w:r w:rsidR="00703BCE">
        <w:rPr>
          <w:rFonts w:eastAsia="Times New Roman"/>
          <w:szCs w:val="24"/>
        </w:rPr>
        <w:t>ntino</w:t>
      </w:r>
      <w:r w:rsidR="009A55F0">
        <w:rPr>
          <w:rFonts w:eastAsia="Times New Roman"/>
          <w:szCs w:val="24"/>
        </w:rPr>
        <w:t xml:space="preserve"> </w:t>
      </w:r>
      <w:r w:rsidR="000A2703">
        <w:rPr>
          <w:rFonts w:eastAsia="Times New Roman"/>
          <w:szCs w:val="24"/>
        </w:rPr>
        <w:t xml:space="preserve">failed to </w:t>
      </w:r>
      <w:r w:rsidR="00E77DB3">
        <w:rPr>
          <w:rFonts w:eastAsia="Times New Roman"/>
          <w:szCs w:val="24"/>
        </w:rPr>
        <w:t xml:space="preserve">file a timely responsive pleading to the </w:t>
      </w:r>
      <w:r w:rsidR="005A4586">
        <w:rPr>
          <w:rFonts w:eastAsia="Times New Roman"/>
          <w:szCs w:val="24"/>
        </w:rPr>
        <w:t>first amended complaint</w:t>
      </w:r>
      <w:r w:rsidR="00BB0EA6">
        <w:rPr>
          <w:rFonts w:eastAsia="Times New Roman"/>
          <w:szCs w:val="24"/>
        </w:rPr>
        <w:t xml:space="preserve">, as required by </w:t>
      </w:r>
      <w:r w:rsidR="009A55F0">
        <w:rPr>
          <w:rFonts w:eastAsia="Times New Roman"/>
          <w:szCs w:val="24"/>
        </w:rPr>
        <w:t>Code</w:t>
      </w:r>
      <w:r w:rsidR="00BB0EA6">
        <w:rPr>
          <w:rFonts w:eastAsia="Times New Roman"/>
          <w:szCs w:val="24"/>
        </w:rPr>
        <w:t xml:space="preserve"> of Civil Procedure section</w:t>
      </w:r>
      <w:r w:rsidR="003B2852">
        <w:rPr>
          <w:rFonts w:eastAsia="Times New Roman"/>
          <w:szCs w:val="24"/>
        </w:rPr>
        <w:t> </w:t>
      </w:r>
      <w:r w:rsidR="00BB0EA6">
        <w:rPr>
          <w:rFonts w:eastAsia="Times New Roman"/>
          <w:szCs w:val="24"/>
        </w:rPr>
        <w:t>471.5</w:t>
      </w:r>
      <w:r w:rsidR="009A55F0">
        <w:rPr>
          <w:rFonts w:eastAsia="Times New Roman"/>
          <w:szCs w:val="24"/>
        </w:rPr>
        <w:t xml:space="preserve">.  </w:t>
      </w:r>
      <w:r w:rsidR="00CF0D66">
        <w:rPr>
          <w:rFonts w:eastAsia="Times New Roman"/>
          <w:szCs w:val="24"/>
        </w:rPr>
        <w:t>After filing the demurrer and motion to strike</w:t>
      </w:r>
      <w:r w:rsidR="006248AB">
        <w:rPr>
          <w:rFonts w:eastAsia="Times New Roman"/>
          <w:szCs w:val="24"/>
        </w:rPr>
        <w:t xml:space="preserve"> three months late</w:t>
      </w:r>
      <w:r w:rsidR="00CF0D66">
        <w:rPr>
          <w:rFonts w:eastAsia="Times New Roman"/>
          <w:szCs w:val="24"/>
        </w:rPr>
        <w:t xml:space="preserve">, he did not ensure </w:t>
      </w:r>
      <w:r w:rsidR="00703BCE">
        <w:rPr>
          <w:rFonts w:eastAsia="Times New Roman"/>
          <w:szCs w:val="24"/>
        </w:rPr>
        <w:t xml:space="preserve">that </w:t>
      </w:r>
      <w:r w:rsidR="00CF0D66">
        <w:rPr>
          <w:rFonts w:eastAsia="Times New Roman"/>
          <w:szCs w:val="24"/>
        </w:rPr>
        <w:t xml:space="preserve">they were heard before the trial date.  </w:t>
      </w:r>
      <w:r w:rsidR="00BC07C0">
        <w:rPr>
          <w:rFonts w:eastAsia="Times New Roman"/>
          <w:szCs w:val="24"/>
        </w:rPr>
        <w:t>Further, h</w:t>
      </w:r>
      <w:r w:rsidR="005A4586">
        <w:rPr>
          <w:rFonts w:eastAsia="Times New Roman"/>
          <w:szCs w:val="24"/>
        </w:rPr>
        <w:t>e did not check the local rules to determine if he needed to file any papers in advance of trial</w:t>
      </w:r>
      <w:r w:rsidR="007F275D">
        <w:rPr>
          <w:rFonts w:eastAsia="Times New Roman"/>
          <w:szCs w:val="24"/>
        </w:rPr>
        <w:t>, and</w:t>
      </w:r>
      <w:r w:rsidR="00AA3489">
        <w:rPr>
          <w:rFonts w:eastAsia="Times New Roman"/>
          <w:szCs w:val="24"/>
        </w:rPr>
        <w:t xml:space="preserve">, </w:t>
      </w:r>
      <w:r w:rsidR="00703BCE">
        <w:rPr>
          <w:rFonts w:eastAsia="Times New Roman"/>
          <w:szCs w:val="24"/>
        </w:rPr>
        <w:t>thus</w:t>
      </w:r>
      <w:r w:rsidR="00AA3489">
        <w:rPr>
          <w:rFonts w:eastAsia="Times New Roman"/>
          <w:szCs w:val="24"/>
        </w:rPr>
        <w:t xml:space="preserve">, </w:t>
      </w:r>
      <w:r w:rsidR="00BC07C0">
        <w:rPr>
          <w:rFonts w:eastAsia="Times New Roman"/>
          <w:szCs w:val="24"/>
        </w:rPr>
        <w:t xml:space="preserve">he </w:t>
      </w:r>
      <w:r w:rsidR="005A4586">
        <w:rPr>
          <w:rFonts w:eastAsia="Times New Roman"/>
          <w:szCs w:val="24"/>
        </w:rPr>
        <w:t xml:space="preserve">did not file a trial brief and exhibit and witness lists five days </w:t>
      </w:r>
      <w:r w:rsidR="00C314E7">
        <w:rPr>
          <w:rFonts w:eastAsia="Times New Roman"/>
          <w:szCs w:val="24"/>
        </w:rPr>
        <w:t>before</w:t>
      </w:r>
      <w:r w:rsidR="005A4586">
        <w:rPr>
          <w:rFonts w:eastAsia="Times New Roman"/>
          <w:szCs w:val="24"/>
        </w:rPr>
        <w:t xml:space="preserve"> trial</w:t>
      </w:r>
      <w:r w:rsidR="00C314E7">
        <w:rPr>
          <w:rFonts w:eastAsia="Times New Roman"/>
          <w:szCs w:val="24"/>
        </w:rPr>
        <w:t>,</w:t>
      </w:r>
      <w:r w:rsidR="005A4586">
        <w:rPr>
          <w:rFonts w:eastAsia="Times New Roman"/>
          <w:szCs w:val="24"/>
        </w:rPr>
        <w:t xml:space="preserve"> </w:t>
      </w:r>
      <w:r w:rsidR="007F275D">
        <w:rPr>
          <w:rFonts w:eastAsia="Times New Roman"/>
          <w:szCs w:val="24"/>
        </w:rPr>
        <w:t>as required by the judge</w:t>
      </w:r>
      <w:r w:rsidR="00C314E7">
        <w:rPr>
          <w:rFonts w:eastAsia="Times New Roman"/>
          <w:szCs w:val="24"/>
        </w:rPr>
        <w:t>’s</w:t>
      </w:r>
      <w:r w:rsidR="007F275D">
        <w:rPr>
          <w:rFonts w:eastAsia="Times New Roman"/>
          <w:szCs w:val="24"/>
        </w:rPr>
        <w:t xml:space="preserve"> CMC </w:t>
      </w:r>
      <w:r w:rsidR="00CF0D66">
        <w:rPr>
          <w:rFonts w:eastAsia="Times New Roman"/>
          <w:szCs w:val="24"/>
        </w:rPr>
        <w:t xml:space="preserve">minute </w:t>
      </w:r>
      <w:r w:rsidR="00BC07C0">
        <w:rPr>
          <w:rFonts w:eastAsia="Times New Roman"/>
          <w:szCs w:val="24"/>
        </w:rPr>
        <w:t xml:space="preserve">order.  </w:t>
      </w:r>
      <w:r w:rsidR="00703BCE">
        <w:rPr>
          <w:rFonts w:eastAsia="Times New Roman"/>
          <w:szCs w:val="24"/>
        </w:rPr>
        <w:t>Gentino</w:t>
      </w:r>
      <w:r w:rsidR="002F11D7">
        <w:rPr>
          <w:rFonts w:eastAsia="Times New Roman"/>
          <w:szCs w:val="24"/>
        </w:rPr>
        <w:t xml:space="preserve"> testified that he </w:t>
      </w:r>
      <w:r w:rsidR="00C314E7">
        <w:rPr>
          <w:rFonts w:eastAsia="Times New Roman"/>
          <w:szCs w:val="24"/>
        </w:rPr>
        <w:t>did</w:t>
      </w:r>
      <w:r w:rsidR="006E30A8">
        <w:rPr>
          <w:rFonts w:eastAsia="Times New Roman"/>
          <w:szCs w:val="24"/>
        </w:rPr>
        <w:t xml:space="preserve"> no</w:t>
      </w:r>
      <w:r w:rsidR="00C314E7">
        <w:rPr>
          <w:rFonts w:eastAsia="Times New Roman"/>
          <w:szCs w:val="24"/>
        </w:rPr>
        <w:t>t</w:t>
      </w:r>
      <w:r w:rsidR="002F11D7">
        <w:rPr>
          <w:rFonts w:eastAsia="Times New Roman"/>
          <w:szCs w:val="24"/>
        </w:rPr>
        <w:t xml:space="preserve"> </w:t>
      </w:r>
      <w:r w:rsidR="00703BCE">
        <w:rPr>
          <w:rFonts w:eastAsia="Times New Roman"/>
          <w:szCs w:val="24"/>
        </w:rPr>
        <w:t>review</w:t>
      </w:r>
      <w:r w:rsidR="002F11D7">
        <w:rPr>
          <w:rFonts w:eastAsia="Times New Roman"/>
          <w:szCs w:val="24"/>
        </w:rPr>
        <w:t xml:space="preserve"> the local rules based on his experience that not all judges followed them.  </w:t>
      </w:r>
      <w:r w:rsidR="00CF2957">
        <w:rPr>
          <w:rFonts w:eastAsia="Times New Roman"/>
          <w:szCs w:val="24"/>
        </w:rPr>
        <w:t xml:space="preserve">While </w:t>
      </w:r>
      <w:r w:rsidR="00E93E9A">
        <w:rPr>
          <w:rFonts w:eastAsia="Times New Roman"/>
          <w:szCs w:val="24"/>
        </w:rPr>
        <w:t xml:space="preserve">the </w:t>
      </w:r>
      <w:r w:rsidR="00CF2957">
        <w:rPr>
          <w:rFonts w:eastAsia="Times New Roman"/>
          <w:szCs w:val="24"/>
        </w:rPr>
        <w:t>notice of the CMC order</w:t>
      </w:r>
      <w:r w:rsidR="00F47DE9">
        <w:rPr>
          <w:rFonts w:eastAsia="Times New Roman"/>
          <w:szCs w:val="24"/>
        </w:rPr>
        <w:t xml:space="preserve"> </w:t>
      </w:r>
      <w:r w:rsidR="00703BCE">
        <w:rPr>
          <w:rFonts w:eastAsia="Times New Roman"/>
          <w:szCs w:val="24"/>
        </w:rPr>
        <w:t xml:space="preserve">was served </w:t>
      </w:r>
      <w:r w:rsidR="00F47DE9">
        <w:rPr>
          <w:rFonts w:eastAsia="Times New Roman"/>
          <w:szCs w:val="24"/>
        </w:rPr>
        <w:t>on Gentino</w:t>
      </w:r>
      <w:r w:rsidR="00AA3489">
        <w:rPr>
          <w:rFonts w:eastAsia="Times New Roman"/>
          <w:szCs w:val="24"/>
        </w:rPr>
        <w:t>,</w:t>
      </w:r>
      <w:r w:rsidR="00CF2957">
        <w:rPr>
          <w:rFonts w:eastAsia="Times New Roman"/>
          <w:szCs w:val="24"/>
        </w:rPr>
        <w:t xml:space="preserve"> </w:t>
      </w:r>
      <w:r w:rsidR="00703BCE">
        <w:rPr>
          <w:rFonts w:eastAsia="Times New Roman"/>
          <w:szCs w:val="24"/>
        </w:rPr>
        <w:t xml:space="preserve">the plaintiff’s counsel </w:t>
      </w:r>
      <w:r w:rsidR="00AA3489">
        <w:rPr>
          <w:rFonts w:eastAsia="Times New Roman"/>
          <w:szCs w:val="24"/>
        </w:rPr>
        <w:t>f</w:t>
      </w:r>
      <w:r w:rsidR="00CF2957">
        <w:rPr>
          <w:rFonts w:eastAsia="Times New Roman"/>
          <w:szCs w:val="24"/>
        </w:rPr>
        <w:t xml:space="preserve">ailed to include </w:t>
      </w:r>
      <w:r w:rsidR="00F47DE9">
        <w:rPr>
          <w:rFonts w:eastAsia="Times New Roman"/>
          <w:szCs w:val="24"/>
        </w:rPr>
        <w:t>the judge’s instructions</w:t>
      </w:r>
      <w:r w:rsidR="00CF2957">
        <w:rPr>
          <w:rFonts w:eastAsia="Times New Roman"/>
          <w:szCs w:val="24"/>
        </w:rPr>
        <w:t xml:space="preserve"> about the filings to be made before trial</w:t>
      </w:r>
      <w:r w:rsidR="00A67608">
        <w:rPr>
          <w:rFonts w:eastAsia="Times New Roman"/>
          <w:szCs w:val="24"/>
        </w:rPr>
        <w:t xml:space="preserve">.  </w:t>
      </w:r>
      <w:r w:rsidR="00E85027">
        <w:rPr>
          <w:rFonts w:eastAsia="Times New Roman"/>
          <w:szCs w:val="24"/>
        </w:rPr>
        <w:t xml:space="preserve">Gentino </w:t>
      </w:r>
      <w:r w:rsidR="00CF2957">
        <w:rPr>
          <w:rFonts w:eastAsia="Times New Roman"/>
          <w:szCs w:val="24"/>
        </w:rPr>
        <w:t>should have verified the judge’s orders regarding the trial</w:t>
      </w:r>
      <w:r w:rsidR="00FE6A0C">
        <w:rPr>
          <w:rFonts w:eastAsia="Times New Roman"/>
          <w:szCs w:val="24"/>
        </w:rPr>
        <w:t xml:space="preserve"> since he</w:t>
      </w:r>
      <w:r w:rsidR="00A67608">
        <w:rPr>
          <w:rFonts w:eastAsia="Times New Roman"/>
          <w:szCs w:val="24"/>
        </w:rPr>
        <w:t xml:space="preserve"> did not attend</w:t>
      </w:r>
      <w:r w:rsidR="00FE6A0C">
        <w:rPr>
          <w:rFonts w:eastAsia="Times New Roman"/>
          <w:szCs w:val="24"/>
        </w:rPr>
        <w:t xml:space="preserve"> the CMC</w:t>
      </w:r>
      <w:r w:rsidR="00CF2957">
        <w:rPr>
          <w:rFonts w:eastAsia="Times New Roman"/>
          <w:szCs w:val="24"/>
        </w:rPr>
        <w:t xml:space="preserve">.  </w:t>
      </w:r>
    </w:p>
    <w:p w:rsidR="006F4DA1" w:rsidRDefault="002F11D7" w:rsidP="000B784F">
      <w:pPr>
        <w:tabs>
          <w:tab w:val="left" w:pos="720"/>
        </w:tabs>
        <w:spacing w:line="480" w:lineRule="auto"/>
        <w:rPr>
          <w:rFonts w:eastAsia="Times New Roman"/>
          <w:szCs w:val="24"/>
        </w:rPr>
      </w:pPr>
      <w:r>
        <w:rPr>
          <w:rFonts w:eastAsia="Times New Roman"/>
          <w:szCs w:val="24"/>
        </w:rPr>
        <w:tab/>
      </w:r>
      <w:r w:rsidR="00BC07C0">
        <w:rPr>
          <w:rFonts w:eastAsia="Times New Roman"/>
          <w:szCs w:val="24"/>
        </w:rPr>
        <w:t>Gentino</w:t>
      </w:r>
      <w:r w:rsidR="007F275D">
        <w:rPr>
          <w:rFonts w:eastAsia="Times New Roman"/>
          <w:szCs w:val="24"/>
        </w:rPr>
        <w:t xml:space="preserve"> then filed an untimely and deficient motion to reconsider </w:t>
      </w:r>
      <w:r w:rsidR="00B51F77">
        <w:rPr>
          <w:rFonts w:eastAsia="Times New Roman"/>
          <w:szCs w:val="24"/>
        </w:rPr>
        <w:t>and</w:t>
      </w:r>
      <w:r w:rsidR="007F275D">
        <w:rPr>
          <w:rFonts w:eastAsia="Times New Roman"/>
          <w:szCs w:val="24"/>
        </w:rPr>
        <w:t xml:space="preserve"> vacate</w:t>
      </w:r>
      <w:r w:rsidR="00164E5B">
        <w:rPr>
          <w:rFonts w:eastAsia="Times New Roman"/>
          <w:szCs w:val="24"/>
        </w:rPr>
        <w:t>,</w:t>
      </w:r>
      <w:r w:rsidR="007F275D">
        <w:rPr>
          <w:rFonts w:eastAsia="Times New Roman"/>
          <w:szCs w:val="24"/>
        </w:rPr>
        <w:t xml:space="preserve"> but did not appear at the hearing</w:t>
      </w:r>
      <w:r w:rsidR="009560FD">
        <w:rPr>
          <w:rFonts w:eastAsia="Times New Roman"/>
          <w:szCs w:val="24"/>
        </w:rPr>
        <w:t xml:space="preserve"> after </w:t>
      </w:r>
      <w:r w:rsidR="00A67608">
        <w:rPr>
          <w:rFonts w:eastAsia="Times New Roman"/>
          <w:szCs w:val="24"/>
        </w:rPr>
        <w:t>learning of the</w:t>
      </w:r>
      <w:r w:rsidR="00CF0D66">
        <w:rPr>
          <w:rFonts w:eastAsia="Times New Roman"/>
          <w:szCs w:val="24"/>
        </w:rPr>
        <w:t xml:space="preserve"> unfavorable </w:t>
      </w:r>
      <w:r w:rsidR="009560FD">
        <w:rPr>
          <w:rFonts w:eastAsia="Times New Roman"/>
          <w:szCs w:val="24"/>
        </w:rPr>
        <w:t>tentative ruling</w:t>
      </w:r>
      <w:r w:rsidR="007F275D">
        <w:rPr>
          <w:rFonts w:eastAsia="Times New Roman"/>
          <w:szCs w:val="24"/>
        </w:rPr>
        <w:t xml:space="preserve">.  </w:t>
      </w:r>
      <w:r w:rsidR="00647CDC">
        <w:rPr>
          <w:rFonts w:eastAsia="Times New Roman"/>
          <w:szCs w:val="24"/>
        </w:rPr>
        <w:t>Although</w:t>
      </w:r>
      <w:r w:rsidR="00164E5B">
        <w:rPr>
          <w:rFonts w:eastAsia="Times New Roman"/>
          <w:szCs w:val="24"/>
        </w:rPr>
        <w:t xml:space="preserve"> he sen</w:t>
      </w:r>
      <w:r w:rsidR="00647CDC">
        <w:rPr>
          <w:rFonts w:eastAsia="Times New Roman"/>
          <w:szCs w:val="24"/>
        </w:rPr>
        <w:t>t</w:t>
      </w:r>
      <w:r w:rsidR="00164E5B">
        <w:rPr>
          <w:rFonts w:eastAsia="Times New Roman"/>
          <w:szCs w:val="24"/>
        </w:rPr>
        <w:t xml:space="preserve"> a fax </w:t>
      </w:r>
      <w:r w:rsidR="00D96981">
        <w:rPr>
          <w:rFonts w:eastAsia="Times New Roman"/>
          <w:szCs w:val="24"/>
        </w:rPr>
        <w:lastRenderedPageBreak/>
        <w:t>attempting to withdraw</w:t>
      </w:r>
      <w:r w:rsidR="00164E5B">
        <w:rPr>
          <w:rFonts w:eastAsia="Times New Roman"/>
          <w:szCs w:val="24"/>
        </w:rPr>
        <w:t xml:space="preserve"> the motion, he never received confirmation that the judge had received it.  </w:t>
      </w:r>
      <w:r w:rsidR="007F275D">
        <w:rPr>
          <w:rFonts w:eastAsia="Times New Roman"/>
          <w:szCs w:val="24"/>
        </w:rPr>
        <w:t xml:space="preserve">Finally, he </w:t>
      </w:r>
      <w:r w:rsidR="008A0D96">
        <w:rPr>
          <w:rFonts w:eastAsia="Times New Roman"/>
          <w:szCs w:val="24"/>
        </w:rPr>
        <w:t>failed to</w:t>
      </w:r>
      <w:r w:rsidR="007F275D">
        <w:rPr>
          <w:rFonts w:eastAsia="Times New Roman"/>
          <w:szCs w:val="24"/>
        </w:rPr>
        <w:t xml:space="preserve"> file a subsequent motion to vacate</w:t>
      </w:r>
      <w:r w:rsidR="007F3E65">
        <w:rPr>
          <w:rFonts w:eastAsia="Times New Roman"/>
          <w:szCs w:val="24"/>
        </w:rPr>
        <w:t>, even though Galvez specifically requested that he do so and</w:t>
      </w:r>
      <w:r w:rsidR="007F275D">
        <w:rPr>
          <w:rFonts w:eastAsia="Times New Roman"/>
          <w:szCs w:val="24"/>
        </w:rPr>
        <w:t xml:space="preserve"> after telling </w:t>
      </w:r>
      <w:r w:rsidR="007F3E65">
        <w:rPr>
          <w:rFonts w:eastAsia="Times New Roman"/>
          <w:szCs w:val="24"/>
        </w:rPr>
        <w:t>her</w:t>
      </w:r>
      <w:r w:rsidR="007F275D">
        <w:rPr>
          <w:rFonts w:eastAsia="Times New Roman"/>
          <w:szCs w:val="24"/>
        </w:rPr>
        <w:t xml:space="preserve"> that he had reserved a hearing date in May of 2015</w:t>
      </w:r>
      <w:r w:rsidR="007F3E65">
        <w:rPr>
          <w:rFonts w:eastAsia="Times New Roman"/>
          <w:szCs w:val="24"/>
        </w:rPr>
        <w:t>.</w:t>
      </w:r>
      <w:r w:rsidR="007F275D">
        <w:rPr>
          <w:rFonts w:eastAsia="Times New Roman"/>
          <w:szCs w:val="24"/>
        </w:rPr>
        <w:t xml:space="preserve">  </w:t>
      </w:r>
    </w:p>
    <w:p w:rsidR="001F078A" w:rsidRDefault="006F4DA1" w:rsidP="00FB5873">
      <w:pPr>
        <w:tabs>
          <w:tab w:val="left" w:pos="720"/>
        </w:tabs>
        <w:spacing w:line="480" w:lineRule="auto"/>
        <w:rPr>
          <w:rFonts w:eastAsia="Times New Roman"/>
          <w:szCs w:val="24"/>
        </w:rPr>
      </w:pPr>
      <w:r>
        <w:rPr>
          <w:rFonts w:eastAsia="Times New Roman"/>
          <w:szCs w:val="24"/>
        </w:rPr>
        <w:tab/>
      </w:r>
      <w:r w:rsidR="00F16ACC">
        <w:rPr>
          <w:rFonts w:eastAsia="Times New Roman"/>
          <w:szCs w:val="24"/>
        </w:rPr>
        <w:t>These</w:t>
      </w:r>
      <w:r w:rsidR="00E85027">
        <w:rPr>
          <w:rFonts w:eastAsia="Times New Roman"/>
          <w:szCs w:val="24"/>
        </w:rPr>
        <w:t xml:space="preserve"> </w:t>
      </w:r>
      <w:r w:rsidR="00440F68">
        <w:rPr>
          <w:rFonts w:eastAsia="Times New Roman"/>
          <w:szCs w:val="24"/>
        </w:rPr>
        <w:t xml:space="preserve">repeated </w:t>
      </w:r>
      <w:r w:rsidR="00E85027">
        <w:rPr>
          <w:rFonts w:eastAsia="Times New Roman"/>
          <w:szCs w:val="24"/>
        </w:rPr>
        <w:t xml:space="preserve">failures to perform clearly establish culpability for violation of </w:t>
      </w:r>
      <w:r w:rsidR="00F16ACC">
        <w:rPr>
          <w:rFonts w:eastAsia="Times New Roman"/>
          <w:szCs w:val="24"/>
        </w:rPr>
        <w:t xml:space="preserve">        </w:t>
      </w:r>
      <w:r w:rsidR="00E85027">
        <w:rPr>
          <w:rFonts w:eastAsia="Times New Roman"/>
          <w:szCs w:val="24"/>
        </w:rPr>
        <w:t>rule</w:t>
      </w:r>
      <w:r w:rsidR="00825272">
        <w:rPr>
          <w:rFonts w:eastAsia="Times New Roman"/>
          <w:szCs w:val="24"/>
        </w:rPr>
        <w:t> </w:t>
      </w:r>
      <w:r w:rsidR="00E85027">
        <w:rPr>
          <w:rFonts w:eastAsia="Times New Roman"/>
          <w:szCs w:val="24"/>
        </w:rPr>
        <w:t>3-</w:t>
      </w:r>
      <w:r w:rsidR="003E2D1B">
        <w:rPr>
          <w:rFonts w:eastAsia="Times New Roman"/>
          <w:szCs w:val="24"/>
        </w:rPr>
        <w:t xml:space="preserve">110(A).  </w:t>
      </w:r>
      <w:r w:rsidR="003E2D1B" w:rsidRPr="0079525F">
        <w:rPr>
          <w:rFonts w:eastAsia="Times New Roman"/>
          <w:szCs w:val="24"/>
        </w:rPr>
        <w:t>(</w:t>
      </w:r>
      <w:r w:rsidR="003E2D1B" w:rsidRPr="0079525F">
        <w:rPr>
          <w:rFonts w:eastAsia="Times New Roman"/>
          <w:i/>
          <w:iCs/>
          <w:szCs w:val="24"/>
        </w:rPr>
        <w:t>McMorris v. State Bar</w:t>
      </w:r>
      <w:r w:rsidR="003E2D1B" w:rsidRPr="0079525F">
        <w:rPr>
          <w:rFonts w:eastAsia="Times New Roman"/>
          <w:szCs w:val="24"/>
        </w:rPr>
        <w:t xml:space="preserve"> (1981) 29</w:t>
      </w:r>
      <w:r w:rsidR="000C4799">
        <w:rPr>
          <w:rFonts w:eastAsia="Times New Roman"/>
          <w:szCs w:val="24"/>
        </w:rPr>
        <w:t> </w:t>
      </w:r>
      <w:r w:rsidR="003E2D1B" w:rsidRPr="0079525F">
        <w:rPr>
          <w:rFonts w:eastAsia="Times New Roman"/>
          <w:szCs w:val="24"/>
        </w:rPr>
        <w:t>Cal.3d 96, 99</w:t>
      </w:r>
      <w:r w:rsidR="003E2D1B">
        <w:rPr>
          <w:rFonts w:eastAsia="Times New Roman"/>
          <w:szCs w:val="24"/>
        </w:rPr>
        <w:t xml:space="preserve"> [</w:t>
      </w:r>
      <w:r w:rsidR="003E2D1B" w:rsidRPr="0079525F">
        <w:rPr>
          <w:rFonts w:eastAsia="Times New Roman"/>
          <w:szCs w:val="24"/>
        </w:rPr>
        <w:t xml:space="preserve">repeated inattention to </w:t>
      </w:r>
      <w:r w:rsidR="00F16ACC">
        <w:rPr>
          <w:rFonts w:eastAsia="Times New Roman"/>
          <w:szCs w:val="24"/>
        </w:rPr>
        <w:t xml:space="preserve">client’s </w:t>
      </w:r>
      <w:r w:rsidR="003E2D1B" w:rsidRPr="0079525F">
        <w:rPr>
          <w:rFonts w:eastAsia="Times New Roman"/>
          <w:szCs w:val="24"/>
        </w:rPr>
        <w:t>needs have long been grounds for discipline</w:t>
      </w:r>
      <w:r w:rsidR="003E2D1B">
        <w:rPr>
          <w:rFonts w:eastAsia="Times New Roman"/>
          <w:szCs w:val="24"/>
        </w:rPr>
        <w:t>]</w:t>
      </w:r>
      <w:r w:rsidR="003E2D1B" w:rsidRPr="0079525F">
        <w:rPr>
          <w:rFonts w:eastAsia="Times New Roman"/>
          <w:szCs w:val="24"/>
        </w:rPr>
        <w:t xml:space="preserve">; </w:t>
      </w:r>
      <w:r w:rsidRPr="00D248D5">
        <w:rPr>
          <w:rFonts w:eastAsia="Times New Roman"/>
          <w:i/>
          <w:szCs w:val="24"/>
        </w:rPr>
        <w:t>In the Matter of Sampson</w:t>
      </w:r>
      <w:r w:rsidRPr="00D248D5">
        <w:rPr>
          <w:rFonts w:eastAsia="Times New Roman"/>
          <w:szCs w:val="24"/>
        </w:rPr>
        <w:t xml:space="preserve"> (Review Dept. 1994) 3</w:t>
      </w:r>
      <w:r w:rsidR="000C4799">
        <w:rPr>
          <w:rFonts w:eastAsia="Times New Roman"/>
          <w:szCs w:val="24"/>
        </w:rPr>
        <w:t> </w:t>
      </w:r>
      <w:r w:rsidRPr="00D248D5">
        <w:rPr>
          <w:rFonts w:eastAsia="Times New Roman"/>
          <w:szCs w:val="24"/>
        </w:rPr>
        <w:t>Cal. State Bar Ct. Rptr. 119, 131</w:t>
      </w:r>
      <w:r w:rsidR="007F3E65">
        <w:rPr>
          <w:rFonts w:eastAsia="Times New Roman"/>
          <w:szCs w:val="24"/>
        </w:rPr>
        <w:t xml:space="preserve"> </w:t>
      </w:r>
      <w:r>
        <w:rPr>
          <w:rFonts w:eastAsia="Times New Roman"/>
          <w:szCs w:val="24"/>
        </w:rPr>
        <w:t xml:space="preserve">[failure to </w:t>
      </w:r>
      <w:r w:rsidRPr="00C90E77">
        <w:rPr>
          <w:rFonts w:eastAsia="Times New Roman"/>
          <w:szCs w:val="24"/>
        </w:rPr>
        <w:t>respond to interrogator</w:t>
      </w:r>
      <w:r>
        <w:rPr>
          <w:rFonts w:eastAsia="Times New Roman"/>
          <w:szCs w:val="24"/>
        </w:rPr>
        <w:t xml:space="preserve">ies, attend </w:t>
      </w:r>
      <w:r w:rsidRPr="00C90E77">
        <w:rPr>
          <w:rFonts w:eastAsia="Times New Roman"/>
          <w:szCs w:val="24"/>
        </w:rPr>
        <w:t>ar</w:t>
      </w:r>
      <w:r>
        <w:rPr>
          <w:rFonts w:eastAsia="Times New Roman"/>
          <w:szCs w:val="24"/>
        </w:rPr>
        <w:t xml:space="preserve">bitration hearing, </w:t>
      </w:r>
      <w:r w:rsidR="008A0D96">
        <w:rPr>
          <w:rFonts w:eastAsia="Times New Roman"/>
          <w:szCs w:val="24"/>
        </w:rPr>
        <w:t>and</w:t>
      </w:r>
      <w:r>
        <w:rPr>
          <w:rFonts w:eastAsia="Times New Roman"/>
          <w:szCs w:val="24"/>
        </w:rPr>
        <w:t xml:space="preserve"> </w:t>
      </w:r>
      <w:r w:rsidR="008A0D96">
        <w:rPr>
          <w:rFonts w:eastAsia="Times New Roman"/>
          <w:szCs w:val="24"/>
        </w:rPr>
        <w:t xml:space="preserve">appear </w:t>
      </w:r>
      <w:r>
        <w:rPr>
          <w:rFonts w:eastAsia="Times New Roman"/>
          <w:szCs w:val="24"/>
        </w:rPr>
        <w:t xml:space="preserve">at status conference about </w:t>
      </w:r>
      <w:r w:rsidRPr="00C90E77">
        <w:rPr>
          <w:rFonts w:eastAsia="Times New Roman"/>
          <w:szCs w:val="24"/>
        </w:rPr>
        <w:t>arbitration award</w:t>
      </w:r>
      <w:r>
        <w:rPr>
          <w:rFonts w:eastAsia="Times New Roman"/>
          <w:szCs w:val="24"/>
        </w:rPr>
        <w:t xml:space="preserve"> constitute violation of </w:t>
      </w:r>
      <w:r w:rsidRPr="00C90E77">
        <w:rPr>
          <w:rFonts w:eastAsia="Times New Roman"/>
          <w:szCs w:val="24"/>
        </w:rPr>
        <w:t>rule</w:t>
      </w:r>
      <w:r w:rsidR="000C4799">
        <w:rPr>
          <w:rFonts w:eastAsia="Times New Roman"/>
          <w:szCs w:val="24"/>
        </w:rPr>
        <w:t> </w:t>
      </w:r>
      <w:r w:rsidRPr="00C90E77">
        <w:rPr>
          <w:rFonts w:eastAsia="Times New Roman"/>
          <w:szCs w:val="24"/>
        </w:rPr>
        <w:t>3–110(A)</w:t>
      </w:r>
      <w:r>
        <w:rPr>
          <w:rFonts w:eastAsia="Times New Roman"/>
          <w:szCs w:val="24"/>
        </w:rPr>
        <w:t xml:space="preserve">]; </w:t>
      </w:r>
      <w:r w:rsidRPr="003241DF">
        <w:rPr>
          <w:rFonts w:eastAsia="Times New Roman"/>
          <w:i/>
          <w:szCs w:val="24"/>
        </w:rPr>
        <w:t>In the Matter of Lantz</w:t>
      </w:r>
      <w:r w:rsidRPr="003241DF">
        <w:rPr>
          <w:rFonts w:eastAsia="Times New Roman"/>
          <w:szCs w:val="24"/>
        </w:rPr>
        <w:t xml:space="preserve"> (Review Dept. 2000) 4</w:t>
      </w:r>
      <w:r w:rsidR="000C4799">
        <w:rPr>
          <w:rFonts w:eastAsia="Times New Roman"/>
          <w:szCs w:val="24"/>
        </w:rPr>
        <w:t> </w:t>
      </w:r>
      <w:r w:rsidRPr="003241DF">
        <w:rPr>
          <w:rFonts w:eastAsia="Times New Roman"/>
          <w:szCs w:val="24"/>
        </w:rPr>
        <w:t>Cal. State Bar Ct. Rptr. 126, 133</w:t>
      </w:r>
      <w:r>
        <w:rPr>
          <w:rFonts w:eastAsia="Times New Roman"/>
          <w:szCs w:val="24"/>
        </w:rPr>
        <w:t xml:space="preserve"> [e</w:t>
      </w:r>
      <w:r w:rsidRPr="003241DF">
        <w:rPr>
          <w:rFonts w:eastAsia="Times New Roman"/>
          <w:szCs w:val="24"/>
        </w:rPr>
        <w:t xml:space="preserve">ven if </w:t>
      </w:r>
      <w:r>
        <w:rPr>
          <w:rFonts w:eastAsia="Times New Roman"/>
          <w:szCs w:val="24"/>
        </w:rPr>
        <w:t xml:space="preserve">client </w:t>
      </w:r>
      <w:r w:rsidRPr="003241DF">
        <w:rPr>
          <w:rFonts w:eastAsia="Times New Roman"/>
          <w:szCs w:val="24"/>
        </w:rPr>
        <w:t>c</w:t>
      </w:r>
      <w:r>
        <w:rPr>
          <w:rFonts w:eastAsia="Times New Roman"/>
          <w:szCs w:val="24"/>
        </w:rPr>
        <w:t>ould not decide</w:t>
      </w:r>
      <w:r w:rsidRPr="003241DF">
        <w:rPr>
          <w:rFonts w:eastAsia="Times New Roman"/>
          <w:szCs w:val="24"/>
        </w:rPr>
        <w:t xml:space="preserve"> which remedy to pursue, respondent could not simply let months pass with no action</w:t>
      </w:r>
      <w:r>
        <w:rPr>
          <w:rFonts w:eastAsia="Times New Roman"/>
          <w:szCs w:val="24"/>
        </w:rPr>
        <w:t xml:space="preserve"> and had to pursue remedy warranted by facts or appropriately withdraw from representation]</w:t>
      </w:r>
      <w:r w:rsidR="003E2D1B" w:rsidRPr="0079525F">
        <w:rPr>
          <w:rFonts w:eastAsia="Times New Roman"/>
          <w:szCs w:val="24"/>
        </w:rPr>
        <w:t>.)</w:t>
      </w:r>
      <w:r w:rsidR="003E2D1B">
        <w:rPr>
          <w:rFonts w:eastAsia="Times New Roman"/>
          <w:szCs w:val="24"/>
        </w:rPr>
        <w:t xml:space="preserve">  </w:t>
      </w:r>
      <w:r>
        <w:rPr>
          <w:rFonts w:eastAsia="Times New Roman"/>
          <w:szCs w:val="24"/>
        </w:rPr>
        <w:t xml:space="preserve">Moreover, </w:t>
      </w:r>
      <w:r w:rsidR="002F11D7">
        <w:rPr>
          <w:rFonts w:eastAsia="Times New Roman"/>
          <w:szCs w:val="24"/>
        </w:rPr>
        <w:t xml:space="preserve">Gentino’s </w:t>
      </w:r>
      <w:r w:rsidR="00164E5B">
        <w:rPr>
          <w:rFonts w:eastAsia="Times New Roman"/>
          <w:szCs w:val="24"/>
        </w:rPr>
        <w:t xml:space="preserve">failure to file the </w:t>
      </w:r>
      <w:r w:rsidR="00B51F77">
        <w:rPr>
          <w:rFonts w:eastAsia="Times New Roman"/>
          <w:szCs w:val="24"/>
        </w:rPr>
        <w:t xml:space="preserve">second </w:t>
      </w:r>
      <w:r w:rsidR="00164E5B">
        <w:rPr>
          <w:rFonts w:eastAsia="Times New Roman"/>
          <w:szCs w:val="24"/>
        </w:rPr>
        <w:t xml:space="preserve">motion </w:t>
      </w:r>
      <w:r w:rsidR="00FB5873">
        <w:rPr>
          <w:rFonts w:eastAsia="Times New Roman"/>
          <w:szCs w:val="24"/>
        </w:rPr>
        <w:t xml:space="preserve">to vacate </w:t>
      </w:r>
      <w:r w:rsidR="004E2BBD">
        <w:rPr>
          <w:rFonts w:eastAsia="Times New Roman"/>
          <w:szCs w:val="24"/>
        </w:rPr>
        <w:t xml:space="preserve">when told by his client to do so </w:t>
      </w:r>
      <w:r w:rsidR="00164E5B">
        <w:rPr>
          <w:rFonts w:eastAsia="Times New Roman"/>
          <w:szCs w:val="24"/>
        </w:rPr>
        <w:t xml:space="preserve">and to confirm </w:t>
      </w:r>
      <w:r w:rsidR="000E7FBE">
        <w:rPr>
          <w:rFonts w:eastAsia="Times New Roman"/>
          <w:szCs w:val="24"/>
        </w:rPr>
        <w:t xml:space="preserve">the </w:t>
      </w:r>
      <w:r w:rsidR="007F3E65">
        <w:rPr>
          <w:rFonts w:eastAsia="Times New Roman"/>
          <w:szCs w:val="24"/>
        </w:rPr>
        <w:t>details</w:t>
      </w:r>
      <w:r w:rsidR="000E7FBE">
        <w:rPr>
          <w:rFonts w:eastAsia="Times New Roman"/>
          <w:szCs w:val="24"/>
        </w:rPr>
        <w:t xml:space="preserve"> of</w:t>
      </w:r>
      <w:r w:rsidR="00164E5B">
        <w:rPr>
          <w:rFonts w:eastAsia="Times New Roman"/>
          <w:szCs w:val="24"/>
        </w:rPr>
        <w:t xml:space="preserve"> the judge’s minute order </w:t>
      </w:r>
      <w:r w:rsidR="00440F68">
        <w:rPr>
          <w:rFonts w:eastAsia="Times New Roman"/>
          <w:szCs w:val="24"/>
        </w:rPr>
        <w:t xml:space="preserve">each </w:t>
      </w:r>
      <w:r w:rsidR="00473D6A">
        <w:rPr>
          <w:rFonts w:eastAsia="Times New Roman"/>
          <w:szCs w:val="24"/>
        </w:rPr>
        <w:t>constitute</w:t>
      </w:r>
      <w:r w:rsidR="008F0D77">
        <w:rPr>
          <w:rFonts w:eastAsia="Times New Roman"/>
          <w:szCs w:val="24"/>
        </w:rPr>
        <w:t>s</w:t>
      </w:r>
      <w:r w:rsidR="00473D6A">
        <w:rPr>
          <w:rFonts w:eastAsia="Times New Roman"/>
          <w:szCs w:val="24"/>
        </w:rPr>
        <w:t xml:space="preserve"> </w:t>
      </w:r>
      <w:r w:rsidR="00440F68">
        <w:rPr>
          <w:rFonts w:eastAsia="Times New Roman"/>
          <w:szCs w:val="24"/>
        </w:rPr>
        <w:t xml:space="preserve">a </w:t>
      </w:r>
      <w:r w:rsidR="00164E5B">
        <w:rPr>
          <w:rFonts w:eastAsia="Times New Roman"/>
          <w:szCs w:val="24"/>
        </w:rPr>
        <w:t>reckless failure to perform</w:t>
      </w:r>
      <w:r w:rsidR="002F11D7">
        <w:rPr>
          <w:rFonts w:eastAsia="Times New Roman"/>
          <w:szCs w:val="24"/>
        </w:rPr>
        <w:t>, a separate basis for culpability</w:t>
      </w:r>
      <w:r w:rsidR="00164E5B">
        <w:rPr>
          <w:rFonts w:eastAsia="Times New Roman"/>
          <w:szCs w:val="24"/>
        </w:rPr>
        <w:t xml:space="preserve">.  </w:t>
      </w:r>
      <w:r w:rsidR="0025523F" w:rsidRPr="0025523F">
        <w:rPr>
          <w:rFonts w:eastAsia="Times New Roman"/>
          <w:szCs w:val="24"/>
        </w:rPr>
        <w:t>(</w:t>
      </w:r>
      <w:r w:rsidR="006D01B7" w:rsidRPr="006D01B7">
        <w:rPr>
          <w:rFonts w:eastAsia="Times New Roman"/>
          <w:i/>
          <w:iCs/>
          <w:szCs w:val="24"/>
        </w:rPr>
        <w:t>In the Matter of Klein</w:t>
      </w:r>
      <w:r w:rsidR="006D01B7" w:rsidRPr="006D01B7">
        <w:rPr>
          <w:rFonts w:eastAsia="Times New Roman"/>
          <w:szCs w:val="24"/>
        </w:rPr>
        <w:t xml:space="preserve"> (Review Dept.</w:t>
      </w:r>
      <w:r w:rsidR="000E7FBE">
        <w:rPr>
          <w:rFonts w:eastAsia="Times New Roman"/>
          <w:szCs w:val="24"/>
        </w:rPr>
        <w:t xml:space="preserve"> </w:t>
      </w:r>
      <w:r w:rsidR="006D01B7" w:rsidRPr="006D01B7">
        <w:rPr>
          <w:rFonts w:eastAsia="Times New Roman"/>
          <w:szCs w:val="24"/>
        </w:rPr>
        <w:t>1994) 3</w:t>
      </w:r>
      <w:r w:rsidR="000C4799">
        <w:rPr>
          <w:rFonts w:eastAsia="Times New Roman"/>
          <w:szCs w:val="24"/>
        </w:rPr>
        <w:t> </w:t>
      </w:r>
      <w:r w:rsidR="006D01B7" w:rsidRPr="006D01B7">
        <w:rPr>
          <w:rFonts w:eastAsia="Times New Roman"/>
          <w:szCs w:val="24"/>
        </w:rPr>
        <w:t xml:space="preserve">Cal. </w:t>
      </w:r>
      <w:r w:rsidR="006D01B7" w:rsidRPr="006D01B7">
        <w:rPr>
          <w:rFonts w:eastAsia="Times New Roman"/>
          <w:bCs/>
          <w:szCs w:val="24"/>
        </w:rPr>
        <w:t>State</w:t>
      </w:r>
      <w:r w:rsidR="006D01B7" w:rsidRPr="006D01B7">
        <w:rPr>
          <w:rFonts w:eastAsia="Times New Roman"/>
          <w:szCs w:val="24"/>
        </w:rPr>
        <w:t xml:space="preserve"> </w:t>
      </w:r>
      <w:r w:rsidR="006D01B7" w:rsidRPr="006D01B7">
        <w:rPr>
          <w:rFonts w:eastAsia="Times New Roman"/>
          <w:bCs/>
          <w:szCs w:val="24"/>
        </w:rPr>
        <w:t>Bar</w:t>
      </w:r>
      <w:r w:rsidR="006D01B7" w:rsidRPr="006D01B7">
        <w:rPr>
          <w:rFonts w:eastAsia="Times New Roman"/>
          <w:szCs w:val="24"/>
        </w:rPr>
        <w:t xml:space="preserve"> Ct. Rptr. 1, 7 [</w:t>
      </w:r>
      <w:r w:rsidR="004E2BBD">
        <w:rPr>
          <w:rFonts w:eastAsia="Times New Roman"/>
          <w:szCs w:val="24"/>
        </w:rPr>
        <w:t xml:space="preserve">attorney’s prolonged </w:t>
      </w:r>
      <w:r w:rsidR="006D01B7" w:rsidRPr="006D01B7">
        <w:rPr>
          <w:rFonts w:eastAsia="Times New Roman"/>
          <w:szCs w:val="24"/>
        </w:rPr>
        <w:t xml:space="preserve">delay </w:t>
      </w:r>
      <w:r w:rsidR="004E2BBD">
        <w:rPr>
          <w:rFonts w:eastAsia="Times New Roman"/>
          <w:szCs w:val="24"/>
        </w:rPr>
        <w:t>in proceeding with inherently urgent legal matter d</w:t>
      </w:r>
      <w:r w:rsidR="006D01B7" w:rsidRPr="006D01B7">
        <w:rPr>
          <w:rFonts w:eastAsia="Times New Roman"/>
          <w:szCs w:val="24"/>
        </w:rPr>
        <w:t>espite</w:t>
      </w:r>
      <w:r w:rsidR="004E2BBD">
        <w:rPr>
          <w:rFonts w:eastAsia="Times New Roman"/>
          <w:szCs w:val="24"/>
        </w:rPr>
        <w:t xml:space="preserve"> client’s repeated requests</w:t>
      </w:r>
      <w:r w:rsidR="006D01B7" w:rsidRPr="006D01B7">
        <w:rPr>
          <w:rFonts w:eastAsia="Times New Roman"/>
          <w:szCs w:val="24"/>
        </w:rPr>
        <w:t xml:space="preserve"> is reckless failure to perform]</w:t>
      </w:r>
      <w:r w:rsidR="006D01B7">
        <w:rPr>
          <w:rFonts w:eastAsia="Times New Roman"/>
          <w:szCs w:val="24"/>
        </w:rPr>
        <w:t xml:space="preserve">; </w:t>
      </w:r>
      <w:r w:rsidR="006D01B7">
        <w:rPr>
          <w:rFonts w:eastAsia="Times New Roman"/>
          <w:i/>
          <w:szCs w:val="24"/>
        </w:rPr>
        <w:t>In the Matter of Lais</w:t>
      </w:r>
      <w:r w:rsidR="006D01B7">
        <w:rPr>
          <w:rFonts w:eastAsia="Times New Roman"/>
          <w:szCs w:val="24"/>
        </w:rPr>
        <w:t xml:space="preserve"> (Review Dept. 1998) 3</w:t>
      </w:r>
      <w:r w:rsidR="000C4799">
        <w:rPr>
          <w:rFonts w:eastAsia="Times New Roman"/>
          <w:szCs w:val="24"/>
        </w:rPr>
        <w:t> </w:t>
      </w:r>
      <w:r w:rsidR="006D01B7">
        <w:rPr>
          <w:rFonts w:eastAsia="Times New Roman"/>
          <w:szCs w:val="24"/>
        </w:rPr>
        <w:t xml:space="preserve">Cal. State Bar Ct. Rptr. 907, </w:t>
      </w:r>
      <w:r w:rsidR="00B27471">
        <w:rPr>
          <w:rFonts w:eastAsia="Times New Roman"/>
          <w:szCs w:val="24"/>
        </w:rPr>
        <w:t>919</w:t>
      </w:r>
      <w:r w:rsidR="006D01B7">
        <w:rPr>
          <w:rFonts w:eastAsia="Times New Roman"/>
          <w:szCs w:val="24"/>
        </w:rPr>
        <w:t xml:space="preserve"> [attorney’s failure to inform client </w:t>
      </w:r>
      <w:r w:rsidR="00F511D8">
        <w:rPr>
          <w:rFonts w:eastAsia="Times New Roman"/>
          <w:szCs w:val="24"/>
        </w:rPr>
        <w:t>about,</w:t>
      </w:r>
      <w:r w:rsidR="006D01B7">
        <w:rPr>
          <w:rFonts w:eastAsia="Times New Roman"/>
          <w:szCs w:val="24"/>
        </w:rPr>
        <w:t xml:space="preserve"> </w:t>
      </w:r>
      <w:r w:rsidR="008F0D77">
        <w:rPr>
          <w:rFonts w:eastAsia="Times New Roman"/>
          <w:szCs w:val="24"/>
        </w:rPr>
        <w:t>and to answer</w:t>
      </w:r>
      <w:r w:rsidR="00F511D8">
        <w:rPr>
          <w:rFonts w:eastAsia="Times New Roman"/>
          <w:szCs w:val="24"/>
        </w:rPr>
        <w:t>,</w:t>
      </w:r>
      <w:r w:rsidR="008F0D77">
        <w:rPr>
          <w:rFonts w:eastAsia="Times New Roman"/>
          <w:szCs w:val="24"/>
        </w:rPr>
        <w:t xml:space="preserve"> </w:t>
      </w:r>
      <w:r w:rsidR="006D01B7" w:rsidRPr="006D01B7">
        <w:rPr>
          <w:rFonts w:eastAsia="Times New Roman"/>
          <w:szCs w:val="24"/>
        </w:rPr>
        <w:t>cross-complaint</w:t>
      </w:r>
      <w:r w:rsidR="008F0D77">
        <w:rPr>
          <w:rFonts w:eastAsia="Times New Roman"/>
          <w:szCs w:val="24"/>
        </w:rPr>
        <w:t xml:space="preserve"> is</w:t>
      </w:r>
      <w:r w:rsidR="006D01B7">
        <w:rPr>
          <w:rFonts w:eastAsia="Times New Roman"/>
          <w:szCs w:val="24"/>
        </w:rPr>
        <w:t xml:space="preserve"> reckless failure to perform].)</w:t>
      </w:r>
      <w:r w:rsidR="00FB5873">
        <w:rPr>
          <w:rFonts w:eastAsia="Times New Roman"/>
          <w:szCs w:val="24"/>
        </w:rPr>
        <w:t xml:space="preserve">  </w:t>
      </w:r>
    </w:p>
    <w:p w:rsidR="00FB5873" w:rsidRDefault="001F078A" w:rsidP="00FB5873">
      <w:pPr>
        <w:tabs>
          <w:tab w:val="left" w:pos="720"/>
        </w:tabs>
        <w:spacing w:line="480" w:lineRule="auto"/>
        <w:rPr>
          <w:rFonts w:eastAsia="Times New Roman"/>
          <w:szCs w:val="24"/>
        </w:rPr>
      </w:pPr>
      <w:r>
        <w:rPr>
          <w:rFonts w:eastAsia="Times New Roman"/>
          <w:szCs w:val="24"/>
        </w:rPr>
        <w:tab/>
      </w:r>
      <w:r w:rsidR="007F275D">
        <w:rPr>
          <w:rFonts w:eastAsia="Times New Roman"/>
          <w:szCs w:val="24"/>
        </w:rPr>
        <w:t xml:space="preserve">Gentino asserts that he has a reasonable explanation for each </w:t>
      </w:r>
      <w:r w:rsidR="008F0D77">
        <w:rPr>
          <w:rFonts w:eastAsia="Times New Roman"/>
          <w:szCs w:val="24"/>
        </w:rPr>
        <w:t xml:space="preserve">of his </w:t>
      </w:r>
      <w:r w:rsidR="007F275D">
        <w:rPr>
          <w:rFonts w:eastAsia="Times New Roman"/>
          <w:szCs w:val="24"/>
        </w:rPr>
        <w:t>action</w:t>
      </w:r>
      <w:r w:rsidR="008F0D77">
        <w:rPr>
          <w:rFonts w:eastAsia="Times New Roman"/>
          <w:szCs w:val="24"/>
        </w:rPr>
        <w:t>s</w:t>
      </w:r>
      <w:r w:rsidR="007F275D">
        <w:rPr>
          <w:rFonts w:eastAsia="Times New Roman"/>
          <w:szCs w:val="24"/>
        </w:rPr>
        <w:t xml:space="preserve"> and that good faith errors do n</w:t>
      </w:r>
      <w:r w:rsidR="008F0D77">
        <w:rPr>
          <w:rFonts w:eastAsia="Times New Roman"/>
          <w:szCs w:val="24"/>
        </w:rPr>
        <w:t>ot warrant discipline.  C</w:t>
      </w:r>
      <w:r w:rsidR="00B933C0">
        <w:rPr>
          <w:rFonts w:eastAsia="Times New Roman"/>
          <w:szCs w:val="24"/>
        </w:rPr>
        <w:t xml:space="preserve">ontrary to </w:t>
      </w:r>
      <w:r w:rsidR="000E7FBE">
        <w:rPr>
          <w:rFonts w:eastAsia="Times New Roman"/>
          <w:szCs w:val="24"/>
        </w:rPr>
        <w:t>his</w:t>
      </w:r>
      <w:r w:rsidR="00B933C0">
        <w:rPr>
          <w:rFonts w:eastAsia="Times New Roman"/>
          <w:szCs w:val="24"/>
        </w:rPr>
        <w:t xml:space="preserve"> contention</w:t>
      </w:r>
      <w:r w:rsidR="004E2BBD">
        <w:rPr>
          <w:rFonts w:eastAsia="Times New Roman"/>
          <w:szCs w:val="24"/>
        </w:rPr>
        <w:t>s</w:t>
      </w:r>
      <w:r w:rsidR="00B933C0">
        <w:rPr>
          <w:rFonts w:eastAsia="Times New Roman"/>
          <w:szCs w:val="24"/>
        </w:rPr>
        <w:t>, s</w:t>
      </w:r>
      <w:r w:rsidR="00B933C0" w:rsidRPr="0079525F">
        <w:rPr>
          <w:rFonts w:eastAsia="Times New Roman"/>
          <w:szCs w:val="24"/>
        </w:rPr>
        <w:t>uch misconduct need no</w:t>
      </w:r>
      <w:r w:rsidR="00B933C0">
        <w:rPr>
          <w:rFonts w:eastAsia="Times New Roman"/>
          <w:szCs w:val="24"/>
        </w:rPr>
        <w:t xml:space="preserve">t involve deliberate wrongdoing.  </w:t>
      </w:r>
      <w:r w:rsidR="00B933C0" w:rsidRPr="0079525F">
        <w:rPr>
          <w:rFonts w:eastAsia="Times New Roman"/>
          <w:szCs w:val="24"/>
        </w:rPr>
        <w:t>(</w:t>
      </w:r>
      <w:r w:rsidR="00B933C0" w:rsidRPr="0079525F">
        <w:rPr>
          <w:rFonts w:eastAsia="Times New Roman"/>
          <w:i/>
          <w:iCs/>
          <w:szCs w:val="24"/>
        </w:rPr>
        <w:t>Van Sloten v. State Bar</w:t>
      </w:r>
      <w:r w:rsidR="00FD20DD">
        <w:rPr>
          <w:rFonts w:eastAsia="Times New Roman"/>
          <w:i/>
          <w:iCs/>
          <w:szCs w:val="24"/>
        </w:rPr>
        <w:t xml:space="preserve"> </w:t>
      </w:r>
      <w:r w:rsidR="00FD20DD">
        <w:rPr>
          <w:rFonts w:eastAsia="Times New Roman"/>
          <w:iCs/>
          <w:szCs w:val="24"/>
        </w:rPr>
        <w:t>(1989)</w:t>
      </w:r>
      <w:r w:rsidR="00B933C0" w:rsidRPr="0079525F">
        <w:rPr>
          <w:rFonts w:eastAsia="Times New Roman"/>
          <w:szCs w:val="24"/>
        </w:rPr>
        <w:t xml:space="preserve"> 48</w:t>
      </w:r>
      <w:r w:rsidR="000C4799">
        <w:rPr>
          <w:rFonts w:eastAsia="Times New Roman"/>
          <w:szCs w:val="24"/>
        </w:rPr>
        <w:t> </w:t>
      </w:r>
      <w:r w:rsidR="00B933C0" w:rsidRPr="0079525F">
        <w:rPr>
          <w:rFonts w:eastAsia="Times New Roman"/>
          <w:szCs w:val="24"/>
        </w:rPr>
        <w:t xml:space="preserve">Cal.3d </w:t>
      </w:r>
      <w:r w:rsidR="00FD20DD">
        <w:rPr>
          <w:rFonts w:eastAsia="Times New Roman"/>
          <w:szCs w:val="24"/>
        </w:rPr>
        <w:t xml:space="preserve">921, </w:t>
      </w:r>
      <w:r w:rsidR="00B933C0" w:rsidRPr="0079525F">
        <w:rPr>
          <w:rFonts w:eastAsia="Times New Roman"/>
          <w:szCs w:val="24"/>
        </w:rPr>
        <w:t>932</w:t>
      </w:r>
      <w:r w:rsidR="00E85723">
        <w:rPr>
          <w:rFonts w:eastAsia="Times New Roman"/>
          <w:szCs w:val="24"/>
        </w:rPr>
        <w:t>.</w:t>
      </w:r>
      <w:r w:rsidR="00B933C0" w:rsidRPr="0079525F">
        <w:rPr>
          <w:rFonts w:eastAsia="Times New Roman"/>
          <w:szCs w:val="24"/>
        </w:rPr>
        <w:t>)</w:t>
      </w:r>
      <w:r w:rsidR="00B933C0">
        <w:rPr>
          <w:rFonts w:eastAsia="Times New Roman"/>
          <w:szCs w:val="24"/>
        </w:rPr>
        <w:t xml:space="preserve">  </w:t>
      </w:r>
      <w:r w:rsidR="00473D6A">
        <w:rPr>
          <w:rFonts w:eastAsia="Times New Roman"/>
          <w:szCs w:val="24"/>
        </w:rPr>
        <w:t>His repeated fail</w:t>
      </w:r>
      <w:r w:rsidR="008F0D77">
        <w:rPr>
          <w:rFonts w:eastAsia="Times New Roman"/>
          <w:szCs w:val="24"/>
        </w:rPr>
        <w:t>ures</w:t>
      </w:r>
      <w:r w:rsidR="00473D6A">
        <w:rPr>
          <w:rFonts w:eastAsia="Times New Roman"/>
          <w:szCs w:val="24"/>
        </w:rPr>
        <w:t xml:space="preserve"> to perform, at least two </w:t>
      </w:r>
      <w:r w:rsidR="008A6E6A">
        <w:rPr>
          <w:rFonts w:eastAsia="Times New Roman"/>
          <w:szCs w:val="24"/>
        </w:rPr>
        <w:t xml:space="preserve">of which </w:t>
      </w:r>
      <w:r w:rsidR="00473D6A">
        <w:rPr>
          <w:rFonts w:eastAsia="Times New Roman"/>
          <w:szCs w:val="24"/>
        </w:rPr>
        <w:t xml:space="preserve">were reckless, clearly and convincingly demonstrate </w:t>
      </w:r>
      <w:r w:rsidR="008A6E6A">
        <w:rPr>
          <w:rFonts w:eastAsia="Times New Roman"/>
          <w:szCs w:val="24"/>
        </w:rPr>
        <w:t xml:space="preserve">his failure </w:t>
      </w:r>
      <w:r w:rsidR="00473D6A">
        <w:rPr>
          <w:rFonts w:eastAsia="Times New Roman"/>
          <w:szCs w:val="24"/>
        </w:rPr>
        <w:t>to perform with competence.</w:t>
      </w:r>
      <w:r w:rsidR="00D248D5">
        <w:rPr>
          <w:rFonts w:eastAsia="Times New Roman"/>
          <w:szCs w:val="24"/>
        </w:rPr>
        <w:t xml:space="preserve">  </w:t>
      </w:r>
    </w:p>
    <w:p w:rsidR="00FD20DD" w:rsidRDefault="00FD20DD" w:rsidP="00FB5873">
      <w:pPr>
        <w:tabs>
          <w:tab w:val="left" w:pos="720"/>
        </w:tabs>
        <w:spacing w:line="480" w:lineRule="auto"/>
        <w:rPr>
          <w:rFonts w:eastAsia="Times New Roman"/>
          <w:szCs w:val="24"/>
        </w:rPr>
      </w:pPr>
    </w:p>
    <w:p w:rsidR="004877B6" w:rsidRDefault="00183425" w:rsidP="004877B6">
      <w:pPr>
        <w:pStyle w:val="ListParagraph"/>
        <w:numPr>
          <w:ilvl w:val="0"/>
          <w:numId w:val="23"/>
        </w:numPr>
        <w:tabs>
          <w:tab w:val="left" w:pos="720"/>
        </w:tabs>
        <w:rPr>
          <w:rFonts w:eastAsia="Times New Roman"/>
          <w:b/>
          <w:szCs w:val="24"/>
        </w:rPr>
      </w:pPr>
      <w:r w:rsidRPr="004877B6">
        <w:rPr>
          <w:rFonts w:eastAsia="Times New Roman"/>
          <w:b/>
          <w:szCs w:val="24"/>
        </w:rPr>
        <w:lastRenderedPageBreak/>
        <w:tab/>
      </w:r>
      <w:r w:rsidR="00CA5245">
        <w:rPr>
          <w:rFonts w:eastAsia="Times New Roman"/>
          <w:b/>
          <w:szCs w:val="24"/>
        </w:rPr>
        <w:t>Count Two—</w:t>
      </w:r>
      <w:r w:rsidR="004877B6">
        <w:rPr>
          <w:rFonts w:eastAsia="Times New Roman"/>
          <w:b/>
          <w:szCs w:val="24"/>
        </w:rPr>
        <w:t>Failure to Communicate (§</w:t>
      </w:r>
      <w:r w:rsidR="000C4799">
        <w:rPr>
          <w:rFonts w:eastAsia="Times New Roman"/>
          <w:b/>
          <w:szCs w:val="24"/>
        </w:rPr>
        <w:t> </w:t>
      </w:r>
      <w:r w:rsidR="004877B6">
        <w:rPr>
          <w:rFonts w:eastAsia="Times New Roman"/>
          <w:b/>
          <w:szCs w:val="24"/>
        </w:rPr>
        <w:t xml:space="preserve">6068, </w:t>
      </w:r>
      <w:r w:rsidR="00181E9E">
        <w:rPr>
          <w:rFonts w:eastAsia="Times New Roman"/>
          <w:b/>
          <w:szCs w:val="24"/>
        </w:rPr>
        <w:t>S</w:t>
      </w:r>
      <w:r w:rsidR="004877B6">
        <w:rPr>
          <w:rFonts w:eastAsia="Times New Roman"/>
          <w:b/>
          <w:szCs w:val="24"/>
        </w:rPr>
        <w:t>ubd</w:t>
      </w:r>
      <w:r w:rsidR="00DD3240">
        <w:rPr>
          <w:rFonts w:eastAsia="Times New Roman"/>
          <w:b/>
          <w:szCs w:val="24"/>
        </w:rPr>
        <w:t>.</w:t>
      </w:r>
      <w:r w:rsidR="000C4799">
        <w:rPr>
          <w:rFonts w:eastAsia="Times New Roman"/>
          <w:b/>
          <w:szCs w:val="24"/>
        </w:rPr>
        <w:t> </w:t>
      </w:r>
      <w:r w:rsidR="00EB3F2E">
        <w:rPr>
          <w:rFonts w:eastAsia="Times New Roman"/>
          <w:b/>
          <w:szCs w:val="24"/>
        </w:rPr>
        <w:t>(m))</w:t>
      </w:r>
    </w:p>
    <w:p w:rsidR="009560FD" w:rsidRDefault="009560FD" w:rsidP="009560FD">
      <w:pPr>
        <w:pStyle w:val="ListParagraph"/>
        <w:tabs>
          <w:tab w:val="left" w:pos="720"/>
        </w:tabs>
        <w:ind w:left="1440"/>
        <w:rPr>
          <w:rFonts w:eastAsia="Times New Roman"/>
          <w:b/>
          <w:szCs w:val="24"/>
        </w:rPr>
      </w:pPr>
    </w:p>
    <w:p w:rsidR="005C66A0" w:rsidRPr="00230E8B" w:rsidRDefault="009560FD" w:rsidP="000030D7">
      <w:pPr>
        <w:pStyle w:val="ListParagraph"/>
        <w:tabs>
          <w:tab w:val="left" w:pos="720"/>
        </w:tabs>
        <w:spacing w:line="480" w:lineRule="auto"/>
        <w:ind w:left="0"/>
        <w:rPr>
          <w:rFonts w:eastAsia="Times New Roman"/>
          <w:szCs w:val="24"/>
        </w:rPr>
      </w:pPr>
      <w:r>
        <w:rPr>
          <w:rFonts w:eastAsia="Times New Roman"/>
          <w:b/>
          <w:szCs w:val="24"/>
        </w:rPr>
        <w:tab/>
      </w:r>
      <w:r w:rsidR="00181E9E">
        <w:rPr>
          <w:rFonts w:eastAsia="Times New Roman"/>
          <w:szCs w:val="24"/>
        </w:rPr>
        <w:t>I</w:t>
      </w:r>
      <w:r w:rsidR="005A37C2">
        <w:rPr>
          <w:rFonts w:eastAsia="Times New Roman"/>
          <w:szCs w:val="24"/>
        </w:rPr>
        <w:t>n c</w:t>
      </w:r>
      <w:r w:rsidR="000030D7">
        <w:rPr>
          <w:rFonts w:eastAsia="Times New Roman"/>
          <w:szCs w:val="24"/>
        </w:rPr>
        <w:t xml:space="preserve">ount </w:t>
      </w:r>
      <w:r w:rsidR="005A37C2">
        <w:rPr>
          <w:rFonts w:eastAsia="Times New Roman"/>
          <w:szCs w:val="24"/>
        </w:rPr>
        <w:t>t</w:t>
      </w:r>
      <w:r w:rsidR="000030D7">
        <w:rPr>
          <w:rFonts w:eastAsia="Times New Roman"/>
          <w:szCs w:val="24"/>
        </w:rPr>
        <w:t>wo, the hearing judge found that Gentino failed to communicate significant developments to Galvez</w:t>
      </w:r>
      <w:r w:rsidR="00181E9E">
        <w:rPr>
          <w:rFonts w:eastAsia="Times New Roman"/>
          <w:szCs w:val="24"/>
        </w:rPr>
        <w:t>,</w:t>
      </w:r>
      <w:r w:rsidR="000030D7">
        <w:rPr>
          <w:rFonts w:eastAsia="Times New Roman"/>
          <w:szCs w:val="24"/>
        </w:rPr>
        <w:t xml:space="preserve"> in violation of section</w:t>
      </w:r>
      <w:r w:rsidR="000C4799">
        <w:rPr>
          <w:rFonts w:eastAsia="Times New Roman"/>
          <w:szCs w:val="24"/>
        </w:rPr>
        <w:t> </w:t>
      </w:r>
      <w:r w:rsidR="000030D7">
        <w:rPr>
          <w:rFonts w:eastAsia="Times New Roman"/>
          <w:szCs w:val="24"/>
        </w:rPr>
        <w:t>6068, subdivision</w:t>
      </w:r>
      <w:r w:rsidR="000C4799">
        <w:rPr>
          <w:rFonts w:eastAsia="Times New Roman"/>
          <w:szCs w:val="24"/>
        </w:rPr>
        <w:t> </w:t>
      </w:r>
      <w:r w:rsidR="000030D7">
        <w:rPr>
          <w:rFonts w:eastAsia="Times New Roman"/>
          <w:szCs w:val="24"/>
        </w:rPr>
        <w:t>(m)</w:t>
      </w:r>
      <w:r w:rsidR="008F0D77">
        <w:rPr>
          <w:rFonts w:eastAsia="Times New Roman"/>
          <w:szCs w:val="24"/>
        </w:rPr>
        <w:t>.  Gentino failed to inform his client that</w:t>
      </w:r>
      <w:r w:rsidR="00AA6992">
        <w:rPr>
          <w:rFonts w:eastAsia="Times New Roman"/>
          <w:szCs w:val="24"/>
        </w:rPr>
        <w:t>:</w:t>
      </w:r>
      <w:r w:rsidR="004211CB">
        <w:rPr>
          <w:rFonts w:eastAsia="Times New Roman"/>
          <w:szCs w:val="24"/>
        </w:rPr>
        <w:t xml:space="preserve"> </w:t>
      </w:r>
      <w:r w:rsidR="00496E53">
        <w:rPr>
          <w:rFonts w:eastAsia="Times New Roman"/>
          <w:szCs w:val="24"/>
        </w:rPr>
        <w:t>(1)</w:t>
      </w:r>
      <w:r w:rsidR="000C4799">
        <w:rPr>
          <w:rFonts w:eastAsia="Times New Roman"/>
          <w:szCs w:val="24"/>
        </w:rPr>
        <w:t> </w:t>
      </w:r>
      <w:r w:rsidR="000030D7">
        <w:rPr>
          <w:rFonts w:eastAsia="Times New Roman"/>
          <w:szCs w:val="24"/>
        </w:rPr>
        <w:t xml:space="preserve">he did not file a timely responsive pleading to the first amended complaint and that he </w:t>
      </w:r>
      <w:r w:rsidR="008F0D77">
        <w:rPr>
          <w:rFonts w:eastAsia="Times New Roman"/>
          <w:szCs w:val="24"/>
        </w:rPr>
        <w:t xml:space="preserve">was over three months late in </w:t>
      </w:r>
      <w:r w:rsidR="000030D7">
        <w:rPr>
          <w:rFonts w:eastAsia="Times New Roman"/>
          <w:szCs w:val="24"/>
        </w:rPr>
        <w:t>demurr</w:t>
      </w:r>
      <w:r w:rsidR="008F0D77">
        <w:rPr>
          <w:rFonts w:eastAsia="Times New Roman"/>
          <w:szCs w:val="24"/>
        </w:rPr>
        <w:t>ing</w:t>
      </w:r>
      <w:r w:rsidR="000030D7">
        <w:rPr>
          <w:rFonts w:eastAsia="Times New Roman"/>
          <w:szCs w:val="24"/>
        </w:rPr>
        <w:t xml:space="preserve"> to the complaint; </w:t>
      </w:r>
      <w:r w:rsidR="00496E53">
        <w:rPr>
          <w:rFonts w:eastAsia="Times New Roman"/>
          <w:szCs w:val="24"/>
        </w:rPr>
        <w:t>(2)</w:t>
      </w:r>
      <w:r w:rsidR="000C4799">
        <w:rPr>
          <w:rFonts w:eastAsia="Times New Roman"/>
          <w:szCs w:val="24"/>
        </w:rPr>
        <w:t> </w:t>
      </w:r>
      <w:r w:rsidR="005A37C2">
        <w:rPr>
          <w:rFonts w:eastAsia="Times New Roman"/>
          <w:szCs w:val="24"/>
        </w:rPr>
        <w:t>the J</w:t>
      </w:r>
      <w:r w:rsidR="004211CB">
        <w:rPr>
          <w:rFonts w:eastAsia="Times New Roman"/>
          <w:szCs w:val="24"/>
        </w:rPr>
        <w:t xml:space="preserve">udgment had been entered against her; </w:t>
      </w:r>
      <w:r w:rsidR="00496E53">
        <w:rPr>
          <w:rFonts w:eastAsia="Times New Roman"/>
          <w:szCs w:val="24"/>
        </w:rPr>
        <w:t>(3)</w:t>
      </w:r>
      <w:r w:rsidR="000C4799">
        <w:rPr>
          <w:rFonts w:eastAsia="Times New Roman"/>
          <w:szCs w:val="24"/>
        </w:rPr>
        <w:t> </w:t>
      </w:r>
      <w:r w:rsidR="004211CB">
        <w:rPr>
          <w:rFonts w:eastAsia="Times New Roman"/>
          <w:szCs w:val="24"/>
        </w:rPr>
        <w:t>h</w:t>
      </w:r>
      <w:r w:rsidR="00377DCC">
        <w:rPr>
          <w:rFonts w:eastAsia="Times New Roman"/>
          <w:szCs w:val="24"/>
        </w:rPr>
        <w:t>e filed a notice to withdraw his</w:t>
      </w:r>
      <w:r w:rsidR="004211CB">
        <w:rPr>
          <w:rFonts w:eastAsia="Times New Roman"/>
          <w:szCs w:val="24"/>
        </w:rPr>
        <w:t xml:space="preserve"> motion for reconsideration</w:t>
      </w:r>
      <w:r w:rsidR="003F57AA">
        <w:rPr>
          <w:rFonts w:eastAsia="Times New Roman"/>
          <w:szCs w:val="24"/>
        </w:rPr>
        <w:t xml:space="preserve"> </w:t>
      </w:r>
      <w:r w:rsidR="005A37C2">
        <w:rPr>
          <w:rFonts w:eastAsia="Times New Roman"/>
          <w:szCs w:val="24"/>
        </w:rPr>
        <w:t xml:space="preserve">and to vacate </w:t>
      </w:r>
      <w:r w:rsidR="00181E9E">
        <w:rPr>
          <w:rFonts w:eastAsia="Times New Roman"/>
          <w:szCs w:val="24"/>
        </w:rPr>
        <w:t>that</w:t>
      </w:r>
      <w:r w:rsidR="00377DCC">
        <w:rPr>
          <w:rFonts w:eastAsia="Times New Roman"/>
          <w:szCs w:val="24"/>
        </w:rPr>
        <w:t xml:space="preserve"> was </w:t>
      </w:r>
      <w:r w:rsidR="003F57AA">
        <w:rPr>
          <w:rFonts w:eastAsia="Times New Roman"/>
          <w:szCs w:val="24"/>
        </w:rPr>
        <w:t>set for hearing on December</w:t>
      </w:r>
      <w:r w:rsidR="000C4799">
        <w:rPr>
          <w:rFonts w:eastAsia="Times New Roman"/>
          <w:szCs w:val="24"/>
        </w:rPr>
        <w:t> </w:t>
      </w:r>
      <w:r w:rsidR="003F57AA">
        <w:rPr>
          <w:rFonts w:eastAsia="Times New Roman"/>
          <w:szCs w:val="24"/>
        </w:rPr>
        <w:t>31, 2014</w:t>
      </w:r>
      <w:r w:rsidR="004211CB">
        <w:rPr>
          <w:rFonts w:eastAsia="Times New Roman"/>
          <w:szCs w:val="24"/>
        </w:rPr>
        <w:t xml:space="preserve">; and </w:t>
      </w:r>
      <w:r w:rsidR="00496E53">
        <w:rPr>
          <w:rFonts w:eastAsia="Times New Roman"/>
          <w:szCs w:val="24"/>
        </w:rPr>
        <w:t>(4)</w:t>
      </w:r>
      <w:r w:rsidR="000C4799">
        <w:rPr>
          <w:rFonts w:eastAsia="Times New Roman"/>
          <w:szCs w:val="24"/>
        </w:rPr>
        <w:t> </w:t>
      </w:r>
      <w:r w:rsidR="004211CB">
        <w:rPr>
          <w:rFonts w:eastAsia="Times New Roman"/>
          <w:szCs w:val="24"/>
        </w:rPr>
        <w:t>the court issued an order denying the motion for reconsideration</w:t>
      </w:r>
      <w:r w:rsidR="005A37C2">
        <w:rPr>
          <w:rFonts w:eastAsia="Times New Roman"/>
          <w:szCs w:val="24"/>
        </w:rPr>
        <w:t xml:space="preserve"> and to vacate</w:t>
      </w:r>
      <w:r w:rsidR="004211CB">
        <w:rPr>
          <w:rFonts w:eastAsia="Times New Roman"/>
          <w:szCs w:val="24"/>
        </w:rPr>
        <w:t xml:space="preserve">.  </w:t>
      </w:r>
      <w:r w:rsidR="006131E9">
        <w:rPr>
          <w:rFonts w:eastAsia="Times New Roman"/>
          <w:szCs w:val="24"/>
        </w:rPr>
        <w:t>The hearing judge did not mak</w:t>
      </w:r>
      <w:r w:rsidR="0017342C">
        <w:rPr>
          <w:rFonts w:eastAsia="Times New Roman"/>
          <w:szCs w:val="24"/>
        </w:rPr>
        <w:t>e findings on the additional seven</w:t>
      </w:r>
      <w:r w:rsidR="006131E9">
        <w:rPr>
          <w:rFonts w:eastAsia="Times New Roman"/>
          <w:szCs w:val="24"/>
        </w:rPr>
        <w:t xml:space="preserve"> allegations </w:t>
      </w:r>
      <w:r w:rsidR="008F0D77">
        <w:rPr>
          <w:rFonts w:eastAsia="Times New Roman"/>
          <w:szCs w:val="24"/>
        </w:rPr>
        <w:t>in the NDC </w:t>
      </w:r>
      <w:r w:rsidR="006131E9">
        <w:rPr>
          <w:rFonts w:eastAsia="Times New Roman"/>
          <w:szCs w:val="24"/>
        </w:rPr>
        <w:t>of failure to communicate.</w:t>
      </w:r>
      <w:r w:rsidR="00376C84">
        <w:rPr>
          <w:rStyle w:val="FootnoteReference"/>
          <w:rFonts w:eastAsia="Times New Roman"/>
          <w:szCs w:val="24"/>
        </w:rPr>
        <w:footnoteReference w:id="10"/>
      </w:r>
      <w:r w:rsidR="006131E9">
        <w:rPr>
          <w:rFonts w:eastAsia="Times New Roman"/>
          <w:szCs w:val="24"/>
        </w:rPr>
        <w:t xml:space="preserve">  </w:t>
      </w:r>
    </w:p>
    <w:p w:rsidR="000C45DA" w:rsidRDefault="005C66A0" w:rsidP="00A969EB">
      <w:pPr>
        <w:pStyle w:val="ListParagraph"/>
        <w:tabs>
          <w:tab w:val="left" w:pos="720"/>
        </w:tabs>
        <w:spacing w:line="480" w:lineRule="auto"/>
        <w:ind w:left="0"/>
        <w:rPr>
          <w:rFonts w:eastAsia="Times New Roman"/>
          <w:szCs w:val="24"/>
        </w:rPr>
      </w:pPr>
      <w:r>
        <w:rPr>
          <w:rFonts w:eastAsia="Times New Roman"/>
          <w:szCs w:val="24"/>
        </w:rPr>
        <w:tab/>
      </w:r>
      <w:r w:rsidR="004211CB">
        <w:rPr>
          <w:rFonts w:eastAsia="Times New Roman"/>
          <w:szCs w:val="24"/>
        </w:rPr>
        <w:t xml:space="preserve">Gentino </w:t>
      </w:r>
      <w:r w:rsidR="000C45DA">
        <w:rPr>
          <w:rFonts w:eastAsia="Times New Roman"/>
          <w:szCs w:val="24"/>
        </w:rPr>
        <w:t xml:space="preserve">argues </w:t>
      </w:r>
      <w:r w:rsidR="00496E53">
        <w:rPr>
          <w:rFonts w:eastAsia="Times New Roman"/>
          <w:szCs w:val="24"/>
        </w:rPr>
        <w:t>that the late-</w:t>
      </w:r>
      <w:r w:rsidR="0074522D">
        <w:rPr>
          <w:rFonts w:eastAsia="Times New Roman"/>
          <w:szCs w:val="24"/>
        </w:rPr>
        <w:t>filed demurrer, his withdrawal of the motion for reconsideration</w:t>
      </w:r>
      <w:r w:rsidR="005A37C2">
        <w:rPr>
          <w:rFonts w:eastAsia="Times New Roman"/>
          <w:szCs w:val="24"/>
        </w:rPr>
        <w:t xml:space="preserve"> and to vacate</w:t>
      </w:r>
      <w:r w:rsidR="00496E53">
        <w:rPr>
          <w:rFonts w:eastAsia="Times New Roman"/>
          <w:szCs w:val="24"/>
        </w:rPr>
        <w:t>,</w:t>
      </w:r>
      <w:r w:rsidR="0074522D">
        <w:rPr>
          <w:rFonts w:eastAsia="Times New Roman"/>
          <w:szCs w:val="24"/>
        </w:rPr>
        <w:t xml:space="preserve"> and the court’s denial of the motion for reconsideration</w:t>
      </w:r>
      <w:r w:rsidR="005A37C2">
        <w:rPr>
          <w:rFonts w:eastAsia="Times New Roman"/>
          <w:szCs w:val="24"/>
        </w:rPr>
        <w:t xml:space="preserve"> and to vacate</w:t>
      </w:r>
      <w:r w:rsidR="0074522D">
        <w:rPr>
          <w:rFonts w:eastAsia="Times New Roman"/>
          <w:szCs w:val="24"/>
        </w:rPr>
        <w:t xml:space="preserve"> were </w:t>
      </w:r>
      <w:r w:rsidR="001048B0">
        <w:rPr>
          <w:rFonts w:eastAsia="Times New Roman"/>
          <w:szCs w:val="24"/>
        </w:rPr>
        <w:t>not</w:t>
      </w:r>
      <w:r w:rsidR="004211CB">
        <w:rPr>
          <w:rFonts w:eastAsia="Times New Roman"/>
          <w:szCs w:val="24"/>
        </w:rPr>
        <w:t xml:space="preserve"> significant development</w:t>
      </w:r>
      <w:r w:rsidR="0074522D">
        <w:rPr>
          <w:rFonts w:eastAsia="Times New Roman"/>
          <w:szCs w:val="24"/>
        </w:rPr>
        <w:t xml:space="preserve">s.  </w:t>
      </w:r>
      <w:r w:rsidR="00B445F0">
        <w:rPr>
          <w:rFonts w:eastAsia="Times New Roman"/>
          <w:szCs w:val="24"/>
        </w:rPr>
        <w:t xml:space="preserve">We </w:t>
      </w:r>
      <w:r w:rsidR="00876B1D">
        <w:rPr>
          <w:rFonts w:eastAsia="Times New Roman"/>
          <w:szCs w:val="24"/>
        </w:rPr>
        <w:t xml:space="preserve">disagree.  </w:t>
      </w:r>
      <w:r w:rsidR="00B1366E">
        <w:rPr>
          <w:rFonts w:eastAsia="Times New Roman"/>
          <w:szCs w:val="24"/>
        </w:rPr>
        <w:t>E</w:t>
      </w:r>
      <w:r w:rsidR="003039AC">
        <w:rPr>
          <w:rFonts w:eastAsia="Times New Roman"/>
          <w:szCs w:val="24"/>
        </w:rPr>
        <w:t xml:space="preserve">ach </w:t>
      </w:r>
      <w:r w:rsidR="00B445F0">
        <w:rPr>
          <w:rFonts w:eastAsia="Times New Roman"/>
          <w:szCs w:val="24"/>
        </w:rPr>
        <w:t>had</w:t>
      </w:r>
      <w:r w:rsidR="00496E53">
        <w:rPr>
          <w:rFonts w:eastAsia="Times New Roman"/>
          <w:szCs w:val="24"/>
        </w:rPr>
        <w:t xml:space="preserve"> a</w:t>
      </w:r>
      <w:r w:rsidR="00B445F0">
        <w:rPr>
          <w:rFonts w:eastAsia="Times New Roman"/>
          <w:szCs w:val="24"/>
        </w:rPr>
        <w:t xml:space="preserve"> </w:t>
      </w:r>
      <w:r w:rsidR="003039AC">
        <w:rPr>
          <w:rFonts w:eastAsia="Times New Roman"/>
          <w:szCs w:val="24"/>
        </w:rPr>
        <w:t xml:space="preserve">legal effect </w:t>
      </w:r>
      <w:r w:rsidR="00B445F0">
        <w:rPr>
          <w:rFonts w:eastAsia="Times New Roman"/>
          <w:szCs w:val="24"/>
        </w:rPr>
        <w:t>on Galvez’s c</w:t>
      </w:r>
      <w:r w:rsidR="00496E53">
        <w:rPr>
          <w:rFonts w:eastAsia="Times New Roman"/>
          <w:szCs w:val="24"/>
        </w:rPr>
        <w:t xml:space="preserve">ase.  The </w:t>
      </w:r>
      <w:r w:rsidR="00876B1D">
        <w:rPr>
          <w:rFonts w:eastAsia="Times New Roman"/>
          <w:szCs w:val="24"/>
        </w:rPr>
        <w:t>tardy</w:t>
      </w:r>
      <w:r w:rsidR="00B445F0">
        <w:rPr>
          <w:rFonts w:eastAsia="Times New Roman"/>
          <w:szCs w:val="24"/>
        </w:rPr>
        <w:t xml:space="preserve"> demurrer resulted in entry of a default judgment against her</w:t>
      </w:r>
      <w:r w:rsidR="00FF0841">
        <w:rPr>
          <w:rFonts w:eastAsia="Times New Roman"/>
          <w:szCs w:val="24"/>
        </w:rPr>
        <w:t xml:space="preserve">, </w:t>
      </w:r>
      <w:r w:rsidR="00692469">
        <w:rPr>
          <w:rFonts w:eastAsia="Times New Roman"/>
          <w:szCs w:val="24"/>
        </w:rPr>
        <w:t xml:space="preserve">and </w:t>
      </w:r>
      <w:r w:rsidR="00FF0841">
        <w:rPr>
          <w:rFonts w:eastAsia="Times New Roman"/>
          <w:szCs w:val="24"/>
        </w:rPr>
        <w:t xml:space="preserve">Gentino’s attempt to withdraw the motion for reconsideration </w:t>
      </w:r>
      <w:r w:rsidR="005A37C2">
        <w:rPr>
          <w:rFonts w:eastAsia="Times New Roman"/>
          <w:szCs w:val="24"/>
        </w:rPr>
        <w:t xml:space="preserve">and to vacate </w:t>
      </w:r>
      <w:r w:rsidR="00FF0841">
        <w:rPr>
          <w:rFonts w:eastAsia="Times New Roman"/>
          <w:szCs w:val="24"/>
        </w:rPr>
        <w:t>and the court’s resulting</w:t>
      </w:r>
      <w:r w:rsidR="00B445F0">
        <w:rPr>
          <w:rFonts w:eastAsia="Times New Roman"/>
          <w:szCs w:val="24"/>
        </w:rPr>
        <w:t xml:space="preserve"> denial of the </w:t>
      </w:r>
      <w:r w:rsidR="00496E53">
        <w:rPr>
          <w:rFonts w:eastAsia="Times New Roman"/>
          <w:szCs w:val="24"/>
        </w:rPr>
        <w:t xml:space="preserve">deficient and late-filed </w:t>
      </w:r>
      <w:r w:rsidR="00B445F0">
        <w:rPr>
          <w:rFonts w:eastAsia="Times New Roman"/>
          <w:szCs w:val="24"/>
        </w:rPr>
        <w:t xml:space="preserve">motion turned out to be </w:t>
      </w:r>
      <w:r w:rsidR="00692469">
        <w:rPr>
          <w:rFonts w:eastAsia="Times New Roman"/>
          <w:szCs w:val="24"/>
        </w:rPr>
        <w:t>Galvez’s</w:t>
      </w:r>
      <w:r w:rsidR="00B445F0">
        <w:rPr>
          <w:rFonts w:eastAsia="Times New Roman"/>
          <w:szCs w:val="24"/>
        </w:rPr>
        <w:t xml:space="preserve"> last chance to appeal</w:t>
      </w:r>
      <w:r w:rsidR="00DA03DD">
        <w:rPr>
          <w:rFonts w:eastAsia="Times New Roman"/>
          <w:szCs w:val="24"/>
        </w:rPr>
        <w:t xml:space="preserve"> the court’s entry of her default</w:t>
      </w:r>
      <w:r w:rsidR="00B445F0">
        <w:rPr>
          <w:rFonts w:eastAsia="Times New Roman"/>
          <w:szCs w:val="24"/>
        </w:rPr>
        <w:t xml:space="preserve">.  </w:t>
      </w:r>
      <w:r w:rsidR="003039AC">
        <w:rPr>
          <w:rFonts w:eastAsia="Times New Roman"/>
          <w:szCs w:val="24"/>
        </w:rPr>
        <w:t xml:space="preserve">(See </w:t>
      </w:r>
      <w:r w:rsidR="003039AC">
        <w:rPr>
          <w:rFonts w:eastAsia="Times New Roman"/>
          <w:i/>
          <w:szCs w:val="24"/>
        </w:rPr>
        <w:t>In the Matter of Kaplan</w:t>
      </w:r>
      <w:r w:rsidR="003039AC">
        <w:rPr>
          <w:rFonts w:eastAsia="Times New Roman"/>
          <w:szCs w:val="24"/>
        </w:rPr>
        <w:t xml:space="preserve"> (Review Dept. 1996) 3</w:t>
      </w:r>
      <w:r w:rsidR="000C4799">
        <w:rPr>
          <w:rFonts w:eastAsia="Times New Roman"/>
          <w:szCs w:val="24"/>
        </w:rPr>
        <w:t> </w:t>
      </w:r>
      <w:r w:rsidR="003039AC">
        <w:rPr>
          <w:rFonts w:eastAsia="Times New Roman"/>
          <w:szCs w:val="24"/>
        </w:rPr>
        <w:t>Cal. State Bar Ct. Rptr. 547, 555 [failure to inform client of running of statute of limitations and dismissal of her case for lack of prosecution constitute</w:t>
      </w:r>
      <w:r w:rsidR="00004FB4">
        <w:rPr>
          <w:rFonts w:eastAsia="Times New Roman"/>
          <w:szCs w:val="24"/>
        </w:rPr>
        <w:t>s</w:t>
      </w:r>
      <w:r w:rsidR="003039AC">
        <w:rPr>
          <w:rFonts w:eastAsia="Times New Roman"/>
          <w:szCs w:val="24"/>
        </w:rPr>
        <w:t xml:space="preserve"> violation of </w:t>
      </w:r>
      <w:r w:rsidR="00004FB4">
        <w:rPr>
          <w:rFonts w:eastAsia="Times New Roman"/>
          <w:szCs w:val="24"/>
        </w:rPr>
        <w:t>§</w:t>
      </w:r>
      <w:r w:rsidR="000C4799">
        <w:rPr>
          <w:rFonts w:eastAsia="Times New Roman"/>
          <w:szCs w:val="24"/>
        </w:rPr>
        <w:t> </w:t>
      </w:r>
      <w:r w:rsidR="003039AC">
        <w:rPr>
          <w:rFonts w:eastAsia="Times New Roman"/>
          <w:szCs w:val="24"/>
        </w:rPr>
        <w:t>6068, subd.</w:t>
      </w:r>
      <w:r w:rsidR="000C4799">
        <w:rPr>
          <w:rFonts w:eastAsia="Times New Roman"/>
          <w:szCs w:val="24"/>
        </w:rPr>
        <w:t> </w:t>
      </w:r>
      <w:r w:rsidR="003039AC">
        <w:rPr>
          <w:rFonts w:eastAsia="Times New Roman"/>
          <w:szCs w:val="24"/>
        </w:rPr>
        <w:t>(m)].)</w:t>
      </w:r>
    </w:p>
    <w:p w:rsidR="00A4136E" w:rsidRPr="00230E8B" w:rsidRDefault="000C45DA" w:rsidP="00A4136E">
      <w:pPr>
        <w:pStyle w:val="ListParagraph"/>
        <w:tabs>
          <w:tab w:val="left" w:pos="720"/>
        </w:tabs>
        <w:spacing w:line="480" w:lineRule="auto"/>
        <w:ind w:left="0"/>
        <w:rPr>
          <w:rFonts w:eastAsia="Times New Roman"/>
          <w:szCs w:val="24"/>
        </w:rPr>
      </w:pPr>
      <w:r>
        <w:rPr>
          <w:rFonts w:eastAsia="Times New Roman"/>
          <w:szCs w:val="24"/>
        </w:rPr>
        <w:lastRenderedPageBreak/>
        <w:tab/>
      </w:r>
      <w:r w:rsidR="00B445F0">
        <w:rPr>
          <w:rFonts w:eastAsia="Times New Roman"/>
          <w:szCs w:val="24"/>
        </w:rPr>
        <w:t>Gentino</w:t>
      </w:r>
      <w:r w:rsidR="0074522D">
        <w:rPr>
          <w:rFonts w:eastAsia="Times New Roman"/>
          <w:szCs w:val="24"/>
        </w:rPr>
        <w:t xml:space="preserve"> also </w:t>
      </w:r>
      <w:r w:rsidR="00004FB4">
        <w:rPr>
          <w:rFonts w:eastAsia="Times New Roman"/>
          <w:szCs w:val="24"/>
        </w:rPr>
        <w:t>claims</w:t>
      </w:r>
      <w:r w:rsidR="0074522D">
        <w:rPr>
          <w:rFonts w:eastAsia="Times New Roman"/>
          <w:szCs w:val="24"/>
        </w:rPr>
        <w:t xml:space="preserve"> that he informed G</w:t>
      </w:r>
      <w:r w:rsidR="00165F59">
        <w:rPr>
          <w:rFonts w:eastAsia="Times New Roman"/>
          <w:szCs w:val="24"/>
        </w:rPr>
        <w:t>alvez of the J</w:t>
      </w:r>
      <w:r w:rsidR="0074522D">
        <w:rPr>
          <w:rFonts w:eastAsia="Times New Roman"/>
          <w:szCs w:val="24"/>
        </w:rPr>
        <w:t>udgment</w:t>
      </w:r>
      <w:r w:rsidR="00594A09">
        <w:rPr>
          <w:rFonts w:eastAsia="Times New Roman"/>
          <w:szCs w:val="24"/>
        </w:rPr>
        <w:t>,</w:t>
      </w:r>
      <w:r w:rsidR="0074522D">
        <w:rPr>
          <w:rFonts w:eastAsia="Times New Roman"/>
          <w:szCs w:val="24"/>
        </w:rPr>
        <w:t xml:space="preserve"> </w:t>
      </w:r>
      <w:r w:rsidR="003F57AA">
        <w:rPr>
          <w:rFonts w:eastAsia="Times New Roman"/>
          <w:szCs w:val="24"/>
        </w:rPr>
        <w:t>which was filed on October</w:t>
      </w:r>
      <w:r w:rsidR="000C4799">
        <w:rPr>
          <w:rFonts w:eastAsia="Times New Roman"/>
          <w:szCs w:val="24"/>
        </w:rPr>
        <w:t> </w:t>
      </w:r>
      <w:r w:rsidR="003F57AA">
        <w:rPr>
          <w:rFonts w:eastAsia="Times New Roman"/>
          <w:szCs w:val="24"/>
        </w:rPr>
        <w:t>9, 2014</w:t>
      </w:r>
      <w:r w:rsidR="00594A09">
        <w:rPr>
          <w:rFonts w:eastAsia="Times New Roman"/>
          <w:szCs w:val="24"/>
        </w:rPr>
        <w:t>,</w:t>
      </w:r>
      <w:r w:rsidR="003F57AA">
        <w:rPr>
          <w:rFonts w:eastAsia="Times New Roman"/>
          <w:szCs w:val="24"/>
        </w:rPr>
        <w:t xml:space="preserve"> and </w:t>
      </w:r>
      <w:r w:rsidR="0074522D">
        <w:rPr>
          <w:rFonts w:eastAsia="Times New Roman"/>
          <w:szCs w:val="24"/>
        </w:rPr>
        <w:t xml:space="preserve">served on </w:t>
      </w:r>
      <w:r w:rsidR="003F57AA">
        <w:rPr>
          <w:rFonts w:eastAsia="Times New Roman"/>
          <w:szCs w:val="24"/>
        </w:rPr>
        <w:t xml:space="preserve">him on </w:t>
      </w:r>
      <w:r w:rsidR="0074522D">
        <w:rPr>
          <w:rFonts w:eastAsia="Times New Roman"/>
          <w:szCs w:val="24"/>
        </w:rPr>
        <w:t>Nove</w:t>
      </w:r>
      <w:r w:rsidR="003F57AA">
        <w:rPr>
          <w:rFonts w:eastAsia="Times New Roman"/>
          <w:szCs w:val="24"/>
        </w:rPr>
        <w:t>mber</w:t>
      </w:r>
      <w:r w:rsidR="000C4799">
        <w:rPr>
          <w:rFonts w:eastAsia="Times New Roman"/>
          <w:szCs w:val="24"/>
        </w:rPr>
        <w:t> </w:t>
      </w:r>
      <w:r w:rsidR="003F57AA">
        <w:rPr>
          <w:rFonts w:eastAsia="Times New Roman"/>
          <w:szCs w:val="24"/>
        </w:rPr>
        <w:t>5, 2014</w:t>
      </w:r>
      <w:r w:rsidR="00594A09">
        <w:rPr>
          <w:rFonts w:eastAsia="Times New Roman"/>
          <w:szCs w:val="24"/>
        </w:rPr>
        <w:t>,</w:t>
      </w:r>
      <w:r w:rsidR="003F57AA">
        <w:rPr>
          <w:rFonts w:eastAsia="Times New Roman"/>
          <w:szCs w:val="24"/>
        </w:rPr>
        <w:t xml:space="preserve"> by referencing it </w:t>
      </w:r>
      <w:r w:rsidR="0074522D">
        <w:rPr>
          <w:rFonts w:eastAsia="Times New Roman"/>
          <w:szCs w:val="24"/>
        </w:rPr>
        <w:t>in the motion</w:t>
      </w:r>
      <w:r w:rsidR="009E2E9A">
        <w:rPr>
          <w:rFonts w:eastAsia="Times New Roman"/>
          <w:szCs w:val="24"/>
        </w:rPr>
        <w:t xml:space="preserve"> for</w:t>
      </w:r>
      <w:r w:rsidR="0074522D">
        <w:rPr>
          <w:rFonts w:eastAsia="Times New Roman"/>
          <w:szCs w:val="24"/>
        </w:rPr>
        <w:t xml:space="preserve"> reconsider</w:t>
      </w:r>
      <w:r w:rsidR="009E2E9A">
        <w:rPr>
          <w:rFonts w:eastAsia="Times New Roman"/>
          <w:szCs w:val="24"/>
        </w:rPr>
        <w:t>ation</w:t>
      </w:r>
      <w:r w:rsidR="00594A09">
        <w:rPr>
          <w:rFonts w:eastAsia="Times New Roman"/>
          <w:szCs w:val="24"/>
        </w:rPr>
        <w:t xml:space="preserve"> </w:t>
      </w:r>
      <w:r w:rsidR="00165F59">
        <w:rPr>
          <w:rFonts w:eastAsia="Times New Roman"/>
          <w:szCs w:val="24"/>
        </w:rPr>
        <w:t xml:space="preserve">and to vacate </w:t>
      </w:r>
      <w:r w:rsidR="00594A09">
        <w:rPr>
          <w:rFonts w:eastAsia="Times New Roman"/>
          <w:szCs w:val="24"/>
        </w:rPr>
        <w:t>that</w:t>
      </w:r>
      <w:r w:rsidR="0074522D">
        <w:rPr>
          <w:rFonts w:eastAsia="Times New Roman"/>
          <w:szCs w:val="24"/>
        </w:rPr>
        <w:t xml:space="preserve"> he emailed to Galvez on </w:t>
      </w:r>
      <w:r w:rsidR="00165F59">
        <w:rPr>
          <w:rFonts w:eastAsia="Times New Roman"/>
          <w:szCs w:val="24"/>
        </w:rPr>
        <w:t>December</w:t>
      </w:r>
      <w:r w:rsidR="000C4799">
        <w:rPr>
          <w:rFonts w:eastAsia="Times New Roman"/>
          <w:szCs w:val="24"/>
        </w:rPr>
        <w:t> </w:t>
      </w:r>
      <w:r w:rsidR="00165F59">
        <w:rPr>
          <w:rFonts w:eastAsia="Times New Roman"/>
          <w:szCs w:val="24"/>
        </w:rPr>
        <w:t>22</w:t>
      </w:r>
      <w:r w:rsidR="003F57AA">
        <w:rPr>
          <w:rFonts w:eastAsia="Times New Roman"/>
          <w:szCs w:val="24"/>
        </w:rPr>
        <w:t xml:space="preserve">, 2014, and </w:t>
      </w:r>
      <w:r w:rsidR="004A44EB">
        <w:rPr>
          <w:rFonts w:eastAsia="Times New Roman"/>
          <w:szCs w:val="24"/>
        </w:rPr>
        <w:t xml:space="preserve">again on </w:t>
      </w:r>
      <w:r w:rsidR="003F57AA">
        <w:rPr>
          <w:rFonts w:eastAsia="Times New Roman"/>
          <w:szCs w:val="24"/>
        </w:rPr>
        <w:t>January</w:t>
      </w:r>
      <w:r w:rsidR="000C4799">
        <w:rPr>
          <w:rFonts w:eastAsia="Times New Roman"/>
          <w:szCs w:val="24"/>
        </w:rPr>
        <w:t> </w:t>
      </w:r>
      <w:r w:rsidR="003F57AA">
        <w:rPr>
          <w:rFonts w:eastAsia="Times New Roman"/>
          <w:szCs w:val="24"/>
        </w:rPr>
        <w:t xml:space="preserve">8, 2015.  </w:t>
      </w:r>
      <w:r w:rsidR="00173CBB">
        <w:rPr>
          <w:rFonts w:eastAsia="Times New Roman"/>
          <w:szCs w:val="24"/>
        </w:rPr>
        <w:t>However, t</w:t>
      </w:r>
      <w:r w:rsidR="00B445F0">
        <w:rPr>
          <w:rFonts w:eastAsia="Times New Roman"/>
          <w:szCs w:val="24"/>
        </w:rPr>
        <w:t xml:space="preserve">his notice </w:t>
      </w:r>
      <w:r>
        <w:rPr>
          <w:rFonts w:eastAsia="Times New Roman"/>
          <w:szCs w:val="24"/>
        </w:rPr>
        <w:t xml:space="preserve">was not </w:t>
      </w:r>
      <w:r w:rsidR="00173CBB">
        <w:rPr>
          <w:rFonts w:eastAsia="Times New Roman"/>
          <w:szCs w:val="24"/>
        </w:rPr>
        <w:t>“</w:t>
      </w:r>
      <w:r>
        <w:rPr>
          <w:rFonts w:eastAsia="Times New Roman"/>
          <w:szCs w:val="24"/>
        </w:rPr>
        <w:t>promptly</w:t>
      </w:r>
      <w:r w:rsidR="00173CBB">
        <w:rPr>
          <w:rFonts w:eastAsia="Times New Roman"/>
          <w:szCs w:val="24"/>
        </w:rPr>
        <w:t>”</w:t>
      </w:r>
      <w:r>
        <w:rPr>
          <w:rFonts w:eastAsia="Times New Roman"/>
          <w:szCs w:val="24"/>
        </w:rPr>
        <w:t xml:space="preserve"> delivered</w:t>
      </w:r>
      <w:r w:rsidR="00173CBB">
        <w:rPr>
          <w:rFonts w:eastAsia="Times New Roman"/>
          <w:szCs w:val="24"/>
        </w:rPr>
        <w:t xml:space="preserve">, as required by </w:t>
      </w:r>
      <w:r w:rsidR="00B9193E">
        <w:rPr>
          <w:rFonts w:eastAsia="Times New Roman"/>
          <w:szCs w:val="24"/>
        </w:rPr>
        <w:t>the</w:t>
      </w:r>
      <w:r w:rsidR="008A6E6A">
        <w:rPr>
          <w:rFonts w:eastAsia="Times New Roman"/>
          <w:szCs w:val="24"/>
        </w:rPr>
        <w:t xml:space="preserve"> statute</w:t>
      </w:r>
      <w:r w:rsidR="00173CBB">
        <w:rPr>
          <w:rFonts w:eastAsia="Times New Roman"/>
          <w:szCs w:val="24"/>
        </w:rPr>
        <w:t xml:space="preserve">.  </w:t>
      </w:r>
      <w:r w:rsidR="009E22A1">
        <w:rPr>
          <w:rFonts w:eastAsia="Times New Roman"/>
          <w:szCs w:val="24"/>
        </w:rPr>
        <w:t>Also</w:t>
      </w:r>
      <w:r w:rsidR="00004FB4">
        <w:rPr>
          <w:rFonts w:eastAsia="Times New Roman"/>
          <w:szCs w:val="24"/>
        </w:rPr>
        <w:t>,</w:t>
      </w:r>
      <w:r w:rsidR="00B9193E">
        <w:rPr>
          <w:rFonts w:eastAsia="Times New Roman"/>
          <w:szCs w:val="24"/>
        </w:rPr>
        <w:t xml:space="preserve"> his email did not </w:t>
      </w:r>
      <w:r w:rsidR="009E22A1">
        <w:rPr>
          <w:rFonts w:eastAsia="Times New Roman"/>
          <w:szCs w:val="24"/>
        </w:rPr>
        <w:t>offer</w:t>
      </w:r>
      <w:r w:rsidR="00B9193E">
        <w:rPr>
          <w:rFonts w:eastAsia="Times New Roman"/>
          <w:szCs w:val="24"/>
        </w:rPr>
        <w:t xml:space="preserve"> </w:t>
      </w:r>
      <w:r w:rsidR="00A4136E">
        <w:rPr>
          <w:rFonts w:eastAsia="Times New Roman"/>
          <w:szCs w:val="24"/>
        </w:rPr>
        <w:t xml:space="preserve">sufficient explanation </w:t>
      </w:r>
      <w:r w:rsidR="00B445F0">
        <w:rPr>
          <w:rFonts w:eastAsia="Times New Roman"/>
          <w:szCs w:val="24"/>
        </w:rPr>
        <w:t>to ensure that Galvez understood</w:t>
      </w:r>
      <w:r w:rsidR="00DA03DD">
        <w:rPr>
          <w:rFonts w:eastAsia="Times New Roman"/>
          <w:szCs w:val="24"/>
        </w:rPr>
        <w:t xml:space="preserve"> that </w:t>
      </w:r>
      <w:r w:rsidR="00165F59">
        <w:rPr>
          <w:rFonts w:eastAsia="Times New Roman"/>
          <w:szCs w:val="24"/>
        </w:rPr>
        <w:t>the J</w:t>
      </w:r>
      <w:r w:rsidR="00DA03DD">
        <w:rPr>
          <w:rFonts w:eastAsia="Times New Roman"/>
          <w:szCs w:val="24"/>
        </w:rPr>
        <w:t>udgment had been entered</w:t>
      </w:r>
      <w:r w:rsidR="00140595">
        <w:rPr>
          <w:rFonts w:eastAsia="Times New Roman"/>
          <w:szCs w:val="24"/>
        </w:rPr>
        <w:t xml:space="preserve">, </w:t>
      </w:r>
      <w:r w:rsidR="008A6E6A">
        <w:rPr>
          <w:rFonts w:eastAsia="Times New Roman"/>
          <w:szCs w:val="24"/>
        </w:rPr>
        <w:t xml:space="preserve">which she clearly did not </w:t>
      </w:r>
      <w:r w:rsidR="00004FB4">
        <w:rPr>
          <w:rFonts w:eastAsia="Times New Roman"/>
          <w:szCs w:val="24"/>
        </w:rPr>
        <w:t>know</w:t>
      </w:r>
      <w:r w:rsidR="00135FBB">
        <w:rPr>
          <w:rFonts w:eastAsia="Times New Roman"/>
          <w:szCs w:val="24"/>
        </w:rPr>
        <w:t xml:space="preserve"> </w:t>
      </w:r>
      <w:r w:rsidR="00377DCC">
        <w:rPr>
          <w:rFonts w:eastAsia="Times New Roman"/>
          <w:szCs w:val="24"/>
        </w:rPr>
        <w:t xml:space="preserve">even as late as June of 2015, </w:t>
      </w:r>
      <w:r w:rsidR="00C505E9">
        <w:rPr>
          <w:rFonts w:eastAsia="Times New Roman"/>
          <w:szCs w:val="24"/>
        </w:rPr>
        <w:t xml:space="preserve">based on </w:t>
      </w:r>
      <w:r w:rsidR="00856C2F">
        <w:rPr>
          <w:rFonts w:eastAsia="Times New Roman"/>
          <w:szCs w:val="24"/>
        </w:rPr>
        <w:t>her June</w:t>
      </w:r>
      <w:r w:rsidR="000C4799">
        <w:rPr>
          <w:rFonts w:eastAsia="Times New Roman"/>
          <w:szCs w:val="24"/>
        </w:rPr>
        <w:t> </w:t>
      </w:r>
      <w:r w:rsidR="00856C2F">
        <w:rPr>
          <w:rFonts w:eastAsia="Times New Roman"/>
          <w:szCs w:val="24"/>
        </w:rPr>
        <w:t>4, 2015</w:t>
      </w:r>
      <w:r w:rsidR="00165F59">
        <w:rPr>
          <w:rFonts w:eastAsia="Times New Roman"/>
          <w:szCs w:val="24"/>
        </w:rPr>
        <w:t>,</w:t>
      </w:r>
      <w:r w:rsidR="00856C2F">
        <w:rPr>
          <w:rFonts w:eastAsia="Times New Roman"/>
          <w:szCs w:val="24"/>
        </w:rPr>
        <w:t xml:space="preserve"> email </w:t>
      </w:r>
      <w:r w:rsidR="00135FBB">
        <w:rPr>
          <w:rFonts w:eastAsia="Times New Roman"/>
          <w:szCs w:val="24"/>
        </w:rPr>
        <w:t xml:space="preserve">to Gentino </w:t>
      </w:r>
      <w:r w:rsidR="00856C2F">
        <w:rPr>
          <w:rFonts w:eastAsia="Times New Roman"/>
          <w:szCs w:val="24"/>
        </w:rPr>
        <w:t xml:space="preserve">asking </w:t>
      </w:r>
      <w:r w:rsidR="00004FB4">
        <w:rPr>
          <w:rFonts w:eastAsia="Times New Roman"/>
          <w:szCs w:val="24"/>
        </w:rPr>
        <w:t>how</w:t>
      </w:r>
      <w:r w:rsidR="00856C2F">
        <w:rPr>
          <w:rFonts w:eastAsia="Times New Roman"/>
          <w:szCs w:val="24"/>
        </w:rPr>
        <w:t xml:space="preserve"> Pair </w:t>
      </w:r>
      <w:r w:rsidR="009E22A1">
        <w:rPr>
          <w:rFonts w:eastAsia="Times New Roman"/>
          <w:szCs w:val="24"/>
        </w:rPr>
        <w:t xml:space="preserve">was able to </w:t>
      </w:r>
      <w:r w:rsidR="00856C2F">
        <w:rPr>
          <w:rFonts w:eastAsia="Times New Roman"/>
          <w:szCs w:val="24"/>
        </w:rPr>
        <w:t xml:space="preserve">place liens on </w:t>
      </w:r>
      <w:r w:rsidR="00606588">
        <w:rPr>
          <w:rFonts w:eastAsia="Times New Roman"/>
          <w:szCs w:val="24"/>
        </w:rPr>
        <w:t>her</w:t>
      </w:r>
      <w:r w:rsidR="00856C2F">
        <w:rPr>
          <w:rFonts w:eastAsia="Times New Roman"/>
          <w:szCs w:val="24"/>
        </w:rPr>
        <w:t xml:space="preserve"> accounts.  </w:t>
      </w:r>
      <w:r w:rsidR="00A4136E">
        <w:rPr>
          <w:rFonts w:eastAsia="Times New Roman"/>
          <w:szCs w:val="24"/>
        </w:rPr>
        <w:t>We affirm the judge’s finding because the record clearly and convincingly demonstrates that Gentino failed to communicate these significant developments to Galvez.</w:t>
      </w:r>
      <w:r w:rsidR="00A4136E">
        <w:rPr>
          <w:rStyle w:val="FootnoteReference"/>
          <w:rFonts w:eastAsia="Times New Roman"/>
          <w:szCs w:val="24"/>
        </w:rPr>
        <w:footnoteReference w:id="11"/>
      </w:r>
      <w:r w:rsidR="00A4136E">
        <w:rPr>
          <w:rFonts w:eastAsia="Times New Roman"/>
          <w:szCs w:val="24"/>
        </w:rPr>
        <w:t xml:space="preserve">  </w:t>
      </w:r>
      <w:r w:rsidR="007B621A">
        <w:rPr>
          <w:rFonts w:eastAsia="Times New Roman"/>
          <w:szCs w:val="24"/>
        </w:rPr>
        <w:t>(</w:t>
      </w:r>
      <w:r w:rsidR="007B621A">
        <w:rPr>
          <w:rFonts w:eastAsia="Times New Roman"/>
          <w:i/>
          <w:szCs w:val="24"/>
        </w:rPr>
        <w:t>In the Matter of Boyne</w:t>
      </w:r>
      <w:r w:rsidR="007B621A">
        <w:rPr>
          <w:rFonts w:eastAsia="Times New Roman"/>
          <w:szCs w:val="24"/>
        </w:rPr>
        <w:t xml:space="preserve"> (Review Dept. 1993) 2</w:t>
      </w:r>
      <w:r w:rsidR="000C4799">
        <w:rPr>
          <w:rFonts w:eastAsia="Times New Roman"/>
          <w:szCs w:val="24"/>
        </w:rPr>
        <w:t> </w:t>
      </w:r>
      <w:r w:rsidR="007B621A">
        <w:rPr>
          <w:rFonts w:eastAsia="Times New Roman"/>
          <w:szCs w:val="24"/>
        </w:rPr>
        <w:t>C</w:t>
      </w:r>
      <w:r w:rsidR="00165F59">
        <w:rPr>
          <w:rFonts w:eastAsia="Times New Roman"/>
          <w:szCs w:val="24"/>
        </w:rPr>
        <w:t>al. State Bar Ct. Rptr. 389, 396–</w:t>
      </w:r>
      <w:r w:rsidR="007B621A">
        <w:rPr>
          <w:rFonts w:eastAsia="Times New Roman"/>
          <w:szCs w:val="24"/>
        </w:rPr>
        <w:t>39</w:t>
      </w:r>
      <w:r w:rsidR="00165F59">
        <w:rPr>
          <w:rFonts w:eastAsia="Times New Roman"/>
          <w:szCs w:val="24"/>
        </w:rPr>
        <w:t>7</w:t>
      </w:r>
      <w:r w:rsidR="007B621A">
        <w:rPr>
          <w:rFonts w:eastAsia="Times New Roman"/>
          <w:szCs w:val="24"/>
        </w:rPr>
        <w:t xml:space="preserve"> [failure to </w:t>
      </w:r>
      <w:r w:rsidR="009939B6">
        <w:rPr>
          <w:rFonts w:eastAsia="Times New Roman"/>
          <w:szCs w:val="24"/>
        </w:rPr>
        <w:t>inform</w:t>
      </w:r>
      <w:r w:rsidR="007B621A">
        <w:rPr>
          <w:rFonts w:eastAsia="Times New Roman"/>
          <w:szCs w:val="24"/>
        </w:rPr>
        <w:t xml:space="preserve"> client of creditor’s petition for relief from bankruptcy stay and of arbitrator’s decision constitute</w:t>
      </w:r>
      <w:r w:rsidR="009939B6">
        <w:rPr>
          <w:rFonts w:eastAsia="Times New Roman"/>
          <w:szCs w:val="24"/>
        </w:rPr>
        <w:t>s</w:t>
      </w:r>
      <w:r w:rsidR="007B621A">
        <w:rPr>
          <w:rFonts w:eastAsia="Times New Roman"/>
          <w:szCs w:val="24"/>
        </w:rPr>
        <w:t xml:space="preserve"> violation of </w:t>
      </w:r>
      <w:r w:rsidR="009939B6">
        <w:rPr>
          <w:rFonts w:eastAsia="Times New Roman"/>
          <w:szCs w:val="24"/>
        </w:rPr>
        <w:t>§</w:t>
      </w:r>
      <w:r w:rsidR="000C4799">
        <w:rPr>
          <w:rFonts w:eastAsia="Times New Roman"/>
          <w:szCs w:val="24"/>
        </w:rPr>
        <w:t> </w:t>
      </w:r>
      <w:r w:rsidR="007B621A">
        <w:rPr>
          <w:rFonts w:eastAsia="Times New Roman"/>
          <w:szCs w:val="24"/>
        </w:rPr>
        <w:t>6068, subd.</w:t>
      </w:r>
      <w:r w:rsidR="000C4799">
        <w:rPr>
          <w:rFonts w:eastAsia="Times New Roman"/>
          <w:szCs w:val="24"/>
        </w:rPr>
        <w:t> </w:t>
      </w:r>
      <w:r w:rsidR="00D31839">
        <w:rPr>
          <w:rFonts w:eastAsia="Times New Roman"/>
          <w:szCs w:val="24"/>
        </w:rPr>
        <w:t>(m)]</w:t>
      </w:r>
      <w:r w:rsidR="007B621A">
        <w:rPr>
          <w:rFonts w:eastAsia="Times New Roman"/>
          <w:szCs w:val="24"/>
        </w:rPr>
        <w:t>.)</w:t>
      </w:r>
    </w:p>
    <w:p w:rsidR="004877B6" w:rsidRPr="00EB3F2E" w:rsidRDefault="004877B6" w:rsidP="00EB3F2E">
      <w:pPr>
        <w:pStyle w:val="ListParagraph"/>
        <w:numPr>
          <w:ilvl w:val="0"/>
          <w:numId w:val="23"/>
        </w:numPr>
        <w:tabs>
          <w:tab w:val="left" w:pos="720"/>
        </w:tabs>
        <w:spacing w:line="480" w:lineRule="auto"/>
        <w:rPr>
          <w:rFonts w:eastAsia="Times New Roman"/>
          <w:b/>
          <w:szCs w:val="24"/>
        </w:rPr>
      </w:pPr>
      <w:r>
        <w:rPr>
          <w:rFonts w:eastAsia="Times New Roman"/>
          <w:b/>
          <w:szCs w:val="24"/>
        </w:rPr>
        <w:tab/>
        <w:t>Count</w:t>
      </w:r>
      <w:r w:rsidR="00374090">
        <w:rPr>
          <w:rFonts w:eastAsia="Times New Roman"/>
          <w:b/>
          <w:szCs w:val="24"/>
        </w:rPr>
        <w:t xml:space="preserve">s </w:t>
      </w:r>
      <w:r>
        <w:rPr>
          <w:rFonts w:eastAsia="Times New Roman"/>
          <w:b/>
          <w:szCs w:val="24"/>
        </w:rPr>
        <w:t xml:space="preserve">Three </w:t>
      </w:r>
      <w:r w:rsidR="00374090">
        <w:rPr>
          <w:rFonts w:eastAsia="Times New Roman"/>
          <w:b/>
          <w:szCs w:val="24"/>
        </w:rPr>
        <w:t>and Four</w:t>
      </w:r>
      <w:r w:rsidR="00CA5245">
        <w:rPr>
          <w:rFonts w:eastAsia="Times New Roman"/>
          <w:b/>
          <w:szCs w:val="24"/>
        </w:rPr>
        <w:t>—</w:t>
      </w:r>
      <w:r>
        <w:rPr>
          <w:rFonts w:eastAsia="Times New Roman"/>
          <w:b/>
          <w:szCs w:val="24"/>
        </w:rPr>
        <w:t>Misrepresentation</w:t>
      </w:r>
      <w:r w:rsidRPr="00FC593C">
        <w:rPr>
          <w:rFonts w:eastAsia="Times New Roman"/>
          <w:b/>
          <w:szCs w:val="24"/>
        </w:rPr>
        <w:t>/Moral Turpitude</w:t>
      </w:r>
      <w:r>
        <w:rPr>
          <w:rFonts w:eastAsia="Times New Roman"/>
          <w:b/>
          <w:szCs w:val="24"/>
        </w:rPr>
        <w:t xml:space="preserve"> (§ 6106)</w:t>
      </w:r>
    </w:p>
    <w:p w:rsidR="00A35A76" w:rsidRDefault="009939B6" w:rsidP="00EB3F2E">
      <w:pPr>
        <w:tabs>
          <w:tab w:val="left" w:pos="720"/>
        </w:tabs>
        <w:spacing w:line="480" w:lineRule="auto"/>
        <w:ind w:firstLine="720"/>
        <w:rPr>
          <w:rFonts w:eastAsia="Times New Roman"/>
          <w:szCs w:val="24"/>
        </w:rPr>
      </w:pPr>
      <w:r>
        <w:rPr>
          <w:rFonts w:eastAsia="Times New Roman"/>
          <w:szCs w:val="24"/>
        </w:rPr>
        <w:t>I</w:t>
      </w:r>
      <w:r w:rsidR="006764EE">
        <w:rPr>
          <w:rFonts w:eastAsia="Times New Roman"/>
          <w:szCs w:val="24"/>
        </w:rPr>
        <w:t xml:space="preserve">n </w:t>
      </w:r>
      <w:r w:rsidR="00165F59">
        <w:rPr>
          <w:rFonts w:eastAsia="Times New Roman"/>
          <w:szCs w:val="24"/>
        </w:rPr>
        <w:t>c</w:t>
      </w:r>
      <w:r w:rsidR="006764EE">
        <w:rPr>
          <w:rFonts w:eastAsia="Times New Roman"/>
          <w:szCs w:val="24"/>
        </w:rPr>
        <w:t xml:space="preserve">ount </w:t>
      </w:r>
      <w:r w:rsidR="00165F59">
        <w:rPr>
          <w:rFonts w:eastAsia="Times New Roman"/>
          <w:szCs w:val="24"/>
        </w:rPr>
        <w:t>t</w:t>
      </w:r>
      <w:r w:rsidR="006764EE">
        <w:rPr>
          <w:rFonts w:eastAsia="Times New Roman"/>
          <w:szCs w:val="24"/>
        </w:rPr>
        <w:t>hree, t</w:t>
      </w:r>
      <w:r w:rsidR="004C5BDE">
        <w:rPr>
          <w:rFonts w:eastAsia="Times New Roman"/>
          <w:szCs w:val="24"/>
        </w:rPr>
        <w:t xml:space="preserve">he hearing judge found </w:t>
      </w:r>
      <w:r w:rsidR="00E9563B">
        <w:rPr>
          <w:rFonts w:eastAsia="Times New Roman"/>
          <w:szCs w:val="24"/>
        </w:rPr>
        <w:t>that Gentino willfully violated section</w:t>
      </w:r>
      <w:r w:rsidR="00DA265A">
        <w:rPr>
          <w:rFonts w:eastAsia="Times New Roman"/>
          <w:szCs w:val="24"/>
        </w:rPr>
        <w:t> </w:t>
      </w:r>
      <w:r w:rsidR="00E9563B">
        <w:rPr>
          <w:rFonts w:eastAsia="Times New Roman"/>
          <w:szCs w:val="24"/>
        </w:rPr>
        <w:t xml:space="preserve">6106 by falsely representing to Galvez that she lost </w:t>
      </w:r>
      <w:r w:rsidR="00D81FC3">
        <w:rPr>
          <w:rFonts w:eastAsia="Times New Roman"/>
          <w:szCs w:val="24"/>
        </w:rPr>
        <w:t xml:space="preserve">her </w:t>
      </w:r>
      <w:r w:rsidR="00E9563B">
        <w:rPr>
          <w:rFonts w:eastAsia="Times New Roman"/>
          <w:szCs w:val="24"/>
        </w:rPr>
        <w:t xml:space="preserve">case </w:t>
      </w:r>
      <w:r w:rsidR="009E22A1">
        <w:rPr>
          <w:rFonts w:eastAsia="Times New Roman"/>
          <w:szCs w:val="24"/>
        </w:rPr>
        <w:t xml:space="preserve">due to an error by </w:t>
      </w:r>
      <w:r w:rsidR="00E9563B">
        <w:rPr>
          <w:rFonts w:eastAsia="Times New Roman"/>
          <w:szCs w:val="24"/>
        </w:rPr>
        <w:t xml:space="preserve">the </w:t>
      </w:r>
      <w:r w:rsidR="00D31839">
        <w:rPr>
          <w:rFonts w:eastAsia="Times New Roman"/>
          <w:szCs w:val="24"/>
        </w:rPr>
        <w:t xml:space="preserve">superior court </w:t>
      </w:r>
      <w:r w:rsidR="00E9563B">
        <w:rPr>
          <w:rFonts w:eastAsia="Times New Roman"/>
          <w:szCs w:val="24"/>
        </w:rPr>
        <w:t>judge</w:t>
      </w:r>
      <w:r w:rsidR="009F0364">
        <w:rPr>
          <w:rFonts w:eastAsia="Times New Roman"/>
          <w:szCs w:val="24"/>
        </w:rPr>
        <w:t>.</w:t>
      </w:r>
      <w:r w:rsidR="00780AC2">
        <w:rPr>
          <w:rFonts w:eastAsia="Times New Roman"/>
          <w:szCs w:val="24"/>
        </w:rPr>
        <w:t xml:space="preserve">  </w:t>
      </w:r>
      <w:r>
        <w:rPr>
          <w:rFonts w:eastAsia="Times New Roman"/>
          <w:szCs w:val="24"/>
        </w:rPr>
        <w:t>The</w:t>
      </w:r>
      <w:r w:rsidR="005705CB">
        <w:rPr>
          <w:rFonts w:eastAsia="Times New Roman"/>
          <w:szCs w:val="24"/>
        </w:rPr>
        <w:t xml:space="preserve"> hearing</w:t>
      </w:r>
      <w:r>
        <w:rPr>
          <w:rFonts w:eastAsia="Times New Roman"/>
          <w:szCs w:val="24"/>
        </w:rPr>
        <w:t xml:space="preserve"> judge</w:t>
      </w:r>
      <w:r w:rsidR="00E26E4B">
        <w:rPr>
          <w:rFonts w:eastAsia="Times New Roman"/>
          <w:szCs w:val="24"/>
        </w:rPr>
        <w:t xml:space="preserve"> </w:t>
      </w:r>
      <w:r w:rsidR="00B900FF">
        <w:rPr>
          <w:rFonts w:eastAsia="Times New Roman"/>
          <w:szCs w:val="24"/>
        </w:rPr>
        <w:t xml:space="preserve">based this </w:t>
      </w:r>
      <w:r w:rsidR="003A3047">
        <w:rPr>
          <w:rFonts w:eastAsia="Times New Roman"/>
          <w:szCs w:val="24"/>
        </w:rPr>
        <w:t xml:space="preserve">culpability finding on the fact that Gentino intentionally </w:t>
      </w:r>
      <w:r>
        <w:rPr>
          <w:rFonts w:eastAsia="Times New Roman"/>
          <w:szCs w:val="24"/>
        </w:rPr>
        <w:t>neglected</w:t>
      </w:r>
      <w:r w:rsidR="003A3047">
        <w:rPr>
          <w:rFonts w:eastAsia="Times New Roman"/>
          <w:szCs w:val="24"/>
        </w:rPr>
        <w:t xml:space="preserve"> to tell Galvez that his untimely filing resulted in the </w:t>
      </w:r>
      <w:r w:rsidR="00FD20DD">
        <w:rPr>
          <w:rFonts w:eastAsia="Times New Roman"/>
          <w:szCs w:val="24"/>
        </w:rPr>
        <w:t>J</w:t>
      </w:r>
      <w:r w:rsidR="003A3047">
        <w:rPr>
          <w:rFonts w:eastAsia="Times New Roman"/>
          <w:szCs w:val="24"/>
        </w:rPr>
        <w:t xml:space="preserve">udgment against her.  </w:t>
      </w:r>
      <w:r w:rsidR="001A7B30">
        <w:rPr>
          <w:rFonts w:eastAsia="Times New Roman"/>
          <w:szCs w:val="24"/>
        </w:rPr>
        <w:t xml:space="preserve">Gentino testified that he </w:t>
      </w:r>
      <w:r w:rsidR="000D21A6">
        <w:rPr>
          <w:rFonts w:eastAsia="Times New Roman"/>
          <w:szCs w:val="24"/>
        </w:rPr>
        <w:t xml:space="preserve">did </w:t>
      </w:r>
      <w:r w:rsidR="00901A5B">
        <w:rPr>
          <w:rFonts w:eastAsia="Times New Roman"/>
          <w:szCs w:val="24"/>
        </w:rPr>
        <w:t>inform</w:t>
      </w:r>
      <w:r w:rsidR="001A7B30">
        <w:rPr>
          <w:rFonts w:eastAsia="Times New Roman"/>
          <w:szCs w:val="24"/>
        </w:rPr>
        <w:t xml:space="preserve"> Galvez </w:t>
      </w:r>
      <w:r w:rsidR="00901A5B">
        <w:rPr>
          <w:rFonts w:eastAsia="Times New Roman"/>
          <w:szCs w:val="24"/>
        </w:rPr>
        <w:t xml:space="preserve">that </w:t>
      </w:r>
      <w:r w:rsidR="001A7B30">
        <w:rPr>
          <w:rFonts w:eastAsia="Times New Roman"/>
          <w:szCs w:val="24"/>
        </w:rPr>
        <w:t xml:space="preserve">his pleading was </w:t>
      </w:r>
      <w:r w:rsidR="006701B3">
        <w:rPr>
          <w:rFonts w:eastAsia="Times New Roman"/>
          <w:szCs w:val="24"/>
        </w:rPr>
        <w:t>late</w:t>
      </w:r>
      <w:r w:rsidR="001A7B30">
        <w:rPr>
          <w:rFonts w:eastAsia="Times New Roman"/>
          <w:szCs w:val="24"/>
        </w:rPr>
        <w:t xml:space="preserve">.  The </w:t>
      </w:r>
      <w:r w:rsidR="009043E9">
        <w:rPr>
          <w:rFonts w:eastAsia="Times New Roman"/>
          <w:szCs w:val="24"/>
        </w:rPr>
        <w:t xml:space="preserve">hearing </w:t>
      </w:r>
      <w:r w:rsidR="001A7B30">
        <w:rPr>
          <w:rFonts w:eastAsia="Times New Roman"/>
          <w:szCs w:val="24"/>
        </w:rPr>
        <w:t>judge</w:t>
      </w:r>
      <w:r w:rsidR="00E26E4B">
        <w:rPr>
          <w:rFonts w:eastAsia="Times New Roman"/>
          <w:szCs w:val="24"/>
        </w:rPr>
        <w:t xml:space="preserve"> appeared to discount Gentino’s version </w:t>
      </w:r>
      <w:r w:rsidR="001A7B30">
        <w:rPr>
          <w:rFonts w:eastAsia="Times New Roman"/>
          <w:szCs w:val="24"/>
        </w:rPr>
        <w:t xml:space="preserve">and </w:t>
      </w:r>
      <w:r w:rsidR="006701B3">
        <w:rPr>
          <w:rFonts w:eastAsia="Times New Roman"/>
          <w:szCs w:val="24"/>
        </w:rPr>
        <w:t xml:space="preserve">to </w:t>
      </w:r>
      <w:r w:rsidR="001A7B30">
        <w:rPr>
          <w:rFonts w:eastAsia="Times New Roman"/>
          <w:szCs w:val="24"/>
        </w:rPr>
        <w:t xml:space="preserve">believe </w:t>
      </w:r>
      <w:r w:rsidR="006701B3">
        <w:rPr>
          <w:rFonts w:eastAsia="Times New Roman"/>
          <w:szCs w:val="24"/>
        </w:rPr>
        <w:t xml:space="preserve">Galvez, but did not </w:t>
      </w:r>
      <w:r w:rsidR="000D21A6">
        <w:rPr>
          <w:rFonts w:eastAsia="Times New Roman"/>
          <w:szCs w:val="24"/>
        </w:rPr>
        <w:t>provid</w:t>
      </w:r>
      <w:r w:rsidR="006701B3">
        <w:rPr>
          <w:rFonts w:eastAsia="Times New Roman"/>
          <w:szCs w:val="24"/>
        </w:rPr>
        <w:t>e</w:t>
      </w:r>
      <w:r w:rsidR="001A7B30">
        <w:rPr>
          <w:rFonts w:eastAsia="Times New Roman"/>
          <w:szCs w:val="24"/>
        </w:rPr>
        <w:t xml:space="preserve"> any credibility analysis.  </w:t>
      </w:r>
    </w:p>
    <w:p w:rsidR="003A3047" w:rsidRPr="009543D9" w:rsidRDefault="00901A5B" w:rsidP="00EB3F2E">
      <w:pPr>
        <w:tabs>
          <w:tab w:val="left" w:pos="720"/>
        </w:tabs>
        <w:spacing w:line="480" w:lineRule="auto"/>
        <w:ind w:firstLine="720"/>
        <w:rPr>
          <w:rFonts w:eastAsia="Times New Roman"/>
          <w:szCs w:val="24"/>
        </w:rPr>
      </w:pPr>
      <w:r>
        <w:rPr>
          <w:rFonts w:eastAsia="Times New Roman"/>
          <w:szCs w:val="24"/>
        </w:rPr>
        <w:t>W</w:t>
      </w:r>
      <w:r w:rsidR="006E7311">
        <w:rPr>
          <w:rFonts w:eastAsia="Times New Roman"/>
          <w:szCs w:val="24"/>
        </w:rPr>
        <w:t xml:space="preserve">e </w:t>
      </w:r>
      <w:r w:rsidR="009B609A">
        <w:rPr>
          <w:rFonts w:eastAsia="Times New Roman"/>
          <w:szCs w:val="24"/>
        </w:rPr>
        <w:t>do not find clear and convincing evidence</w:t>
      </w:r>
      <w:r>
        <w:rPr>
          <w:rFonts w:eastAsia="Times New Roman"/>
          <w:szCs w:val="24"/>
        </w:rPr>
        <w:t xml:space="preserve"> in the record</w:t>
      </w:r>
      <w:r w:rsidR="009B609A">
        <w:rPr>
          <w:rFonts w:eastAsia="Times New Roman"/>
          <w:szCs w:val="24"/>
        </w:rPr>
        <w:t xml:space="preserve"> that Gentino</w:t>
      </w:r>
      <w:r w:rsidR="00A72F4F">
        <w:rPr>
          <w:rFonts w:eastAsia="Times New Roman"/>
          <w:szCs w:val="24"/>
        </w:rPr>
        <w:t xml:space="preserve"> </w:t>
      </w:r>
      <w:r w:rsidR="00DD3D89">
        <w:rPr>
          <w:rFonts w:eastAsia="Times New Roman"/>
          <w:szCs w:val="24"/>
        </w:rPr>
        <w:t xml:space="preserve">misrepresented to Galvez that she lost her case because of the </w:t>
      </w:r>
      <w:r w:rsidR="009043E9">
        <w:rPr>
          <w:rFonts w:eastAsia="Times New Roman"/>
          <w:szCs w:val="24"/>
        </w:rPr>
        <w:t xml:space="preserve">superior court </w:t>
      </w:r>
      <w:r w:rsidR="00DD3D89">
        <w:rPr>
          <w:rFonts w:eastAsia="Times New Roman"/>
          <w:szCs w:val="24"/>
        </w:rPr>
        <w:t>judge’s error instead of his own untimely demurrer</w:t>
      </w:r>
      <w:r w:rsidR="009B609A">
        <w:rPr>
          <w:rFonts w:eastAsia="Times New Roman"/>
          <w:szCs w:val="24"/>
        </w:rPr>
        <w:t xml:space="preserve">.  </w:t>
      </w:r>
      <w:r w:rsidR="00A72F4F">
        <w:rPr>
          <w:rFonts w:eastAsia="Times New Roman"/>
          <w:szCs w:val="24"/>
        </w:rPr>
        <w:t xml:space="preserve">Gentino and Galvez </w:t>
      </w:r>
      <w:r w:rsidR="00862CE0">
        <w:rPr>
          <w:rFonts w:eastAsia="Times New Roman"/>
          <w:szCs w:val="24"/>
        </w:rPr>
        <w:t xml:space="preserve">both </w:t>
      </w:r>
      <w:r w:rsidR="00A72F4F">
        <w:rPr>
          <w:rFonts w:eastAsia="Times New Roman"/>
          <w:szCs w:val="24"/>
        </w:rPr>
        <w:t xml:space="preserve">testified </w:t>
      </w:r>
      <w:r w:rsidR="00802C2C">
        <w:rPr>
          <w:rFonts w:eastAsia="Times New Roman"/>
          <w:szCs w:val="24"/>
        </w:rPr>
        <w:t xml:space="preserve">that </w:t>
      </w:r>
      <w:r w:rsidR="009043E9">
        <w:rPr>
          <w:rFonts w:eastAsia="Times New Roman"/>
          <w:szCs w:val="24"/>
        </w:rPr>
        <w:t>Gentino</w:t>
      </w:r>
      <w:r w:rsidR="00A72F4F">
        <w:rPr>
          <w:rFonts w:eastAsia="Times New Roman"/>
          <w:szCs w:val="24"/>
        </w:rPr>
        <w:t xml:space="preserve"> </w:t>
      </w:r>
      <w:r w:rsidR="00802C2C">
        <w:rPr>
          <w:rFonts w:eastAsia="Times New Roman"/>
          <w:szCs w:val="24"/>
        </w:rPr>
        <w:t xml:space="preserve">told </w:t>
      </w:r>
      <w:r w:rsidR="00A72F4F">
        <w:rPr>
          <w:rFonts w:eastAsia="Times New Roman"/>
          <w:szCs w:val="24"/>
        </w:rPr>
        <w:t xml:space="preserve">her </w:t>
      </w:r>
      <w:r w:rsidR="00802C2C">
        <w:rPr>
          <w:rFonts w:eastAsia="Times New Roman"/>
          <w:szCs w:val="24"/>
        </w:rPr>
        <w:t xml:space="preserve">that he “would fall </w:t>
      </w:r>
      <w:r w:rsidR="00802C2C">
        <w:rPr>
          <w:rFonts w:eastAsia="Times New Roman"/>
          <w:szCs w:val="24"/>
        </w:rPr>
        <w:lastRenderedPageBreak/>
        <w:t xml:space="preserve">on his sword” </w:t>
      </w:r>
      <w:r w:rsidR="000A6A22">
        <w:rPr>
          <w:rFonts w:eastAsia="Times New Roman"/>
          <w:szCs w:val="24"/>
        </w:rPr>
        <w:t xml:space="preserve">and do something </w:t>
      </w:r>
      <w:r w:rsidR="00802C2C">
        <w:rPr>
          <w:rFonts w:eastAsia="Times New Roman"/>
          <w:szCs w:val="24"/>
        </w:rPr>
        <w:t>to save her case</w:t>
      </w:r>
      <w:r w:rsidR="00812478">
        <w:rPr>
          <w:rFonts w:eastAsia="Times New Roman"/>
          <w:szCs w:val="24"/>
        </w:rPr>
        <w:t>, as early as September</w:t>
      </w:r>
      <w:r w:rsidR="0026447C">
        <w:rPr>
          <w:rFonts w:eastAsia="Times New Roman"/>
          <w:szCs w:val="24"/>
        </w:rPr>
        <w:t> </w:t>
      </w:r>
      <w:r w:rsidR="00812478">
        <w:rPr>
          <w:rFonts w:eastAsia="Times New Roman"/>
          <w:szCs w:val="24"/>
        </w:rPr>
        <w:t>8, 2014, the day of the hearing</w:t>
      </w:r>
      <w:r w:rsidR="00802C2C">
        <w:rPr>
          <w:rFonts w:eastAsia="Times New Roman"/>
          <w:szCs w:val="24"/>
        </w:rPr>
        <w:t xml:space="preserve">.  </w:t>
      </w:r>
      <w:r w:rsidR="00930B90">
        <w:rPr>
          <w:rFonts w:eastAsia="Times New Roman"/>
          <w:szCs w:val="24"/>
        </w:rPr>
        <w:t xml:space="preserve">That statement indicates, at a minimum, that </w:t>
      </w:r>
      <w:r w:rsidR="006701B3">
        <w:rPr>
          <w:rFonts w:eastAsia="Times New Roman"/>
          <w:szCs w:val="24"/>
        </w:rPr>
        <w:t>Gentino</w:t>
      </w:r>
      <w:r w:rsidR="00930B90">
        <w:rPr>
          <w:rFonts w:eastAsia="Times New Roman"/>
          <w:szCs w:val="24"/>
        </w:rPr>
        <w:t xml:space="preserve"> acknowledged fault for the judge’s default ruling, e</w:t>
      </w:r>
      <w:r w:rsidR="00552338">
        <w:rPr>
          <w:rFonts w:eastAsia="Times New Roman"/>
          <w:szCs w:val="24"/>
        </w:rPr>
        <w:t xml:space="preserve">ven if </w:t>
      </w:r>
      <w:r w:rsidR="008579FB">
        <w:rPr>
          <w:rFonts w:eastAsia="Times New Roman"/>
          <w:szCs w:val="24"/>
        </w:rPr>
        <w:t>Galvez</w:t>
      </w:r>
      <w:r w:rsidR="00552338">
        <w:rPr>
          <w:rFonts w:eastAsia="Times New Roman"/>
          <w:szCs w:val="24"/>
        </w:rPr>
        <w:t xml:space="preserve"> did not </w:t>
      </w:r>
      <w:r w:rsidR="000A6A22">
        <w:rPr>
          <w:rFonts w:eastAsia="Times New Roman"/>
          <w:szCs w:val="24"/>
        </w:rPr>
        <w:t xml:space="preserve">fully </w:t>
      </w:r>
      <w:r w:rsidR="008579FB">
        <w:rPr>
          <w:rFonts w:eastAsia="Times New Roman"/>
          <w:szCs w:val="24"/>
        </w:rPr>
        <w:t xml:space="preserve">understand </w:t>
      </w:r>
      <w:r w:rsidR="000A6A22">
        <w:rPr>
          <w:rFonts w:eastAsia="Times New Roman"/>
          <w:szCs w:val="24"/>
        </w:rPr>
        <w:t xml:space="preserve">the legal consequences of </w:t>
      </w:r>
      <w:proofErr w:type="spellStart"/>
      <w:r w:rsidR="000A6A22">
        <w:rPr>
          <w:rFonts w:eastAsia="Times New Roman"/>
          <w:szCs w:val="24"/>
        </w:rPr>
        <w:t>Gentino’s</w:t>
      </w:r>
      <w:proofErr w:type="spellEnd"/>
      <w:r w:rsidR="000A6A22">
        <w:rPr>
          <w:rFonts w:eastAsia="Times New Roman"/>
          <w:szCs w:val="24"/>
        </w:rPr>
        <w:t xml:space="preserve"> statement to her that </w:t>
      </w:r>
      <w:r w:rsidR="00552338">
        <w:rPr>
          <w:rFonts w:eastAsia="Times New Roman"/>
          <w:szCs w:val="24"/>
        </w:rPr>
        <w:t>his demurrer was untimely</w:t>
      </w:r>
      <w:r w:rsidR="00930B90">
        <w:rPr>
          <w:rFonts w:eastAsia="Times New Roman"/>
          <w:szCs w:val="24"/>
        </w:rPr>
        <w:t>.</w:t>
      </w:r>
      <w:r w:rsidR="009B609A">
        <w:rPr>
          <w:rFonts w:eastAsia="Times New Roman"/>
          <w:szCs w:val="24"/>
        </w:rPr>
        <w:t xml:space="preserve">  </w:t>
      </w:r>
      <w:r w:rsidR="00B900FF">
        <w:rPr>
          <w:rFonts w:eastAsia="Times New Roman"/>
          <w:szCs w:val="24"/>
        </w:rPr>
        <w:t xml:space="preserve">Given this </w:t>
      </w:r>
      <w:r w:rsidR="00D03782">
        <w:rPr>
          <w:rFonts w:eastAsia="Times New Roman"/>
          <w:szCs w:val="24"/>
        </w:rPr>
        <w:t>evidence</w:t>
      </w:r>
      <w:r w:rsidR="00B900FF">
        <w:rPr>
          <w:rFonts w:eastAsia="Times New Roman"/>
          <w:szCs w:val="24"/>
        </w:rPr>
        <w:t xml:space="preserve">, we find that </w:t>
      </w:r>
      <w:r w:rsidR="00812478">
        <w:rPr>
          <w:rFonts w:eastAsia="Times New Roman"/>
          <w:szCs w:val="24"/>
        </w:rPr>
        <w:t xml:space="preserve">OCTC </w:t>
      </w:r>
      <w:r w:rsidR="00D03782">
        <w:rPr>
          <w:rFonts w:eastAsia="Times New Roman"/>
          <w:szCs w:val="24"/>
        </w:rPr>
        <w:t xml:space="preserve">did not </w:t>
      </w:r>
      <w:r w:rsidR="00812478">
        <w:rPr>
          <w:rFonts w:eastAsia="Times New Roman"/>
          <w:szCs w:val="24"/>
        </w:rPr>
        <w:t>m</w:t>
      </w:r>
      <w:r w:rsidR="00D03782">
        <w:rPr>
          <w:rFonts w:eastAsia="Times New Roman"/>
          <w:szCs w:val="24"/>
        </w:rPr>
        <w:t>e</w:t>
      </w:r>
      <w:r w:rsidR="00812478">
        <w:rPr>
          <w:rFonts w:eastAsia="Times New Roman"/>
          <w:szCs w:val="24"/>
        </w:rPr>
        <w:t xml:space="preserve">et its burden </w:t>
      </w:r>
      <w:r w:rsidR="00E262B5">
        <w:rPr>
          <w:rFonts w:eastAsia="Times New Roman"/>
          <w:szCs w:val="24"/>
        </w:rPr>
        <w:t>to</w:t>
      </w:r>
      <w:r w:rsidR="00812478">
        <w:rPr>
          <w:rFonts w:eastAsia="Times New Roman"/>
          <w:szCs w:val="24"/>
        </w:rPr>
        <w:t xml:space="preserve"> prov</w:t>
      </w:r>
      <w:r w:rsidR="00E262B5">
        <w:rPr>
          <w:rFonts w:eastAsia="Times New Roman"/>
          <w:szCs w:val="24"/>
        </w:rPr>
        <w:t>e</w:t>
      </w:r>
      <w:r w:rsidR="00812478">
        <w:rPr>
          <w:rFonts w:eastAsia="Times New Roman"/>
          <w:szCs w:val="24"/>
        </w:rPr>
        <w:t xml:space="preserve"> that </w:t>
      </w:r>
      <w:r w:rsidR="00B900FF">
        <w:rPr>
          <w:rFonts w:eastAsia="Times New Roman"/>
          <w:szCs w:val="24"/>
        </w:rPr>
        <w:t xml:space="preserve">Gentino made a misrepresentation to Galvez.  </w:t>
      </w:r>
      <w:r w:rsidR="009543D9">
        <w:rPr>
          <w:rFonts w:eastAsia="Times New Roman"/>
          <w:szCs w:val="24"/>
        </w:rPr>
        <w:t>(</w:t>
      </w:r>
      <w:r w:rsidR="009543D9">
        <w:rPr>
          <w:rFonts w:eastAsia="Times New Roman"/>
          <w:i/>
          <w:szCs w:val="24"/>
        </w:rPr>
        <w:t>Galardi v. State Bar</w:t>
      </w:r>
      <w:r w:rsidR="009543D9">
        <w:rPr>
          <w:rFonts w:eastAsia="Times New Roman"/>
          <w:szCs w:val="24"/>
        </w:rPr>
        <w:t xml:space="preserve"> (1987) 43 Cal.3d 683, 689 [all reasonable doubts must be resolved in respondent’s favor].)</w:t>
      </w:r>
    </w:p>
    <w:p w:rsidR="00472511" w:rsidRDefault="00165F59" w:rsidP="00183425">
      <w:pPr>
        <w:tabs>
          <w:tab w:val="left" w:pos="720"/>
        </w:tabs>
        <w:spacing w:line="480" w:lineRule="auto"/>
        <w:ind w:firstLine="720"/>
        <w:rPr>
          <w:rFonts w:eastAsia="Times New Roman"/>
          <w:szCs w:val="24"/>
        </w:rPr>
      </w:pPr>
      <w:r>
        <w:rPr>
          <w:rFonts w:eastAsia="Times New Roman"/>
          <w:szCs w:val="24"/>
        </w:rPr>
        <w:t>Count f</w:t>
      </w:r>
      <w:r w:rsidR="00F52439">
        <w:rPr>
          <w:rFonts w:eastAsia="Times New Roman"/>
          <w:szCs w:val="24"/>
        </w:rPr>
        <w:t>our</w:t>
      </w:r>
      <w:r w:rsidR="00E85723">
        <w:rPr>
          <w:rFonts w:eastAsia="Times New Roman"/>
          <w:szCs w:val="24"/>
        </w:rPr>
        <w:t xml:space="preserve"> alleged moral turpitude for Gentino</w:t>
      </w:r>
      <w:r w:rsidR="00930B90">
        <w:rPr>
          <w:rFonts w:eastAsia="Times New Roman"/>
          <w:szCs w:val="24"/>
        </w:rPr>
        <w:t>’s</w:t>
      </w:r>
      <w:r w:rsidR="00E85723">
        <w:rPr>
          <w:rFonts w:eastAsia="Times New Roman"/>
          <w:szCs w:val="24"/>
        </w:rPr>
        <w:t xml:space="preserve"> conceal</w:t>
      </w:r>
      <w:r w:rsidR="00930B90">
        <w:rPr>
          <w:rFonts w:eastAsia="Times New Roman"/>
          <w:szCs w:val="24"/>
        </w:rPr>
        <w:t>ment of</w:t>
      </w:r>
      <w:r w:rsidR="00E85723">
        <w:rPr>
          <w:rFonts w:eastAsia="Times New Roman"/>
          <w:szCs w:val="24"/>
        </w:rPr>
        <w:t xml:space="preserve"> facts from Galvez</w:t>
      </w:r>
      <w:r w:rsidR="005705CB">
        <w:rPr>
          <w:rFonts w:eastAsia="Times New Roman"/>
          <w:szCs w:val="24"/>
        </w:rPr>
        <w:t>.  The hearing judge dismissed this count, with prejudice</w:t>
      </w:r>
      <w:r w:rsidR="00E85723">
        <w:rPr>
          <w:rFonts w:eastAsia="Times New Roman"/>
          <w:szCs w:val="24"/>
        </w:rPr>
        <w:t xml:space="preserve">, </w:t>
      </w:r>
      <w:r w:rsidR="003A5AAA">
        <w:rPr>
          <w:rFonts w:eastAsia="Times New Roman"/>
          <w:szCs w:val="24"/>
        </w:rPr>
        <w:t xml:space="preserve">as duplicative </w:t>
      </w:r>
      <w:r w:rsidR="00B93820">
        <w:rPr>
          <w:rFonts w:eastAsia="Times New Roman"/>
          <w:szCs w:val="24"/>
        </w:rPr>
        <w:t xml:space="preserve">because the concealments </w:t>
      </w:r>
      <w:r w:rsidR="008957CC">
        <w:rPr>
          <w:rFonts w:eastAsia="Times New Roman"/>
          <w:szCs w:val="24"/>
        </w:rPr>
        <w:t xml:space="preserve">it </w:t>
      </w:r>
      <w:r w:rsidR="00B93820">
        <w:rPr>
          <w:rFonts w:eastAsia="Times New Roman"/>
          <w:szCs w:val="24"/>
        </w:rPr>
        <w:t>alleged were more appropriately charged as failures to communicate and were</w:t>
      </w:r>
      <w:r>
        <w:rPr>
          <w:rFonts w:eastAsia="Times New Roman"/>
          <w:szCs w:val="24"/>
        </w:rPr>
        <w:t xml:space="preserve"> duplicative of the charges in count t</w:t>
      </w:r>
      <w:r w:rsidR="00B93820">
        <w:rPr>
          <w:rFonts w:eastAsia="Times New Roman"/>
          <w:szCs w:val="24"/>
        </w:rPr>
        <w:t>wo</w:t>
      </w:r>
      <w:r w:rsidR="009F0364">
        <w:rPr>
          <w:rFonts w:eastAsia="Times New Roman"/>
          <w:szCs w:val="24"/>
        </w:rPr>
        <w:t>.</w:t>
      </w:r>
      <w:r w:rsidR="00325A5E">
        <w:rPr>
          <w:rFonts w:eastAsia="Times New Roman"/>
          <w:szCs w:val="24"/>
        </w:rPr>
        <w:t xml:space="preserve">  </w:t>
      </w:r>
      <w:r w:rsidR="005D51A1">
        <w:rPr>
          <w:rFonts w:eastAsia="Times New Roman"/>
          <w:szCs w:val="24"/>
        </w:rPr>
        <w:t>OCTC do</w:t>
      </w:r>
      <w:r w:rsidR="00886FD7">
        <w:rPr>
          <w:rFonts w:eastAsia="Times New Roman"/>
          <w:szCs w:val="24"/>
        </w:rPr>
        <w:t>es</w:t>
      </w:r>
      <w:r w:rsidR="00325A5E">
        <w:rPr>
          <w:rFonts w:eastAsia="Times New Roman"/>
          <w:szCs w:val="24"/>
        </w:rPr>
        <w:t xml:space="preserve"> not challenge this holding</w:t>
      </w:r>
      <w:r w:rsidR="00A35A35">
        <w:rPr>
          <w:rFonts w:eastAsia="Times New Roman"/>
          <w:szCs w:val="24"/>
        </w:rPr>
        <w:t>,</w:t>
      </w:r>
      <w:r w:rsidR="00325A5E">
        <w:rPr>
          <w:rFonts w:eastAsia="Times New Roman"/>
          <w:szCs w:val="24"/>
        </w:rPr>
        <w:t xml:space="preserve"> and we affirm.  </w:t>
      </w:r>
    </w:p>
    <w:p w:rsidR="00560E2B" w:rsidRDefault="00560E2B" w:rsidP="00560E2B">
      <w:pPr>
        <w:tabs>
          <w:tab w:val="left" w:pos="720"/>
        </w:tabs>
        <w:spacing w:line="480" w:lineRule="auto"/>
        <w:ind w:firstLine="720"/>
        <w:jc w:val="center"/>
        <w:rPr>
          <w:rFonts w:eastAsia="Times New Roman"/>
          <w:b/>
          <w:szCs w:val="24"/>
        </w:rPr>
      </w:pPr>
      <w:r>
        <w:rPr>
          <w:rFonts w:eastAsia="Times New Roman"/>
          <w:b/>
          <w:szCs w:val="24"/>
        </w:rPr>
        <w:t>IV.  GENTINO’S PROCEDURAL CHALLENGES FAIL</w:t>
      </w:r>
    </w:p>
    <w:p w:rsidR="008579FB" w:rsidRDefault="00A05810" w:rsidP="00560E2B">
      <w:pPr>
        <w:tabs>
          <w:tab w:val="left" w:pos="720"/>
        </w:tabs>
        <w:spacing w:line="480" w:lineRule="auto"/>
        <w:ind w:firstLine="720"/>
        <w:rPr>
          <w:rFonts w:eastAsia="Times New Roman"/>
          <w:szCs w:val="24"/>
        </w:rPr>
      </w:pPr>
      <w:r>
        <w:rPr>
          <w:rFonts w:eastAsia="Times New Roman"/>
          <w:szCs w:val="24"/>
        </w:rPr>
        <w:t xml:space="preserve">Gentino argues that the hearing judge erred </w:t>
      </w:r>
      <w:r w:rsidR="00A35A35">
        <w:rPr>
          <w:rFonts w:eastAsia="Times New Roman"/>
          <w:szCs w:val="24"/>
        </w:rPr>
        <w:t>in</w:t>
      </w:r>
      <w:r>
        <w:rPr>
          <w:rFonts w:eastAsia="Times New Roman"/>
          <w:szCs w:val="24"/>
        </w:rPr>
        <w:t xml:space="preserve"> ruling that he could not ask Galvez </w:t>
      </w:r>
      <w:r w:rsidR="009043E9">
        <w:rPr>
          <w:rFonts w:eastAsia="Times New Roman"/>
          <w:szCs w:val="24"/>
        </w:rPr>
        <w:t xml:space="preserve">at trial </w:t>
      </w:r>
      <w:r w:rsidR="00A35A35">
        <w:rPr>
          <w:rFonts w:eastAsia="Times New Roman"/>
          <w:szCs w:val="24"/>
        </w:rPr>
        <w:t>if</w:t>
      </w:r>
      <w:r>
        <w:rPr>
          <w:rFonts w:eastAsia="Times New Roman"/>
          <w:szCs w:val="24"/>
        </w:rPr>
        <w:t xml:space="preserve"> she had submitted an application to the Client Security Fund and </w:t>
      </w:r>
      <w:r w:rsidR="00A35A35">
        <w:rPr>
          <w:rFonts w:eastAsia="Times New Roman"/>
          <w:szCs w:val="24"/>
        </w:rPr>
        <w:t>in</w:t>
      </w:r>
      <w:r>
        <w:rPr>
          <w:rFonts w:eastAsia="Times New Roman"/>
          <w:szCs w:val="24"/>
        </w:rPr>
        <w:t xml:space="preserve"> preventing </w:t>
      </w:r>
      <w:r w:rsidR="005705CB">
        <w:rPr>
          <w:rFonts w:eastAsia="Times New Roman"/>
          <w:szCs w:val="24"/>
        </w:rPr>
        <w:t>Gentino</w:t>
      </w:r>
      <w:r>
        <w:rPr>
          <w:rFonts w:eastAsia="Times New Roman"/>
          <w:szCs w:val="24"/>
        </w:rPr>
        <w:t xml:space="preserve"> from introducing expert testimony</w:t>
      </w:r>
      <w:r w:rsidR="009043E9">
        <w:rPr>
          <w:rFonts w:eastAsia="Times New Roman"/>
          <w:szCs w:val="24"/>
        </w:rPr>
        <w:t xml:space="preserve"> “concerning custom and practice of civil litigation attorneys in Los Angeles</w:t>
      </w:r>
      <w:r>
        <w:rPr>
          <w:rFonts w:eastAsia="Times New Roman"/>
          <w:szCs w:val="24"/>
        </w:rPr>
        <w:t>.</w:t>
      </w:r>
      <w:r w:rsidR="009043E9">
        <w:rPr>
          <w:rFonts w:eastAsia="Times New Roman"/>
          <w:szCs w:val="24"/>
        </w:rPr>
        <w:t>”</w:t>
      </w:r>
      <w:r>
        <w:rPr>
          <w:rFonts w:eastAsia="Times New Roman"/>
          <w:szCs w:val="24"/>
        </w:rPr>
        <w:t xml:space="preserve">  We find that the judge did not abuse her discretion in making these evidentiary rulings.  </w:t>
      </w:r>
      <w:r w:rsidRPr="00A05810">
        <w:rPr>
          <w:rFonts w:eastAsia="Times New Roman"/>
          <w:szCs w:val="24"/>
        </w:rPr>
        <w:t>Hearing judges are accorded wide latitude to receive all relevant evidence</w:t>
      </w:r>
      <w:r w:rsidR="00B027D1">
        <w:rPr>
          <w:rFonts w:eastAsia="Times New Roman"/>
          <w:szCs w:val="24"/>
        </w:rPr>
        <w:t>,</w:t>
      </w:r>
      <w:r w:rsidRPr="00A05810">
        <w:rPr>
          <w:rFonts w:eastAsia="Times New Roman"/>
          <w:szCs w:val="24"/>
        </w:rPr>
        <w:t xml:space="preserve"> and actual prejudice must be established before a party is entitled to relief. </w:t>
      </w:r>
      <w:r w:rsidR="002F2212">
        <w:rPr>
          <w:rFonts w:eastAsia="Times New Roman"/>
          <w:szCs w:val="24"/>
        </w:rPr>
        <w:t xml:space="preserve"> (</w:t>
      </w:r>
      <w:r w:rsidR="002F2212">
        <w:rPr>
          <w:rFonts w:eastAsia="Times New Roman"/>
          <w:i/>
          <w:szCs w:val="24"/>
        </w:rPr>
        <w:t xml:space="preserve">In the Matter of </w:t>
      </w:r>
      <w:r w:rsidR="002F2212" w:rsidRPr="00FA5F81">
        <w:rPr>
          <w:rFonts w:eastAsia="Times New Roman"/>
          <w:i/>
          <w:szCs w:val="24"/>
        </w:rPr>
        <w:t>Johnson</w:t>
      </w:r>
      <w:r w:rsidR="002F2212">
        <w:rPr>
          <w:rFonts w:eastAsia="Times New Roman"/>
          <w:szCs w:val="24"/>
        </w:rPr>
        <w:t xml:space="preserve"> (Review Dept. 1995) 3</w:t>
      </w:r>
      <w:r w:rsidR="0026447C">
        <w:rPr>
          <w:rFonts w:eastAsia="Times New Roman"/>
          <w:szCs w:val="24"/>
        </w:rPr>
        <w:t> </w:t>
      </w:r>
      <w:r w:rsidR="002F2212">
        <w:rPr>
          <w:rFonts w:eastAsia="Times New Roman"/>
          <w:szCs w:val="24"/>
        </w:rPr>
        <w:t xml:space="preserve">Cal. State Bar Ct. Rptr. 233, 241; </w:t>
      </w:r>
      <w:r w:rsidR="002F2212" w:rsidRPr="002F2212">
        <w:rPr>
          <w:rFonts w:eastAsia="Times New Roman"/>
          <w:szCs w:val="24"/>
        </w:rPr>
        <w:t>Rule</w:t>
      </w:r>
      <w:r w:rsidR="005716CE">
        <w:rPr>
          <w:rFonts w:eastAsia="Times New Roman"/>
          <w:szCs w:val="24"/>
        </w:rPr>
        <w:t xml:space="preserve">s </w:t>
      </w:r>
      <w:r w:rsidR="002F2212" w:rsidRPr="002F2212">
        <w:rPr>
          <w:rFonts w:eastAsia="Times New Roman"/>
          <w:szCs w:val="24"/>
        </w:rPr>
        <w:t>Proc</w:t>
      </w:r>
      <w:r w:rsidR="005716CE">
        <w:rPr>
          <w:rFonts w:eastAsia="Times New Roman"/>
          <w:szCs w:val="24"/>
        </w:rPr>
        <w:t>. of State Bar, rule</w:t>
      </w:r>
      <w:r w:rsidR="0026447C">
        <w:rPr>
          <w:rFonts w:eastAsia="Times New Roman"/>
          <w:szCs w:val="24"/>
        </w:rPr>
        <w:t> </w:t>
      </w:r>
      <w:r w:rsidR="005716CE">
        <w:rPr>
          <w:rFonts w:eastAsia="Times New Roman"/>
          <w:szCs w:val="24"/>
        </w:rPr>
        <w:t>5.104(F</w:t>
      </w:r>
      <w:r w:rsidR="002F2212" w:rsidRPr="002F2212">
        <w:rPr>
          <w:rFonts w:eastAsia="Times New Roman"/>
          <w:szCs w:val="24"/>
        </w:rPr>
        <w:t>)</w:t>
      </w:r>
      <w:r w:rsidR="002F2212">
        <w:rPr>
          <w:rFonts w:eastAsia="Times New Roman"/>
          <w:szCs w:val="24"/>
        </w:rPr>
        <w:t xml:space="preserve">.)  </w:t>
      </w:r>
      <w:r w:rsidR="005D51A1">
        <w:rPr>
          <w:rFonts w:eastAsia="Times New Roman"/>
          <w:szCs w:val="24"/>
        </w:rPr>
        <w:t>W</w:t>
      </w:r>
      <w:r w:rsidR="00CF24E1">
        <w:rPr>
          <w:rFonts w:eastAsia="Times New Roman"/>
          <w:szCs w:val="24"/>
        </w:rPr>
        <w:t xml:space="preserve">e </w:t>
      </w:r>
      <w:r w:rsidR="005D51A1">
        <w:rPr>
          <w:rFonts w:eastAsia="Times New Roman"/>
          <w:szCs w:val="24"/>
        </w:rPr>
        <w:t xml:space="preserve">also </w:t>
      </w:r>
      <w:r w:rsidR="00CF24E1">
        <w:rPr>
          <w:rFonts w:eastAsia="Times New Roman"/>
          <w:szCs w:val="24"/>
        </w:rPr>
        <w:t xml:space="preserve">agree with </w:t>
      </w:r>
      <w:r w:rsidR="00335AA1">
        <w:rPr>
          <w:rFonts w:eastAsia="Times New Roman"/>
          <w:szCs w:val="24"/>
        </w:rPr>
        <w:t xml:space="preserve">OCTC </w:t>
      </w:r>
      <w:r w:rsidRPr="00A05810">
        <w:rPr>
          <w:rFonts w:eastAsia="Times New Roman"/>
          <w:szCs w:val="24"/>
        </w:rPr>
        <w:t>that</w:t>
      </w:r>
      <w:r w:rsidR="005716CE">
        <w:rPr>
          <w:rFonts w:eastAsia="Times New Roman"/>
          <w:szCs w:val="24"/>
        </w:rPr>
        <w:t xml:space="preserve"> Gentino</w:t>
      </w:r>
      <w:r w:rsidRPr="00A05810">
        <w:rPr>
          <w:rFonts w:eastAsia="Times New Roman"/>
          <w:szCs w:val="24"/>
        </w:rPr>
        <w:t xml:space="preserve"> has not demonstrated any prejudice resulting from the </w:t>
      </w:r>
      <w:r w:rsidR="00CF24E1">
        <w:rPr>
          <w:rFonts w:eastAsia="Times New Roman"/>
          <w:szCs w:val="24"/>
        </w:rPr>
        <w:t xml:space="preserve">excluded </w:t>
      </w:r>
      <w:r w:rsidRPr="00A05810">
        <w:rPr>
          <w:rFonts w:eastAsia="Times New Roman"/>
          <w:szCs w:val="24"/>
        </w:rPr>
        <w:t>testimony.</w:t>
      </w:r>
      <w:r w:rsidR="002F2212">
        <w:rPr>
          <w:rFonts w:eastAsia="Times New Roman"/>
          <w:szCs w:val="24"/>
        </w:rPr>
        <w:t xml:space="preserve">  </w:t>
      </w:r>
      <w:r w:rsidR="001D42EE">
        <w:rPr>
          <w:rFonts w:eastAsia="Times New Roman"/>
          <w:szCs w:val="24"/>
        </w:rPr>
        <w:t>(</w:t>
      </w:r>
      <w:r w:rsidR="00CB0BE5">
        <w:rPr>
          <w:rFonts w:eastAsia="Times New Roman"/>
          <w:i/>
          <w:szCs w:val="24"/>
        </w:rPr>
        <w:t>In the Matter of Hertz</w:t>
      </w:r>
      <w:r w:rsidR="00CB0BE5">
        <w:rPr>
          <w:rFonts w:eastAsia="Times New Roman"/>
          <w:szCs w:val="24"/>
        </w:rPr>
        <w:t xml:space="preserve"> (Review Dept. 1991) 1</w:t>
      </w:r>
      <w:r w:rsidR="0026447C">
        <w:rPr>
          <w:rFonts w:eastAsia="Times New Roman"/>
          <w:szCs w:val="24"/>
        </w:rPr>
        <w:t> </w:t>
      </w:r>
      <w:r w:rsidR="00CB0BE5">
        <w:rPr>
          <w:rFonts w:eastAsia="Times New Roman"/>
          <w:szCs w:val="24"/>
        </w:rPr>
        <w:t xml:space="preserve">Cal. State Bar Ct. Rptr. 456, 469 [to prevail on claim of error, respondent must </w:t>
      </w:r>
      <w:r w:rsidR="00B85C52">
        <w:rPr>
          <w:rFonts w:eastAsia="Times New Roman"/>
          <w:szCs w:val="24"/>
        </w:rPr>
        <w:t>show specific prejudicial effect]</w:t>
      </w:r>
      <w:r w:rsidR="003B55E4">
        <w:rPr>
          <w:rFonts w:eastAsia="Times New Roman"/>
          <w:szCs w:val="24"/>
        </w:rPr>
        <w:t>.)</w:t>
      </w:r>
    </w:p>
    <w:p w:rsidR="008579FB" w:rsidRDefault="008579FB">
      <w:pPr>
        <w:rPr>
          <w:rFonts w:eastAsia="Times New Roman"/>
          <w:szCs w:val="24"/>
        </w:rPr>
      </w:pPr>
      <w:r>
        <w:rPr>
          <w:rFonts w:eastAsia="Times New Roman"/>
          <w:szCs w:val="24"/>
        </w:rPr>
        <w:br w:type="page"/>
      </w:r>
    </w:p>
    <w:p w:rsidR="007C1C6A" w:rsidRDefault="00183425" w:rsidP="00183425">
      <w:pPr>
        <w:pStyle w:val="ListParagraph"/>
        <w:tabs>
          <w:tab w:val="left" w:pos="720"/>
        </w:tabs>
        <w:spacing w:line="480" w:lineRule="auto"/>
        <w:ind w:left="0"/>
        <w:jc w:val="center"/>
        <w:rPr>
          <w:b/>
        </w:rPr>
      </w:pPr>
      <w:r>
        <w:rPr>
          <w:b/>
        </w:rPr>
        <w:lastRenderedPageBreak/>
        <w:t xml:space="preserve">V.  </w:t>
      </w:r>
      <w:r w:rsidR="007C1C6A" w:rsidRPr="00995783">
        <w:rPr>
          <w:b/>
        </w:rPr>
        <w:t xml:space="preserve">AGGRAVATION </w:t>
      </w:r>
      <w:r w:rsidR="006553F2">
        <w:rPr>
          <w:b/>
        </w:rPr>
        <w:t xml:space="preserve">AND </w:t>
      </w:r>
      <w:r w:rsidR="007C1C6A" w:rsidRPr="00995783">
        <w:rPr>
          <w:b/>
        </w:rPr>
        <w:t>MITIGATION</w:t>
      </w:r>
    </w:p>
    <w:p w:rsidR="008352BC" w:rsidRDefault="003B55E4" w:rsidP="00606E90">
      <w:pPr>
        <w:tabs>
          <w:tab w:val="left" w:pos="720"/>
        </w:tabs>
        <w:spacing w:line="480" w:lineRule="auto"/>
      </w:pPr>
      <w:r>
        <w:tab/>
      </w:r>
      <w:r w:rsidR="00606588" w:rsidRPr="00606588">
        <w:t xml:space="preserve">Standard 1.5 requires OCTC to establish aggravating circumstances by clear and convincing evidence.  Standard 1.6 requires Gentino to meet the same burden to prove mitigation.  </w:t>
      </w:r>
    </w:p>
    <w:p w:rsidR="00692696" w:rsidRDefault="0043566C" w:rsidP="0043566C">
      <w:pPr>
        <w:tabs>
          <w:tab w:val="left" w:pos="720"/>
        </w:tabs>
        <w:spacing w:line="480" w:lineRule="auto"/>
        <w:rPr>
          <w:b/>
        </w:rPr>
      </w:pPr>
      <w:r>
        <w:rPr>
          <w:b/>
        </w:rPr>
        <w:t>A.</w:t>
      </w:r>
      <w:r>
        <w:rPr>
          <w:b/>
        </w:rPr>
        <w:tab/>
      </w:r>
      <w:r w:rsidR="00692696">
        <w:rPr>
          <w:b/>
        </w:rPr>
        <w:t>Aggravation</w:t>
      </w:r>
    </w:p>
    <w:p w:rsidR="00E56BDA" w:rsidRDefault="00692696" w:rsidP="0043566C">
      <w:pPr>
        <w:tabs>
          <w:tab w:val="left" w:pos="720"/>
        </w:tabs>
        <w:spacing w:line="480" w:lineRule="auto"/>
        <w:rPr>
          <w:b/>
        </w:rPr>
      </w:pPr>
      <w:r>
        <w:rPr>
          <w:b/>
        </w:rPr>
        <w:tab/>
        <w:t xml:space="preserve">1.  </w:t>
      </w:r>
      <w:r w:rsidR="00941EF5">
        <w:rPr>
          <w:b/>
        </w:rPr>
        <w:t xml:space="preserve">Multiple Acts </w:t>
      </w:r>
      <w:r w:rsidR="000334C6" w:rsidRPr="0043566C">
        <w:rPr>
          <w:b/>
        </w:rPr>
        <w:t>(Std.</w:t>
      </w:r>
      <w:r w:rsidR="001B6200">
        <w:rPr>
          <w:b/>
        </w:rPr>
        <w:t> </w:t>
      </w:r>
      <w:r w:rsidR="00941EF5">
        <w:rPr>
          <w:b/>
        </w:rPr>
        <w:t>1.5(b</w:t>
      </w:r>
      <w:r w:rsidR="000334C6" w:rsidRPr="0043566C">
        <w:rPr>
          <w:b/>
        </w:rPr>
        <w:t>))</w:t>
      </w:r>
    </w:p>
    <w:p w:rsidR="00031A89" w:rsidRPr="0016744A" w:rsidRDefault="00031A89" w:rsidP="00031A89">
      <w:pPr>
        <w:tabs>
          <w:tab w:val="left" w:pos="720"/>
        </w:tabs>
        <w:spacing w:line="480" w:lineRule="auto"/>
      </w:pPr>
      <w:r>
        <w:tab/>
        <w:t xml:space="preserve">In its Opening Brief on Cross-Review, OCTC states that, while the hearing judge found Gentino’s multiple acts of misconduct to be an aggravating factor, she did not assign a specific weight.  OCTC thus requests that we treat the judge’s finding as “serious” because Gentino’s misconduct was not aberrational since it involved three different ethical violations over a period of one year.  </w:t>
      </w:r>
      <w:r w:rsidR="00CC46C7">
        <w:t>W</w:t>
      </w:r>
      <w:r>
        <w:t xml:space="preserve">e have found that Gentino is culpable of two ethical violations </w:t>
      </w:r>
      <w:r w:rsidR="007C6877">
        <w:t xml:space="preserve">(failure to perform with competence and to communicate) </w:t>
      </w:r>
      <w:r>
        <w:t>that comprised multiple acts</w:t>
      </w:r>
      <w:r w:rsidR="0067453B">
        <w:t xml:space="preserve">.  </w:t>
      </w:r>
      <w:r w:rsidR="0067453B" w:rsidRPr="00131545">
        <w:t>(</w:t>
      </w:r>
      <w:r w:rsidR="0067453B" w:rsidRPr="00131545">
        <w:rPr>
          <w:i/>
          <w:iCs/>
        </w:rPr>
        <w:t xml:space="preserve">In the Matter of Song </w:t>
      </w:r>
      <w:r w:rsidR="0067453B" w:rsidRPr="00131545">
        <w:t>(Review Dept. 2013) 5</w:t>
      </w:r>
      <w:r w:rsidR="0067453B">
        <w:t> </w:t>
      </w:r>
      <w:r w:rsidR="0067453B" w:rsidRPr="00131545">
        <w:t>Cal. State Bar Ct. Rptr. 273, 279 [multiple acts as aggravation are not limited to counts pleaded]</w:t>
      </w:r>
      <w:r w:rsidR="0067453B">
        <w:t>.)  Additionally, w</w:t>
      </w:r>
      <w:r>
        <w:t>e also find that his 35 years of discipline-free practice demonstrate that his misconduct her</w:t>
      </w:r>
      <w:r w:rsidR="00544539">
        <w:t>e was, in fact, aberrational.  Overall, b</w:t>
      </w:r>
      <w:r>
        <w:t>ased on these findings, we assign moderate weight to the judge’s finding of aggravation for multiple acts</w:t>
      </w:r>
      <w:r w:rsidR="0067453B">
        <w:t>.</w:t>
      </w:r>
    </w:p>
    <w:p w:rsidR="00D51905" w:rsidRDefault="003A7EB5" w:rsidP="0043566C">
      <w:pPr>
        <w:tabs>
          <w:tab w:val="left" w:pos="720"/>
        </w:tabs>
        <w:spacing w:line="480" w:lineRule="auto"/>
        <w:rPr>
          <w:b/>
        </w:rPr>
      </w:pPr>
      <w:r>
        <w:rPr>
          <w:b/>
        </w:rPr>
        <w:tab/>
      </w:r>
      <w:r w:rsidR="0011063F">
        <w:rPr>
          <w:b/>
        </w:rPr>
        <w:t>2</w:t>
      </w:r>
      <w:r w:rsidR="0043566C">
        <w:rPr>
          <w:b/>
        </w:rPr>
        <w:t>.</w:t>
      </w:r>
      <w:r w:rsidR="0011063F">
        <w:rPr>
          <w:b/>
        </w:rPr>
        <w:t xml:space="preserve">  </w:t>
      </w:r>
      <w:r w:rsidR="00941EF5">
        <w:rPr>
          <w:b/>
        </w:rPr>
        <w:t>Significant Harm to Client (Std. 1.5(j</w:t>
      </w:r>
      <w:r w:rsidR="00D51905" w:rsidRPr="0043566C">
        <w:rPr>
          <w:b/>
        </w:rPr>
        <w:t>))</w:t>
      </w:r>
    </w:p>
    <w:p w:rsidR="009652EA" w:rsidRPr="00AC4F07" w:rsidRDefault="009652EA" w:rsidP="00910D10">
      <w:pPr>
        <w:tabs>
          <w:tab w:val="left" w:pos="720"/>
        </w:tabs>
        <w:spacing w:line="480" w:lineRule="auto"/>
      </w:pPr>
      <w:r>
        <w:rPr>
          <w:b/>
        </w:rPr>
        <w:tab/>
      </w:r>
      <w:r w:rsidR="00F16489">
        <w:t>OCTC do</w:t>
      </w:r>
      <w:r w:rsidR="00C64428">
        <w:t>es</w:t>
      </w:r>
      <w:r w:rsidR="00F16489">
        <w:t xml:space="preserve"> not challenge the hearing judge’s finding of significant aggravation for the harm Gentino caused to Galvez.  </w:t>
      </w:r>
      <w:r w:rsidR="00C64428">
        <w:t xml:space="preserve">Gentino submits that </w:t>
      </w:r>
      <w:r w:rsidR="003B611F">
        <w:t>“[</w:t>
      </w:r>
      <w:r w:rsidR="00C64428">
        <w:t>a</w:t>
      </w:r>
      <w:r w:rsidR="003B611F">
        <w:t>]</w:t>
      </w:r>
      <w:r w:rsidR="00C64428">
        <w:t>lthough the untimely demurrer and motion to strike resulted in Galvez’s default</w:t>
      </w:r>
      <w:r w:rsidR="003B611F">
        <w:t xml:space="preserve"> and deprived her of the opportunity to defend at trial,” substantial harm </w:t>
      </w:r>
      <w:r w:rsidR="003E3DFC">
        <w:t xml:space="preserve">did not </w:t>
      </w:r>
      <w:r w:rsidR="003D374F">
        <w:t>occur</w:t>
      </w:r>
      <w:r w:rsidR="00594A09">
        <w:t xml:space="preserve"> </w:t>
      </w:r>
      <w:r w:rsidR="003B611F">
        <w:t xml:space="preserve">because no evidence was introduced that Galvez could have obtained a better result had she gone to trial.  </w:t>
      </w:r>
      <w:r w:rsidR="00F16489">
        <w:t xml:space="preserve">We affirm the judge’s finding because </w:t>
      </w:r>
      <w:r w:rsidR="003E3DFC">
        <w:t>Galvez was</w:t>
      </w:r>
      <w:r w:rsidR="00975ACD">
        <w:t xml:space="preserve"> </w:t>
      </w:r>
      <w:r w:rsidR="00172CD3">
        <w:t>significant</w:t>
      </w:r>
      <w:r w:rsidR="003E3DFC">
        <w:t>ly</w:t>
      </w:r>
      <w:r w:rsidR="00172CD3">
        <w:t xml:space="preserve"> </w:t>
      </w:r>
      <w:r w:rsidR="00975ACD">
        <w:t>harm</w:t>
      </w:r>
      <w:r w:rsidR="003E3DFC">
        <w:t>ed</w:t>
      </w:r>
      <w:r w:rsidR="00975ACD">
        <w:t>—</w:t>
      </w:r>
      <w:r w:rsidR="00C82F99">
        <w:t xml:space="preserve">the </w:t>
      </w:r>
      <w:r w:rsidR="00975ACD">
        <w:t xml:space="preserve">entry of </w:t>
      </w:r>
      <w:r w:rsidR="00D141A1">
        <w:t>a default judg</w:t>
      </w:r>
      <w:r w:rsidR="00F16489">
        <w:t>ment of over $40,000</w:t>
      </w:r>
      <w:r w:rsidR="00051173">
        <w:t xml:space="preserve"> </w:t>
      </w:r>
      <w:r w:rsidR="00D141A1">
        <w:t xml:space="preserve">and the </w:t>
      </w:r>
      <w:r w:rsidR="003E3DFC">
        <w:t>ensuing</w:t>
      </w:r>
      <w:r w:rsidR="00D141A1">
        <w:t xml:space="preserve"> liens on her accounts</w:t>
      </w:r>
      <w:r w:rsidR="00172CD3">
        <w:t>—</w:t>
      </w:r>
      <w:r w:rsidR="00D141A1">
        <w:t xml:space="preserve">without having </w:t>
      </w:r>
      <w:r w:rsidR="00051173">
        <w:t>an opportunity to defend herself at trial</w:t>
      </w:r>
      <w:r w:rsidR="00975ACD">
        <w:t xml:space="preserve">.  </w:t>
      </w:r>
      <w:r w:rsidR="00AC4F07">
        <w:t>(</w:t>
      </w:r>
      <w:r w:rsidR="00AC4F07">
        <w:rPr>
          <w:i/>
        </w:rPr>
        <w:t>In the Matter of Bach</w:t>
      </w:r>
      <w:r w:rsidR="00AC4F07">
        <w:t xml:space="preserve"> </w:t>
      </w:r>
      <w:r w:rsidR="00AC4F07">
        <w:lastRenderedPageBreak/>
        <w:t>(Review Dept. 1991) 1</w:t>
      </w:r>
      <w:r w:rsidR="0026447C">
        <w:t> </w:t>
      </w:r>
      <w:r w:rsidR="00AC4F07">
        <w:t>Cal. State Bar Ct. Rptr. 631, 646 [aggravation for significant harm found where attorney failed to pursue client’s case, resulting in dismissal of case and inability to obtain damages</w:t>
      </w:r>
      <w:r w:rsidR="00C86C82">
        <w:t xml:space="preserve"> even where record demonstrated that she could not have expected significant damage award had her case gone to trial</w:t>
      </w:r>
      <w:r w:rsidR="00AC4F07">
        <w:t>].)</w:t>
      </w:r>
    </w:p>
    <w:p w:rsidR="00420D75" w:rsidRDefault="00365B6F" w:rsidP="00910D10">
      <w:pPr>
        <w:spacing w:line="480" w:lineRule="auto"/>
        <w:rPr>
          <w:b/>
        </w:rPr>
      </w:pPr>
      <w:r>
        <w:tab/>
      </w:r>
      <w:r w:rsidR="00AF75A2">
        <w:rPr>
          <w:b/>
        </w:rPr>
        <w:t>3</w:t>
      </w:r>
      <w:r w:rsidR="00A27C7D">
        <w:rPr>
          <w:b/>
        </w:rPr>
        <w:t xml:space="preserve">.  </w:t>
      </w:r>
      <w:r w:rsidR="003B611F">
        <w:rPr>
          <w:b/>
        </w:rPr>
        <w:t>OCTC’s Request</w:t>
      </w:r>
      <w:r w:rsidR="002D045D">
        <w:rPr>
          <w:b/>
        </w:rPr>
        <w:t xml:space="preserve"> for </w:t>
      </w:r>
      <w:r w:rsidR="00420D75">
        <w:rPr>
          <w:b/>
        </w:rPr>
        <w:t>Additional Aggravation</w:t>
      </w:r>
      <w:r w:rsidR="00F16489">
        <w:rPr>
          <w:b/>
        </w:rPr>
        <w:t xml:space="preserve"> for Indifference</w:t>
      </w:r>
    </w:p>
    <w:p w:rsidR="000B7D56" w:rsidRDefault="00975ACD" w:rsidP="00910D10">
      <w:pPr>
        <w:tabs>
          <w:tab w:val="left" w:pos="720"/>
        </w:tabs>
        <w:spacing w:line="480" w:lineRule="auto"/>
        <w:rPr>
          <w:szCs w:val="24"/>
        </w:rPr>
      </w:pPr>
      <w:r>
        <w:tab/>
        <w:t xml:space="preserve">OCTC asserts that additional aggravation should be assigned for Gentino’s indifference because of his lack of remorse and recognition of wrongdoing and his failure to make amends to Galvez.  Gentino </w:t>
      </w:r>
      <w:r w:rsidR="008F4C1F">
        <w:t>submits that he has the right to defend himself</w:t>
      </w:r>
      <w:r w:rsidR="00722B44">
        <w:t>.</w:t>
      </w:r>
      <w:r w:rsidR="008F4C1F">
        <w:t xml:space="preserve"> </w:t>
      </w:r>
      <w:r w:rsidR="00722B44">
        <w:t xml:space="preserve"> H</w:t>
      </w:r>
      <w:r w:rsidR="008F4C1F">
        <w:t>is opposition to the charges against him</w:t>
      </w:r>
      <w:r w:rsidR="00722B44">
        <w:t xml:space="preserve"> was</w:t>
      </w:r>
      <w:r w:rsidR="008F4C1F">
        <w:t xml:space="preserve"> based on his honest belief that he did nothing wrong, </w:t>
      </w:r>
      <w:r w:rsidR="00722B44">
        <w:t xml:space="preserve">and </w:t>
      </w:r>
      <w:r w:rsidR="008F4C1F">
        <w:t xml:space="preserve">cannot form the basis </w:t>
      </w:r>
      <w:r w:rsidR="00722B44">
        <w:t>for</w:t>
      </w:r>
      <w:r w:rsidR="008F4C1F">
        <w:t xml:space="preserve"> a finding of indifference.  </w:t>
      </w:r>
      <w:r w:rsidR="00AD6A67">
        <w:t xml:space="preserve">We decline to find additional aggravation as </w:t>
      </w:r>
      <w:r w:rsidR="001E4EFB">
        <w:t xml:space="preserve">OCTC </w:t>
      </w:r>
      <w:r w:rsidR="00AD6A67">
        <w:t xml:space="preserve">requested because Gentino’s </w:t>
      </w:r>
      <w:r w:rsidR="00AF7483">
        <w:t xml:space="preserve">arguments </w:t>
      </w:r>
      <w:r w:rsidR="00AD6A67">
        <w:t>in this proceeding do appear to be a good faith attempt to defend himself, which does not support a finding of indifference.  (</w:t>
      </w:r>
      <w:r w:rsidR="00AD6A67">
        <w:rPr>
          <w:i/>
        </w:rPr>
        <w:t>Harris v. State Bar</w:t>
      </w:r>
      <w:r w:rsidR="00AD6A67">
        <w:t xml:space="preserve"> (1990) 51</w:t>
      </w:r>
      <w:r w:rsidR="002F3E04">
        <w:t> </w:t>
      </w:r>
      <w:r w:rsidR="00AD6A67">
        <w:t xml:space="preserve">Cal.3d 1082, 1088; </w:t>
      </w:r>
      <w:r w:rsidR="00FA5F81">
        <w:rPr>
          <w:i/>
        </w:rPr>
        <w:t>Van Sloten v. State Bar</w:t>
      </w:r>
      <w:r w:rsidR="00051173" w:rsidRPr="00A051D1">
        <w:t>,</w:t>
      </w:r>
      <w:r w:rsidR="00051173">
        <w:rPr>
          <w:i/>
        </w:rPr>
        <w:t xml:space="preserve"> supra</w:t>
      </w:r>
      <w:r w:rsidR="00051173" w:rsidRPr="00A051D1">
        <w:t>,</w:t>
      </w:r>
      <w:r w:rsidR="00051173">
        <w:rPr>
          <w:i/>
        </w:rPr>
        <w:t xml:space="preserve"> </w:t>
      </w:r>
      <w:r w:rsidR="00FA5F81">
        <w:t>48</w:t>
      </w:r>
      <w:r w:rsidR="002F3E04">
        <w:t> </w:t>
      </w:r>
      <w:r w:rsidR="00FA5F81">
        <w:t xml:space="preserve">Cal.3d </w:t>
      </w:r>
      <w:r w:rsidR="008352BC">
        <w:t>at pp. </w:t>
      </w:r>
      <w:r w:rsidR="00FA5F81">
        <w:t>932</w:t>
      </w:r>
      <w:r w:rsidR="008352BC">
        <w:t>–</w:t>
      </w:r>
      <w:r w:rsidR="00FA5F81">
        <w:t>933</w:t>
      </w:r>
      <w:r w:rsidR="00B9698A">
        <w:t xml:space="preserve"> [indifference finding not justified where attorney’s attitude is based on </w:t>
      </w:r>
      <w:r w:rsidR="00B9698A" w:rsidRPr="00B9698A">
        <w:t xml:space="preserve">honest, </w:t>
      </w:r>
      <w:r w:rsidR="002F3E04">
        <w:t>but</w:t>
      </w:r>
      <w:r w:rsidR="00B9698A" w:rsidRPr="00B9698A">
        <w:t xml:space="preserve"> mistaken, belief in his innocence</w:t>
      </w:r>
      <w:r w:rsidR="00B9698A">
        <w:t>]</w:t>
      </w:r>
      <w:r w:rsidR="00910D10">
        <w:t>.)</w:t>
      </w:r>
    </w:p>
    <w:p w:rsidR="001873F6" w:rsidRPr="00501F1A" w:rsidRDefault="000B7D56" w:rsidP="000B7D56">
      <w:pPr>
        <w:tabs>
          <w:tab w:val="left" w:pos="720"/>
        </w:tabs>
        <w:spacing w:line="480" w:lineRule="auto"/>
        <w:rPr>
          <w:szCs w:val="24"/>
        </w:rPr>
      </w:pPr>
      <w:r w:rsidRPr="000B7D56">
        <w:rPr>
          <w:b/>
          <w:szCs w:val="24"/>
        </w:rPr>
        <w:t>B</w:t>
      </w:r>
      <w:r w:rsidR="001873F6" w:rsidRPr="000B7D56">
        <w:rPr>
          <w:b/>
        </w:rPr>
        <w:t>.</w:t>
      </w:r>
      <w:r w:rsidR="001873F6">
        <w:rPr>
          <w:b/>
        </w:rPr>
        <w:tab/>
      </w:r>
      <w:r w:rsidR="00DA3D26" w:rsidRPr="00501F1A">
        <w:rPr>
          <w:b/>
        </w:rPr>
        <w:t xml:space="preserve">Mitigation </w:t>
      </w:r>
    </w:p>
    <w:p w:rsidR="00AF75A2" w:rsidRDefault="001873F6" w:rsidP="00DC434E">
      <w:pPr>
        <w:tabs>
          <w:tab w:val="left" w:pos="720"/>
        </w:tabs>
        <w:spacing w:line="480" w:lineRule="auto"/>
        <w:rPr>
          <w:b/>
        </w:rPr>
      </w:pPr>
      <w:r>
        <w:tab/>
      </w:r>
      <w:r w:rsidR="00941EF5">
        <w:rPr>
          <w:b/>
        </w:rPr>
        <w:t>1.  No Prior Record (Std. 1.6(a))</w:t>
      </w:r>
    </w:p>
    <w:p w:rsidR="00551599" w:rsidRDefault="00551599" w:rsidP="00DC434E">
      <w:pPr>
        <w:tabs>
          <w:tab w:val="left" w:pos="720"/>
        </w:tabs>
        <w:spacing w:line="480" w:lineRule="auto"/>
      </w:pPr>
      <w:r>
        <w:rPr>
          <w:b/>
        </w:rPr>
        <w:tab/>
      </w:r>
      <w:r>
        <w:t xml:space="preserve">The hearing judge assigned significant mitigation for Gentino’s 35 years </w:t>
      </w:r>
      <w:r w:rsidR="00D8605A">
        <w:t>of</w:t>
      </w:r>
      <w:r>
        <w:t xml:space="preserve"> practice without discipline.  </w:t>
      </w:r>
      <w:r w:rsidR="00B9698A">
        <w:t>Standard</w:t>
      </w:r>
      <w:r w:rsidR="0026447C">
        <w:t> </w:t>
      </w:r>
      <w:r w:rsidR="00B9698A">
        <w:t xml:space="preserve">1.6(a) </w:t>
      </w:r>
      <w:r w:rsidR="00886FD7">
        <w:t>states that mitigati</w:t>
      </w:r>
      <w:r w:rsidR="004239C7">
        <w:t>on</w:t>
      </w:r>
      <w:r w:rsidR="00886FD7">
        <w:t xml:space="preserve"> may be assigned for absence of prior discipline over many years “coupled with present misconduct, which is not likely to recur.”  </w:t>
      </w:r>
      <w:r>
        <w:t>OCTC submits that this lengthy period of discipline</w:t>
      </w:r>
      <w:r w:rsidR="006048AE">
        <w:t>-</w:t>
      </w:r>
      <w:r>
        <w:t xml:space="preserve">free practice warrants only </w:t>
      </w:r>
      <w:r w:rsidR="00B379A6">
        <w:t>moderate</w:t>
      </w:r>
      <w:r>
        <w:t xml:space="preserve"> mitigation because Gentino’s misconduct is likely to recur.  </w:t>
      </w:r>
      <w:r w:rsidR="00B379A6">
        <w:t>OCTC</w:t>
      </w:r>
      <w:r>
        <w:t xml:space="preserve"> base</w:t>
      </w:r>
      <w:r w:rsidR="00B379A6">
        <w:t>s</w:t>
      </w:r>
      <w:r>
        <w:t xml:space="preserve"> </w:t>
      </w:r>
      <w:r w:rsidR="000F60F6">
        <w:t xml:space="preserve">this </w:t>
      </w:r>
      <w:r w:rsidR="00B379A6">
        <w:t>position</w:t>
      </w:r>
      <w:r w:rsidR="000F60F6">
        <w:t xml:space="preserve"> </w:t>
      </w:r>
      <w:r>
        <w:t xml:space="preserve">on </w:t>
      </w:r>
      <w:r w:rsidR="00B379A6">
        <w:t>its</w:t>
      </w:r>
      <w:r>
        <w:t xml:space="preserve"> claim that Gentino was indifferent and thus his </w:t>
      </w:r>
      <w:r w:rsidR="00B379A6">
        <w:t>mis</w:t>
      </w:r>
      <w:r>
        <w:t>conduct was not an aberration.  Gentino argues that he is entitled to significant mitigation</w:t>
      </w:r>
      <w:r w:rsidR="00684244">
        <w:t>.  We affirm the finding of significant mitigation</w:t>
      </w:r>
      <w:r w:rsidR="00AF7483">
        <w:t xml:space="preserve"> </w:t>
      </w:r>
      <w:r w:rsidR="004239C7">
        <w:lastRenderedPageBreak/>
        <w:t>because</w:t>
      </w:r>
      <w:r w:rsidR="00AF7483">
        <w:t>, as discussed above,</w:t>
      </w:r>
      <w:r w:rsidR="004239C7">
        <w:t xml:space="preserve"> </w:t>
      </w:r>
      <w:r w:rsidR="00172CD3">
        <w:t xml:space="preserve">Gentino’s </w:t>
      </w:r>
      <w:r w:rsidR="00684244">
        <w:t xml:space="preserve">35 years of </w:t>
      </w:r>
      <w:r w:rsidR="00051173">
        <w:t>discipline</w:t>
      </w:r>
      <w:r w:rsidR="00B2464F">
        <w:t>-</w:t>
      </w:r>
      <w:r w:rsidR="00051173">
        <w:t xml:space="preserve">free </w:t>
      </w:r>
      <w:r w:rsidR="00684244">
        <w:t>practice</w:t>
      </w:r>
      <w:r w:rsidR="00594A09">
        <w:t xml:space="preserve"> </w:t>
      </w:r>
      <w:r w:rsidR="004239C7">
        <w:t xml:space="preserve">demonstrate that his </w:t>
      </w:r>
      <w:r w:rsidR="001C22BE">
        <w:t>mis</w:t>
      </w:r>
      <w:r w:rsidR="004239C7">
        <w:t>conduct here was aberrational</w:t>
      </w:r>
      <w:r w:rsidR="00172CD3">
        <w:t xml:space="preserve">, and, as </w:t>
      </w:r>
      <w:r w:rsidR="00DD7975">
        <w:t xml:space="preserve">also </w:t>
      </w:r>
      <w:r w:rsidR="00172CD3">
        <w:t>discussed above, we do not find</w:t>
      </w:r>
      <w:r w:rsidR="007F6EE2">
        <w:t xml:space="preserve"> indifference</w:t>
      </w:r>
      <w:r w:rsidR="004239C7">
        <w:t>.</w:t>
      </w:r>
      <w:r w:rsidR="007F6EE2">
        <w:rPr>
          <w:rStyle w:val="FootnoteReference"/>
        </w:rPr>
        <w:footnoteReference w:id="12"/>
      </w:r>
      <w:r w:rsidR="004239C7">
        <w:t xml:space="preserve">  </w:t>
      </w:r>
    </w:p>
    <w:p w:rsidR="00AF75A2" w:rsidRDefault="00AF75A2" w:rsidP="00DC434E">
      <w:pPr>
        <w:tabs>
          <w:tab w:val="left" w:pos="720"/>
        </w:tabs>
        <w:spacing w:line="480" w:lineRule="auto"/>
        <w:rPr>
          <w:b/>
        </w:rPr>
      </w:pPr>
      <w:r>
        <w:rPr>
          <w:b/>
        </w:rPr>
        <w:tab/>
        <w:t>2.  Good Character (Std. 1.6(f)</w:t>
      </w:r>
      <w:r w:rsidR="00813096">
        <w:rPr>
          <w:b/>
        </w:rPr>
        <w:t>)</w:t>
      </w:r>
      <w:r>
        <w:rPr>
          <w:b/>
        </w:rPr>
        <w:t xml:space="preserve"> </w:t>
      </w:r>
    </w:p>
    <w:p w:rsidR="00B21965" w:rsidRDefault="00B21965" w:rsidP="00DC434E">
      <w:pPr>
        <w:tabs>
          <w:tab w:val="left" w:pos="720"/>
        </w:tabs>
        <w:spacing w:line="480" w:lineRule="auto"/>
      </w:pPr>
      <w:r>
        <w:rPr>
          <w:b/>
        </w:rPr>
        <w:tab/>
      </w:r>
      <w:r w:rsidR="004239C7">
        <w:t>Standard</w:t>
      </w:r>
      <w:r w:rsidR="0026447C">
        <w:t> </w:t>
      </w:r>
      <w:r w:rsidR="004239C7">
        <w:t xml:space="preserve">1.6(f) allows mitigation for “extraordinary good character attested to by a wide range of references in the legal and general communities, who are aware of the full extent of the misconduct.”  </w:t>
      </w:r>
      <w:r>
        <w:t>The hearing judge assigned significant weight based on Gentino’s presentation of five witnesses who testified to his good character</w:t>
      </w:r>
      <w:r w:rsidR="009C2B55">
        <w:t xml:space="preserve">.  </w:t>
      </w:r>
      <w:r>
        <w:t>The</w:t>
      </w:r>
      <w:r w:rsidR="00527A33">
        <w:t>y</w:t>
      </w:r>
      <w:r w:rsidR="009D5B9F">
        <w:t xml:space="preserve"> included two attorneys, two</w:t>
      </w:r>
      <w:r>
        <w:t xml:space="preserve"> business owner</w:t>
      </w:r>
      <w:r w:rsidR="009D5B9F">
        <w:t>s</w:t>
      </w:r>
      <w:r>
        <w:t xml:space="preserve">, and the president of a nonprofit animal rescue organization.  </w:t>
      </w:r>
      <w:r w:rsidR="00470422">
        <w:t xml:space="preserve">All five spoke </w:t>
      </w:r>
      <w:r w:rsidR="00D618F5">
        <w:t xml:space="preserve">very </w:t>
      </w:r>
      <w:r w:rsidR="00470422">
        <w:t>highly of Gentino’s good character</w:t>
      </w:r>
      <w:r w:rsidR="00527A33">
        <w:t>, describing</w:t>
      </w:r>
      <w:r w:rsidR="00470422">
        <w:t xml:space="preserve"> him as having the “highest of integrity</w:t>
      </w:r>
      <w:r w:rsidR="00D618F5">
        <w:t>,</w:t>
      </w:r>
      <w:r w:rsidR="00470422">
        <w:t>”</w:t>
      </w:r>
      <w:r w:rsidR="00D618F5">
        <w:t xml:space="preserve"> “very high moral values,” and as being “[a]bsolutely honest.”  One of the </w:t>
      </w:r>
      <w:r w:rsidR="00B2464F">
        <w:t xml:space="preserve">five </w:t>
      </w:r>
      <w:r w:rsidR="00D618F5">
        <w:t xml:space="preserve">witnesses did not have a full understanding of the charges against Gentino.  </w:t>
      </w:r>
      <w:r w:rsidR="00527A33">
        <w:t xml:space="preserve">Gentino asks that we affirm the judge’s findings.  </w:t>
      </w:r>
    </w:p>
    <w:p w:rsidR="00022FFF" w:rsidRDefault="00D618F5" w:rsidP="00DC434E">
      <w:pPr>
        <w:tabs>
          <w:tab w:val="left" w:pos="720"/>
        </w:tabs>
        <w:spacing w:line="480" w:lineRule="auto"/>
      </w:pPr>
      <w:r>
        <w:tab/>
        <w:t xml:space="preserve">OCTC argues </w:t>
      </w:r>
      <w:r w:rsidR="007D7B90">
        <w:t xml:space="preserve">that </w:t>
      </w:r>
      <w:r w:rsidR="00485063">
        <w:t>Gentino’s</w:t>
      </w:r>
      <w:r w:rsidR="007D7B90">
        <w:t xml:space="preserve"> good character evidence should not be given significant </w:t>
      </w:r>
      <w:r w:rsidR="00527A33">
        <w:t xml:space="preserve">mitigation </w:t>
      </w:r>
      <w:r w:rsidR="007D7B90">
        <w:t>weight</w:t>
      </w:r>
      <w:r w:rsidR="00485063">
        <w:t xml:space="preserve"> because</w:t>
      </w:r>
      <w:r w:rsidR="007D7B90">
        <w:t xml:space="preserve"> five witnesses do not meet the standard’s requirement of</w:t>
      </w:r>
      <w:r w:rsidR="00B20F86">
        <w:t xml:space="preserve"> a “wide range of references,”</w:t>
      </w:r>
      <w:r w:rsidR="002257B4">
        <w:t xml:space="preserve"> </w:t>
      </w:r>
      <w:r w:rsidR="00B20F86">
        <w:t xml:space="preserve">citing </w:t>
      </w:r>
      <w:r w:rsidR="00B20F86">
        <w:rPr>
          <w:i/>
        </w:rPr>
        <w:t>In the Matter of Lindmark</w:t>
      </w:r>
      <w:r w:rsidR="00B20F86">
        <w:t xml:space="preserve"> (Review Dept. 2004) 4 Cal. State Bar C</w:t>
      </w:r>
      <w:r w:rsidR="008352BC">
        <w:t>t. Rptr. 668, 674 (</w:t>
      </w:r>
      <w:r w:rsidR="00B20F86">
        <w:t>testimony of four character witnesses, one physician and three attorneys, given less weight because they were “few” in number</w:t>
      </w:r>
      <w:r w:rsidR="008352BC">
        <w:t>)</w:t>
      </w:r>
      <w:r w:rsidR="00B20F86">
        <w:rPr>
          <w:szCs w:val="24"/>
        </w:rPr>
        <w:t>.</w:t>
      </w:r>
      <w:r w:rsidR="00B20F86">
        <w:t xml:space="preserve">  In response, Gentino cited to </w:t>
      </w:r>
      <w:r w:rsidR="00B20F86">
        <w:rPr>
          <w:i/>
        </w:rPr>
        <w:t xml:space="preserve">In re Davis </w:t>
      </w:r>
      <w:r w:rsidR="00B20F86">
        <w:t>(Review Dept. 2003)</w:t>
      </w:r>
      <w:r w:rsidR="003439A7">
        <w:t xml:space="preserve"> 4 </w:t>
      </w:r>
      <w:r w:rsidR="008352BC">
        <w:t>Cal. State Bar Ct</w:t>
      </w:r>
      <w:r w:rsidR="00B20F86">
        <w:t xml:space="preserve">. Rptr. </w:t>
      </w:r>
      <w:r w:rsidR="00EC7B94">
        <w:t>576, 591–592, where we accorded significant mitigation for good character to testimony of three witnesses: tw</w:t>
      </w:r>
      <w:r w:rsidR="00022FFF">
        <w:t xml:space="preserve">o attorneys and a fire chief.  </w:t>
      </w:r>
      <w:r w:rsidR="00022FFF">
        <w:lastRenderedPageBreak/>
        <w:t xml:space="preserve">Particularly, </w:t>
      </w:r>
      <w:r w:rsidR="00EC7B94">
        <w:t xml:space="preserve">those witnesses </w:t>
      </w:r>
      <w:r w:rsidR="00DE3ECF">
        <w:t xml:space="preserve">in </w:t>
      </w:r>
      <w:r w:rsidR="00DE3ECF">
        <w:rPr>
          <w:i/>
        </w:rPr>
        <w:t xml:space="preserve">Davis </w:t>
      </w:r>
      <w:r w:rsidR="00EC7B94">
        <w:t>had long-</w:t>
      </w:r>
      <w:r w:rsidR="00310C31">
        <w:t>standing</w:t>
      </w:r>
      <w:r w:rsidR="00EC7B94">
        <w:t xml:space="preserve"> familiarity with the attorney and broad knowledge of his good character, work habits, and professional skills.</w:t>
      </w:r>
      <w:r w:rsidR="00310C31">
        <w:t xml:space="preserve">  </w:t>
      </w:r>
    </w:p>
    <w:p w:rsidR="00EC7B94" w:rsidRPr="0072284C" w:rsidRDefault="00022FFF" w:rsidP="00DC434E">
      <w:pPr>
        <w:tabs>
          <w:tab w:val="left" w:pos="720"/>
        </w:tabs>
        <w:spacing w:line="480" w:lineRule="auto"/>
      </w:pPr>
      <w:r>
        <w:tab/>
        <w:t xml:space="preserve">Those </w:t>
      </w:r>
      <w:r w:rsidR="00310C31">
        <w:t>factors</w:t>
      </w:r>
      <w:r w:rsidR="0072284C">
        <w:t xml:space="preserve"> are not present in Gentino’s</w:t>
      </w:r>
      <w:r>
        <w:t xml:space="preserve"> case</w:t>
      </w:r>
      <w:r w:rsidR="00310C31">
        <w:t xml:space="preserve">, </w:t>
      </w:r>
      <w:r>
        <w:t xml:space="preserve">and thus </w:t>
      </w:r>
      <w:r w:rsidR="00310C31">
        <w:t xml:space="preserve">we find the </w:t>
      </w:r>
      <w:r w:rsidR="00310C31">
        <w:rPr>
          <w:i/>
        </w:rPr>
        <w:t xml:space="preserve">Davis </w:t>
      </w:r>
      <w:r w:rsidR="00310C31">
        <w:t>case distinguishable.</w:t>
      </w:r>
      <w:r w:rsidR="0072284C">
        <w:t xml:space="preserve">  While Gentino presented five witnesses, they did not have a broad range of knowledge about </w:t>
      </w:r>
      <w:r w:rsidR="003439A7">
        <w:t>Gentino, and one witness did not</w:t>
      </w:r>
      <w:r w:rsidR="0072284C">
        <w:t xml:space="preserve"> know about the charges. (See </w:t>
      </w:r>
      <w:r w:rsidR="0072284C">
        <w:rPr>
          <w:i/>
        </w:rPr>
        <w:t xml:space="preserve">In re Aquino </w:t>
      </w:r>
      <w:r w:rsidR="0072284C">
        <w:t xml:space="preserve">(1989) 49 Cal.3d </w:t>
      </w:r>
      <w:r w:rsidR="00D669C3">
        <w:t>1122,</w:t>
      </w:r>
      <w:r w:rsidR="00594A20">
        <w:t xml:space="preserve"> </w:t>
      </w:r>
      <w:r w:rsidR="00D669C3">
        <w:t>1131 [seven witnesses and 20 letters of support not “significant” evidence of mitigation because witnesses were not aware of details of misconduct].)</w:t>
      </w:r>
      <w:r w:rsidR="00DE3ECF">
        <w:t xml:space="preserve">  Accordingly, we assign moderate mitigation for Gentino’s evidence of good character.</w:t>
      </w:r>
    </w:p>
    <w:p w:rsidR="00555276" w:rsidRDefault="00AF75A2" w:rsidP="007C5B37">
      <w:pPr>
        <w:tabs>
          <w:tab w:val="left" w:pos="720"/>
        </w:tabs>
        <w:spacing w:line="480" w:lineRule="auto"/>
        <w:ind w:left="720"/>
      </w:pPr>
      <w:r>
        <w:rPr>
          <w:b/>
        </w:rPr>
        <w:t>3.  Pro Bono and Community Service</w:t>
      </w:r>
    </w:p>
    <w:p w:rsidR="00FD0E29" w:rsidRDefault="00272D3F" w:rsidP="00DC434E">
      <w:pPr>
        <w:tabs>
          <w:tab w:val="left" w:pos="720"/>
        </w:tabs>
        <w:spacing w:line="480" w:lineRule="auto"/>
      </w:pPr>
      <w:r>
        <w:tab/>
        <w:t xml:space="preserve">The hearing judge assigned significant weight for Gentino’s pro bono and community service.  She found that </w:t>
      </w:r>
      <w:r w:rsidR="00A64913">
        <w:t>he</w:t>
      </w:r>
      <w:r>
        <w:t xml:space="preserve"> performed a wide variety of </w:t>
      </w:r>
      <w:r w:rsidR="00101539">
        <w:t>s</w:t>
      </w:r>
      <w:r>
        <w:t>ervice</w:t>
      </w:r>
      <w:r w:rsidR="00101539">
        <w:t>s</w:t>
      </w:r>
      <w:r>
        <w:t>, including volunteering at the United Methodist Church, serving as a scout master for the Eagle Scouts, feeding the homeless a</w:t>
      </w:r>
      <w:r w:rsidR="00594A20">
        <w:t>t Thanksgiving, serving on the B</w:t>
      </w:r>
      <w:r>
        <w:t xml:space="preserve">oard of </w:t>
      </w:r>
      <w:r w:rsidR="00594A20">
        <w:t>D</w:t>
      </w:r>
      <w:r>
        <w:t xml:space="preserve">irectors </w:t>
      </w:r>
      <w:r w:rsidR="00594A20">
        <w:t>of</w:t>
      </w:r>
      <w:r>
        <w:t xml:space="preserve"> Cat &amp; Canine Assistance, Referral and Education (CARE), and p</w:t>
      </w:r>
      <w:r w:rsidR="00A64913">
        <w:t>roviding</w:t>
      </w:r>
      <w:r>
        <w:t xml:space="preserve"> substantial pro bono legal services for CARE.  </w:t>
      </w:r>
      <w:r w:rsidR="00A13938">
        <w:t xml:space="preserve">In 1982, Gentino was </w:t>
      </w:r>
      <w:r w:rsidR="00A64913">
        <w:t>recognized</w:t>
      </w:r>
      <w:r w:rsidR="00A13938">
        <w:t xml:space="preserve"> by the State Bar for his pro bono work.  </w:t>
      </w:r>
      <w:r w:rsidR="00A64913">
        <w:t>He</w:t>
      </w:r>
      <w:r w:rsidR="00A13938">
        <w:t xml:space="preserve"> was also acknowledged by the Los Angeles Municipal Court for his service as a temporary judge</w:t>
      </w:r>
      <w:r w:rsidR="00FD0E29">
        <w:t xml:space="preserve"> for multiple years between 1990 and 2000.  </w:t>
      </w:r>
    </w:p>
    <w:p w:rsidR="00C304BE" w:rsidRDefault="00FD0E29" w:rsidP="00DC434E">
      <w:pPr>
        <w:tabs>
          <w:tab w:val="left" w:pos="720"/>
        </w:tabs>
        <w:spacing w:line="480" w:lineRule="auto"/>
        <w:rPr>
          <w:rFonts w:eastAsia="Times New Roman"/>
          <w:szCs w:val="24"/>
        </w:rPr>
      </w:pPr>
      <w:r>
        <w:tab/>
      </w:r>
      <w:r w:rsidR="00C304BE">
        <w:t xml:space="preserve">OCTC submits that Gentino should not receive substantial </w:t>
      </w:r>
      <w:r w:rsidR="007426F5">
        <w:t xml:space="preserve">mitigation </w:t>
      </w:r>
      <w:r w:rsidR="00C304BE">
        <w:t>for these activities</w:t>
      </w:r>
      <w:r>
        <w:t xml:space="preserve"> because they are not current, and because they do not demonstrate that his conduct is not aberrational</w:t>
      </w:r>
      <w:r w:rsidR="00C304BE">
        <w:t>.</w:t>
      </w:r>
      <w:r>
        <w:t xml:space="preserve">  OCTC does not present authority to support these assertions</w:t>
      </w:r>
      <w:r w:rsidR="003439A7">
        <w:t>,</w:t>
      </w:r>
      <w:r>
        <w:t xml:space="preserve"> and we ha</w:t>
      </w:r>
      <w:r w:rsidR="00D60FE4">
        <w:t>ve found none.  We note that Gen</w:t>
      </w:r>
      <w:r w:rsidR="00A17DA1">
        <w:t>t</w:t>
      </w:r>
      <w:r w:rsidR="00D60FE4">
        <w:t>ino’s</w:t>
      </w:r>
      <w:r>
        <w:t xml:space="preserve"> pro bono and community work on behalf of CARE</w:t>
      </w:r>
      <w:r w:rsidR="00D60FE4">
        <w:t xml:space="preserve">, for which the Legislature commended him in 2012, </w:t>
      </w:r>
      <w:r w:rsidR="00DE3ECF">
        <w:t xml:space="preserve">is recent and </w:t>
      </w:r>
      <w:r>
        <w:t xml:space="preserve">has continued to </w:t>
      </w:r>
      <w:r w:rsidR="00D60FE4">
        <w:t xml:space="preserve">the present day.  Further, </w:t>
      </w:r>
      <w:r w:rsidR="00DE3ECF">
        <w:t xml:space="preserve">as </w:t>
      </w:r>
      <w:r w:rsidR="00D60FE4">
        <w:t xml:space="preserve">we </w:t>
      </w:r>
      <w:r w:rsidR="00C8237B">
        <w:t xml:space="preserve">have </w:t>
      </w:r>
      <w:r w:rsidR="00A17DA1">
        <w:t>found,</w:t>
      </w:r>
      <w:r w:rsidR="00D60FE4">
        <w:t xml:space="preserve"> his misconduct in this case was aberrational.  Therefore, w</w:t>
      </w:r>
      <w:r w:rsidR="00C304BE">
        <w:t>e affirm the hearing judge</w:t>
      </w:r>
      <w:r w:rsidR="004A6A4E">
        <w:t>’s finding</w:t>
      </w:r>
      <w:r w:rsidR="00C304BE">
        <w:t xml:space="preserve"> that substantial mitigation be assigned for Gentino’s pro bono work and </w:t>
      </w:r>
      <w:r w:rsidR="00C304BE">
        <w:lastRenderedPageBreak/>
        <w:t xml:space="preserve">community service.  </w:t>
      </w:r>
      <w:r w:rsidR="00670AD4">
        <w:t>(</w:t>
      </w:r>
      <w:r w:rsidR="00670AD4">
        <w:rPr>
          <w:i/>
        </w:rPr>
        <w:t>Calvert v. State Bar</w:t>
      </w:r>
      <w:r w:rsidR="009E3BC7">
        <w:t xml:space="preserve"> (1991) 54 </w:t>
      </w:r>
      <w:r w:rsidR="00670AD4">
        <w:t>Cal.3d 765, 785 [</w:t>
      </w:r>
      <w:r w:rsidR="00670AD4" w:rsidRPr="002B24D7">
        <w:rPr>
          <w:rFonts w:eastAsia="Times New Roman"/>
          <w:szCs w:val="24"/>
        </w:rPr>
        <w:t>service to community is mitigat</w:t>
      </w:r>
      <w:r w:rsidR="00670AD4">
        <w:rPr>
          <w:rFonts w:eastAsia="Times New Roman"/>
          <w:szCs w:val="24"/>
        </w:rPr>
        <w:t>ing factor entitled to considerable weight</w:t>
      </w:r>
      <w:r w:rsidR="00E04DEA">
        <w:rPr>
          <w:rFonts w:eastAsia="Times New Roman"/>
          <w:szCs w:val="24"/>
        </w:rPr>
        <w:t>]</w:t>
      </w:r>
      <w:r w:rsidR="004A6A4E">
        <w:rPr>
          <w:rFonts w:eastAsia="Times New Roman"/>
          <w:szCs w:val="24"/>
        </w:rPr>
        <w:t>.)</w:t>
      </w:r>
    </w:p>
    <w:p w:rsidR="002F7583" w:rsidRPr="00D06251" w:rsidRDefault="006048AE" w:rsidP="00183425">
      <w:pPr>
        <w:tabs>
          <w:tab w:val="left" w:pos="720"/>
        </w:tabs>
        <w:spacing w:line="480" w:lineRule="auto"/>
        <w:rPr>
          <w:b/>
          <w:szCs w:val="24"/>
        </w:rPr>
      </w:pPr>
      <w:r>
        <w:rPr>
          <w:b/>
          <w:szCs w:val="24"/>
        </w:rPr>
        <w:tab/>
      </w:r>
      <w:r w:rsidR="002F7583">
        <w:rPr>
          <w:b/>
          <w:szCs w:val="24"/>
        </w:rPr>
        <w:t xml:space="preserve">4.  </w:t>
      </w:r>
      <w:r w:rsidR="00AF75A2">
        <w:rPr>
          <w:b/>
          <w:szCs w:val="24"/>
        </w:rPr>
        <w:t>Gentino</w:t>
      </w:r>
      <w:r w:rsidR="002F7583">
        <w:rPr>
          <w:b/>
          <w:szCs w:val="24"/>
        </w:rPr>
        <w:t>’s Request for Additional Mitigation</w:t>
      </w:r>
    </w:p>
    <w:p w:rsidR="005873E4" w:rsidRPr="00C915D2" w:rsidRDefault="005873E4" w:rsidP="00183425">
      <w:pPr>
        <w:tabs>
          <w:tab w:val="left" w:pos="720"/>
        </w:tabs>
        <w:spacing w:line="480" w:lineRule="auto"/>
        <w:rPr>
          <w:szCs w:val="24"/>
        </w:rPr>
      </w:pPr>
      <w:r>
        <w:rPr>
          <w:szCs w:val="24"/>
        </w:rPr>
        <w:tab/>
        <w:t>Finally, we reject</w:t>
      </w:r>
      <w:r w:rsidR="00EC052E">
        <w:rPr>
          <w:szCs w:val="24"/>
        </w:rPr>
        <w:t xml:space="preserve"> Gentino</w:t>
      </w:r>
      <w:r>
        <w:rPr>
          <w:szCs w:val="24"/>
        </w:rPr>
        <w:t xml:space="preserve">’s request for additional mitigation </w:t>
      </w:r>
      <w:r w:rsidR="00041D18">
        <w:rPr>
          <w:szCs w:val="24"/>
        </w:rPr>
        <w:t>for his</w:t>
      </w:r>
      <w:r w:rsidR="00E725D6">
        <w:rPr>
          <w:szCs w:val="24"/>
        </w:rPr>
        <w:t xml:space="preserve"> </w:t>
      </w:r>
      <w:r w:rsidR="00F21848">
        <w:rPr>
          <w:szCs w:val="24"/>
        </w:rPr>
        <w:t xml:space="preserve">good faith belief that </w:t>
      </w:r>
      <w:r w:rsidR="004C65F5">
        <w:rPr>
          <w:szCs w:val="24"/>
        </w:rPr>
        <w:t xml:space="preserve">no deadline </w:t>
      </w:r>
      <w:r w:rsidR="00041D18">
        <w:rPr>
          <w:szCs w:val="24"/>
        </w:rPr>
        <w:t>applied</w:t>
      </w:r>
      <w:r w:rsidR="000F5DBB">
        <w:rPr>
          <w:szCs w:val="24"/>
        </w:rPr>
        <w:t xml:space="preserve"> </w:t>
      </w:r>
      <w:r w:rsidR="004C65F5">
        <w:rPr>
          <w:szCs w:val="24"/>
        </w:rPr>
        <w:t xml:space="preserve">for him to file a demurrer to the first amended complaint.  </w:t>
      </w:r>
      <w:r w:rsidR="00CA403C">
        <w:rPr>
          <w:szCs w:val="24"/>
        </w:rPr>
        <w:t>(Std.</w:t>
      </w:r>
      <w:r w:rsidR="009E3BC7">
        <w:rPr>
          <w:szCs w:val="24"/>
        </w:rPr>
        <w:t> </w:t>
      </w:r>
      <w:r w:rsidR="00CA403C">
        <w:rPr>
          <w:szCs w:val="24"/>
        </w:rPr>
        <w:t xml:space="preserve">1.6(b).)  </w:t>
      </w:r>
      <w:r w:rsidR="00E63A33">
        <w:rPr>
          <w:szCs w:val="24"/>
        </w:rPr>
        <w:t>T</w:t>
      </w:r>
      <w:r w:rsidR="004C65F5">
        <w:rPr>
          <w:szCs w:val="24"/>
        </w:rPr>
        <w:t xml:space="preserve">o receive mitigation for a good faith belief, Gentino must show that it is honestly held and objectively reasonable.  </w:t>
      </w:r>
      <w:r w:rsidR="004C65F5" w:rsidRPr="00801B35">
        <w:t>(</w:t>
      </w:r>
      <w:r w:rsidR="004C65F5" w:rsidRPr="00801B35">
        <w:rPr>
          <w:i/>
        </w:rPr>
        <w:t>In the Matter of Rose</w:t>
      </w:r>
      <w:r w:rsidR="004C65F5">
        <w:t xml:space="preserve"> (Review Dept. 1997</w:t>
      </w:r>
      <w:r w:rsidR="004C65F5" w:rsidRPr="00801B35">
        <w:t>) 3</w:t>
      </w:r>
      <w:r w:rsidR="004C65F5">
        <w:t> </w:t>
      </w:r>
      <w:r w:rsidR="004C65F5" w:rsidRPr="00801B35">
        <w:t xml:space="preserve">Cal. State Bar Ct. Rptr. </w:t>
      </w:r>
      <w:r w:rsidR="004C65F5">
        <w:t>6</w:t>
      </w:r>
      <w:r w:rsidR="004C65F5" w:rsidRPr="00801B35">
        <w:t>4</w:t>
      </w:r>
      <w:r w:rsidR="004C65F5">
        <w:t>6</w:t>
      </w:r>
      <w:r w:rsidR="004C65F5" w:rsidRPr="00801B35">
        <w:t xml:space="preserve">, </w:t>
      </w:r>
      <w:r w:rsidR="004C65F5">
        <w:t>653</w:t>
      </w:r>
      <w:r w:rsidR="004C65F5" w:rsidRPr="00801B35">
        <w:t xml:space="preserve"> </w:t>
      </w:r>
      <w:r w:rsidR="00091B47">
        <w:t>[</w:t>
      </w:r>
      <w:r w:rsidR="004C65F5" w:rsidRPr="00801B35">
        <w:t>to establish good faith as mitigating circumstance, attorney mu</w:t>
      </w:r>
      <w:r w:rsidR="004C65F5">
        <w:t>st</w:t>
      </w:r>
      <w:r w:rsidR="004C65F5" w:rsidRPr="00801B35">
        <w:t xml:space="preserve"> prove that belief w</w:t>
      </w:r>
      <w:r w:rsidR="00E63A33">
        <w:t>as</w:t>
      </w:r>
      <w:r w:rsidR="00091B47">
        <w:t xml:space="preserve"> honestly held and reasonable</w:t>
      </w:r>
      <w:r w:rsidR="004C65F5" w:rsidRPr="00801B35">
        <w:t>]</w:t>
      </w:r>
      <w:r w:rsidR="004C65F5">
        <w:t>; std. 1.6(b)</w:t>
      </w:r>
      <w:r w:rsidR="004C65F5" w:rsidRPr="00801B35">
        <w:t>.</w:t>
      </w:r>
      <w:r w:rsidR="00091B47">
        <w:t>)</w:t>
      </w:r>
      <w:r w:rsidR="004C65F5">
        <w:t xml:space="preserve">  We find that it was not reasonable fo</w:t>
      </w:r>
      <w:r w:rsidR="000F5DBB">
        <w:t xml:space="preserve">r Gentino to believe that </w:t>
      </w:r>
      <w:r w:rsidR="00041D18">
        <w:t xml:space="preserve">he had </w:t>
      </w:r>
      <w:r w:rsidR="004C65F5">
        <w:t>no deadline to file a demurr</w:t>
      </w:r>
      <w:r w:rsidR="00FA1C1C">
        <w:t xml:space="preserve">er </w:t>
      </w:r>
      <w:r w:rsidR="00041D18">
        <w:t>since</w:t>
      </w:r>
      <w:r w:rsidR="00091B47">
        <w:t xml:space="preserve"> Code of Civil Procedure </w:t>
      </w:r>
      <w:r w:rsidR="004C65F5">
        <w:t>section</w:t>
      </w:r>
      <w:r w:rsidR="009E3BC7">
        <w:t> </w:t>
      </w:r>
      <w:r w:rsidR="004C65F5">
        <w:t xml:space="preserve">471.5 clearly </w:t>
      </w:r>
      <w:r w:rsidR="00041D18">
        <w:t>mandated</w:t>
      </w:r>
      <w:r w:rsidR="004C65F5">
        <w:t xml:space="preserve"> </w:t>
      </w:r>
      <w:r w:rsidR="00091B47">
        <w:t xml:space="preserve">that </w:t>
      </w:r>
      <w:r w:rsidR="004C65F5">
        <w:t>his response was due within 30 days</w:t>
      </w:r>
      <w:r w:rsidR="00091B47">
        <w:t xml:space="preserve"> of service</w:t>
      </w:r>
      <w:r w:rsidR="004C65F5">
        <w:t xml:space="preserve">.  Ignorance of the applicable statute does not constitute a reasonable good faith belief.  </w:t>
      </w:r>
      <w:r w:rsidR="00C915D2">
        <w:t>(</w:t>
      </w:r>
      <w:r w:rsidR="00C915D2">
        <w:rPr>
          <w:i/>
        </w:rPr>
        <w:t>In the Matter of McKiernan</w:t>
      </w:r>
      <w:r w:rsidR="00C915D2">
        <w:t xml:space="preserve"> (Review Dept. 1995) 3 Cal. State Bar Ct. Rptr. 420</w:t>
      </w:r>
      <w:r w:rsidR="00A37959">
        <w:t>, 427</w:t>
      </w:r>
      <w:r w:rsidR="00C915D2">
        <w:t xml:space="preserve"> [“</w:t>
      </w:r>
      <w:r w:rsidR="00A37959">
        <w:t xml:space="preserve">it is [not] </w:t>
      </w:r>
      <w:r w:rsidR="00C915D2" w:rsidRPr="00C915D2">
        <w:t>appropriate to reward respondent for his ignorance of his ethical responsibilities</w:t>
      </w:r>
      <w:r w:rsidR="00C915D2">
        <w:t>”].)</w:t>
      </w:r>
    </w:p>
    <w:p w:rsidR="009C2EFE" w:rsidRDefault="009C2EFE" w:rsidP="009C2EFE">
      <w:pPr>
        <w:pStyle w:val="ListParagraph"/>
        <w:tabs>
          <w:tab w:val="left" w:pos="720"/>
        </w:tabs>
        <w:spacing w:line="480" w:lineRule="auto"/>
        <w:ind w:left="0"/>
        <w:jc w:val="center"/>
        <w:rPr>
          <w:b/>
        </w:rPr>
      </w:pPr>
      <w:r>
        <w:rPr>
          <w:b/>
        </w:rPr>
        <w:t>VI.  DISCIPLINE</w:t>
      </w:r>
      <w:r w:rsidRPr="0040037D">
        <w:rPr>
          <w:rFonts w:eastAsia="Times New Roman"/>
          <w:b/>
          <w:bCs/>
          <w:szCs w:val="24"/>
          <w:vertAlign w:val="superscript"/>
        </w:rPr>
        <w:footnoteReference w:id="13"/>
      </w:r>
    </w:p>
    <w:p w:rsidR="007D05D4" w:rsidRDefault="007D05D4" w:rsidP="007D05D4">
      <w:pPr>
        <w:spacing w:line="480" w:lineRule="auto"/>
        <w:rPr>
          <w:rFonts w:eastAsia="Times New Roman"/>
          <w:szCs w:val="24"/>
        </w:rPr>
      </w:pPr>
      <w:r>
        <w:rPr>
          <w:b/>
        </w:rPr>
        <w:tab/>
      </w:r>
      <w:r>
        <w:rPr>
          <w:rFonts w:eastAsia="Times New Roman"/>
          <w:szCs w:val="24"/>
        </w:rPr>
        <w:t xml:space="preserve">The hearing judge recommended discipline including a </w:t>
      </w:r>
      <w:r w:rsidR="00F72772">
        <w:rPr>
          <w:rFonts w:eastAsia="Times New Roman"/>
          <w:szCs w:val="24"/>
        </w:rPr>
        <w:t>one-year s</w:t>
      </w:r>
      <w:r w:rsidR="00041D18">
        <w:rPr>
          <w:rFonts w:eastAsia="Times New Roman"/>
          <w:szCs w:val="24"/>
        </w:rPr>
        <w:t>tayed</w:t>
      </w:r>
      <w:r w:rsidR="00F72772">
        <w:rPr>
          <w:rFonts w:eastAsia="Times New Roman"/>
          <w:szCs w:val="24"/>
        </w:rPr>
        <w:t xml:space="preserve"> suspension. She made this recommendation deviati</w:t>
      </w:r>
      <w:r w:rsidR="00041D18">
        <w:rPr>
          <w:rFonts w:eastAsia="Times New Roman"/>
          <w:szCs w:val="24"/>
        </w:rPr>
        <w:t>ng</w:t>
      </w:r>
      <w:r w:rsidR="00F72772">
        <w:rPr>
          <w:rFonts w:eastAsia="Times New Roman"/>
          <w:szCs w:val="24"/>
        </w:rPr>
        <w:t xml:space="preserve"> from standard</w:t>
      </w:r>
      <w:r w:rsidR="009E3BC7">
        <w:rPr>
          <w:rFonts w:eastAsia="Times New Roman"/>
          <w:szCs w:val="24"/>
        </w:rPr>
        <w:t> </w:t>
      </w:r>
      <w:r w:rsidR="00F72772">
        <w:rPr>
          <w:rFonts w:eastAsia="Times New Roman"/>
          <w:szCs w:val="24"/>
        </w:rPr>
        <w:t xml:space="preserve">2.11, which applies to culpability for moral turpitude, finding that </w:t>
      </w:r>
      <w:r w:rsidR="00A10826">
        <w:rPr>
          <w:rFonts w:eastAsia="Times New Roman"/>
          <w:szCs w:val="24"/>
        </w:rPr>
        <w:t>the net effect of the aggravating and mitigating factors</w:t>
      </w:r>
      <w:r w:rsidR="00921F87">
        <w:rPr>
          <w:rFonts w:eastAsia="Times New Roman"/>
          <w:szCs w:val="24"/>
        </w:rPr>
        <w:t xml:space="preserve"> justified less than the presumed actual suspension</w:t>
      </w:r>
      <w:r w:rsidR="00A10826">
        <w:rPr>
          <w:rFonts w:eastAsia="Times New Roman"/>
          <w:szCs w:val="24"/>
        </w:rPr>
        <w:t xml:space="preserve">.  </w:t>
      </w:r>
      <w:r>
        <w:rPr>
          <w:rFonts w:eastAsia="Times New Roman"/>
          <w:szCs w:val="24"/>
        </w:rPr>
        <w:t>OCTC asks us to impose at least a 30-day actual suspension</w:t>
      </w:r>
      <w:r w:rsidR="00F107A8">
        <w:rPr>
          <w:rFonts w:eastAsia="Times New Roman"/>
          <w:szCs w:val="24"/>
        </w:rPr>
        <w:t xml:space="preserve"> based on the hearing judge’s culpability findings, which included moral turpitude.  </w:t>
      </w:r>
      <w:r>
        <w:rPr>
          <w:rFonts w:eastAsia="Times New Roman"/>
          <w:szCs w:val="24"/>
        </w:rPr>
        <w:t>Gentino argues t</w:t>
      </w:r>
      <w:r w:rsidR="00FA1C1C">
        <w:rPr>
          <w:rFonts w:eastAsia="Times New Roman"/>
          <w:szCs w:val="24"/>
        </w:rPr>
        <w:t>hat he is not culpable, but</w:t>
      </w:r>
      <w:r>
        <w:rPr>
          <w:rFonts w:eastAsia="Times New Roman"/>
          <w:szCs w:val="24"/>
        </w:rPr>
        <w:t xml:space="preserve"> </w:t>
      </w:r>
      <w:r w:rsidR="006E3496">
        <w:rPr>
          <w:rFonts w:eastAsia="Times New Roman"/>
          <w:szCs w:val="24"/>
        </w:rPr>
        <w:t xml:space="preserve">if he </w:t>
      </w:r>
      <w:r w:rsidR="00041D18">
        <w:rPr>
          <w:rFonts w:eastAsia="Times New Roman"/>
          <w:szCs w:val="24"/>
        </w:rPr>
        <w:t>were</w:t>
      </w:r>
      <w:r w:rsidR="006E3496">
        <w:rPr>
          <w:rFonts w:eastAsia="Times New Roman"/>
          <w:szCs w:val="24"/>
        </w:rPr>
        <w:t xml:space="preserve"> found </w:t>
      </w:r>
      <w:r w:rsidR="00041D18">
        <w:rPr>
          <w:rFonts w:eastAsia="Times New Roman"/>
          <w:szCs w:val="24"/>
        </w:rPr>
        <w:t xml:space="preserve">to be </w:t>
      </w:r>
      <w:r w:rsidR="006E3496">
        <w:rPr>
          <w:rFonts w:eastAsia="Times New Roman"/>
          <w:szCs w:val="24"/>
        </w:rPr>
        <w:t xml:space="preserve">culpable, </w:t>
      </w:r>
      <w:r w:rsidR="004A0A6F">
        <w:rPr>
          <w:rFonts w:eastAsia="Times New Roman"/>
          <w:szCs w:val="24"/>
        </w:rPr>
        <w:t xml:space="preserve">he contends that </w:t>
      </w:r>
      <w:r>
        <w:rPr>
          <w:rFonts w:eastAsia="Times New Roman"/>
          <w:szCs w:val="24"/>
        </w:rPr>
        <w:t xml:space="preserve">OCTC’s requested discipline is excessive.  </w:t>
      </w:r>
    </w:p>
    <w:p w:rsidR="00CE6A02" w:rsidRDefault="007D05D4" w:rsidP="007D05D4">
      <w:pPr>
        <w:spacing w:line="480" w:lineRule="auto"/>
        <w:rPr>
          <w:szCs w:val="24"/>
        </w:rPr>
      </w:pPr>
      <w:r>
        <w:rPr>
          <w:rFonts w:eastAsia="Times New Roman"/>
          <w:szCs w:val="24"/>
        </w:rPr>
        <w:lastRenderedPageBreak/>
        <w:tab/>
      </w:r>
      <w:r w:rsidRPr="007E44D1">
        <w:rPr>
          <w:rFonts w:eastAsia="Times New Roman"/>
          <w:szCs w:val="24"/>
        </w:rPr>
        <w:t xml:space="preserve">Our </w:t>
      </w:r>
      <w:r>
        <w:rPr>
          <w:rFonts w:eastAsia="Times New Roman"/>
          <w:szCs w:val="24"/>
        </w:rPr>
        <w:t xml:space="preserve">discipline </w:t>
      </w:r>
      <w:r w:rsidRPr="007E44D1">
        <w:rPr>
          <w:rFonts w:eastAsia="Times New Roman"/>
          <w:szCs w:val="24"/>
        </w:rPr>
        <w:t>analysis be</w:t>
      </w:r>
      <w:r>
        <w:rPr>
          <w:rFonts w:eastAsia="Times New Roman"/>
          <w:szCs w:val="24"/>
        </w:rPr>
        <w:t xml:space="preserve">gins with the standards, which </w:t>
      </w:r>
      <w:r w:rsidRPr="007E44D1">
        <w:rPr>
          <w:rFonts w:eastAsia="Times New Roman"/>
          <w:szCs w:val="24"/>
        </w:rPr>
        <w:t>promote the consistent and uniform applic</w:t>
      </w:r>
      <w:r>
        <w:rPr>
          <w:rFonts w:eastAsia="Times New Roman"/>
          <w:szCs w:val="24"/>
        </w:rPr>
        <w:t>ation of disciplinary measures</w:t>
      </w:r>
      <w:r w:rsidRPr="007E44D1">
        <w:rPr>
          <w:rFonts w:eastAsia="Times New Roman"/>
          <w:szCs w:val="24"/>
        </w:rPr>
        <w:t xml:space="preserve"> and are entitled to great weight.  (</w:t>
      </w:r>
      <w:r w:rsidRPr="007E44D1">
        <w:rPr>
          <w:rFonts w:eastAsia="Times New Roman"/>
          <w:i/>
          <w:szCs w:val="24"/>
        </w:rPr>
        <w:t>In re Silverton</w:t>
      </w:r>
      <w:r w:rsidRPr="007E44D1">
        <w:rPr>
          <w:rFonts w:eastAsia="Times New Roman"/>
          <w:szCs w:val="24"/>
        </w:rPr>
        <w:t xml:space="preserve"> (2005) 36</w:t>
      </w:r>
      <w:r w:rsidR="009E3BC7">
        <w:rPr>
          <w:rFonts w:eastAsia="Times New Roman"/>
          <w:szCs w:val="24"/>
        </w:rPr>
        <w:t> </w:t>
      </w:r>
      <w:r w:rsidRPr="007E44D1">
        <w:rPr>
          <w:rFonts w:eastAsia="Times New Roman"/>
          <w:szCs w:val="24"/>
        </w:rPr>
        <w:t xml:space="preserve">Cal.4th 81, 91 [Supreme Court will not reject recommendation arising from standards unless grave doubts as to propriety of recommended discipline].)  </w:t>
      </w:r>
      <w:r>
        <w:rPr>
          <w:rFonts w:eastAsia="Times New Roman"/>
          <w:szCs w:val="24"/>
        </w:rPr>
        <w:t xml:space="preserve">Here, </w:t>
      </w:r>
      <w:r w:rsidR="00C2742F">
        <w:rPr>
          <w:rFonts w:eastAsia="Times New Roman"/>
          <w:szCs w:val="24"/>
        </w:rPr>
        <w:t xml:space="preserve">we apply a different standard than the hearing judge </w:t>
      </w:r>
      <w:r w:rsidR="004A0A6F">
        <w:rPr>
          <w:rFonts w:eastAsia="Times New Roman"/>
          <w:szCs w:val="24"/>
        </w:rPr>
        <w:t xml:space="preserve">did </w:t>
      </w:r>
      <w:r w:rsidR="00C2742F">
        <w:rPr>
          <w:rFonts w:eastAsia="Times New Roman"/>
          <w:szCs w:val="24"/>
        </w:rPr>
        <w:t xml:space="preserve">because </w:t>
      </w:r>
      <w:r w:rsidR="004A0A6F">
        <w:rPr>
          <w:rFonts w:eastAsia="Times New Roman"/>
          <w:szCs w:val="24"/>
        </w:rPr>
        <w:t>we found</w:t>
      </w:r>
      <w:r w:rsidR="0063338B">
        <w:rPr>
          <w:rFonts w:eastAsia="Times New Roman"/>
          <w:szCs w:val="24"/>
        </w:rPr>
        <w:t xml:space="preserve"> t</w:t>
      </w:r>
      <w:r w:rsidR="00C2742F">
        <w:rPr>
          <w:rFonts w:eastAsia="Times New Roman"/>
          <w:szCs w:val="24"/>
        </w:rPr>
        <w:t xml:space="preserve">hat Gentino is not culpable </w:t>
      </w:r>
      <w:r w:rsidR="00F107A8">
        <w:rPr>
          <w:rFonts w:eastAsia="Times New Roman"/>
          <w:szCs w:val="24"/>
        </w:rPr>
        <w:t xml:space="preserve">of moral turpitude </w:t>
      </w:r>
      <w:r w:rsidR="00C2742F">
        <w:rPr>
          <w:rFonts w:eastAsia="Times New Roman"/>
          <w:szCs w:val="24"/>
        </w:rPr>
        <w:t>under section</w:t>
      </w:r>
      <w:r w:rsidR="009E3BC7">
        <w:rPr>
          <w:rFonts w:eastAsia="Times New Roman"/>
          <w:szCs w:val="24"/>
        </w:rPr>
        <w:t> </w:t>
      </w:r>
      <w:r w:rsidR="00C2742F">
        <w:rPr>
          <w:rFonts w:eastAsia="Times New Roman"/>
          <w:szCs w:val="24"/>
        </w:rPr>
        <w:t>6106.  Standard</w:t>
      </w:r>
      <w:r w:rsidR="009E3BC7">
        <w:rPr>
          <w:rFonts w:eastAsia="Times New Roman"/>
          <w:szCs w:val="24"/>
        </w:rPr>
        <w:t> </w:t>
      </w:r>
      <w:r w:rsidR="00C2742F">
        <w:rPr>
          <w:rFonts w:eastAsia="Times New Roman"/>
          <w:szCs w:val="24"/>
        </w:rPr>
        <w:t>2</w:t>
      </w:r>
      <w:r w:rsidR="00833B57">
        <w:rPr>
          <w:rFonts w:eastAsia="Times New Roman"/>
          <w:szCs w:val="24"/>
        </w:rPr>
        <w:t>.7</w:t>
      </w:r>
      <w:r>
        <w:rPr>
          <w:rFonts w:eastAsia="Times New Roman"/>
          <w:szCs w:val="24"/>
        </w:rPr>
        <w:t xml:space="preserve"> </w:t>
      </w:r>
      <w:r w:rsidR="0063338B">
        <w:rPr>
          <w:rFonts w:eastAsia="Times New Roman"/>
          <w:szCs w:val="24"/>
        </w:rPr>
        <w:t xml:space="preserve">applies to </w:t>
      </w:r>
      <w:r w:rsidR="00C871EB">
        <w:rPr>
          <w:rFonts w:eastAsia="Times New Roman"/>
          <w:szCs w:val="24"/>
        </w:rPr>
        <w:t xml:space="preserve">both counts </w:t>
      </w:r>
      <w:r w:rsidR="0063338B">
        <w:rPr>
          <w:rFonts w:eastAsia="Times New Roman"/>
          <w:szCs w:val="24"/>
        </w:rPr>
        <w:t>of which Gentino was found culpable</w:t>
      </w:r>
      <w:r w:rsidR="003F53C1">
        <w:rPr>
          <w:rFonts w:eastAsia="Times New Roman"/>
          <w:szCs w:val="24"/>
        </w:rPr>
        <w:t>, providing that</w:t>
      </w:r>
      <w:r w:rsidR="00833B57">
        <w:rPr>
          <w:rFonts w:eastAsia="Times New Roman"/>
          <w:szCs w:val="24"/>
        </w:rPr>
        <w:t xml:space="preserve"> “[s]uspension or reproval is the presumed sanction for performance, communication or withdrawal violations, which are limited in scope or time.</w:t>
      </w:r>
      <w:r w:rsidR="003F53C1">
        <w:rPr>
          <w:rFonts w:eastAsia="Times New Roman"/>
          <w:szCs w:val="24"/>
        </w:rPr>
        <w:t>”</w:t>
      </w:r>
      <w:r w:rsidR="0078158C">
        <w:rPr>
          <w:rFonts w:eastAsia="Times New Roman"/>
          <w:szCs w:val="24"/>
        </w:rPr>
        <w:t xml:space="preserve"> </w:t>
      </w:r>
      <w:r w:rsidR="003F53C1">
        <w:rPr>
          <w:rFonts w:eastAsia="Times New Roman"/>
          <w:szCs w:val="24"/>
        </w:rPr>
        <w:t xml:space="preserve"> </w:t>
      </w:r>
      <w:r w:rsidR="00E04DEA">
        <w:rPr>
          <w:rFonts w:eastAsia="Times New Roman"/>
          <w:szCs w:val="24"/>
        </w:rPr>
        <w:t>(Std. 2.7(a).)</w:t>
      </w:r>
      <w:r w:rsidR="00CE71CB">
        <w:rPr>
          <w:rFonts w:eastAsia="Times New Roman"/>
          <w:szCs w:val="24"/>
        </w:rPr>
        <w:t xml:space="preserve">  </w:t>
      </w:r>
      <w:r w:rsidR="004A0A6F">
        <w:rPr>
          <w:rFonts w:eastAsia="Times New Roman"/>
          <w:szCs w:val="24"/>
        </w:rPr>
        <w:t>This s</w:t>
      </w:r>
      <w:r w:rsidR="00921F87">
        <w:rPr>
          <w:rFonts w:eastAsia="Times New Roman"/>
          <w:szCs w:val="24"/>
        </w:rPr>
        <w:t>tandard</w:t>
      </w:r>
      <w:r w:rsidR="006E3496">
        <w:rPr>
          <w:rFonts w:eastAsia="Times New Roman"/>
          <w:szCs w:val="24"/>
        </w:rPr>
        <w:t xml:space="preserve"> </w:t>
      </w:r>
      <w:r w:rsidR="004A0A6F">
        <w:rPr>
          <w:rFonts w:eastAsia="Times New Roman"/>
          <w:szCs w:val="24"/>
        </w:rPr>
        <w:t>also</w:t>
      </w:r>
      <w:r w:rsidR="00BF2A4B">
        <w:rPr>
          <w:rFonts w:eastAsia="Times New Roman"/>
          <w:szCs w:val="24"/>
        </w:rPr>
        <w:t xml:space="preserve"> </w:t>
      </w:r>
      <w:r w:rsidR="004A0A6F">
        <w:rPr>
          <w:rFonts w:eastAsia="Times New Roman"/>
          <w:szCs w:val="24"/>
        </w:rPr>
        <w:t>directs</w:t>
      </w:r>
      <w:r w:rsidR="006E3496">
        <w:rPr>
          <w:rFonts w:eastAsia="Times New Roman"/>
          <w:szCs w:val="24"/>
        </w:rPr>
        <w:t xml:space="preserve"> that </w:t>
      </w:r>
      <w:r w:rsidR="009F7269">
        <w:rPr>
          <w:rFonts w:eastAsia="Times New Roman"/>
          <w:szCs w:val="24"/>
        </w:rPr>
        <w:t>“[</w:t>
      </w:r>
      <w:r w:rsidR="006E3496">
        <w:rPr>
          <w:rFonts w:eastAsia="Times New Roman"/>
          <w:szCs w:val="24"/>
        </w:rPr>
        <w:t>t</w:t>
      </w:r>
      <w:r w:rsidR="009F7269">
        <w:rPr>
          <w:rFonts w:eastAsia="Times New Roman"/>
          <w:szCs w:val="24"/>
        </w:rPr>
        <w:t>]</w:t>
      </w:r>
      <w:r>
        <w:rPr>
          <w:rFonts w:eastAsia="Times New Roman"/>
          <w:szCs w:val="24"/>
        </w:rPr>
        <w:t>he degree of sanction depends on the</w:t>
      </w:r>
      <w:r w:rsidR="00833B57">
        <w:rPr>
          <w:rFonts w:eastAsia="Times New Roman"/>
          <w:szCs w:val="24"/>
        </w:rPr>
        <w:t xml:space="preserve"> extent of the misconduct and the degree of harm to the client or clients.</w:t>
      </w:r>
      <w:r>
        <w:rPr>
          <w:rFonts w:eastAsia="Times New Roman"/>
          <w:szCs w:val="24"/>
        </w:rPr>
        <w:t xml:space="preserve">”  </w:t>
      </w:r>
      <w:r w:rsidR="00CE6A02">
        <w:t>Applying these factors to the facts</w:t>
      </w:r>
      <w:r w:rsidR="004A0A6F">
        <w:t xml:space="preserve"> here</w:t>
      </w:r>
      <w:r w:rsidR="00CE6A02">
        <w:t xml:space="preserve">, </w:t>
      </w:r>
      <w:r w:rsidR="00BF1FA9">
        <w:t xml:space="preserve">Gentino is culpable </w:t>
      </w:r>
      <w:r w:rsidR="004A0A6F">
        <w:t>of</w:t>
      </w:r>
      <w:r w:rsidR="00CE6A02">
        <w:t xml:space="preserve"> </w:t>
      </w:r>
      <w:r w:rsidR="00CA403C">
        <w:t xml:space="preserve">multiple acts </w:t>
      </w:r>
      <w:r w:rsidR="00CE6A02">
        <w:rPr>
          <w:szCs w:val="24"/>
        </w:rPr>
        <w:t xml:space="preserve">of </w:t>
      </w:r>
      <w:r w:rsidR="00A10826">
        <w:rPr>
          <w:szCs w:val="24"/>
        </w:rPr>
        <w:t>misconduct</w:t>
      </w:r>
      <w:r w:rsidR="00554F55">
        <w:rPr>
          <w:szCs w:val="24"/>
        </w:rPr>
        <w:t xml:space="preserve">, most notably his reckless failures to perform, </w:t>
      </w:r>
      <w:r w:rsidR="00BF1FA9">
        <w:rPr>
          <w:szCs w:val="24"/>
        </w:rPr>
        <w:t xml:space="preserve">which resulted in a substantial </w:t>
      </w:r>
      <w:r w:rsidR="007E7E00">
        <w:rPr>
          <w:szCs w:val="24"/>
        </w:rPr>
        <w:t>default judgment against Galvez</w:t>
      </w:r>
      <w:r w:rsidR="00CE6A02">
        <w:rPr>
          <w:szCs w:val="24"/>
        </w:rPr>
        <w:t xml:space="preserve">.  </w:t>
      </w:r>
      <w:r w:rsidR="00B0531C">
        <w:rPr>
          <w:szCs w:val="24"/>
        </w:rPr>
        <w:t xml:space="preserve">We also </w:t>
      </w:r>
      <w:r w:rsidR="00F92AB7">
        <w:rPr>
          <w:szCs w:val="24"/>
        </w:rPr>
        <w:t>weigh the aggravation and mitigation</w:t>
      </w:r>
      <w:r w:rsidR="00C70AAF">
        <w:rPr>
          <w:szCs w:val="24"/>
        </w:rPr>
        <w:t xml:space="preserve"> factors—</w:t>
      </w:r>
      <w:r w:rsidR="00B0531C">
        <w:rPr>
          <w:szCs w:val="24"/>
        </w:rPr>
        <w:t xml:space="preserve">aggravation </w:t>
      </w:r>
      <w:r w:rsidR="00F92AB7">
        <w:rPr>
          <w:szCs w:val="24"/>
        </w:rPr>
        <w:t>ranging from moderate to s</w:t>
      </w:r>
      <w:r w:rsidR="00554F55">
        <w:rPr>
          <w:szCs w:val="24"/>
        </w:rPr>
        <w:t>ignificant</w:t>
      </w:r>
      <w:r w:rsidR="00F92AB7">
        <w:rPr>
          <w:szCs w:val="24"/>
        </w:rPr>
        <w:t xml:space="preserve"> </w:t>
      </w:r>
      <w:r w:rsidR="00FA1FC8">
        <w:rPr>
          <w:szCs w:val="24"/>
        </w:rPr>
        <w:t xml:space="preserve">for multiple acts and </w:t>
      </w:r>
      <w:r w:rsidR="00554F55">
        <w:rPr>
          <w:szCs w:val="24"/>
        </w:rPr>
        <w:t xml:space="preserve">significant </w:t>
      </w:r>
      <w:r w:rsidR="00FA1FC8">
        <w:rPr>
          <w:szCs w:val="24"/>
        </w:rPr>
        <w:t>harm to his client</w:t>
      </w:r>
      <w:r w:rsidR="00C70AAF">
        <w:rPr>
          <w:szCs w:val="24"/>
        </w:rPr>
        <w:t>,</w:t>
      </w:r>
      <w:r w:rsidR="00F92AB7">
        <w:rPr>
          <w:szCs w:val="24"/>
        </w:rPr>
        <w:t xml:space="preserve"> and </w:t>
      </w:r>
      <w:r w:rsidR="00B0531C">
        <w:rPr>
          <w:szCs w:val="24"/>
        </w:rPr>
        <w:t xml:space="preserve">mitigation </w:t>
      </w:r>
      <w:r w:rsidR="00F92AB7">
        <w:rPr>
          <w:szCs w:val="24"/>
        </w:rPr>
        <w:t xml:space="preserve">ranging from moderate to </w:t>
      </w:r>
      <w:r w:rsidR="00554F55">
        <w:rPr>
          <w:szCs w:val="24"/>
        </w:rPr>
        <w:t xml:space="preserve">significant </w:t>
      </w:r>
      <w:r w:rsidR="00B0531C">
        <w:rPr>
          <w:szCs w:val="24"/>
        </w:rPr>
        <w:t>for his l</w:t>
      </w:r>
      <w:r w:rsidR="00FA1FC8">
        <w:rPr>
          <w:rFonts w:eastAsia="Times New Roman"/>
          <w:szCs w:val="24"/>
        </w:rPr>
        <w:t>ong period of discipline-</w:t>
      </w:r>
      <w:r w:rsidR="00B0531C">
        <w:rPr>
          <w:rFonts w:eastAsia="Times New Roman"/>
          <w:szCs w:val="24"/>
        </w:rPr>
        <w:t>free practice</w:t>
      </w:r>
      <w:r w:rsidR="00F92AB7">
        <w:rPr>
          <w:rFonts w:eastAsia="Times New Roman"/>
          <w:szCs w:val="24"/>
        </w:rPr>
        <w:t xml:space="preserve">, </w:t>
      </w:r>
      <w:r w:rsidR="00B0531C">
        <w:rPr>
          <w:rFonts w:eastAsia="Times New Roman"/>
          <w:szCs w:val="24"/>
        </w:rPr>
        <w:t xml:space="preserve">pro bono and community service, and </w:t>
      </w:r>
      <w:r w:rsidR="00FA1FC8">
        <w:rPr>
          <w:rFonts w:eastAsia="Times New Roman"/>
          <w:szCs w:val="24"/>
        </w:rPr>
        <w:t xml:space="preserve">good character.  </w:t>
      </w:r>
      <w:r w:rsidR="009F2F6C">
        <w:rPr>
          <w:rFonts w:eastAsia="Times New Roman"/>
          <w:szCs w:val="24"/>
        </w:rPr>
        <w:t>(Std.</w:t>
      </w:r>
      <w:r w:rsidR="009E3BC7">
        <w:rPr>
          <w:rFonts w:eastAsia="Times New Roman"/>
          <w:szCs w:val="24"/>
        </w:rPr>
        <w:t> </w:t>
      </w:r>
      <w:r w:rsidR="009F2F6C">
        <w:rPr>
          <w:rFonts w:eastAsia="Times New Roman"/>
          <w:szCs w:val="24"/>
        </w:rPr>
        <w:t>1.7(</w:t>
      </w:r>
      <w:r w:rsidR="00E04DEA">
        <w:rPr>
          <w:rFonts w:eastAsia="Times New Roman"/>
          <w:szCs w:val="24"/>
        </w:rPr>
        <w:t>b</w:t>
      </w:r>
      <w:r w:rsidR="009F2F6C">
        <w:rPr>
          <w:rFonts w:eastAsia="Times New Roman"/>
          <w:szCs w:val="24"/>
        </w:rPr>
        <w:t>), (</w:t>
      </w:r>
      <w:r w:rsidR="00E04DEA">
        <w:rPr>
          <w:rFonts w:eastAsia="Times New Roman"/>
          <w:szCs w:val="24"/>
        </w:rPr>
        <w:t>c</w:t>
      </w:r>
      <w:r w:rsidR="009F2F6C">
        <w:rPr>
          <w:rFonts w:eastAsia="Times New Roman"/>
          <w:szCs w:val="24"/>
        </w:rPr>
        <w:t xml:space="preserve">).)  </w:t>
      </w:r>
    </w:p>
    <w:p w:rsidR="007A194E" w:rsidRPr="00273AA2" w:rsidRDefault="00CE6A02" w:rsidP="007D05D4">
      <w:pPr>
        <w:spacing w:line="480" w:lineRule="auto"/>
        <w:rPr>
          <w:rFonts w:eastAsia="Times New Roman"/>
          <w:szCs w:val="24"/>
        </w:rPr>
      </w:pPr>
      <w:r>
        <w:rPr>
          <w:szCs w:val="24"/>
        </w:rPr>
        <w:tab/>
      </w:r>
      <w:r w:rsidR="007D05D4">
        <w:rPr>
          <w:rFonts w:eastAsia="Times New Roman"/>
          <w:szCs w:val="24"/>
        </w:rPr>
        <w:t>T</w:t>
      </w:r>
      <w:r w:rsidR="007D05D4" w:rsidRPr="00C0604C">
        <w:rPr>
          <w:rFonts w:eastAsia="Times New Roman"/>
          <w:szCs w:val="24"/>
        </w:rPr>
        <w:t>o determine the appropriate level of discipline</w:t>
      </w:r>
      <w:r w:rsidR="007D05D4">
        <w:rPr>
          <w:rFonts w:eastAsia="Times New Roman"/>
          <w:szCs w:val="24"/>
        </w:rPr>
        <w:t xml:space="preserve"> within the range </w:t>
      </w:r>
      <w:r w:rsidR="0031564A">
        <w:rPr>
          <w:rFonts w:eastAsia="Times New Roman"/>
          <w:szCs w:val="24"/>
        </w:rPr>
        <w:t>allowed</w:t>
      </w:r>
      <w:r w:rsidR="007D05D4">
        <w:rPr>
          <w:rFonts w:eastAsia="Times New Roman"/>
          <w:szCs w:val="24"/>
        </w:rPr>
        <w:t>, we also consider comparable case law</w:t>
      </w:r>
      <w:r w:rsidR="007D05D4" w:rsidRPr="00C0604C">
        <w:rPr>
          <w:rFonts w:eastAsia="Times New Roman"/>
          <w:szCs w:val="24"/>
        </w:rPr>
        <w:t>.  (</w:t>
      </w:r>
      <w:r w:rsidR="007D05D4" w:rsidRPr="00C0604C">
        <w:rPr>
          <w:rFonts w:eastAsia="Times New Roman"/>
          <w:i/>
          <w:szCs w:val="24"/>
        </w:rPr>
        <w:t>In the Matter of Elkins</w:t>
      </w:r>
      <w:r w:rsidR="007D05D4" w:rsidRPr="00C0604C">
        <w:rPr>
          <w:rFonts w:eastAsia="Times New Roman"/>
          <w:szCs w:val="24"/>
        </w:rPr>
        <w:t xml:space="preserve"> (Review Dept. 2009) 5</w:t>
      </w:r>
      <w:r w:rsidR="009E3BC7">
        <w:rPr>
          <w:rFonts w:eastAsia="Times New Roman"/>
          <w:szCs w:val="24"/>
        </w:rPr>
        <w:t> </w:t>
      </w:r>
      <w:r w:rsidR="007D05D4" w:rsidRPr="00C0604C">
        <w:rPr>
          <w:rFonts w:eastAsia="Times New Roman"/>
          <w:szCs w:val="24"/>
        </w:rPr>
        <w:t xml:space="preserve">Cal. </w:t>
      </w:r>
      <w:r w:rsidR="007D05D4">
        <w:rPr>
          <w:rFonts w:eastAsia="Times New Roman"/>
          <w:szCs w:val="24"/>
        </w:rPr>
        <w:t xml:space="preserve">State Bar Ct. Rptr. 160, 168.) </w:t>
      </w:r>
      <w:r>
        <w:rPr>
          <w:rFonts w:eastAsia="Times New Roman"/>
          <w:szCs w:val="24"/>
        </w:rPr>
        <w:t xml:space="preserve"> </w:t>
      </w:r>
      <w:r w:rsidR="00F107A8">
        <w:rPr>
          <w:rFonts w:eastAsia="Times New Roman"/>
          <w:szCs w:val="24"/>
        </w:rPr>
        <w:t>Several c</w:t>
      </w:r>
      <w:r w:rsidR="00FA1FC8">
        <w:rPr>
          <w:rFonts w:eastAsia="Times New Roman"/>
          <w:szCs w:val="24"/>
        </w:rPr>
        <w:t xml:space="preserve">ases involving culpability for </w:t>
      </w:r>
      <w:r w:rsidR="0063338B">
        <w:rPr>
          <w:rFonts w:eastAsia="Times New Roman"/>
          <w:szCs w:val="24"/>
        </w:rPr>
        <w:t xml:space="preserve">lack of </w:t>
      </w:r>
      <w:r w:rsidR="00FA1FC8">
        <w:rPr>
          <w:rFonts w:eastAsia="Times New Roman"/>
          <w:szCs w:val="24"/>
        </w:rPr>
        <w:t xml:space="preserve">competence and failure to communicate support a stayed suspension with probation conditions.  </w:t>
      </w:r>
      <w:r w:rsidR="00097DC8">
        <w:rPr>
          <w:rFonts w:eastAsia="Times New Roman"/>
          <w:szCs w:val="24"/>
        </w:rPr>
        <w:t>(</w:t>
      </w:r>
      <w:r w:rsidR="00097DC8">
        <w:rPr>
          <w:rFonts w:eastAsia="Times New Roman"/>
          <w:i/>
          <w:szCs w:val="24"/>
        </w:rPr>
        <w:t>Van Sloten v. State Bar</w:t>
      </w:r>
      <w:r w:rsidR="00CD0068" w:rsidRPr="009E3BC7">
        <w:rPr>
          <w:rFonts w:eastAsia="Times New Roman"/>
          <w:szCs w:val="24"/>
        </w:rPr>
        <w:t>,</w:t>
      </w:r>
      <w:r w:rsidR="00CD0068">
        <w:rPr>
          <w:rFonts w:eastAsia="Times New Roman"/>
          <w:i/>
          <w:szCs w:val="24"/>
        </w:rPr>
        <w:t xml:space="preserve"> supra</w:t>
      </w:r>
      <w:r w:rsidR="00CD0068" w:rsidRPr="009E3BC7">
        <w:rPr>
          <w:rFonts w:eastAsia="Times New Roman"/>
          <w:szCs w:val="24"/>
        </w:rPr>
        <w:t>,</w:t>
      </w:r>
      <w:r w:rsidR="00CD0068">
        <w:rPr>
          <w:rFonts w:eastAsia="Times New Roman"/>
          <w:i/>
          <w:szCs w:val="24"/>
        </w:rPr>
        <w:t xml:space="preserve"> </w:t>
      </w:r>
      <w:r w:rsidR="00097DC8">
        <w:rPr>
          <w:rFonts w:eastAsia="Times New Roman"/>
          <w:szCs w:val="24"/>
        </w:rPr>
        <w:t>48</w:t>
      </w:r>
      <w:r w:rsidR="00C70AAF">
        <w:rPr>
          <w:rFonts w:eastAsia="Times New Roman"/>
          <w:szCs w:val="24"/>
        </w:rPr>
        <w:t> </w:t>
      </w:r>
      <w:r w:rsidR="00097DC8">
        <w:rPr>
          <w:rFonts w:eastAsia="Times New Roman"/>
          <w:szCs w:val="24"/>
        </w:rPr>
        <w:t xml:space="preserve">Cal.3d </w:t>
      </w:r>
      <w:r w:rsidR="00CD0068">
        <w:rPr>
          <w:rFonts w:eastAsia="Times New Roman"/>
          <w:szCs w:val="24"/>
        </w:rPr>
        <w:t>at pp.</w:t>
      </w:r>
      <w:r w:rsidR="009E3BC7">
        <w:rPr>
          <w:rFonts w:eastAsia="Times New Roman"/>
          <w:szCs w:val="24"/>
        </w:rPr>
        <w:t> </w:t>
      </w:r>
      <w:r w:rsidR="00097DC8">
        <w:rPr>
          <w:rFonts w:eastAsia="Times New Roman"/>
          <w:szCs w:val="24"/>
        </w:rPr>
        <w:t>933</w:t>
      </w:r>
      <w:r w:rsidR="009E3BC7">
        <w:rPr>
          <w:rFonts w:eastAsia="Times New Roman"/>
          <w:szCs w:val="24"/>
        </w:rPr>
        <w:t>–</w:t>
      </w:r>
      <w:r w:rsidR="00097DC8">
        <w:rPr>
          <w:rFonts w:eastAsia="Times New Roman"/>
          <w:szCs w:val="24"/>
        </w:rPr>
        <w:t>934</w:t>
      </w:r>
      <w:r w:rsidR="003C631E">
        <w:rPr>
          <w:rFonts w:eastAsia="Times New Roman"/>
          <w:szCs w:val="24"/>
        </w:rPr>
        <w:t xml:space="preserve"> [six</w:t>
      </w:r>
      <w:r w:rsidR="00CA403C">
        <w:rPr>
          <w:rFonts w:eastAsia="Times New Roman"/>
          <w:szCs w:val="24"/>
        </w:rPr>
        <w:t>-</w:t>
      </w:r>
      <w:r w:rsidR="003C631E">
        <w:rPr>
          <w:rFonts w:eastAsia="Times New Roman"/>
          <w:szCs w:val="24"/>
        </w:rPr>
        <w:t>month stayed suspension</w:t>
      </w:r>
      <w:r w:rsidR="00786FC1">
        <w:rPr>
          <w:rFonts w:eastAsia="Times New Roman"/>
          <w:szCs w:val="24"/>
        </w:rPr>
        <w:t xml:space="preserve"> with period of monitored probation</w:t>
      </w:r>
      <w:r w:rsidR="003C631E">
        <w:rPr>
          <w:rFonts w:eastAsia="Times New Roman"/>
          <w:szCs w:val="24"/>
        </w:rPr>
        <w:t xml:space="preserve"> for single act of failure to perform</w:t>
      </w:r>
      <w:r w:rsidR="00786FC1">
        <w:rPr>
          <w:rFonts w:eastAsia="Times New Roman"/>
          <w:szCs w:val="24"/>
        </w:rPr>
        <w:t>]</w:t>
      </w:r>
      <w:r w:rsidR="001C0F25">
        <w:rPr>
          <w:rFonts w:eastAsia="Times New Roman"/>
          <w:szCs w:val="24"/>
        </w:rPr>
        <w:t xml:space="preserve">; </w:t>
      </w:r>
      <w:r w:rsidR="00650922">
        <w:rPr>
          <w:rFonts w:eastAsia="Times New Roman"/>
          <w:szCs w:val="24"/>
        </w:rPr>
        <w:t xml:space="preserve">see also </w:t>
      </w:r>
      <w:r w:rsidR="001C0F25">
        <w:rPr>
          <w:rFonts w:eastAsia="Times New Roman"/>
          <w:i/>
          <w:szCs w:val="24"/>
        </w:rPr>
        <w:t>In the Matter of Jeffers</w:t>
      </w:r>
      <w:r w:rsidR="009E3BC7">
        <w:rPr>
          <w:rFonts w:eastAsia="Times New Roman"/>
          <w:szCs w:val="24"/>
        </w:rPr>
        <w:t xml:space="preserve"> (Review Dept. 1994) 3 </w:t>
      </w:r>
      <w:r w:rsidR="001C0F25">
        <w:rPr>
          <w:rFonts w:eastAsia="Times New Roman"/>
          <w:szCs w:val="24"/>
        </w:rPr>
        <w:t>Cal. State Bar Ct. Rptr. 211, 225</w:t>
      </w:r>
      <w:r w:rsidR="00E04DEA">
        <w:rPr>
          <w:rFonts w:eastAsia="Times New Roman"/>
          <w:szCs w:val="24"/>
        </w:rPr>
        <w:t>–226</w:t>
      </w:r>
      <w:r w:rsidR="001C0F25">
        <w:rPr>
          <w:rFonts w:eastAsia="Times New Roman"/>
          <w:szCs w:val="24"/>
        </w:rPr>
        <w:t xml:space="preserve"> [one</w:t>
      </w:r>
      <w:r w:rsidR="00273AA2">
        <w:rPr>
          <w:rFonts w:eastAsia="Times New Roman"/>
          <w:szCs w:val="24"/>
        </w:rPr>
        <w:t>-</w:t>
      </w:r>
      <w:r w:rsidR="001C0F25">
        <w:rPr>
          <w:rFonts w:eastAsia="Times New Roman"/>
          <w:szCs w:val="24"/>
        </w:rPr>
        <w:t xml:space="preserve">year stayed suspension and two years’ probation for one count </w:t>
      </w:r>
      <w:r w:rsidR="00535B0C">
        <w:rPr>
          <w:rFonts w:eastAsia="Times New Roman"/>
          <w:szCs w:val="24"/>
        </w:rPr>
        <w:t xml:space="preserve">of failing to appear and misleading judge as to client’s status]; </w:t>
      </w:r>
      <w:r w:rsidR="00273AA2">
        <w:rPr>
          <w:rFonts w:eastAsia="Times New Roman"/>
          <w:i/>
          <w:szCs w:val="24"/>
        </w:rPr>
        <w:t xml:space="preserve">In the </w:t>
      </w:r>
      <w:r w:rsidR="00273AA2">
        <w:rPr>
          <w:rFonts w:eastAsia="Times New Roman"/>
          <w:i/>
          <w:szCs w:val="24"/>
        </w:rPr>
        <w:lastRenderedPageBreak/>
        <w:t>Matter of Aguiluz</w:t>
      </w:r>
      <w:r w:rsidR="00273AA2">
        <w:rPr>
          <w:rFonts w:eastAsia="Times New Roman"/>
          <w:szCs w:val="24"/>
        </w:rPr>
        <w:t xml:space="preserve"> (Review Dept. 1992) 2</w:t>
      </w:r>
      <w:r w:rsidR="009E3BC7">
        <w:rPr>
          <w:rFonts w:eastAsia="Times New Roman"/>
          <w:szCs w:val="24"/>
        </w:rPr>
        <w:t> </w:t>
      </w:r>
      <w:r w:rsidR="00273AA2">
        <w:rPr>
          <w:rFonts w:eastAsia="Times New Roman"/>
          <w:szCs w:val="24"/>
        </w:rPr>
        <w:t>Cal. State Bar Ct. Rptr. 32, 46 [one-year stayed suspension and two years’ probation for intentionally ignoring client instructions, withdrawing from case without notice, and failing to return client files].)</w:t>
      </w:r>
    </w:p>
    <w:p w:rsidR="00910D10" w:rsidRDefault="007A194E" w:rsidP="007D05D4">
      <w:pPr>
        <w:spacing w:line="480" w:lineRule="auto"/>
        <w:rPr>
          <w:rFonts w:eastAsia="Times New Roman"/>
          <w:szCs w:val="24"/>
        </w:rPr>
      </w:pPr>
      <w:r>
        <w:rPr>
          <w:rFonts w:eastAsia="Times New Roman"/>
          <w:szCs w:val="24"/>
        </w:rPr>
        <w:tab/>
      </w:r>
      <w:r w:rsidR="00CE625F">
        <w:rPr>
          <w:rFonts w:eastAsia="Times New Roman"/>
          <w:szCs w:val="24"/>
        </w:rPr>
        <w:t>Weighing the totality of factors</w:t>
      </w:r>
      <w:r w:rsidR="002E7165">
        <w:rPr>
          <w:rFonts w:eastAsia="Times New Roman"/>
          <w:szCs w:val="24"/>
        </w:rPr>
        <w:t xml:space="preserve"> and considering comparable case law,</w:t>
      </w:r>
      <w:r w:rsidR="00CE625F">
        <w:rPr>
          <w:rFonts w:eastAsia="Times New Roman"/>
          <w:szCs w:val="24"/>
        </w:rPr>
        <w:t xml:space="preserve"> we find that a </w:t>
      </w:r>
      <w:r w:rsidR="00972993">
        <w:rPr>
          <w:rFonts w:eastAsia="Times New Roman"/>
          <w:szCs w:val="24"/>
        </w:rPr>
        <w:t xml:space="preserve">one-year </w:t>
      </w:r>
      <w:r w:rsidR="00554F55">
        <w:rPr>
          <w:rFonts w:eastAsia="Times New Roman"/>
          <w:szCs w:val="24"/>
        </w:rPr>
        <w:t xml:space="preserve">stayed </w:t>
      </w:r>
      <w:r w:rsidR="00CE625F">
        <w:rPr>
          <w:rFonts w:eastAsia="Times New Roman"/>
          <w:szCs w:val="24"/>
        </w:rPr>
        <w:t>suspension</w:t>
      </w:r>
      <w:r w:rsidR="00972993">
        <w:rPr>
          <w:rFonts w:eastAsia="Times New Roman"/>
          <w:szCs w:val="24"/>
        </w:rPr>
        <w:t>, with probation conditions</w:t>
      </w:r>
      <w:r w:rsidR="0031564A">
        <w:rPr>
          <w:rFonts w:eastAsia="Times New Roman"/>
          <w:szCs w:val="24"/>
        </w:rPr>
        <w:t>,</w:t>
      </w:r>
      <w:r w:rsidR="00CE625F">
        <w:rPr>
          <w:rFonts w:eastAsia="Times New Roman"/>
          <w:szCs w:val="24"/>
        </w:rPr>
        <w:t xml:space="preserve"> is appropriate discipline</w:t>
      </w:r>
      <w:r w:rsidR="00972993">
        <w:rPr>
          <w:rFonts w:eastAsia="Times New Roman"/>
          <w:szCs w:val="24"/>
        </w:rPr>
        <w:t xml:space="preserve"> within the presumed range provided by standard</w:t>
      </w:r>
      <w:r w:rsidR="009E3BC7">
        <w:rPr>
          <w:rFonts w:eastAsia="Times New Roman"/>
          <w:szCs w:val="24"/>
        </w:rPr>
        <w:t> </w:t>
      </w:r>
      <w:r w:rsidR="00972993">
        <w:rPr>
          <w:rFonts w:eastAsia="Times New Roman"/>
          <w:szCs w:val="24"/>
        </w:rPr>
        <w:t>2.7</w:t>
      </w:r>
      <w:r w:rsidR="00CE625F">
        <w:rPr>
          <w:rFonts w:eastAsia="Times New Roman"/>
          <w:szCs w:val="24"/>
        </w:rPr>
        <w:t xml:space="preserve">.  </w:t>
      </w:r>
      <w:r w:rsidR="0031564A">
        <w:rPr>
          <w:rFonts w:eastAsia="Times New Roman"/>
          <w:szCs w:val="24"/>
        </w:rPr>
        <w:t>W</w:t>
      </w:r>
      <w:r w:rsidR="00554F55">
        <w:rPr>
          <w:rFonts w:eastAsia="Times New Roman"/>
          <w:szCs w:val="24"/>
        </w:rPr>
        <w:t xml:space="preserve">hile </w:t>
      </w:r>
      <w:r w:rsidR="00650922">
        <w:rPr>
          <w:rFonts w:eastAsia="Times New Roman"/>
          <w:szCs w:val="24"/>
        </w:rPr>
        <w:t xml:space="preserve">Gentino’s misconduct caused </w:t>
      </w:r>
      <w:r w:rsidR="00554F55">
        <w:rPr>
          <w:rFonts w:eastAsia="Times New Roman"/>
          <w:szCs w:val="24"/>
        </w:rPr>
        <w:t xml:space="preserve">significant </w:t>
      </w:r>
      <w:r w:rsidR="00650922">
        <w:rPr>
          <w:rFonts w:eastAsia="Times New Roman"/>
          <w:szCs w:val="24"/>
        </w:rPr>
        <w:t xml:space="preserve">harm to his client, he has </w:t>
      </w:r>
      <w:r w:rsidR="003B2734">
        <w:rPr>
          <w:rFonts w:eastAsia="Times New Roman"/>
          <w:szCs w:val="24"/>
        </w:rPr>
        <w:t xml:space="preserve">otherwise </w:t>
      </w:r>
      <w:r w:rsidR="00650922">
        <w:rPr>
          <w:rFonts w:eastAsia="Times New Roman"/>
          <w:szCs w:val="24"/>
        </w:rPr>
        <w:t xml:space="preserve">proved </w:t>
      </w:r>
      <w:r w:rsidR="003B2734">
        <w:rPr>
          <w:rFonts w:eastAsia="Times New Roman"/>
          <w:szCs w:val="24"/>
        </w:rPr>
        <w:t xml:space="preserve">significant </w:t>
      </w:r>
      <w:r w:rsidR="00650922">
        <w:rPr>
          <w:rFonts w:eastAsia="Times New Roman"/>
          <w:szCs w:val="24"/>
        </w:rPr>
        <w:t>mitigation</w:t>
      </w:r>
      <w:r w:rsidR="0031564A">
        <w:rPr>
          <w:rFonts w:eastAsia="Times New Roman"/>
          <w:szCs w:val="24"/>
        </w:rPr>
        <w:t xml:space="preserve"> overall</w:t>
      </w:r>
      <w:r w:rsidR="00650922">
        <w:rPr>
          <w:rFonts w:eastAsia="Times New Roman"/>
          <w:szCs w:val="24"/>
        </w:rPr>
        <w:t xml:space="preserve"> </w:t>
      </w:r>
      <w:r w:rsidR="003B2734">
        <w:rPr>
          <w:rFonts w:eastAsia="Times New Roman"/>
          <w:szCs w:val="24"/>
        </w:rPr>
        <w:t>to justify discipline on the low</w:t>
      </w:r>
      <w:r w:rsidR="0031564A">
        <w:rPr>
          <w:rFonts w:eastAsia="Times New Roman"/>
          <w:szCs w:val="24"/>
        </w:rPr>
        <w:t xml:space="preserve"> </w:t>
      </w:r>
      <w:r w:rsidR="003B2734">
        <w:rPr>
          <w:rFonts w:eastAsia="Times New Roman"/>
          <w:szCs w:val="24"/>
        </w:rPr>
        <w:t xml:space="preserve">end of the standard.  </w:t>
      </w:r>
    </w:p>
    <w:p w:rsidR="00C8161B" w:rsidRPr="00210CB6" w:rsidRDefault="00832AB5" w:rsidP="00832AB5">
      <w:pPr>
        <w:pStyle w:val="ListParagraph"/>
        <w:tabs>
          <w:tab w:val="left" w:pos="720"/>
        </w:tabs>
        <w:spacing w:line="480" w:lineRule="auto"/>
        <w:ind w:left="0"/>
        <w:jc w:val="center"/>
        <w:rPr>
          <w:rFonts w:eastAsia="Times New Roman"/>
          <w:b/>
          <w:szCs w:val="24"/>
        </w:rPr>
      </w:pPr>
      <w:r>
        <w:rPr>
          <w:rFonts w:eastAsia="Times New Roman"/>
          <w:b/>
          <w:szCs w:val="24"/>
        </w:rPr>
        <w:t>V</w:t>
      </w:r>
      <w:r w:rsidR="00434D6C">
        <w:rPr>
          <w:rFonts w:eastAsia="Times New Roman"/>
          <w:b/>
          <w:szCs w:val="24"/>
        </w:rPr>
        <w:t>I</w:t>
      </w:r>
      <w:r>
        <w:rPr>
          <w:rFonts w:eastAsia="Times New Roman"/>
          <w:b/>
          <w:szCs w:val="24"/>
        </w:rPr>
        <w:t xml:space="preserve">I.  </w:t>
      </w:r>
      <w:r w:rsidR="00C8161B" w:rsidRPr="00210CB6">
        <w:rPr>
          <w:rFonts w:eastAsia="Times New Roman"/>
          <w:b/>
          <w:szCs w:val="24"/>
        </w:rPr>
        <w:t>RECOMMENDATION</w:t>
      </w:r>
    </w:p>
    <w:p w:rsidR="00D56D78" w:rsidRDefault="00D56D78" w:rsidP="00183425">
      <w:pPr>
        <w:pStyle w:val="ListParagraph"/>
        <w:tabs>
          <w:tab w:val="left" w:pos="720"/>
        </w:tabs>
        <w:spacing w:line="480" w:lineRule="auto"/>
        <w:ind w:left="0"/>
      </w:pPr>
      <w:r>
        <w:tab/>
      </w:r>
      <w:r w:rsidRPr="002F45AA">
        <w:t xml:space="preserve">For the foregoing reasons, we recommend that </w:t>
      </w:r>
      <w:r w:rsidR="00F77762">
        <w:t xml:space="preserve">Robert E. Gentino </w:t>
      </w:r>
      <w:r w:rsidRPr="002F45AA">
        <w:t xml:space="preserve">be suspended from the practice of law for </w:t>
      </w:r>
      <w:r w:rsidR="00553F8D">
        <w:t>one year</w:t>
      </w:r>
      <w:r w:rsidRPr="002F45AA">
        <w:t xml:space="preserve">, that execution of that suspension be stayed, and that </w:t>
      </w:r>
      <w:r>
        <w:t xml:space="preserve">he </w:t>
      </w:r>
      <w:r w:rsidRPr="002F45AA">
        <w:t xml:space="preserve">be placed on probation for </w:t>
      </w:r>
      <w:r w:rsidR="00553F8D">
        <w:t xml:space="preserve">one year </w:t>
      </w:r>
      <w:r w:rsidRPr="002F45AA">
        <w:t>on the following conditions:</w:t>
      </w:r>
    </w:p>
    <w:p w:rsidR="00F92886" w:rsidRDefault="00EC5C21" w:rsidP="00DC07FC">
      <w:pPr>
        <w:pStyle w:val="ListParagraph"/>
        <w:numPr>
          <w:ilvl w:val="0"/>
          <w:numId w:val="20"/>
        </w:numPr>
        <w:tabs>
          <w:tab w:val="left" w:pos="720"/>
        </w:tabs>
      </w:pPr>
      <w:r>
        <w:t xml:space="preserve">He </w:t>
      </w:r>
      <w:r w:rsidR="00F92886" w:rsidRPr="00812E41">
        <w:t xml:space="preserve">must comply with the provisions of the State Bar Act, the Rules of Professional Conduct, and all of the conditions of </w:t>
      </w:r>
      <w:r>
        <w:t xml:space="preserve">his </w:t>
      </w:r>
      <w:r w:rsidR="00F92886" w:rsidRPr="00812E41">
        <w:t>probation</w:t>
      </w:r>
      <w:r w:rsidR="00F92886">
        <w:t>.</w:t>
      </w:r>
    </w:p>
    <w:p w:rsidR="00F92886" w:rsidRDefault="00F92886" w:rsidP="00DC07FC">
      <w:pPr>
        <w:tabs>
          <w:tab w:val="left" w:pos="720"/>
        </w:tabs>
        <w:ind w:left="720" w:hanging="360"/>
        <w:contextualSpacing/>
      </w:pPr>
    </w:p>
    <w:p w:rsidR="001616B2" w:rsidRDefault="001616B2" w:rsidP="00DC07FC">
      <w:pPr>
        <w:pStyle w:val="ListParagraph"/>
        <w:numPr>
          <w:ilvl w:val="0"/>
          <w:numId w:val="20"/>
        </w:numPr>
        <w:tabs>
          <w:tab w:val="left" w:pos="720"/>
        </w:tabs>
      </w:pPr>
      <w:r w:rsidRPr="00812E41">
        <w:t>Within 10 days of any change in the information required to be maintained on the membership records of the State Bar pursuant to Business and Professions Code section</w:t>
      </w:r>
      <w:r w:rsidR="00315206">
        <w:t> </w:t>
      </w:r>
      <w:r w:rsidRPr="00812E41">
        <w:t>6002.1, su</w:t>
      </w:r>
      <w:r>
        <w:t>bdivision</w:t>
      </w:r>
      <w:r w:rsidR="00315206">
        <w:t> </w:t>
      </w:r>
      <w:r>
        <w:t xml:space="preserve">(a), including </w:t>
      </w:r>
      <w:r w:rsidR="00EC5C21">
        <w:t xml:space="preserve">his </w:t>
      </w:r>
      <w:r w:rsidRPr="00812E41">
        <w:t xml:space="preserve">current office address and telephone number, or if no office is maintained, the address to be used for State Bar purposes, </w:t>
      </w:r>
      <w:r w:rsidR="00EC5C21">
        <w:t xml:space="preserve">he </w:t>
      </w:r>
      <w:r w:rsidRPr="00812E41">
        <w:t xml:space="preserve">must report such change in writing to the Membership Records Office </w:t>
      </w:r>
      <w:r>
        <w:t>and</w:t>
      </w:r>
      <w:r w:rsidRPr="00812E41">
        <w:t xml:space="preserve"> the State Bar Office of Probation</w:t>
      </w:r>
      <w:r>
        <w:t>.</w:t>
      </w:r>
    </w:p>
    <w:p w:rsidR="001616B2" w:rsidRPr="00D50330" w:rsidRDefault="001616B2" w:rsidP="00DC07FC">
      <w:pPr>
        <w:tabs>
          <w:tab w:val="left" w:pos="720"/>
        </w:tabs>
        <w:ind w:left="720" w:hanging="360"/>
        <w:contextualSpacing/>
      </w:pPr>
    </w:p>
    <w:p w:rsidR="001616B2" w:rsidRDefault="001616B2" w:rsidP="00DC07FC">
      <w:pPr>
        <w:pStyle w:val="ListParagraph"/>
        <w:numPr>
          <w:ilvl w:val="0"/>
          <w:numId w:val="20"/>
        </w:numPr>
        <w:tabs>
          <w:tab w:val="left" w:pos="720"/>
        </w:tabs>
      </w:pPr>
      <w:r>
        <w:t>Within 3</w:t>
      </w:r>
      <w:r w:rsidRPr="00812E41">
        <w:t xml:space="preserve">0 days </w:t>
      </w:r>
      <w:r>
        <w:t xml:space="preserve">after the effective date of discipline, </w:t>
      </w:r>
      <w:r w:rsidR="00EC5C21">
        <w:t xml:space="preserve">he </w:t>
      </w:r>
      <w:r>
        <w:t xml:space="preserve">must contact the Office of Probation and schedule a meeting with </w:t>
      </w:r>
      <w:r w:rsidR="00EC5C21">
        <w:t xml:space="preserve">his </w:t>
      </w:r>
      <w:r>
        <w:t xml:space="preserve">assigned probation deputy to discuss the terms and conditions of probation.  Upon the direction of the Office of Probation, </w:t>
      </w:r>
      <w:r w:rsidR="00EC5C21">
        <w:t xml:space="preserve">he </w:t>
      </w:r>
      <w:r w:rsidRPr="00812E41">
        <w:t xml:space="preserve">must </w:t>
      </w:r>
      <w:r>
        <w:t xml:space="preserve">meet with the probation deputy either in person or by telephone.  During the period of probation, </w:t>
      </w:r>
      <w:r w:rsidR="00EC5C21">
        <w:t xml:space="preserve">he </w:t>
      </w:r>
      <w:r>
        <w:t>must promptly meet with the probation deputy as directed and upon request.</w:t>
      </w:r>
    </w:p>
    <w:p w:rsidR="00E53CDF" w:rsidRDefault="00E53CDF" w:rsidP="00E53CDF">
      <w:pPr>
        <w:pStyle w:val="ListParagraph"/>
        <w:tabs>
          <w:tab w:val="left" w:pos="720"/>
        </w:tabs>
      </w:pPr>
    </w:p>
    <w:p w:rsidR="001616B2" w:rsidRDefault="00EC5C21" w:rsidP="00DC07FC">
      <w:pPr>
        <w:pStyle w:val="ListParagraph"/>
        <w:numPr>
          <w:ilvl w:val="0"/>
          <w:numId w:val="20"/>
        </w:numPr>
        <w:tabs>
          <w:tab w:val="left" w:pos="720"/>
        </w:tabs>
      </w:pPr>
      <w:r>
        <w:t xml:space="preserve">He </w:t>
      </w:r>
      <w:r w:rsidR="001616B2" w:rsidRPr="002F45AA">
        <w:t xml:space="preserve">must submit written </w:t>
      </w:r>
      <w:r w:rsidR="00553F8D">
        <w:t xml:space="preserve">quarterly reports to the Office </w:t>
      </w:r>
      <w:r w:rsidR="001616B2" w:rsidRPr="002F45AA">
        <w:t>of Probation on each January</w:t>
      </w:r>
      <w:r w:rsidR="001C2717">
        <w:t> </w:t>
      </w:r>
      <w:r w:rsidR="001616B2" w:rsidRPr="002F45AA">
        <w:t>10, April</w:t>
      </w:r>
      <w:r w:rsidR="001C2717">
        <w:t> </w:t>
      </w:r>
      <w:r w:rsidR="001616B2" w:rsidRPr="002F45AA">
        <w:t>10, July</w:t>
      </w:r>
      <w:r w:rsidR="001C2717">
        <w:t> </w:t>
      </w:r>
      <w:r w:rsidR="001616B2" w:rsidRPr="002F45AA">
        <w:t>10, and October</w:t>
      </w:r>
      <w:r w:rsidR="001C2717">
        <w:t> </w:t>
      </w:r>
      <w:r w:rsidR="001616B2" w:rsidRPr="002F45AA">
        <w:t xml:space="preserve">10 of the period of probation.  Under penalty of perjury, </w:t>
      </w:r>
      <w:r>
        <w:t xml:space="preserve">he </w:t>
      </w:r>
      <w:r w:rsidR="001616B2" w:rsidRPr="002F45AA">
        <w:t xml:space="preserve">must state whether </w:t>
      </w:r>
      <w:r>
        <w:t xml:space="preserve">he </w:t>
      </w:r>
      <w:r w:rsidR="001616B2" w:rsidRPr="002F45AA">
        <w:t xml:space="preserve">has complied with the State Bar Act, the Rules of Professional Conduct, and all of the conditions of </w:t>
      </w:r>
      <w:r>
        <w:t xml:space="preserve">his </w:t>
      </w:r>
      <w:r w:rsidR="001616B2" w:rsidRPr="002F45AA">
        <w:t>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1616B2" w:rsidRDefault="001616B2" w:rsidP="00DC07FC">
      <w:pPr>
        <w:pStyle w:val="ListParagraph"/>
        <w:numPr>
          <w:ilvl w:val="0"/>
          <w:numId w:val="20"/>
        </w:numPr>
        <w:tabs>
          <w:tab w:val="left" w:pos="720"/>
        </w:tabs>
      </w:pPr>
      <w:r w:rsidRPr="00812E41">
        <w:lastRenderedPageBreak/>
        <w:t xml:space="preserve">Subject to the assertion of applicable privileges, </w:t>
      </w:r>
      <w:r w:rsidR="00EC5C21">
        <w:t xml:space="preserve">he </w:t>
      </w:r>
      <w:r w:rsidRPr="00812E41">
        <w:t xml:space="preserve">must answer fully, promptly, and truthfully, any inquiries of the Office of Probation that are directed to </w:t>
      </w:r>
      <w:r w:rsidR="00EC5C21">
        <w:t xml:space="preserve">him </w:t>
      </w:r>
      <w:r w:rsidRPr="00812E41">
        <w:t xml:space="preserve">personally or in writing, relating to whether </w:t>
      </w:r>
      <w:r w:rsidR="00EC5C21">
        <w:t xml:space="preserve">he </w:t>
      </w:r>
      <w:r w:rsidRPr="00812E41">
        <w:t>is complying or has complied with the conditions contained herein</w:t>
      </w:r>
      <w:r>
        <w:t>.</w:t>
      </w:r>
    </w:p>
    <w:p w:rsidR="001616B2" w:rsidRDefault="001616B2" w:rsidP="00DC07FC">
      <w:pPr>
        <w:tabs>
          <w:tab w:val="left" w:pos="720"/>
        </w:tabs>
        <w:ind w:left="720" w:hanging="360"/>
        <w:contextualSpacing/>
      </w:pPr>
    </w:p>
    <w:p w:rsidR="001616B2" w:rsidRDefault="001616B2" w:rsidP="00DC07FC">
      <w:pPr>
        <w:pStyle w:val="ListParagraph"/>
        <w:numPr>
          <w:ilvl w:val="0"/>
          <w:numId w:val="20"/>
        </w:numPr>
        <w:tabs>
          <w:tab w:val="left" w:pos="720"/>
        </w:tabs>
      </w:pPr>
      <w:r w:rsidRPr="005539CE">
        <w:t xml:space="preserve">Within one year after the effective date of the discipline herein, </w:t>
      </w:r>
      <w:r w:rsidR="00EC5C21">
        <w:t xml:space="preserve">he </w:t>
      </w:r>
      <w:r w:rsidRPr="005539CE">
        <w:t>must submit to the Office of Probation satisfactory evidence of completion of the State Bar’s Ethics School and passage of the test</w:t>
      </w:r>
      <w:r w:rsidR="00F966DE">
        <w:t xml:space="preserve"> given at the end of those</w:t>
      </w:r>
      <w:r w:rsidRPr="005539CE">
        <w:t xml:space="preserve"> session</w:t>
      </w:r>
      <w:r w:rsidR="00F966DE">
        <w:t>s</w:t>
      </w:r>
      <w:r w:rsidRPr="005539CE">
        <w:t xml:space="preserve">.  This requirement is separate from any Minimum Continuing Legal Education (MCLE) requirement, and </w:t>
      </w:r>
      <w:r w:rsidR="00EC5C21">
        <w:t xml:space="preserve">he </w:t>
      </w:r>
      <w:r w:rsidRPr="005539CE">
        <w:t>shall not receive MCLE credit for attending Ethics School.</w:t>
      </w:r>
      <w:r w:rsidR="009D6D3A">
        <w:t xml:space="preserve"> </w:t>
      </w:r>
      <w:r w:rsidRPr="005539CE">
        <w:t xml:space="preserve"> (Rules Proc. of State Bar, rule</w:t>
      </w:r>
      <w:r w:rsidR="001C2717">
        <w:t> </w:t>
      </w:r>
      <w:r w:rsidRPr="005539CE">
        <w:t>3201.)</w:t>
      </w:r>
    </w:p>
    <w:p w:rsidR="001616B2" w:rsidRDefault="001616B2" w:rsidP="00183425">
      <w:pPr>
        <w:tabs>
          <w:tab w:val="left" w:pos="720"/>
        </w:tabs>
        <w:contextualSpacing/>
      </w:pPr>
    </w:p>
    <w:p w:rsidR="001616B2" w:rsidRDefault="00E03058" w:rsidP="00183425">
      <w:pPr>
        <w:tabs>
          <w:tab w:val="left" w:pos="720"/>
        </w:tabs>
        <w:spacing w:line="480" w:lineRule="auto"/>
      </w:pPr>
      <w:r>
        <w:tab/>
      </w:r>
      <w:r w:rsidR="001616B2" w:rsidRPr="004F622B">
        <w:t xml:space="preserve">The period of probation will commence on the effective date of the Supreme Court order imposing discipline in this matter.  At the expiration of the period of probation, if </w:t>
      </w:r>
      <w:r w:rsidR="00AF56D1">
        <w:t xml:space="preserve">he </w:t>
      </w:r>
      <w:r w:rsidR="001616B2" w:rsidRPr="004F622B">
        <w:t>has complied with all conditions of probation, the period of stayed suspension will be satisfied and that suspension will be terminated.</w:t>
      </w:r>
    </w:p>
    <w:p w:rsidR="00EC5C21" w:rsidRPr="009A4B3E" w:rsidRDefault="009D6D3A" w:rsidP="00183425">
      <w:pPr>
        <w:tabs>
          <w:tab w:val="left" w:pos="720"/>
        </w:tabs>
        <w:spacing w:line="480" w:lineRule="auto"/>
        <w:jc w:val="center"/>
        <w:rPr>
          <w:b/>
        </w:rPr>
      </w:pPr>
      <w:r>
        <w:rPr>
          <w:b/>
        </w:rPr>
        <w:t xml:space="preserve">VIII.  </w:t>
      </w:r>
      <w:r w:rsidR="00EC5C21" w:rsidRPr="009A4B3E">
        <w:rPr>
          <w:b/>
        </w:rPr>
        <w:t>PROFESSIONAL RESPONSIBILITY EXAMINATION</w:t>
      </w:r>
    </w:p>
    <w:p w:rsidR="006F0CFE" w:rsidRDefault="00EC5C21" w:rsidP="00183425">
      <w:pPr>
        <w:tabs>
          <w:tab w:val="left" w:pos="720"/>
        </w:tabs>
        <w:spacing w:line="480" w:lineRule="auto"/>
      </w:pPr>
      <w:r>
        <w:tab/>
        <w:t xml:space="preserve">We further recommend that </w:t>
      </w:r>
      <w:r w:rsidR="00F77762">
        <w:t xml:space="preserve">Robert E. Gentino </w:t>
      </w:r>
      <w:r>
        <w:t xml:space="preserve">be ordered to take and pass the Multistate Professional Responsibility Examination administered by the National Conference of Bar Examiners </w:t>
      </w:r>
      <w:r w:rsidR="00F77762">
        <w:t xml:space="preserve">within one year after the effective date of the Supreme Court order imposing discipline in this matter </w:t>
      </w:r>
      <w:r>
        <w:t>and to provide satisfactory proof of such passage to the Office of Probation within the same period.  Failure to do so may result in an automatic suspension.  (Cal. Rules of Court, rule</w:t>
      </w:r>
      <w:r w:rsidR="00CA559F">
        <w:t> </w:t>
      </w:r>
      <w:r>
        <w:t>9.10(b).)</w:t>
      </w:r>
    </w:p>
    <w:p w:rsidR="00EC5C21" w:rsidRDefault="00EB3F2E" w:rsidP="00183425">
      <w:pPr>
        <w:tabs>
          <w:tab w:val="left" w:pos="720"/>
        </w:tabs>
        <w:spacing w:line="480" w:lineRule="auto"/>
        <w:jc w:val="center"/>
      </w:pPr>
      <w:r>
        <w:rPr>
          <w:b/>
        </w:rPr>
        <w:t>I</w:t>
      </w:r>
      <w:r w:rsidR="009D6D3A">
        <w:rPr>
          <w:b/>
        </w:rPr>
        <w:t xml:space="preserve">X.  </w:t>
      </w:r>
      <w:r w:rsidR="00EC5C21">
        <w:rPr>
          <w:b/>
        </w:rPr>
        <w:t>COSTS</w:t>
      </w:r>
    </w:p>
    <w:p w:rsidR="00EC5C21" w:rsidRDefault="00EC5C21" w:rsidP="00183425">
      <w:pPr>
        <w:tabs>
          <w:tab w:val="left" w:pos="720"/>
        </w:tabs>
        <w:spacing w:line="480" w:lineRule="auto"/>
      </w:pPr>
      <w:r>
        <w:tab/>
      </w:r>
      <w:r w:rsidRPr="00101C9A">
        <w:t>We further recommend that costs be awarded to the State Bar in accordance with Business and Professions Code section</w:t>
      </w:r>
      <w:r w:rsidR="001C2717">
        <w:t> </w:t>
      </w:r>
      <w:r w:rsidRPr="00101C9A">
        <w:t>6086.10, such costs being enforceable both as provided in section</w:t>
      </w:r>
      <w:r w:rsidR="001C2717">
        <w:t> </w:t>
      </w:r>
      <w:r w:rsidRPr="00101C9A">
        <w:t>6140.7 and as a money judgment</w:t>
      </w:r>
      <w:r w:rsidR="00F83D5D">
        <w:t>.</w:t>
      </w:r>
    </w:p>
    <w:p w:rsidR="00832223" w:rsidRDefault="00832223" w:rsidP="00183425">
      <w:pPr>
        <w:tabs>
          <w:tab w:val="left" w:pos="720"/>
        </w:tabs>
      </w:pPr>
      <w:r w:rsidRPr="007768C9">
        <w:tab/>
      </w:r>
      <w:r w:rsidRPr="007768C9">
        <w:tab/>
      </w:r>
      <w:r w:rsidRPr="007768C9">
        <w:tab/>
      </w:r>
      <w:r w:rsidRPr="007768C9">
        <w:tab/>
      </w:r>
      <w:r w:rsidRPr="007768C9">
        <w:tab/>
      </w:r>
      <w:r w:rsidRPr="007768C9">
        <w:tab/>
      </w:r>
      <w:r w:rsidRPr="007768C9">
        <w:tab/>
      </w:r>
      <w:bookmarkStart w:id="8" w:name="judge"/>
      <w:bookmarkEnd w:id="8"/>
      <w:r w:rsidR="00B70F35">
        <w:t>McGILL,</w:t>
      </w:r>
      <w:r w:rsidR="00832AB5">
        <w:t xml:space="preserve"> </w:t>
      </w:r>
      <w:r w:rsidR="00B70F35">
        <w:t>J.</w:t>
      </w:r>
    </w:p>
    <w:p w:rsidR="00706366" w:rsidRDefault="00706366" w:rsidP="00183425">
      <w:pPr>
        <w:tabs>
          <w:tab w:val="left" w:pos="720"/>
        </w:tabs>
      </w:pPr>
    </w:p>
    <w:p w:rsidR="00832223" w:rsidRDefault="00832223" w:rsidP="00183425">
      <w:pPr>
        <w:tabs>
          <w:tab w:val="left" w:pos="720"/>
        </w:tabs>
        <w:spacing w:line="480" w:lineRule="auto"/>
      </w:pPr>
      <w:r>
        <w:t>WE CONCUR:</w:t>
      </w:r>
    </w:p>
    <w:p w:rsidR="00B70F35" w:rsidRDefault="00B70F35" w:rsidP="00183425">
      <w:pPr>
        <w:tabs>
          <w:tab w:val="left" w:pos="720"/>
        </w:tabs>
      </w:pPr>
      <w:bookmarkStart w:id="9" w:name="multinames"/>
      <w:bookmarkEnd w:id="9"/>
      <w:r>
        <w:t>PURCELL, P. J.</w:t>
      </w:r>
    </w:p>
    <w:p w:rsidR="00832AB5" w:rsidRDefault="00832AB5" w:rsidP="00183425">
      <w:pPr>
        <w:tabs>
          <w:tab w:val="left" w:pos="720"/>
        </w:tabs>
      </w:pPr>
    </w:p>
    <w:p w:rsidR="00203644" w:rsidRPr="00E26B8A" w:rsidRDefault="00B70F35" w:rsidP="00183425">
      <w:pPr>
        <w:tabs>
          <w:tab w:val="left" w:pos="720"/>
        </w:tabs>
      </w:pPr>
      <w:r>
        <w:t>HONN, J.</w:t>
      </w:r>
    </w:p>
    <w:sectPr w:rsidR="00203644" w:rsidRPr="00E26B8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4B" w:rsidRDefault="0062534B" w:rsidP="00055C8A">
      <w:r>
        <w:separator/>
      </w:r>
    </w:p>
  </w:endnote>
  <w:endnote w:type="continuationSeparator" w:id="0">
    <w:p w:rsidR="0062534B" w:rsidRDefault="0062534B"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E41AF6" w:rsidRDefault="00E41AF6" w:rsidP="0099101B">
        <w:pPr>
          <w:pStyle w:val="Footer"/>
          <w:spacing w:before="120"/>
          <w:jc w:val="center"/>
        </w:pPr>
        <w:r>
          <w:t>-</w:t>
        </w:r>
        <w:r>
          <w:fldChar w:fldCharType="begin"/>
        </w:r>
        <w:r>
          <w:instrText xml:space="preserve"> PAGE   \* MERGEFORMAT </w:instrText>
        </w:r>
        <w:r>
          <w:fldChar w:fldCharType="separate"/>
        </w:r>
        <w:r w:rsidR="00D73671">
          <w:rPr>
            <w:noProof/>
          </w:rPr>
          <w:t>20</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4B" w:rsidRDefault="0062534B" w:rsidP="00055C8A">
      <w:r>
        <w:separator/>
      </w:r>
    </w:p>
  </w:footnote>
  <w:footnote w:type="continuationSeparator" w:id="0">
    <w:p w:rsidR="0062534B" w:rsidRDefault="0062534B" w:rsidP="00055C8A">
      <w:r>
        <w:continuationSeparator/>
      </w:r>
    </w:p>
  </w:footnote>
  <w:footnote w:id="1">
    <w:p w:rsidR="00E41AF6" w:rsidRDefault="00E41AF6" w:rsidP="006D3833">
      <w:pPr>
        <w:pStyle w:val="FootnoteText"/>
        <w:spacing w:after="120"/>
      </w:pPr>
      <w:r>
        <w:rPr>
          <w:rStyle w:val="FootnoteReference"/>
        </w:rPr>
        <w:footnoteRef/>
      </w:r>
      <w:r>
        <w:t xml:space="preserve"> Rules of Procedure of the State Bar, title</w:t>
      </w:r>
      <w:r w:rsidR="00DC4FED">
        <w:t> </w:t>
      </w:r>
      <w:r>
        <w:t>IV, Standards for Attorney Sanctions for Professional Misconduct.  All further references to standards are to this source.</w:t>
      </w:r>
    </w:p>
  </w:footnote>
  <w:footnote w:id="2">
    <w:p w:rsidR="00E41AF6" w:rsidRDefault="00E41AF6" w:rsidP="00C43AB0">
      <w:pPr>
        <w:pStyle w:val="TemplateFootnote"/>
      </w:pPr>
      <w:r>
        <w:rPr>
          <w:rStyle w:val="FootnoteReference"/>
        </w:rPr>
        <w:footnoteRef/>
      </w:r>
      <w:r>
        <w:t xml:space="preserve"> </w:t>
      </w:r>
      <w:r w:rsidRPr="00574058">
        <w:t>Having independently reviewed all arguments set forth by</w:t>
      </w:r>
      <w:r>
        <w:t xml:space="preserve"> Gentino</w:t>
      </w:r>
      <w:r w:rsidRPr="00574058">
        <w:t>, those not specifically addressed have been considered and are rejected as having no merit.</w:t>
      </w:r>
      <w:r>
        <w:t xml:space="preserve"> </w:t>
      </w:r>
    </w:p>
  </w:footnote>
  <w:footnote w:id="3">
    <w:p w:rsidR="00E41AF6" w:rsidRDefault="00E41AF6" w:rsidP="008A3D27">
      <w:pPr>
        <w:pStyle w:val="TemplateFootnote"/>
      </w:pPr>
      <w:r>
        <w:rPr>
          <w:rStyle w:val="FootnoteReference"/>
        </w:rPr>
        <w:footnoteRef/>
      </w:r>
      <w:r>
        <w:t xml:space="preserve"> All further references to rules are to this source, unless otherwise noted.  Under  </w:t>
      </w:r>
      <w:r w:rsidR="00DC4FED">
        <w:t xml:space="preserve">   </w:t>
      </w:r>
      <w:r>
        <w:t>rule 3-110(A), “</w:t>
      </w:r>
      <w:r w:rsidR="007C16AB">
        <w:t>A</w:t>
      </w:r>
      <w:r>
        <w:t xml:space="preserve"> member shall not intentionally, recklessly, or repeatedly fail to perform legal services with competence.”</w:t>
      </w:r>
    </w:p>
  </w:footnote>
  <w:footnote w:id="4">
    <w:p w:rsidR="00E41AF6" w:rsidRDefault="00E41AF6" w:rsidP="00684319">
      <w:pPr>
        <w:pStyle w:val="TemplateFootnote"/>
      </w:pPr>
      <w:r>
        <w:rPr>
          <w:rStyle w:val="FootnoteReference"/>
        </w:rPr>
        <w:footnoteRef/>
      </w:r>
      <w:r>
        <w:t xml:space="preserve"> All further references to sections are to this source.</w:t>
      </w:r>
      <w:r w:rsidRPr="00D77E6E">
        <w:t xml:space="preserve"> </w:t>
      </w:r>
      <w:r>
        <w:t xml:space="preserve"> </w:t>
      </w:r>
      <w:r w:rsidR="00C86C93">
        <w:t>It is the duty of an attorney, u</w:t>
      </w:r>
      <w:r>
        <w:t>nder section 6068, subdivision</w:t>
      </w:r>
      <w:r w:rsidR="00DC4FED">
        <w:t> </w:t>
      </w:r>
      <w:r>
        <w:t>(m),</w:t>
      </w:r>
      <w:r w:rsidR="00EF544E">
        <w:t xml:space="preserve"> “</w:t>
      </w:r>
      <w:r w:rsidR="007C16AB">
        <w:t>T</w:t>
      </w:r>
      <w:r>
        <w:t xml:space="preserve">o respond promptly to reasonable status inquiries of clients and to keep clients reasonably informed of significant developments in matters with regard to which the attorney has agreed to provide legal services.”  </w:t>
      </w:r>
    </w:p>
  </w:footnote>
  <w:footnote w:id="5">
    <w:p w:rsidR="00E41AF6" w:rsidRDefault="00E41AF6" w:rsidP="00995BA2">
      <w:pPr>
        <w:pStyle w:val="TemplateFootnote"/>
      </w:pPr>
      <w:r>
        <w:rPr>
          <w:rStyle w:val="FootnoteReference"/>
        </w:rPr>
        <w:footnoteRef/>
      </w:r>
      <w:r w:rsidR="00E871AC">
        <w:t xml:space="preserve"> Under section 6106, “T</w:t>
      </w:r>
      <w:r w:rsidRPr="00D77E6E">
        <w:t>he commission of any act involving moral turpitude</w:t>
      </w:r>
      <w:r>
        <w:t>,</w:t>
      </w:r>
      <w:r w:rsidRPr="00D77E6E">
        <w:t xml:space="preserve"> dishonesty or corruption, whether the act is committed in the course of his relations as an attorney or otherwise</w:t>
      </w:r>
      <w:r>
        <w:t xml:space="preserve"> . . .</w:t>
      </w:r>
      <w:r w:rsidRPr="00D77E6E">
        <w:t xml:space="preserve"> constitutes a cause</w:t>
      </w:r>
      <w:r>
        <w:t xml:space="preserve"> for disbarment or suspension.”</w:t>
      </w:r>
    </w:p>
  </w:footnote>
  <w:footnote w:id="6">
    <w:p w:rsidR="00E41AF6" w:rsidRPr="00C44BA7" w:rsidRDefault="00E41AF6" w:rsidP="0044062E">
      <w:pPr>
        <w:pStyle w:val="TemplateFootnote"/>
        <w:rPr>
          <w:color w:val="000000"/>
          <w:szCs w:val="24"/>
        </w:rPr>
      </w:pPr>
      <w:r>
        <w:rPr>
          <w:rStyle w:val="FootnoteReference"/>
        </w:rPr>
        <w:footnoteRef/>
      </w:r>
      <w:r>
        <w:t xml:space="preserve"> We base the </w:t>
      </w:r>
      <w:r w:rsidRPr="00177A32">
        <w:t xml:space="preserve">factual background on </w:t>
      </w:r>
      <w:r>
        <w:t xml:space="preserve">trial testimony, documentary evidence, and the hearing </w:t>
      </w:r>
      <w:r>
        <w:rPr>
          <w:szCs w:val="24"/>
        </w:rPr>
        <w:t xml:space="preserve">judge’s factual findings, which are entitled to great weight.  (Rules Proc. of State Bar, rule 5.155(A).) </w:t>
      </w:r>
      <w:r>
        <w:rPr>
          <w:color w:val="000000"/>
          <w:szCs w:val="24"/>
        </w:rPr>
        <w:t xml:space="preserve"> W</w:t>
      </w:r>
      <w:r>
        <w:rPr>
          <w:szCs w:val="24"/>
        </w:rPr>
        <w:t>e</w:t>
      </w:r>
      <w:r>
        <w:rPr>
          <w:color w:val="000000"/>
          <w:szCs w:val="24"/>
        </w:rPr>
        <w:t xml:space="preserve"> also give great weight to the judge’s credibility findings.  (</w:t>
      </w:r>
      <w:r w:rsidRPr="00906307">
        <w:rPr>
          <w:i/>
          <w:color w:val="000000"/>
          <w:szCs w:val="24"/>
        </w:rPr>
        <w:t>McKnight v. State Bar</w:t>
      </w:r>
      <w:r w:rsidRPr="00906307">
        <w:rPr>
          <w:color w:val="000000"/>
          <w:szCs w:val="24"/>
        </w:rPr>
        <w:t xml:space="preserve"> (1991) 53</w:t>
      </w:r>
      <w:r>
        <w:rPr>
          <w:color w:val="000000"/>
          <w:szCs w:val="24"/>
        </w:rPr>
        <w:t> </w:t>
      </w:r>
      <w:r w:rsidRPr="00906307">
        <w:rPr>
          <w:color w:val="000000"/>
          <w:szCs w:val="24"/>
        </w:rPr>
        <w:t>Cal.3d 1025,</w:t>
      </w:r>
      <w:r>
        <w:rPr>
          <w:color w:val="000000"/>
          <w:szCs w:val="24"/>
        </w:rPr>
        <w:t xml:space="preserve"> </w:t>
      </w:r>
      <w:r w:rsidRPr="00906307">
        <w:rPr>
          <w:color w:val="000000"/>
          <w:szCs w:val="24"/>
        </w:rPr>
        <w:t>1032</w:t>
      </w:r>
      <w:r>
        <w:rPr>
          <w:color w:val="000000"/>
          <w:szCs w:val="24"/>
        </w:rPr>
        <w:t xml:space="preserve"> </w:t>
      </w:r>
      <w:r w:rsidRPr="00906307">
        <w:rPr>
          <w:color w:val="000000"/>
          <w:szCs w:val="24"/>
        </w:rPr>
        <w:t xml:space="preserve">[hearing judge </w:t>
      </w:r>
      <w:r>
        <w:rPr>
          <w:color w:val="000000"/>
          <w:szCs w:val="24"/>
        </w:rPr>
        <w:t xml:space="preserve">best suited to resolve </w:t>
      </w:r>
      <w:r w:rsidRPr="00906307">
        <w:rPr>
          <w:color w:val="000000"/>
          <w:szCs w:val="24"/>
        </w:rPr>
        <w:t>credibility questions</w:t>
      </w:r>
      <w:r>
        <w:rPr>
          <w:color w:val="000000"/>
          <w:szCs w:val="24"/>
        </w:rPr>
        <w:t xml:space="preserve"> “</w:t>
      </w:r>
      <w:r w:rsidRPr="00906307">
        <w:rPr>
          <w:color w:val="000000"/>
          <w:szCs w:val="24"/>
        </w:rPr>
        <w:t xml:space="preserve">because </w:t>
      </w:r>
      <w:r>
        <w:rPr>
          <w:color w:val="000000"/>
          <w:szCs w:val="24"/>
        </w:rPr>
        <w:t>[the judge]</w:t>
      </w:r>
      <w:r w:rsidRPr="00906307">
        <w:rPr>
          <w:color w:val="000000"/>
          <w:szCs w:val="24"/>
        </w:rPr>
        <w:t xml:space="preserve"> alone is able to observe the witnesses’ demeanor and evaluate their veracity</w:t>
      </w:r>
      <w:r>
        <w:rPr>
          <w:color w:val="000000"/>
          <w:szCs w:val="24"/>
        </w:rPr>
        <w:t xml:space="preserve"> firsthand”].)</w:t>
      </w:r>
    </w:p>
  </w:footnote>
  <w:footnote w:id="7">
    <w:p w:rsidR="00E41AF6" w:rsidRDefault="00E41AF6">
      <w:pPr>
        <w:pStyle w:val="FootnoteText"/>
      </w:pPr>
      <w:r>
        <w:rPr>
          <w:rStyle w:val="FootnoteReference"/>
        </w:rPr>
        <w:footnoteRef/>
      </w:r>
      <w:r>
        <w:t xml:space="preserve"> </w:t>
      </w:r>
      <w:r w:rsidR="001C389A">
        <w:t>Code of Civil Procedure se</w:t>
      </w:r>
      <w:r>
        <w:t>ction</w:t>
      </w:r>
      <w:r w:rsidR="003B2852">
        <w:t> </w:t>
      </w:r>
      <w:r>
        <w:t>471.5 provides that when an amended complaint is filed, t</w:t>
      </w:r>
      <w:r w:rsidRPr="003D453E">
        <w:t xml:space="preserve">he defendant shall answer within 30 days after service, or such other time as the court may direct, and </w:t>
      </w:r>
      <w:r>
        <w:t xml:space="preserve">that </w:t>
      </w:r>
      <w:r w:rsidRPr="003D453E">
        <w:t>judgment by default may be entered upon failure to answer.</w:t>
      </w:r>
    </w:p>
  </w:footnote>
  <w:footnote w:id="8">
    <w:p w:rsidR="00B145FF" w:rsidRDefault="00B145FF">
      <w:pPr>
        <w:pStyle w:val="FootnoteText"/>
      </w:pPr>
      <w:r>
        <w:rPr>
          <w:rStyle w:val="FootnoteReference"/>
        </w:rPr>
        <w:footnoteRef/>
      </w:r>
      <w:r>
        <w:t xml:space="preserve"> </w:t>
      </w:r>
      <w:r w:rsidRPr="00B145FF">
        <w:t xml:space="preserve">We note that </w:t>
      </w:r>
      <w:r w:rsidR="00F34975">
        <w:t xml:space="preserve">the </w:t>
      </w:r>
      <w:r w:rsidRPr="00B145FF">
        <w:t xml:space="preserve">plaintiff erroneously listed </w:t>
      </w:r>
      <w:r w:rsidR="00F34975">
        <w:t xml:space="preserve">$37,526.98 as </w:t>
      </w:r>
      <w:r w:rsidRPr="00B145FF">
        <w:t>the amount of judgment on the memorandum of costs.</w:t>
      </w:r>
    </w:p>
  </w:footnote>
  <w:footnote w:id="9">
    <w:p w:rsidR="00E41AF6" w:rsidRDefault="00E41AF6">
      <w:pPr>
        <w:pStyle w:val="FootnoteText"/>
      </w:pPr>
      <w:r>
        <w:rPr>
          <w:rStyle w:val="FootnoteReference"/>
        </w:rPr>
        <w:footnoteRef/>
      </w:r>
      <w:r>
        <w:t xml:space="preserve"> Also on June</w:t>
      </w:r>
      <w:r w:rsidR="000C4799">
        <w:t> </w:t>
      </w:r>
      <w:r>
        <w:t>9, 2015, Gentino emailed Galv</w:t>
      </w:r>
      <w:r w:rsidR="00C5063C">
        <w:t xml:space="preserve">ez to correct his error and </w:t>
      </w:r>
      <w:r w:rsidR="005D3EE0">
        <w:t>inform</w:t>
      </w:r>
      <w:r>
        <w:t xml:space="preserve"> her</w:t>
      </w:r>
      <w:r w:rsidR="005D3EE0">
        <w:t xml:space="preserve"> that</w:t>
      </w:r>
      <w:r>
        <w:t xml:space="preserve"> the </w:t>
      </w:r>
      <w:r w:rsidR="00B51F77">
        <w:t xml:space="preserve">reserved </w:t>
      </w:r>
      <w:r>
        <w:t xml:space="preserve">hearing date </w:t>
      </w:r>
      <w:r w:rsidR="00C5063C">
        <w:t xml:space="preserve">had actually been </w:t>
      </w:r>
      <w:r>
        <w:t>May</w:t>
      </w:r>
      <w:r w:rsidR="000C4799">
        <w:t> </w:t>
      </w:r>
      <w:r>
        <w:t xml:space="preserve">29, 2015.  </w:t>
      </w:r>
    </w:p>
  </w:footnote>
  <w:footnote w:id="10">
    <w:p w:rsidR="00376C84" w:rsidRDefault="00376C84" w:rsidP="00D31839">
      <w:pPr>
        <w:pStyle w:val="TemplateFootnote"/>
      </w:pPr>
      <w:r>
        <w:rPr>
          <w:rStyle w:val="FootnoteReference"/>
        </w:rPr>
        <w:footnoteRef/>
      </w:r>
      <w:r>
        <w:t xml:space="preserve"> </w:t>
      </w:r>
      <w:r w:rsidR="00876B1D">
        <w:t>Based on Gentino’s testimony, w</w:t>
      </w:r>
      <w:r>
        <w:t xml:space="preserve">e </w:t>
      </w:r>
      <w:r w:rsidR="00440F68">
        <w:t xml:space="preserve">also </w:t>
      </w:r>
      <w:r>
        <w:t>find</w:t>
      </w:r>
      <w:r w:rsidR="00876B1D">
        <w:t xml:space="preserve"> that</w:t>
      </w:r>
      <w:r>
        <w:t>, as charged in the NDC but not addressed by the hearing judge, Gentino failed to inform Galvez that: (1)</w:t>
      </w:r>
      <w:r w:rsidR="000C4799">
        <w:t> </w:t>
      </w:r>
      <w:r>
        <w:t>he did not attend the CMC; (2)</w:t>
      </w:r>
      <w:r w:rsidR="000C4799">
        <w:t> </w:t>
      </w:r>
      <w:r>
        <w:t xml:space="preserve">the court issued a tentative ruling </w:t>
      </w:r>
      <w:r w:rsidR="00B1366E">
        <w:t>denying</w:t>
      </w:r>
      <w:r>
        <w:t xml:space="preserve"> the demurrer; (3)</w:t>
      </w:r>
      <w:r w:rsidR="000C4799">
        <w:t> </w:t>
      </w:r>
      <w:r>
        <w:t>he did not file the required documents five days before trial as ordered by the judge; and (4)</w:t>
      </w:r>
      <w:r w:rsidR="000C4799">
        <w:t> </w:t>
      </w:r>
      <w:r>
        <w:t>he did not attend the hearing on the motion to reconsider and vacate the default judgment.</w:t>
      </w:r>
      <w:r w:rsidR="00606588">
        <w:t xml:space="preserve">  </w:t>
      </w:r>
      <w:r w:rsidR="00D31839">
        <w:t>As for the rema</w:t>
      </w:r>
      <w:r w:rsidR="005A37C2">
        <w:t>ining three acts charged under c</w:t>
      </w:r>
      <w:r w:rsidR="00D31839">
        <w:t xml:space="preserve">ount </w:t>
      </w:r>
      <w:r w:rsidR="005A37C2">
        <w:t>t</w:t>
      </w:r>
      <w:r w:rsidR="00D31839">
        <w:t>wo (that he failed to communicate to the client</w:t>
      </w:r>
      <w:r w:rsidR="005A37C2">
        <w:t>:</w:t>
      </w:r>
      <w:r w:rsidR="00D31839">
        <w:t xml:space="preserve"> (1) that he was not prepared for the September 8, 2014</w:t>
      </w:r>
      <w:r w:rsidR="005A37C2">
        <w:t>,</w:t>
      </w:r>
      <w:r w:rsidR="00D31839">
        <w:t xml:space="preserve"> trial</w:t>
      </w:r>
      <w:r w:rsidR="005A37C2">
        <w:t>;</w:t>
      </w:r>
      <w:r w:rsidR="00D31839">
        <w:t xml:space="preserve"> (2) that he filed an untimely and deficient motion to reconsider and vacate the defau</w:t>
      </w:r>
      <w:r w:rsidR="005A37C2">
        <w:t>lt judgment on December 5, 2014;</w:t>
      </w:r>
      <w:r w:rsidR="00D31839">
        <w:t xml:space="preserve"> and (3) that the court issued a tentative ruling denying the motion), we do not find that the</w:t>
      </w:r>
      <w:r w:rsidR="00F511D8">
        <w:t>y</w:t>
      </w:r>
      <w:r w:rsidR="00D31839">
        <w:t xml:space="preserve"> are violations of the statute.</w:t>
      </w:r>
    </w:p>
  </w:footnote>
  <w:footnote w:id="11">
    <w:p w:rsidR="00E41AF6" w:rsidRDefault="00E41AF6" w:rsidP="00A4136E">
      <w:pPr>
        <w:pStyle w:val="FootnoteText"/>
      </w:pPr>
      <w:r>
        <w:rPr>
          <w:rStyle w:val="FootnoteReference"/>
        </w:rPr>
        <w:footnoteRef/>
      </w:r>
      <w:r>
        <w:t xml:space="preserve"> Clear and convincing evidence leaves </w:t>
      </w:r>
      <w:r w:rsidRPr="00F03D05">
        <w:t>no</w:t>
      </w:r>
      <w:r>
        <w:t xml:space="preserve"> substantial doubt and is sufficiently strong to command the unhesitating assent of every reasonable mind.  (</w:t>
      </w:r>
      <w:r w:rsidRPr="00AF0984">
        <w:rPr>
          <w:i/>
        </w:rPr>
        <w:t>Conservatorship of Wendland</w:t>
      </w:r>
      <w:r>
        <w:t xml:space="preserve"> (2001) 26 Cal.4th 519, 552.)</w:t>
      </w:r>
    </w:p>
  </w:footnote>
  <w:footnote w:id="12">
    <w:p w:rsidR="007F6EE2" w:rsidRDefault="007F6EE2">
      <w:pPr>
        <w:pStyle w:val="FootnoteText"/>
      </w:pPr>
      <w:r>
        <w:rPr>
          <w:rStyle w:val="FootnoteReference"/>
        </w:rPr>
        <w:footnoteRef/>
      </w:r>
      <w:r>
        <w:t xml:space="preserve"> The Supreme Court and this court have often assigned substantial</w:t>
      </w:r>
      <w:r w:rsidR="008352BC">
        <w:t xml:space="preserve"> or considerable</w:t>
      </w:r>
      <w:r>
        <w:t xml:space="preserve"> mitigation for lack of prior discipline even where the current misconduct is serious or not aberrational.  (</w:t>
      </w:r>
      <w:r w:rsidR="008352BC">
        <w:t xml:space="preserve">See </w:t>
      </w:r>
      <w:r>
        <w:rPr>
          <w:i/>
        </w:rPr>
        <w:t>In the Matter of Riordan</w:t>
      </w:r>
      <w:r>
        <w:t xml:space="preserve"> (Review Dept. 2007) 5</w:t>
      </w:r>
      <w:r w:rsidR="0026447C">
        <w:t> </w:t>
      </w:r>
      <w:r>
        <w:t xml:space="preserve">Cal. State Bar Ct. Rptr. 41, 49; </w:t>
      </w:r>
      <w:r>
        <w:rPr>
          <w:i/>
        </w:rPr>
        <w:t>In the Matter of Lane</w:t>
      </w:r>
      <w:r>
        <w:t xml:space="preserve"> (Review Dept. 1994) 2</w:t>
      </w:r>
      <w:r w:rsidR="0026447C">
        <w:t> </w:t>
      </w:r>
      <w:r>
        <w:t xml:space="preserve">Cal. State Bar Ct. Rptr. 735, 749; see also </w:t>
      </w:r>
      <w:r w:rsidRPr="00C0520F">
        <w:rPr>
          <w:i/>
          <w:iCs/>
        </w:rPr>
        <w:t>Edwards v. State Bar</w:t>
      </w:r>
      <w:r w:rsidRPr="00C0520F">
        <w:t xml:space="preserve"> (1990) 52</w:t>
      </w:r>
      <w:r w:rsidR="00CB3A86">
        <w:t> </w:t>
      </w:r>
      <w:r w:rsidRPr="00C0520F">
        <w:t>Cal.3d 28, 31, 32, 36, 39 [</w:t>
      </w:r>
      <w:r>
        <w:t xml:space="preserve">mitigation </w:t>
      </w:r>
      <w:r w:rsidRPr="00C0520F">
        <w:t xml:space="preserve">credit given for almost </w:t>
      </w:r>
      <w:r w:rsidR="003935A1">
        <w:t>12</w:t>
      </w:r>
      <w:r w:rsidRPr="00C0520F">
        <w:t xml:space="preserve"> years of discipline-free practice despite intentional misappropriation and commingling]; </w:t>
      </w:r>
      <w:r w:rsidRPr="00C0520F">
        <w:rPr>
          <w:i/>
          <w:iCs/>
        </w:rPr>
        <w:t>Boehme v. State Bar</w:t>
      </w:r>
      <w:r w:rsidRPr="00C0520F">
        <w:t xml:space="preserve"> (1988) 47</w:t>
      </w:r>
      <w:r w:rsidR="003935A1">
        <w:t> </w:t>
      </w:r>
      <w:r w:rsidRPr="00C0520F">
        <w:t>Cal.3d 448, 452–453, 454–455 [</w:t>
      </w:r>
      <w:r w:rsidR="003935A1">
        <w:t>22</w:t>
      </w:r>
      <w:r w:rsidRPr="00C0520F">
        <w:t xml:space="preserve"> years of practice without prior discipline important mitigating circumstance despite attorney</w:t>
      </w:r>
      <w:r w:rsidR="00CB3A86">
        <w:t>’</w:t>
      </w:r>
      <w:r w:rsidRPr="00C0520F">
        <w:t xml:space="preserve">s misappropriation and lack of candor to court]; </w:t>
      </w:r>
      <w:r w:rsidRPr="00C0520F">
        <w:rPr>
          <w:i/>
          <w:iCs/>
        </w:rPr>
        <w:t>In the Matter of Trillo</w:t>
      </w:r>
      <w:r w:rsidRPr="00C0520F">
        <w:t xml:space="preserve"> (Review Dept.</w:t>
      </w:r>
      <w:r w:rsidR="00970F7D">
        <w:t xml:space="preserve"> </w:t>
      </w:r>
      <w:r w:rsidRPr="00C0520F">
        <w:t>1990) 1</w:t>
      </w:r>
      <w:r w:rsidR="00CB3A86">
        <w:t> </w:t>
      </w:r>
      <w:r w:rsidRPr="00C0520F">
        <w:t xml:space="preserve">Cal. State Bar Ct. Rptr. 59, 69 [credit given for no prior history of discipline in </w:t>
      </w:r>
      <w:r w:rsidR="003935A1">
        <w:t>14</w:t>
      </w:r>
      <w:r w:rsidRPr="00C0520F">
        <w:t xml:space="preserve"> years of practice where attorney converted client funds and deceived clients].)</w:t>
      </w:r>
    </w:p>
  </w:footnote>
  <w:footnote w:id="13">
    <w:p w:rsidR="00E41AF6" w:rsidRDefault="00E41AF6" w:rsidP="009C2EFE">
      <w:pPr>
        <w:pStyle w:val="TemplateFootnote"/>
      </w:pPr>
      <w:r>
        <w:rPr>
          <w:rStyle w:val="FootnoteReference"/>
        </w:rPr>
        <w:footnoteRef/>
      </w:r>
      <w:r>
        <w:t xml:space="preserve"> </w:t>
      </w: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s.  (Std. </w:t>
      </w:r>
      <w:r w:rsidRPr="0073476E">
        <w:t>1.</w:t>
      </w:r>
      <w:r>
        <w:t xml:space="preserve">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36F4B"/>
    <w:multiLevelType w:val="hybridMultilevel"/>
    <w:tmpl w:val="A636DE54"/>
    <w:lvl w:ilvl="0" w:tplc="07360DCC">
      <w:start w:val="1"/>
      <w:numFmt w:val="upperLetter"/>
      <w:suff w:val="space"/>
      <w:lvlText w:val="%1."/>
      <w:lvlJc w:val="left"/>
      <w:pPr>
        <w:ind w:left="1440" w:hanging="144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2DE96CF1"/>
    <w:multiLevelType w:val="multilevel"/>
    <w:tmpl w:val="6F86EEC4"/>
    <w:lvl w:ilvl="0">
      <w:start w:val="1"/>
      <w:numFmt w:val="upperRoman"/>
      <w:lvlText w:val="%1."/>
      <w:lvlJc w:val="left"/>
      <w:pPr>
        <w:ind w:left="1080" w:hanging="720"/>
      </w:pPr>
      <w:rPr>
        <w:rFonts w:hint="default"/>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C2C31"/>
    <w:multiLevelType w:val="hybridMultilevel"/>
    <w:tmpl w:val="70B4072A"/>
    <w:lvl w:ilvl="0" w:tplc="41164B0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8">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4">
    <w:nsid w:val="7FC3225E"/>
    <w:multiLevelType w:val="hybridMultilevel"/>
    <w:tmpl w:val="088637B0"/>
    <w:lvl w:ilvl="0" w:tplc="B85644DA">
      <w:start w:val="1"/>
      <w:numFmt w:val="upperRoman"/>
      <w:lvlText w:val="%1."/>
      <w:lvlJc w:val="left"/>
      <w:pPr>
        <w:ind w:left="1080" w:hanging="720"/>
      </w:pPr>
      <w:rPr>
        <w:rFonts w:hint="default"/>
      </w:rPr>
    </w:lvl>
    <w:lvl w:ilvl="1" w:tplc="18DC00C6">
      <w:start w:val="1"/>
      <w:numFmt w:val="upperLetter"/>
      <w:lvlText w:val="%2."/>
      <w:lvlJc w:val="left"/>
      <w:pPr>
        <w:ind w:left="1710" w:hanging="1440"/>
      </w:pPr>
      <w:rPr>
        <w:rFonts w:hint="default"/>
        <w:b/>
      </w:rPr>
    </w:lvl>
    <w:lvl w:ilvl="2" w:tplc="22162434">
      <w:start w:val="1"/>
      <w:numFmt w:val="lowerRoman"/>
      <w:lvlText w:val="%3."/>
      <w:lvlJc w:val="right"/>
      <w:pPr>
        <w:ind w:left="2160" w:hanging="180"/>
      </w:pPr>
      <w:rPr>
        <w:rFonts w:hint="default"/>
      </w:rPr>
    </w:lvl>
    <w:lvl w:ilvl="3" w:tplc="0742C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20"/>
  </w:num>
  <w:num w:numId="5">
    <w:abstractNumId w:val="4"/>
  </w:num>
  <w:num w:numId="6">
    <w:abstractNumId w:val="15"/>
  </w:num>
  <w:num w:numId="7">
    <w:abstractNumId w:val="10"/>
  </w:num>
  <w:num w:numId="8">
    <w:abstractNumId w:val="9"/>
  </w:num>
  <w:num w:numId="9">
    <w:abstractNumId w:val="18"/>
  </w:num>
  <w:num w:numId="10">
    <w:abstractNumId w:val="17"/>
  </w:num>
  <w:num w:numId="11">
    <w:abstractNumId w:val="12"/>
  </w:num>
  <w:num w:numId="12">
    <w:abstractNumId w:val="7"/>
  </w:num>
  <w:num w:numId="13">
    <w:abstractNumId w:val="23"/>
  </w:num>
  <w:num w:numId="14">
    <w:abstractNumId w:val="19"/>
  </w:num>
  <w:num w:numId="15">
    <w:abstractNumId w:val="11"/>
  </w:num>
  <w:num w:numId="16">
    <w:abstractNumId w:val="3"/>
  </w:num>
  <w:num w:numId="17">
    <w:abstractNumId w:val="0"/>
  </w:num>
  <w:num w:numId="18">
    <w:abstractNumId w:val="22"/>
  </w:num>
  <w:num w:numId="19">
    <w:abstractNumId w:val="1"/>
  </w:num>
  <w:num w:numId="20">
    <w:abstractNumId w:val="2"/>
  </w:num>
  <w:num w:numId="21">
    <w:abstractNumId w:val="21"/>
  </w:num>
  <w:num w:numId="22">
    <w:abstractNumId w:val="24"/>
  </w:num>
  <w:num w:numId="23">
    <w:abstractNumId w:val="6"/>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NotTrackMoves/>
  <w:doNotTrackFormatting/>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35"/>
    <w:rsid w:val="000010CF"/>
    <w:rsid w:val="000030D7"/>
    <w:rsid w:val="00004FB4"/>
    <w:rsid w:val="000155E6"/>
    <w:rsid w:val="00015843"/>
    <w:rsid w:val="00015966"/>
    <w:rsid w:val="000161FD"/>
    <w:rsid w:val="00016F1A"/>
    <w:rsid w:val="0002043F"/>
    <w:rsid w:val="00020561"/>
    <w:rsid w:val="000206F7"/>
    <w:rsid w:val="000209D2"/>
    <w:rsid w:val="000226C5"/>
    <w:rsid w:val="00022FFF"/>
    <w:rsid w:val="000247F2"/>
    <w:rsid w:val="00025309"/>
    <w:rsid w:val="00027058"/>
    <w:rsid w:val="00027125"/>
    <w:rsid w:val="00031A89"/>
    <w:rsid w:val="00032797"/>
    <w:rsid w:val="0003339E"/>
    <w:rsid w:val="000334C6"/>
    <w:rsid w:val="00041C13"/>
    <w:rsid w:val="00041D18"/>
    <w:rsid w:val="00042AAE"/>
    <w:rsid w:val="000432A2"/>
    <w:rsid w:val="00045202"/>
    <w:rsid w:val="000460C4"/>
    <w:rsid w:val="00047042"/>
    <w:rsid w:val="000500F2"/>
    <w:rsid w:val="00051173"/>
    <w:rsid w:val="00055216"/>
    <w:rsid w:val="0005538B"/>
    <w:rsid w:val="00055C8A"/>
    <w:rsid w:val="00060D20"/>
    <w:rsid w:val="00061539"/>
    <w:rsid w:val="0006335D"/>
    <w:rsid w:val="00063766"/>
    <w:rsid w:val="000640BC"/>
    <w:rsid w:val="00065A44"/>
    <w:rsid w:val="0006654B"/>
    <w:rsid w:val="0006735F"/>
    <w:rsid w:val="00070973"/>
    <w:rsid w:val="00073E72"/>
    <w:rsid w:val="00074F93"/>
    <w:rsid w:val="0007643C"/>
    <w:rsid w:val="00076FB9"/>
    <w:rsid w:val="00077ED2"/>
    <w:rsid w:val="00085DDD"/>
    <w:rsid w:val="000876D9"/>
    <w:rsid w:val="00087B57"/>
    <w:rsid w:val="00091B47"/>
    <w:rsid w:val="00092189"/>
    <w:rsid w:val="00093262"/>
    <w:rsid w:val="000932AC"/>
    <w:rsid w:val="0009560B"/>
    <w:rsid w:val="00095C81"/>
    <w:rsid w:val="000977EB"/>
    <w:rsid w:val="00097DC8"/>
    <w:rsid w:val="000A19AA"/>
    <w:rsid w:val="000A2703"/>
    <w:rsid w:val="000A2FD6"/>
    <w:rsid w:val="000A5822"/>
    <w:rsid w:val="000A5ADA"/>
    <w:rsid w:val="000A6A22"/>
    <w:rsid w:val="000A757C"/>
    <w:rsid w:val="000B2C26"/>
    <w:rsid w:val="000B3A1D"/>
    <w:rsid w:val="000B3BA7"/>
    <w:rsid w:val="000B3F52"/>
    <w:rsid w:val="000B58E6"/>
    <w:rsid w:val="000B5B1A"/>
    <w:rsid w:val="000B6FEC"/>
    <w:rsid w:val="000B784F"/>
    <w:rsid w:val="000B7D56"/>
    <w:rsid w:val="000C144C"/>
    <w:rsid w:val="000C45DA"/>
    <w:rsid w:val="000C4799"/>
    <w:rsid w:val="000C4D16"/>
    <w:rsid w:val="000C6048"/>
    <w:rsid w:val="000C64D0"/>
    <w:rsid w:val="000D16D9"/>
    <w:rsid w:val="000D21A6"/>
    <w:rsid w:val="000D45DF"/>
    <w:rsid w:val="000D6726"/>
    <w:rsid w:val="000E0340"/>
    <w:rsid w:val="000E0A7C"/>
    <w:rsid w:val="000E14EA"/>
    <w:rsid w:val="000E19EC"/>
    <w:rsid w:val="000E1F7D"/>
    <w:rsid w:val="000E23F8"/>
    <w:rsid w:val="000E321A"/>
    <w:rsid w:val="000E4BA8"/>
    <w:rsid w:val="000E72BF"/>
    <w:rsid w:val="000E7CC6"/>
    <w:rsid w:val="000E7FBE"/>
    <w:rsid w:val="000F14AC"/>
    <w:rsid w:val="000F37E6"/>
    <w:rsid w:val="000F3BB3"/>
    <w:rsid w:val="000F4645"/>
    <w:rsid w:val="000F5DBB"/>
    <w:rsid w:val="000F5E35"/>
    <w:rsid w:val="000F60F6"/>
    <w:rsid w:val="000F6A61"/>
    <w:rsid w:val="00101539"/>
    <w:rsid w:val="00102204"/>
    <w:rsid w:val="001048B0"/>
    <w:rsid w:val="00106AE5"/>
    <w:rsid w:val="0011063F"/>
    <w:rsid w:val="001109D4"/>
    <w:rsid w:val="001123A0"/>
    <w:rsid w:val="0011488A"/>
    <w:rsid w:val="001210D4"/>
    <w:rsid w:val="00126078"/>
    <w:rsid w:val="00126761"/>
    <w:rsid w:val="001269E6"/>
    <w:rsid w:val="00131545"/>
    <w:rsid w:val="00132A98"/>
    <w:rsid w:val="00133621"/>
    <w:rsid w:val="00133A76"/>
    <w:rsid w:val="00135FBB"/>
    <w:rsid w:val="0013602B"/>
    <w:rsid w:val="00140595"/>
    <w:rsid w:val="0014098E"/>
    <w:rsid w:val="00141FF8"/>
    <w:rsid w:val="00147E39"/>
    <w:rsid w:val="00150E62"/>
    <w:rsid w:val="001516DE"/>
    <w:rsid w:val="0015212D"/>
    <w:rsid w:val="0015401F"/>
    <w:rsid w:val="00154135"/>
    <w:rsid w:val="0015497C"/>
    <w:rsid w:val="001559EB"/>
    <w:rsid w:val="00156414"/>
    <w:rsid w:val="001578F4"/>
    <w:rsid w:val="00160894"/>
    <w:rsid w:val="00160C30"/>
    <w:rsid w:val="001616B2"/>
    <w:rsid w:val="001633B2"/>
    <w:rsid w:val="00164438"/>
    <w:rsid w:val="001645FB"/>
    <w:rsid w:val="00164E5B"/>
    <w:rsid w:val="00165F59"/>
    <w:rsid w:val="0016653C"/>
    <w:rsid w:val="00166A1D"/>
    <w:rsid w:val="0016744A"/>
    <w:rsid w:val="00170C86"/>
    <w:rsid w:val="00170F40"/>
    <w:rsid w:val="00171FAB"/>
    <w:rsid w:val="00172237"/>
    <w:rsid w:val="00172A16"/>
    <w:rsid w:val="00172CD3"/>
    <w:rsid w:val="0017342C"/>
    <w:rsid w:val="00173CBB"/>
    <w:rsid w:val="00175063"/>
    <w:rsid w:val="00175256"/>
    <w:rsid w:val="00175712"/>
    <w:rsid w:val="00177758"/>
    <w:rsid w:val="00177944"/>
    <w:rsid w:val="00181E9E"/>
    <w:rsid w:val="00181F0C"/>
    <w:rsid w:val="0018330E"/>
    <w:rsid w:val="00183425"/>
    <w:rsid w:val="00183AF0"/>
    <w:rsid w:val="001840FB"/>
    <w:rsid w:val="001873F6"/>
    <w:rsid w:val="00190515"/>
    <w:rsid w:val="00190B3F"/>
    <w:rsid w:val="00192F90"/>
    <w:rsid w:val="001933F0"/>
    <w:rsid w:val="00195440"/>
    <w:rsid w:val="00197982"/>
    <w:rsid w:val="001A2BC4"/>
    <w:rsid w:val="001A3082"/>
    <w:rsid w:val="001A3AF7"/>
    <w:rsid w:val="001A6CD9"/>
    <w:rsid w:val="001A7B30"/>
    <w:rsid w:val="001B0733"/>
    <w:rsid w:val="001B12A4"/>
    <w:rsid w:val="001B208B"/>
    <w:rsid w:val="001B21E7"/>
    <w:rsid w:val="001B2F99"/>
    <w:rsid w:val="001B3B9E"/>
    <w:rsid w:val="001B5B7E"/>
    <w:rsid w:val="001B61A2"/>
    <w:rsid w:val="001B6200"/>
    <w:rsid w:val="001B6D74"/>
    <w:rsid w:val="001B7F9B"/>
    <w:rsid w:val="001C0276"/>
    <w:rsid w:val="001C0964"/>
    <w:rsid w:val="001C0F25"/>
    <w:rsid w:val="001C22BE"/>
    <w:rsid w:val="001C2717"/>
    <w:rsid w:val="001C389A"/>
    <w:rsid w:val="001C49A2"/>
    <w:rsid w:val="001C633B"/>
    <w:rsid w:val="001C637E"/>
    <w:rsid w:val="001C6D4B"/>
    <w:rsid w:val="001D1ED7"/>
    <w:rsid w:val="001D3A28"/>
    <w:rsid w:val="001D3A36"/>
    <w:rsid w:val="001D42EE"/>
    <w:rsid w:val="001D4B94"/>
    <w:rsid w:val="001D69C0"/>
    <w:rsid w:val="001D7565"/>
    <w:rsid w:val="001D7AF8"/>
    <w:rsid w:val="001E3579"/>
    <w:rsid w:val="001E3E25"/>
    <w:rsid w:val="001E4EFB"/>
    <w:rsid w:val="001E5A9B"/>
    <w:rsid w:val="001E64A0"/>
    <w:rsid w:val="001F078A"/>
    <w:rsid w:val="001F16FC"/>
    <w:rsid w:val="001F3EE9"/>
    <w:rsid w:val="001F49FA"/>
    <w:rsid w:val="001F4D04"/>
    <w:rsid w:val="001F703B"/>
    <w:rsid w:val="002010F3"/>
    <w:rsid w:val="00203644"/>
    <w:rsid w:val="002053A3"/>
    <w:rsid w:val="00206FF5"/>
    <w:rsid w:val="00210CB6"/>
    <w:rsid w:val="00215D33"/>
    <w:rsid w:val="00220005"/>
    <w:rsid w:val="002215D1"/>
    <w:rsid w:val="00223504"/>
    <w:rsid w:val="00223BF0"/>
    <w:rsid w:val="002257B4"/>
    <w:rsid w:val="0022633E"/>
    <w:rsid w:val="00227187"/>
    <w:rsid w:val="00230622"/>
    <w:rsid w:val="00230E8B"/>
    <w:rsid w:val="00232B0A"/>
    <w:rsid w:val="00234D03"/>
    <w:rsid w:val="00235764"/>
    <w:rsid w:val="0023766E"/>
    <w:rsid w:val="0024103B"/>
    <w:rsid w:val="0024299E"/>
    <w:rsid w:val="00243A9D"/>
    <w:rsid w:val="00244A80"/>
    <w:rsid w:val="00245788"/>
    <w:rsid w:val="00245892"/>
    <w:rsid w:val="002464C0"/>
    <w:rsid w:val="002508B4"/>
    <w:rsid w:val="002518C1"/>
    <w:rsid w:val="00252683"/>
    <w:rsid w:val="00252C67"/>
    <w:rsid w:val="00253E1F"/>
    <w:rsid w:val="0025523F"/>
    <w:rsid w:val="002630D6"/>
    <w:rsid w:val="002636D9"/>
    <w:rsid w:val="00263C59"/>
    <w:rsid w:val="0026447C"/>
    <w:rsid w:val="002645A0"/>
    <w:rsid w:val="00265E83"/>
    <w:rsid w:val="00265EC7"/>
    <w:rsid w:val="00271738"/>
    <w:rsid w:val="00272D3F"/>
    <w:rsid w:val="00273AA2"/>
    <w:rsid w:val="00277FD3"/>
    <w:rsid w:val="00280472"/>
    <w:rsid w:val="00282CBB"/>
    <w:rsid w:val="00283A17"/>
    <w:rsid w:val="0028625D"/>
    <w:rsid w:val="00287021"/>
    <w:rsid w:val="00291BD4"/>
    <w:rsid w:val="00292094"/>
    <w:rsid w:val="00292AAF"/>
    <w:rsid w:val="00293109"/>
    <w:rsid w:val="00293263"/>
    <w:rsid w:val="00293579"/>
    <w:rsid w:val="00297423"/>
    <w:rsid w:val="002A010C"/>
    <w:rsid w:val="002A0C66"/>
    <w:rsid w:val="002A1776"/>
    <w:rsid w:val="002A279A"/>
    <w:rsid w:val="002A4887"/>
    <w:rsid w:val="002A535A"/>
    <w:rsid w:val="002A642B"/>
    <w:rsid w:val="002B04A2"/>
    <w:rsid w:val="002B4493"/>
    <w:rsid w:val="002B5E6F"/>
    <w:rsid w:val="002B7D8B"/>
    <w:rsid w:val="002C1DF8"/>
    <w:rsid w:val="002C47B6"/>
    <w:rsid w:val="002C4809"/>
    <w:rsid w:val="002C4CE9"/>
    <w:rsid w:val="002C50B6"/>
    <w:rsid w:val="002D045D"/>
    <w:rsid w:val="002D0B85"/>
    <w:rsid w:val="002D3DE8"/>
    <w:rsid w:val="002D4778"/>
    <w:rsid w:val="002E18CB"/>
    <w:rsid w:val="002E4279"/>
    <w:rsid w:val="002E7165"/>
    <w:rsid w:val="002E7623"/>
    <w:rsid w:val="002F078B"/>
    <w:rsid w:val="002F0B2D"/>
    <w:rsid w:val="002F1034"/>
    <w:rsid w:val="002F11D7"/>
    <w:rsid w:val="002F2212"/>
    <w:rsid w:val="002F3BFA"/>
    <w:rsid w:val="002F3E04"/>
    <w:rsid w:val="002F45AA"/>
    <w:rsid w:val="002F65F7"/>
    <w:rsid w:val="002F6B65"/>
    <w:rsid w:val="002F7583"/>
    <w:rsid w:val="003039AC"/>
    <w:rsid w:val="00306403"/>
    <w:rsid w:val="00307717"/>
    <w:rsid w:val="00310C31"/>
    <w:rsid w:val="00311270"/>
    <w:rsid w:val="003116C7"/>
    <w:rsid w:val="003119E2"/>
    <w:rsid w:val="00311C0C"/>
    <w:rsid w:val="00312AEC"/>
    <w:rsid w:val="003145BE"/>
    <w:rsid w:val="00314DC1"/>
    <w:rsid w:val="00315206"/>
    <w:rsid w:val="0031564A"/>
    <w:rsid w:val="00315EFD"/>
    <w:rsid w:val="00320666"/>
    <w:rsid w:val="003209BE"/>
    <w:rsid w:val="00321BF2"/>
    <w:rsid w:val="00322066"/>
    <w:rsid w:val="003241DF"/>
    <w:rsid w:val="0032425A"/>
    <w:rsid w:val="00325A5E"/>
    <w:rsid w:val="00325C6B"/>
    <w:rsid w:val="00330595"/>
    <w:rsid w:val="003308CC"/>
    <w:rsid w:val="003313E4"/>
    <w:rsid w:val="0033146A"/>
    <w:rsid w:val="003331EA"/>
    <w:rsid w:val="00334ECC"/>
    <w:rsid w:val="00335AA1"/>
    <w:rsid w:val="00336180"/>
    <w:rsid w:val="00336BA0"/>
    <w:rsid w:val="00340898"/>
    <w:rsid w:val="003416DB"/>
    <w:rsid w:val="003427DA"/>
    <w:rsid w:val="003439A7"/>
    <w:rsid w:val="00345541"/>
    <w:rsid w:val="00345A36"/>
    <w:rsid w:val="00345F69"/>
    <w:rsid w:val="003467F5"/>
    <w:rsid w:val="00350B72"/>
    <w:rsid w:val="00352319"/>
    <w:rsid w:val="00353B88"/>
    <w:rsid w:val="0035432F"/>
    <w:rsid w:val="00354CEC"/>
    <w:rsid w:val="00355F9E"/>
    <w:rsid w:val="00357051"/>
    <w:rsid w:val="003639D1"/>
    <w:rsid w:val="00365B6F"/>
    <w:rsid w:val="00366737"/>
    <w:rsid w:val="00367461"/>
    <w:rsid w:val="00373A07"/>
    <w:rsid w:val="00374090"/>
    <w:rsid w:val="00374340"/>
    <w:rsid w:val="00374C9A"/>
    <w:rsid w:val="00376AAD"/>
    <w:rsid w:val="00376C84"/>
    <w:rsid w:val="00377DCC"/>
    <w:rsid w:val="0038125B"/>
    <w:rsid w:val="003813ED"/>
    <w:rsid w:val="00382790"/>
    <w:rsid w:val="00383E98"/>
    <w:rsid w:val="00385A28"/>
    <w:rsid w:val="00391899"/>
    <w:rsid w:val="0039194B"/>
    <w:rsid w:val="00392AEF"/>
    <w:rsid w:val="00393210"/>
    <w:rsid w:val="003935A1"/>
    <w:rsid w:val="00394B64"/>
    <w:rsid w:val="00394C0C"/>
    <w:rsid w:val="00394CB0"/>
    <w:rsid w:val="0039532B"/>
    <w:rsid w:val="003974C7"/>
    <w:rsid w:val="003A023F"/>
    <w:rsid w:val="003A3047"/>
    <w:rsid w:val="003A3408"/>
    <w:rsid w:val="003A34D4"/>
    <w:rsid w:val="003A34E1"/>
    <w:rsid w:val="003A5AAA"/>
    <w:rsid w:val="003A5F40"/>
    <w:rsid w:val="003A7EB5"/>
    <w:rsid w:val="003B21A8"/>
    <w:rsid w:val="003B2734"/>
    <w:rsid w:val="003B280B"/>
    <w:rsid w:val="003B2852"/>
    <w:rsid w:val="003B3699"/>
    <w:rsid w:val="003B4AD9"/>
    <w:rsid w:val="003B55E4"/>
    <w:rsid w:val="003B5651"/>
    <w:rsid w:val="003B611F"/>
    <w:rsid w:val="003B7D83"/>
    <w:rsid w:val="003C378C"/>
    <w:rsid w:val="003C430C"/>
    <w:rsid w:val="003C5B3A"/>
    <w:rsid w:val="003C631E"/>
    <w:rsid w:val="003D09FD"/>
    <w:rsid w:val="003D374F"/>
    <w:rsid w:val="003D41D0"/>
    <w:rsid w:val="003D453E"/>
    <w:rsid w:val="003D462B"/>
    <w:rsid w:val="003D4EA5"/>
    <w:rsid w:val="003D52A3"/>
    <w:rsid w:val="003D78B3"/>
    <w:rsid w:val="003D7D88"/>
    <w:rsid w:val="003E20CF"/>
    <w:rsid w:val="003E2BE1"/>
    <w:rsid w:val="003E2D1B"/>
    <w:rsid w:val="003E3C19"/>
    <w:rsid w:val="003E3DFC"/>
    <w:rsid w:val="003E6F4B"/>
    <w:rsid w:val="003E7EDE"/>
    <w:rsid w:val="003F06DF"/>
    <w:rsid w:val="003F1FBC"/>
    <w:rsid w:val="003F2717"/>
    <w:rsid w:val="003F28AB"/>
    <w:rsid w:val="003F3D68"/>
    <w:rsid w:val="003F4A8E"/>
    <w:rsid w:val="003F4F0F"/>
    <w:rsid w:val="003F53C1"/>
    <w:rsid w:val="003F57AA"/>
    <w:rsid w:val="003F5A0E"/>
    <w:rsid w:val="003F6C3F"/>
    <w:rsid w:val="003F6EFE"/>
    <w:rsid w:val="003F76A5"/>
    <w:rsid w:val="004018E9"/>
    <w:rsid w:val="00402B1E"/>
    <w:rsid w:val="0040391B"/>
    <w:rsid w:val="004110FF"/>
    <w:rsid w:val="00411DAE"/>
    <w:rsid w:val="004120CC"/>
    <w:rsid w:val="00412160"/>
    <w:rsid w:val="00420D75"/>
    <w:rsid w:val="004211CB"/>
    <w:rsid w:val="00421FA1"/>
    <w:rsid w:val="00422DFE"/>
    <w:rsid w:val="004239C7"/>
    <w:rsid w:val="0042441A"/>
    <w:rsid w:val="00424A5A"/>
    <w:rsid w:val="00426015"/>
    <w:rsid w:val="00426BED"/>
    <w:rsid w:val="00427506"/>
    <w:rsid w:val="00432540"/>
    <w:rsid w:val="004330DE"/>
    <w:rsid w:val="00434CA3"/>
    <w:rsid w:val="00434D6C"/>
    <w:rsid w:val="00434FA7"/>
    <w:rsid w:val="0043566C"/>
    <w:rsid w:val="0043780F"/>
    <w:rsid w:val="0044062E"/>
    <w:rsid w:val="00440F68"/>
    <w:rsid w:val="00444308"/>
    <w:rsid w:val="004453E5"/>
    <w:rsid w:val="00445795"/>
    <w:rsid w:val="00446AF6"/>
    <w:rsid w:val="00452436"/>
    <w:rsid w:val="00452AB7"/>
    <w:rsid w:val="00453273"/>
    <w:rsid w:val="00453F38"/>
    <w:rsid w:val="00454F3F"/>
    <w:rsid w:val="00455C63"/>
    <w:rsid w:val="004565B8"/>
    <w:rsid w:val="004606F5"/>
    <w:rsid w:val="00462F93"/>
    <w:rsid w:val="00463107"/>
    <w:rsid w:val="00465990"/>
    <w:rsid w:val="00465A2B"/>
    <w:rsid w:val="00470422"/>
    <w:rsid w:val="004706AD"/>
    <w:rsid w:val="0047206F"/>
    <w:rsid w:val="00472511"/>
    <w:rsid w:val="004730CE"/>
    <w:rsid w:val="004738F0"/>
    <w:rsid w:val="00473D6A"/>
    <w:rsid w:val="00473FE7"/>
    <w:rsid w:val="00474987"/>
    <w:rsid w:val="00475A2F"/>
    <w:rsid w:val="00477F98"/>
    <w:rsid w:val="00485063"/>
    <w:rsid w:val="00486056"/>
    <w:rsid w:val="004877B6"/>
    <w:rsid w:val="00490D32"/>
    <w:rsid w:val="0049129F"/>
    <w:rsid w:val="00492467"/>
    <w:rsid w:val="0049638B"/>
    <w:rsid w:val="00496E53"/>
    <w:rsid w:val="004978CB"/>
    <w:rsid w:val="00497B84"/>
    <w:rsid w:val="00497D09"/>
    <w:rsid w:val="004A0A6F"/>
    <w:rsid w:val="004A38DF"/>
    <w:rsid w:val="004A44EB"/>
    <w:rsid w:val="004A6A4E"/>
    <w:rsid w:val="004B2267"/>
    <w:rsid w:val="004B3A1E"/>
    <w:rsid w:val="004B3AAE"/>
    <w:rsid w:val="004B5803"/>
    <w:rsid w:val="004B6BBA"/>
    <w:rsid w:val="004C2FED"/>
    <w:rsid w:val="004C5560"/>
    <w:rsid w:val="004C5BDE"/>
    <w:rsid w:val="004C65F5"/>
    <w:rsid w:val="004C6A45"/>
    <w:rsid w:val="004D553D"/>
    <w:rsid w:val="004D5829"/>
    <w:rsid w:val="004D6009"/>
    <w:rsid w:val="004D618A"/>
    <w:rsid w:val="004D640C"/>
    <w:rsid w:val="004E01DF"/>
    <w:rsid w:val="004E0D84"/>
    <w:rsid w:val="004E26ED"/>
    <w:rsid w:val="004E2A52"/>
    <w:rsid w:val="004E2BBD"/>
    <w:rsid w:val="004E3790"/>
    <w:rsid w:val="004E6A40"/>
    <w:rsid w:val="004E7873"/>
    <w:rsid w:val="004F0747"/>
    <w:rsid w:val="004F4322"/>
    <w:rsid w:val="004F459A"/>
    <w:rsid w:val="004F622B"/>
    <w:rsid w:val="004F7369"/>
    <w:rsid w:val="004F7727"/>
    <w:rsid w:val="00500F84"/>
    <w:rsid w:val="00501F1A"/>
    <w:rsid w:val="00504CBF"/>
    <w:rsid w:val="00505038"/>
    <w:rsid w:val="00506310"/>
    <w:rsid w:val="00507053"/>
    <w:rsid w:val="00511767"/>
    <w:rsid w:val="005120B9"/>
    <w:rsid w:val="005124B6"/>
    <w:rsid w:val="00514A77"/>
    <w:rsid w:val="00514D79"/>
    <w:rsid w:val="00515AA3"/>
    <w:rsid w:val="00521FE4"/>
    <w:rsid w:val="00523A41"/>
    <w:rsid w:val="00525A40"/>
    <w:rsid w:val="00527842"/>
    <w:rsid w:val="005279C8"/>
    <w:rsid w:val="00527A33"/>
    <w:rsid w:val="005311F4"/>
    <w:rsid w:val="005333DA"/>
    <w:rsid w:val="00535B0C"/>
    <w:rsid w:val="00535F18"/>
    <w:rsid w:val="005379C1"/>
    <w:rsid w:val="005401E3"/>
    <w:rsid w:val="00544539"/>
    <w:rsid w:val="005462F9"/>
    <w:rsid w:val="00546B54"/>
    <w:rsid w:val="00546CD9"/>
    <w:rsid w:val="00547CB0"/>
    <w:rsid w:val="00550C2C"/>
    <w:rsid w:val="00551599"/>
    <w:rsid w:val="00552338"/>
    <w:rsid w:val="005539CE"/>
    <w:rsid w:val="00553F8D"/>
    <w:rsid w:val="00554F55"/>
    <w:rsid w:val="00555276"/>
    <w:rsid w:val="005567AF"/>
    <w:rsid w:val="00560394"/>
    <w:rsid w:val="00560E2B"/>
    <w:rsid w:val="00560ED4"/>
    <w:rsid w:val="00561295"/>
    <w:rsid w:val="00562609"/>
    <w:rsid w:val="00565BD1"/>
    <w:rsid w:val="00565EFB"/>
    <w:rsid w:val="00567574"/>
    <w:rsid w:val="0056780A"/>
    <w:rsid w:val="00567D95"/>
    <w:rsid w:val="005705CB"/>
    <w:rsid w:val="00570C3E"/>
    <w:rsid w:val="005716CE"/>
    <w:rsid w:val="005722F8"/>
    <w:rsid w:val="005724C8"/>
    <w:rsid w:val="005725C7"/>
    <w:rsid w:val="00580F9F"/>
    <w:rsid w:val="00581B64"/>
    <w:rsid w:val="00582F9D"/>
    <w:rsid w:val="00583725"/>
    <w:rsid w:val="005851BA"/>
    <w:rsid w:val="00586EED"/>
    <w:rsid w:val="005873E4"/>
    <w:rsid w:val="005903CD"/>
    <w:rsid w:val="0059364F"/>
    <w:rsid w:val="00594A09"/>
    <w:rsid w:val="00594A20"/>
    <w:rsid w:val="00596785"/>
    <w:rsid w:val="0059689A"/>
    <w:rsid w:val="005A0FA6"/>
    <w:rsid w:val="005A100D"/>
    <w:rsid w:val="005A37C2"/>
    <w:rsid w:val="005A4586"/>
    <w:rsid w:val="005B1C52"/>
    <w:rsid w:val="005B2007"/>
    <w:rsid w:val="005B3B7B"/>
    <w:rsid w:val="005B3EEC"/>
    <w:rsid w:val="005B412B"/>
    <w:rsid w:val="005B65A4"/>
    <w:rsid w:val="005C12F9"/>
    <w:rsid w:val="005C17BF"/>
    <w:rsid w:val="005C20F1"/>
    <w:rsid w:val="005C41A4"/>
    <w:rsid w:val="005C42A0"/>
    <w:rsid w:val="005C4319"/>
    <w:rsid w:val="005C543C"/>
    <w:rsid w:val="005C5A1E"/>
    <w:rsid w:val="005C66A0"/>
    <w:rsid w:val="005D12C3"/>
    <w:rsid w:val="005D213B"/>
    <w:rsid w:val="005D3EE0"/>
    <w:rsid w:val="005D3FBD"/>
    <w:rsid w:val="005D51A1"/>
    <w:rsid w:val="005D67CA"/>
    <w:rsid w:val="005D6DCB"/>
    <w:rsid w:val="005D6FB5"/>
    <w:rsid w:val="005D77FF"/>
    <w:rsid w:val="005D784A"/>
    <w:rsid w:val="005E0349"/>
    <w:rsid w:val="005E17BD"/>
    <w:rsid w:val="005E2AC3"/>
    <w:rsid w:val="005E7932"/>
    <w:rsid w:val="005F1BAF"/>
    <w:rsid w:val="005F1BE5"/>
    <w:rsid w:val="005F2BB4"/>
    <w:rsid w:val="005F2D5A"/>
    <w:rsid w:val="005F3507"/>
    <w:rsid w:val="005F4481"/>
    <w:rsid w:val="005F5005"/>
    <w:rsid w:val="005F5E3F"/>
    <w:rsid w:val="006025A9"/>
    <w:rsid w:val="006025B5"/>
    <w:rsid w:val="006025E4"/>
    <w:rsid w:val="006043B2"/>
    <w:rsid w:val="006048AE"/>
    <w:rsid w:val="00605473"/>
    <w:rsid w:val="0060601A"/>
    <w:rsid w:val="00606588"/>
    <w:rsid w:val="00606E90"/>
    <w:rsid w:val="006077FD"/>
    <w:rsid w:val="00607CFB"/>
    <w:rsid w:val="006102C0"/>
    <w:rsid w:val="0061274E"/>
    <w:rsid w:val="00613185"/>
    <w:rsid w:val="006131E9"/>
    <w:rsid w:val="006138F4"/>
    <w:rsid w:val="00615BB4"/>
    <w:rsid w:val="00616CA2"/>
    <w:rsid w:val="006179AF"/>
    <w:rsid w:val="00622299"/>
    <w:rsid w:val="00623802"/>
    <w:rsid w:val="00623BF4"/>
    <w:rsid w:val="006248AB"/>
    <w:rsid w:val="0062534B"/>
    <w:rsid w:val="00625BF1"/>
    <w:rsid w:val="00625FD5"/>
    <w:rsid w:val="0063338B"/>
    <w:rsid w:val="0063371F"/>
    <w:rsid w:val="00636221"/>
    <w:rsid w:val="0063714B"/>
    <w:rsid w:val="00642191"/>
    <w:rsid w:val="00643332"/>
    <w:rsid w:val="00644FC5"/>
    <w:rsid w:val="00647228"/>
    <w:rsid w:val="006476AD"/>
    <w:rsid w:val="00647CDC"/>
    <w:rsid w:val="0065009F"/>
    <w:rsid w:val="006503EE"/>
    <w:rsid w:val="00650922"/>
    <w:rsid w:val="00650E13"/>
    <w:rsid w:val="00651EB4"/>
    <w:rsid w:val="00653918"/>
    <w:rsid w:val="006553F2"/>
    <w:rsid w:val="00655461"/>
    <w:rsid w:val="00661C97"/>
    <w:rsid w:val="00661F20"/>
    <w:rsid w:val="00662EC9"/>
    <w:rsid w:val="00663BC7"/>
    <w:rsid w:val="00664B19"/>
    <w:rsid w:val="006659F9"/>
    <w:rsid w:val="00665D4D"/>
    <w:rsid w:val="00665FB7"/>
    <w:rsid w:val="0066754F"/>
    <w:rsid w:val="00670059"/>
    <w:rsid w:val="006701B3"/>
    <w:rsid w:val="0067079E"/>
    <w:rsid w:val="00670AD4"/>
    <w:rsid w:val="00672C77"/>
    <w:rsid w:val="00673F29"/>
    <w:rsid w:val="0067453B"/>
    <w:rsid w:val="006764EE"/>
    <w:rsid w:val="0068286E"/>
    <w:rsid w:val="00683528"/>
    <w:rsid w:val="00684244"/>
    <w:rsid w:val="00684319"/>
    <w:rsid w:val="006848D5"/>
    <w:rsid w:val="00687160"/>
    <w:rsid w:val="006915DE"/>
    <w:rsid w:val="006917E7"/>
    <w:rsid w:val="00692469"/>
    <w:rsid w:val="00692696"/>
    <w:rsid w:val="0069454C"/>
    <w:rsid w:val="00695F08"/>
    <w:rsid w:val="006974E5"/>
    <w:rsid w:val="00697BB5"/>
    <w:rsid w:val="00697C2D"/>
    <w:rsid w:val="006A032F"/>
    <w:rsid w:val="006A0B4C"/>
    <w:rsid w:val="006A1631"/>
    <w:rsid w:val="006A2E3A"/>
    <w:rsid w:val="006A2F3D"/>
    <w:rsid w:val="006A30DC"/>
    <w:rsid w:val="006A347B"/>
    <w:rsid w:val="006A39E0"/>
    <w:rsid w:val="006A6962"/>
    <w:rsid w:val="006A7FE9"/>
    <w:rsid w:val="006B0A93"/>
    <w:rsid w:val="006B1E21"/>
    <w:rsid w:val="006B1E9E"/>
    <w:rsid w:val="006B3460"/>
    <w:rsid w:val="006B49F8"/>
    <w:rsid w:val="006B4D4D"/>
    <w:rsid w:val="006B56C5"/>
    <w:rsid w:val="006B69EC"/>
    <w:rsid w:val="006B7539"/>
    <w:rsid w:val="006C6CA6"/>
    <w:rsid w:val="006C7F02"/>
    <w:rsid w:val="006D01B7"/>
    <w:rsid w:val="006D1404"/>
    <w:rsid w:val="006D2BE1"/>
    <w:rsid w:val="006D3833"/>
    <w:rsid w:val="006D5CCF"/>
    <w:rsid w:val="006D696E"/>
    <w:rsid w:val="006D71BA"/>
    <w:rsid w:val="006E0A41"/>
    <w:rsid w:val="006E1C33"/>
    <w:rsid w:val="006E2609"/>
    <w:rsid w:val="006E30A8"/>
    <w:rsid w:val="006E3496"/>
    <w:rsid w:val="006E599C"/>
    <w:rsid w:val="006E7311"/>
    <w:rsid w:val="006F0CFE"/>
    <w:rsid w:val="006F2BC8"/>
    <w:rsid w:val="006F4667"/>
    <w:rsid w:val="006F4775"/>
    <w:rsid w:val="006F4DA1"/>
    <w:rsid w:val="006F4F74"/>
    <w:rsid w:val="006F4F87"/>
    <w:rsid w:val="006F59F8"/>
    <w:rsid w:val="007000C7"/>
    <w:rsid w:val="00700D84"/>
    <w:rsid w:val="00701A67"/>
    <w:rsid w:val="00702FE3"/>
    <w:rsid w:val="00703BCE"/>
    <w:rsid w:val="007042F6"/>
    <w:rsid w:val="0070500A"/>
    <w:rsid w:val="00706366"/>
    <w:rsid w:val="007071A5"/>
    <w:rsid w:val="007075ED"/>
    <w:rsid w:val="00711AF8"/>
    <w:rsid w:val="007140E3"/>
    <w:rsid w:val="00714856"/>
    <w:rsid w:val="007152B1"/>
    <w:rsid w:val="00715C73"/>
    <w:rsid w:val="00715D3F"/>
    <w:rsid w:val="00716BCE"/>
    <w:rsid w:val="00717F75"/>
    <w:rsid w:val="0072284C"/>
    <w:rsid w:val="00722B44"/>
    <w:rsid w:val="00722C1D"/>
    <w:rsid w:val="00722EEF"/>
    <w:rsid w:val="00723D01"/>
    <w:rsid w:val="0072436D"/>
    <w:rsid w:val="007256EF"/>
    <w:rsid w:val="00727FFE"/>
    <w:rsid w:val="007307D3"/>
    <w:rsid w:val="00730B4C"/>
    <w:rsid w:val="007314DC"/>
    <w:rsid w:val="00735FF8"/>
    <w:rsid w:val="00736534"/>
    <w:rsid w:val="0073660A"/>
    <w:rsid w:val="00737417"/>
    <w:rsid w:val="00737FD5"/>
    <w:rsid w:val="0074039C"/>
    <w:rsid w:val="0074056B"/>
    <w:rsid w:val="00741010"/>
    <w:rsid w:val="00741B93"/>
    <w:rsid w:val="00741FB7"/>
    <w:rsid w:val="007426F5"/>
    <w:rsid w:val="0074426B"/>
    <w:rsid w:val="00744ECF"/>
    <w:rsid w:val="0074522D"/>
    <w:rsid w:val="00745DBC"/>
    <w:rsid w:val="007514F8"/>
    <w:rsid w:val="00752AB8"/>
    <w:rsid w:val="00755015"/>
    <w:rsid w:val="00760791"/>
    <w:rsid w:val="007618CF"/>
    <w:rsid w:val="00763312"/>
    <w:rsid w:val="00763591"/>
    <w:rsid w:val="00766E2D"/>
    <w:rsid w:val="00767B59"/>
    <w:rsid w:val="00767C07"/>
    <w:rsid w:val="00770A66"/>
    <w:rsid w:val="0077655E"/>
    <w:rsid w:val="00776B44"/>
    <w:rsid w:val="007800D5"/>
    <w:rsid w:val="00780AC2"/>
    <w:rsid w:val="00780EC5"/>
    <w:rsid w:val="0078158C"/>
    <w:rsid w:val="0078319E"/>
    <w:rsid w:val="007863C3"/>
    <w:rsid w:val="00786FC1"/>
    <w:rsid w:val="00786FFF"/>
    <w:rsid w:val="0078772C"/>
    <w:rsid w:val="00787930"/>
    <w:rsid w:val="0079096F"/>
    <w:rsid w:val="0079180C"/>
    <w:rsid w:val="00794485"/>
    <w:rsid w:val="0079450C"/>
    <w:rsid w:val="00794D8A"/>
    <w:rsid w:val="00795963"/>
    <w:rsid w:val="00796343"/>
    <w:rsid w:val="00797D22"/>
    <w:rsid w:val="007A1265"/>
    <w:rsid w:val="007A194E"/>
    <w:rsid w:val="007B025D"/>
    <w:rsid w:val="007B264A"/>
    <w:rsid w:val="007B3082"/>
    <w:rsid w:val="007B3BC3"/>
    <w:rsid w:val="007B55DF"/>
    <w:rsid w:val="007B621A"/>
    <w:rsid w:val="007B65E6"/>
    <w:rsid w:val="007B7283"/>
    <w:rsid w:val="007C16AB"/>
    <w:rsid w:val="007C1C6A"/>
    <w:rsid w:val="007C26E8"/>
    <w:rsid w:val="007C5B37"/>
    <w:rsid w:val="007C6877"/>
    <w:rsid w:val="007D05D4"/>
    <w:rsid w:val="007D0795"/>
    <w:rsid w:val="007D462D"/>
    <w:rsid w:val="007D77F6"/>
    <w:rsid w:val="007D7B90"/>
    <w:rsid w:val="007E1C4E"/>
    <w:rsid w:val="007E3300"/>
    <w:rsid w:val="007E4192"/>
    <w:rsid w:val="007E5547"/>
    <w:rsid w:val="007E761D"/>
    <w:rsid w:val="007E7E00"/>
    <w:rsid w:val="007E7F91"/>
    <w:rsid w:val="007F0F8B"/>
    <w:rsid w:val="007F1931"/>
    <w:rsid w:val="007F25CB"/>
    <w:rsid w:val="007F275D"/>
    <w:rsid w:val="007F3E65"/>
    <w:rsid w:val="007F4C64"/>
    <w:rsid w:val="007F54DA"/>
    <w:rsid w:val="007F6123"/>
    <w:rsid w:val="007F627F"/>
    <w:rsid w:val="007F6EE2"/>
    <w:rsid w:val="00800373"/>
    <w:rsid w:val="00802252"/>
    <w:rsid w:val="00802C2C"/>
    <w:rsid w:val="00803C13"/>
    <w:rsid w:val="00804E7E"/>
    <w:rsid w:val="00806624"/>
    <w:rsid w:val="00811C15"/>
    <w:rsid w:val="00812478"/>
    <w:rsid w:val="00812C0F"/>
    <w:rsid w:val="00812E41"/>
    <w:rsid w:val="00813096"/>
    <w:rsid w:val="00813125"/>
    <w:rsid w:val="00815347"/>
    <w:rsid w:val="00817C15"/>
    <w:rsid w:val="00824E47"/>
    <w:rsid w:val="00825272"/>
    <w:rsid w:val="00826371"/>
    <w:rsid w:val="0082710F"/>
    <w:rsid w:val="00827F27"/>
    <w:rsid w:val="00832223"/>
    <w:rsid w:val="00832AB5"/>
    <w:rsid w:val="0083319F"/>
    <w:rsid w:val="008332D8"/>
    <w:rsid w:val="00833B57"/>
    <w:rsid w:val="008352BC"/>
    <w:rsid w:val="00836303"/>
    <w:rsid w:val="0083641A"/>
    <w:rsid w:val="008409BC"/>
    <w:rsid w:val="00840FC8"/>
    <w:rsid w:val="0084324A"/>
    <w:rsid w:val="008467BC"/>
    <w:rsid w:val="0084755A"/>
    <w:rsid w:val="008507D6"/>
    <w:rsid w:val="00850F1B"/>
    <w:rsid w:val="008513A4"/>
    <w:rsid w:val="0085374F"/>
    <w:rsid w:val="00853CF6"/>
    <w:rsid w:val="008553EC"/>
    <w:rsid w:val="00856547"/>
    <w:rsid w:val="00856C2F"/>
    <w:rsid w:val="008579B5"/>
    <w:rsid w:val="008579FB"/>
    <w:rsid w:val="0086031F"/>
    <w:rsid w:val="0086259A"/>
    <w:rsid w:val="00862AA4"/>
    <w:rsid w:val="00862CE0"/>
    <w:rsid w:val="00865A49"/>
    <w:rsid w:val="0086764F"/>
    <w:rsid w:val="008718C6"/>
    <w:rsid w:val="00871E4D"/>
    <w:rsid w:val="008726CB"/>
    <w:rsid w:val="0087283C"/>
    <w:rsid w:val="00872F24"/>
    <w:rsid w:val="00873274"/>
    <w:rsid w:val="00873C5F"/>
    <w:rsid w:val="00876B1D"/>
    <w:rsid w:val="008832D8"/>
    <w:rsid w:val="00884F47"/>
    <w:rsid w:val="00885EA7"/>
    <w:rsid w:val="00886A33"/>
    <w:rsid w:val="00886FD7"/>
    <w:rsid w:val="0088733B"/>
    <w:rsid w:val="008875A5"/>
    <w:rsid w:val="00891653"/>
    <w:rsid w:val="00893C50"/>
    <w:rsid w:val="008957CC"/>
    <w:rsid w:val="00896514"/>
    <w:rsid w:val="008972C9"/>
    <w:rsid w:val="008A0D96"/>
    <w:rsid w:val="008A3478"/>
    <w:rsid w:val="008A3D27"/>
    <w:rsid w:val="008A6E6A"/>
    <w:rsid w:val="008B02F1"/>
    <w:rsid w:val="008B2FA5"/>
    <w:rsid w:val="008B522C"/>
    <w:rsid w:val="008B58D6"/>
    <w:rsid w:val="008B796F"/>
    <w:rsid w:val="008C1FF2"/>
    <w:rsid w:val="008C29D4"/>
    <w:rsid w:val="008C2C2D"/>
    <w:rsid w:val="008C57F4"/>
    <w:rsid w:val="008C76AD"/>
    <w:rsid w:val="008C7C71"/>
    <w:rsid w:val="008D15BF"/>
    <w:rsid w:val="008D2A3A"/>
    <w:rsid w:val="008D54DD"/>
    <w:rsid w:val="008D6952"/>
    <w:rsid w:val="008D7038"/>
    <w:rsid w:val="008D76B0"/>
    <w:rsid w:val="008E4D3B"/>
    <w:rsid w:val="008F0B0D"/>
    <w:rsid w:val="008F0D77"/>
    <w:rsid w:val="008F158F"/>
    <w:rsid w:val="008F1EA7"/>
    <w:rsid w:val="008F2D60"/>
    <w:rsid w:val="008F37DC"/>
    <w:rsid w:val="008F4C1F"/>
    <w:rsid w:val="008F5823"/>
    <w:rsid w:val="008F5AEC"/>
    <w:rsid w:val="00901361"/>
    <w:rsid w:val="00901763"/>
    <w:rsid w:val="00901A5B"/>
    <w:rsid w:val="0090287F"/>
    <w:rsid w:val="009033E7"/>
    <w:rsid w:val="009043E9"/>
    <w:rsid w:val="00906543"/>
    <w:rsid w:val="00910128"/>
    <w:rsid w:val="00910D10"/>
    <w:rsid w:val="00913027"/>
    <w:rsid w:val="00920E8F"/>
    <w:rsid w:val="00921687"/>
    <w:rsid w:val="009216F6"/>
    <w:rsid w:val="00921766"/>
    <w:rsid w:val="00921F87"/>
    <w:rsid w:val="009257C1"/>
    <w:rsid w:val="00927249"/>
    <w:rsid w:val="009307AA"/>
    <w:rsid w:val="009308C8"/>
    <w:rsid w:val="00930B90"/>
    <w:rsid w:val="00932010"/>
    <w:rsid w:val="00932AF4"/>
    <w:rsid w:val="00933881"/>
    <w:rsid w:val="00937C8F"/>
    <w:rsid w:val="0094174A"/>
    <w:rsid w:val="00941EF5"/>
    <w:rsid w:val="009422FE"/>
    <w:rsid w:val="0094519A"/>
    <w:rsid w:val="00950D31"/>
    <w:rsid w:val="00951947"/>
    <w:rsid w:val="00952CE5"/>
    <w:rsid w:val="009543D9"/>
    <w:rsid w:val="009560FD"/>
    <w:rsid w:val="009614C7"/>
    <w:rsid w:val="009636A7"/>
    <w:rsid w:val="00964FF2"/>
    <w:rsid w:val="009652EA"/>
    <w:rsid w:val="00965FE3"/>
    <w:rsid w:val="00970F7D"/>
    <w:rsid w:val="00972993"/>
    <w:rsid w:val="009742D2"/>
    <w:rsid w:val="009747CB"/>
    <w:rsid w:val="00975ACD"/>
    <w:rsid w:val="00975F8F"/>
    <w:rsid w:val="009801FE"/>
    <w:rsid w:val="00984C7A"/>
    <w:rsid w:val="00986341"/>
    <w:rsid w:val="0099101B"/>
    <w:rsid w:val="009939B6"/>
    <w:rsid w:val="0099400C"/>
    <w:rsid w:val="009944C5"/>
    <w:rsid w:val="00995BA2"/>
    <w:rsid w:val="009A121C"/>
    <w:rsid w:val="009A2E7E"/>
    <w:rsid w:val="009A3F95"/>
    <w:rsid w:val="009A4FCB"/>
    <w:rsid w:val="009A55F0"/>
    <w:rsid w:val="009A5805"/>
    <w:rsid w:val="009A5CB7"/>
    <w:rsid w:val="009A79E2"/>
    <w:rsid w:val="009B021E"/>
    <w:rsid w:val="009B2E2E"/>
    <w:rsid w:val="009B4375"/>
    <w:rsid w:val="009B4736"/>
    <w:rsid w:val="009B609A"/>
    <w:rsid w:val="009C1BE3"/>
    <w:rsid w:val="009C2B55"/>
    <w:rsid w:val="009C2EFE"/>
    <w:rsid w:val="009C3229"/>
    <w:rsid w:val="009C5015"/>
    <w:rsid w:val="009C5A53"/>
    <w:rsid w:val="009C6992"/>
    <w:rsid w:val="009D07C3"/>
    <w:rsid w:val="009D1261"/>
    <w:rsid w:val="009D1BB3"/>
    <w:rsid w:val="009D3AC0"/>
    <w:rsid w:val="009D5B9F"/>
    <w:rsid w:val="009D6D3A"/>
    <w:rsid w:val="009E22A1"/>
    <w:rsid w:val="009E2E9A"/>
    <w:rsid w:val="009E3BC7"/>
    <w:rsid w:val="009E7736"/>
    <w:rsid w:val="009F0364"/>
    <w:rsid w:val="009F0FBC"/>
    <w:rsid w:val="009F2927"/>
    <w:rsid w:val="009F2F6C"/>
    <w:rsid w:val="009F3AB2"/>
    <w:rsid w:val="009F7269"/>
    <w:rsid w:val="00A02627"/>
    <w:rsid w:val="00A034B1"/>
    <w:rsid w:val="00A051D1"/>
    <w:rsid w:val="00A05810"/>
    <w:rsid w:val="00A05ED2"/>
    <w:rsid w:val="00A06CE6"/>
    <w:rsid w:val="00A1065D"/>
    <w:rsid w:val="00A10826"/>
    <w:rsid w:val="00A11DE0"/>
    <w:rsid w:val="00A137C1"/>
    <w:rsid w:val="00A13938"/>
    <w:rsid w:val="00A148CB"/>
    <w:rsid w:val="00A15EFA"/>
    <w:rsid w:val="00A165D9"/>
    <w:rsid w:val="00A17DA1"/>
    <w:rsid w:val="00A20F5C"/>
    <w:rsid w:val="00A2169D"/>
    <w:rsid w:val="00A22306"/>
    <w:rsid w:val="00A225F7"/>
    <w:rsid w:val="00A23FE4"/>
    <w:rsid w:val="00A24857"/>
    <w:rsid w:val="00A27C7D"/>
    <w:rsid w:val="00A35A35"/>
    <w:rsid w:val="00A35A76"/>
    <w:rsid w:val="00A377C7"/>
    <w:rsid w:val="00A37959"/>
    <w:rsid w:val="00A3798F"/>
    <w:rsid w:val="00A4136E"/>
    <w:rsid w:val="00A42CD4"/>
    <w:rsid w:val="00A430B3"/>
    <w:rsid w:val="00A47540"/>
    <w:rsid w:val="00A50FDF"/>
    <w:rsid w:val="00A60D56"/>
    <w:rsid w:val="00A6294C"/>
    <w:rsid w:val="00A64913"/>
    <w:rsid w:val="00A649AA"/>
    <w:rsid w:val="00A65875"/>
    <w:rsid w:val="00A67608"/>
    <w:rsid w:val="00A71179"/>
    <w:rsid w:val="00A71CEA"/>
    <w:rsid w:val="00A72F4F"/>
    <w:rsid w:val="00A7586E"/>
    <w:rsid w:val="00A76EF4"/>
    <w:rsid w:val="00A85682"/>
    <w:rsid w:val="00A86167"/>
    <w:rsid w:val="00A905BB"/>
    <w:rsid w:val="00A9070F"/>
    <w:rsid w:val="00A93323"/>
    <w:rsid w:val="00A935E4"/>
    <w:rsid w:val="00A94B9A"/>
    <w:rsid w:val="00A95CDB"/>
    <w:rsid w:val="00A969EB"/>
    <w:rsid w:val="00AA18B6"/>
    <w:rsid w:val="00AA18D4"/>
    <w:rsid w:val="00AA1A56"/>
    <w:rsid w:val="00AA1C59"/>
    <w:rsid w:val="00AA3489"/>
    <w:rsid w:val="00AA68E9"/>
    <w:rsid w:val="00AA6992"/>
    <w:rsid w:val="00AB0559"/>
    <w:rsid w:val="00AB26E6"/>
    <w:rsid w:val="00AB62AE"/>
    <w:rsid w:val="00AC076A"/>
    <w:rsid w:val="00AC3177"/>
    <w:rsid w:val="00AC3D77"/>
    <w:rsid w:val="00AC4A5D"/>
    <w:rsid w:val="00AC4F07"/>
    <w:rsid w:val="00AC5A53"/>
    <w:rsid w:val="00AC6B07"/>
    <w:rsid w:val="00AC778E"/>
    <w:rsid w:val="00AD6A67"/>
    <w:rsid w:val="00AE05AD"/>
    <w:rsid w:val="00AE37AE"/>
    <w:rsid w:val="00AE4919"/>
    <w:rsid w:val="00AE49C1"/>
    <w:rsid w:val="00AE4F4D"/>
    <w:rsid w:val="00AE5FE9"/>
    <w:rsid w:val="00AE600C"/>
    <w:rsid w:val="00AE6901"/>
    <w:rsid w:val="00AE7A5F"/>
    <w:rsid w:val="00AF0D46"/>
    <w:rsid w:val="00AF285C"/>
    <w:rsid w:val="00AF3829"/>
    <w:rsid w:val="00AF56D1"/>
    <w:rsid w:val="00AF7121"/>
    <w:rsid w:val="00AF7483"/>
    <w:rsid w:val="00AF75A2"/>
    <w:rsid w:val="00AF76D6"/>
    <w:rsid w:val="00B027D1"/>
    <w:rsid w:val="00B02AF0"/>
    <w:rsid w:val="00B04F30"/>
    <w:rsid w:val="00B0531C"/>
    <w:rsid w:val="00B05826"/>
    <w:rsid w:val="00B12EFD"/>
    <w:rsid w:val="00B1366E"/>
    <w:rsid w:val="00B13AD3"/>
    <w:rsid w:val="00B14544"/>
    <w:rsid w:val="00B145FF"/>
    <w:rsid w:val="00B1645E"/>
    <w:rsid w:val="00B20F86"/>
    <w:rsid w:val="00B21197"/>
    <w:rsid w:val="00B21202"/>
    <w:rsid w:val="00B21965"/>
    <w:rsid w:val="00B225D6"/>
    <w:rsid w:val="00B231E1"/>
    <w:rsid w:val="00B2464F"/>
    <w:rsid w:val="00B2507A"/>
    <w:rsid w:val="00B26C95"/>
    <w:rsid w:val="00B27471"/>
    <w:rsid w:val="00B27F8C"/>
    <w:rsid w:val="00B31553"/>
    <w:rsid w:val="00B31719"/>
    <w:rsid w:val="00B35691"/>
    <w:rsid w:val="00B379A6"/>
    <w:rsid w:val="00B40EC9"/>
    <w:rsid w:val="00B4146C"/>
    <w:rsid w:val="00B43194"/>
    <w:rsid w:val="00B445F0"/>
    <w:rsid w:val="00B50457"/>
    <w:rsid w:val="00B5165F"/>
    <w:rsid w:val="00B51F2F"/>
    <w:rsid w:val="00B51F77"/>
    <w:rsid w:val="00B52FB8"/>
    <w:rsid w:val="00B538E8"/>
    <w:rsid w:val="00B53F31"/>
    <w:rsid w:val="00B574B6"/>
    <w:rsid w:val="00B57595"/>
    <w:rsid w:val="00B616EE"/>
    <w:rsid w:val="00B6324F"/>
    <w:rsid w:val="00B635D7"/>
    <w:rsid w:val="00B6636F"/>
    <w:rsid w:val="00B705D6"/>
    <w:rsid w:val="00B70F35"/>
    <w:rsid w:val="00B71004"/>
    <w:rsid w:val="00B72340"/>
    <w:rsid w:val="00B73B77"/>
    <w:rsid w:val="00B73D38"/>
    <w:rsid w:val="00B76793"/>
    <w:rsid w:val="00B8066F"/>
    <w:rsid w:val="00B85509"/>
    <w:rsid w:val="00B85C52"/>
    <w:rsid w:val="00B87B3C"/>
    <w:rsid w:val="00B900FF"/>
    <w:rsid w:val="00B91076"/>
    <w:rsid w:val="00B918EB"/>
    <w:rsid w:val="00B9193E"/>
    <w:rsid w:val="00B92F2B"/>
    <w:rsid w:val="00B933C0"/>
    <w:rsid w:val="00B93820"/>
    <w:rsid w:val="00B938D6"/>
    <w:rsid w:val="00B9698A"/>
    <w:rsid w:val="00B97DBB"/>
    <w:rsid w:val="00BA2443"/>
    <w:rsid w:val="00BA5B76"/>
    <w:rsid w:val="00BA5F4B"/>
    <w:rsid w:val="00BA7C50"/>
    <w:rsid w:val="00BB0EA6"/>
    <w:rsid w:val="00BB22F2"/>
    <w:rsid w:val="00BB251F"/>
    <w:rsid w:val="00BB5E20"/>
    <w:rsid w:val="00BB62C6"/>
    <w:rsid w:val="00BB7EEC"/>
    <w:rsid w:val="00BC07C0"/>
    <w:rsid w:val="00BC53C2"/>
    <w:rsid w:val="00BC7B6F"/>
    <w:rsid w:val="00BD0653"/>
    <w:rsid w:val="00BD3B02"/>
    <w:rsid w:val="00BD5277"/>
    <w:rsid w:val="00BD75D3"/>
    <w:rsid w:val="00BE16C7"/>
    <w:rsid w:val="00BE2DFE"/>
    <w:rsid w:val="00BE603A"/>
    <w:rsid w:val="00BF098A"/>
    <w:rsid w:val="00BF1FA9"/>
    <w:rsid w:val="00BF2A4B"/>
    <w:rsid w:val="00BF2BDD"/>
    <w:rsid w:val="00BF3217"/>
    <w:rsid w:val="00BF38AA"/>
    <w:rsid w:val="00BF562D"/>
    <w:rsid w:val="00BF63B0"/>
    <w:rsid w:val="00C016C1"/>
    <w:rsid w:val="00C026F1"/>
    <w:rsid w:val="00C03AFA"/>
    <w:rsid w:val="00C0520F"/>
    <w:rsid w:val="00C06365"/>
    <w:rsid w:val="00C11319"/>
    <w:rsid w:val="00C13F27"/>
    <w:rsid w:val="00C15FC8"/>
    <w:rsid w:val="00C161F6"/>
    <w:rsid w:val="00C20F7F"/>
    <w:rsid w:val="00C21F57"/>
    <w:rsid w:val="00C23E33"/>
    <w:rsid w:val="00C2496B"/>
    <w:rsid w:val="00C2742F"/>
    <w:rsid w:val="00C30053"/>
    <w:rsid w:val="00C304BE"/>
    <w:rsid w:val="00C305B4"/>
    <w:rsid w:val="00C314E7"/>
    <w:rsid w:val="00C3352C"/>
    <w:rsid w:val="00C362AB"/>
    <w:rsid w:val="00C43AB0"/>
    <w:rsid w:val="00C44B04"/>
    <w:rsid w:val="00C44D74"/>
    <w:rsid w:val="00C450FA"/>
    <w:rsid w:val="00C4657E"/>
    <w:rsid w:val="00C505E9"/>
    <w:rsid w:val="00C5063C"/>
    <w:rsid w:val="00C50B39"/>
    <w:rsid w:val="00C51421"/>
    <w:rsid w:val="00C5241D"/>
    <w:rsid w:val="00C52F7C"/>
    <w:rsid w:val="00C606FC"/>
    <w:rsid w:val="00C64428"/>
    <w:rsid w:val="00C65E6D"/>
    <w:rsid w:val="00C661B0"/>
    <w:rsid w:val="00C679EC"/>
    <w:rsid w:val="00C67BFC"/>
    <w:rsid w:val="00C706ED"/>
    <w:rsid w:val="00C70AAF"/>
    <w:rsid w:val="00C71D0A"/>
    <w:rsid w:val="00C72062"/>
    <w:rsid w:val="00C73B12"/>
    <w:rsid w:val="00C740F9"/>
    <w:rsid w:val="00C75770"/>
    <w:rsid w:val="00C766F6"/>
    <w:rsid w:val="00C77164"/>
    <w:rsid w:val="00C7744E"/>
    <w:rsid w:val="00C80947"/>
    <w:rsid w:val="00C80A71"/>
    <w:rsid w:val="00C8161B"/>
    <w:rsid w:val="00C8237B"/>
    <w:rsid w:val="00C82F99"/>
    <w:rsid w:val="00C85F80"/>
    <w:rsid w:val="00C86C82"/>
    <w:rsid w:val="00C86C93"/>
    <w:rsid w:val="00C871EB"/>
    <w:rsid w:val="00C915D2"/>
    <w:rsid w:val="00C96A4B"/>
    <w:rsid w:val="00C9774C"/>
    <w:rsid w:val="00C97989"/>
    <w:rsid w:val="00CA0073"/>
    <w:rsid w:val="00CA0D73"/>
    <w:rsid w:val="00CA1595"/>
    <w:rsid w:val="00CA1B5E"/>
    <w:rsid w:val="00CA403C"/>
    <w:rsid w:val="00CA5245"/>
    <w:rsid w:val="00CA559F"/>
    <w:rsid w:val="00CA65C2"/>
    <w:rsid w:val="00CA7138"/>
    <w:rsid w:val="00CB0BE5"/>
    <w:rsid w:val="00CB160E"/>
    <w:rsid w:val="00CB1DCD"/>
    <w:rsid w:val="00CB2394"/>
    <w:rsid w:val="00CB3A86"/>
    <w:rsid w:val="00CB3F36"/>
    <w:rsid w:val="00CB4820"/>
    <w:rsid w:val="00CB51D8"/>
    <w:rsid w:val="00CB5486"/>
    <w:rsid w:val="00CB7057"/>
    <w:rsid w:val="00CB7D2E"/>
    <w:rsid w:val="00CC248F"/>
    <w:rsid w:val="00CC253F"/>
    <w:rsid w:val="00CC46C7"/>
    <w:rsid w:val="00CC5591"/>
    <w:rsid w:val="00CC6DA2"/>
    <w:rsid w:val="00CC7A49"/>
    <w:rsid w:val="00CD0068"/>
    <w:rsid w:val="00CD208E"/>
    <w:rsid w:val="00CD2627"/>
    <w:rsid w:val="00CD2D5B"/>
    <w:rsid w:val="00CD3903"/>
    <w:rsid w:val="00CD40BE"/>
    <w:rsid w:val="00CD5FF2"/>
    <w:rsid w:val="00CD62C0"/>
    <w:rsid w:val="00CE0675"/>
    <w:rsid w:val="00CE2471"/>
    <w:rsid w:val="00CE3A36"/>
    <w:rsid w:val="00CE4699"/>
    <w:rsid w:val="00CE50E8"/>
    <w:rsid w:val="00CE5CA0"/>
    <w:rsid w:val="00CE625F"/>
    <w:rsid w:val="00CE6A02"/>
    <w:rsid w:val="00CE6B33"/>
    <w:rsid w:val="00CE71CB"/>
    <w:rsid w:val="00CE7578"/>
    <w:rsid w:val="00CE7B0F"/>
    <w:rsid w:val="00CF0D66"/>
    <w:rsid w:val="00CF10B2"/>
    <w:rsid w:val="00CF1389"/>
    <w:rsid w:val="00CF24E1"/>
    <w:rsid w:val="00CF2957"/>
    <w:rsid w:val="00CF2E4D"/>
    <w:rsid w:val="00CF3379"/>
    <w:rsid w:val="00CF3CFA"/>
    <w:rsid w:val="00D004CA"/>
    <w:rsid w:val="00D01957"/>
    <w:rsid w:val="00D01BDC"/>
    <w:rsid w:val="00D024DE"/>
    <w:rsid w:val="00D03782"/>
    <w:rsid w:val="00D048B7"/>
    <w:rsid w:val="00D06251"/>
    <w:rsid w:val="00D10D5A"/>
    <w:rsid w:val="00D11339"/>
    <w:rsid w:val="00D123F8"/>
    <w:rsid w:val="00D13667"/>
    <w:rsid w:val="00D13B68"/>
    <w:rsid w:val="00D141A1"/>
    <w:rsid w:val="00D150B5"/>
    <w:rsid w:val="00D1596E"/>
    <w:rsid w:val="00D16C97"/>
    <w:rsid w:val="00D17EF1"/>
    <w:rsid w:val="00D17F89"/>
    <w:rsid w:val="00D21B62"/>
    <w:rsid w:val="00D24130"/>
    <w:rsid w:val="00D24488"/>
    <w:rsid w:val="00D248D5"/>
    <w:rsid w:val="00D24E1F"/>
    <w:rsid w:val="00D27016"/>
    <w:rsid w:val="00D27D0C"/>
    <w:rsid w:val="00D31639"/>
    <w:rsid w:val="00D31839"/>
    <w:rsid w:val="00D3310B"/>
    <w:rsid w:val="00D406DA"/>
    <w:rsid w:val="00D424A5"/>
    <w:rsid w:val="00D442F9"/>
    <w:rsid w:val="00D44B89"/>
    <w:rsid w:val="00D459CD"/>
    <w:rsid w:val="00D46A2D"/>
    <w:rsid w:val="00D47B64"/>
    <w:rsid w:val="00D51788"/>
    <w:rsid w:val="00D51905"/>
    <w:rsid w:val="00D523ED"/>
    <w:rsid w:val="00D53AB4"/>
    <w:rsid w:val="00D56A4E"/>
    <w:rsid w:val="00D56D78"/>
    <w:rsid w:val="00D60FE4"/>
    <w:rsid w:val="00D618F5"/>
    <w:rsid w:val="00D61F8C"/>
    <w:rsid w:val="00D61F94"/>
    <w:rsid w:val="00D62FC3"/>
    <w:rsid w:val="00D6363C"/>
    <w:rsid w:val="00D6424E"/>
    <w:rsid w:val="00D66666"/>
    <w:rsid w:val="00D669C3"/>
    <w:rsid w:val="00D716AB"/>
    <w:rsid w:val="00D73671"/>
    <w:rsid w:val="00D73BC8"/>
    <w:rsid w:val="00D7417C"/>
    <w:rsid w:val="00D74724"/>
    <w:rsid w:val="00D759E7"/>
    <w:rsid w:val="00D8047A"/>
    <w:rsid w:val="00D81782"/>
    <w:rsid w:val="00D81812"/>
    <w:rsid w:val="00D81C16"/>
    <w:rsid w:val="00D81FC3"/>
    <w:rsid w:val="00D82013"/>
    <w:rsid w:val="00D84242"/>
    <w:rsid w:val="00D8605A"/>
    <w:rsid w:val="00D8689C"/>
    <w:rsid w:val="00D87459"/>
    <w:rsid w:val="00D91868"/>
    <w:rsid w:val="00D92F24"/>
    <w:rsid w:val="00D93441"/>
    <w:rsid w:val="00D9440F"/>
    <w:rsid w:val="00D96981"/>
    <w:rsid w:val="00D96DF4"/>
    <w:rsid w:val="00DA03DD"/>
    <w:rsid w:val="00DA265A"/>
    <w:rsid w:val="00DA3709"/>
    <w:rsid w:val="00DA3D26"/>
    <w:rsid w:val="00DA54CA"/>
    <w:rsid w:val="00DA5A4C"/>
    <w:rsid w:val="00DA6487"/>
    <w:rsid w:val="00DA6D5A"/>
    <w:rsid w:val="00DA6F7F"/>
    <w:rsid w:val="00DA7A66"/>
    <w:rsid w:val="00DB0165"/>
    <w:rsid w:val="00DB1218"/>
    <w:rsid w:val="00DB146A"/>
    <w:rsid w:val="00DB1B4E"/>
    <w:rsid w:val="00DB2AF5"/>
    <w:rsid w:val="00DB37E7"/>
    <w:rsid w:val="00DB5370"/>
    <w:rsid w:val="00DB7B0C"/>
    <w:rsid w:val="00DC0479"/>
    <w:rsid w:val="00DC07FC"/>
    <w:rsid w:val="00DC0C25"/>
    <w:rsid w:val="00DC2A5F"/>
    <w:rsid w:val="00DC2BF7"/>
    <w:rsid w:val="00DC2F98"/>
    <w:rsid w:val="00DC434E"/>
    <w:rsid w:val="00DC4FED"/>
    <w:rsid w:val="00DC5622"/>
    <w:rsid w:val="00DD1FFC"/>
    <w:rsid w:val="00DD3240"/>
    <w:rsid w:val="00DD33AB"/>
    <w:rsid w:val="00DD3D89"/>
    <w:rsid w:val="00DD576A"/>
    <w:rsid w:val="00DD65CC"/>
    <w:rsid w:val="00DD68AA"/>
    <w:rsid w:val="00DD7975"/>
    <w:rsid w:val="00DE08D6"/>
    <w:rsid w:val="00DE3827"/>
    <w:rsid w:val="00DE3ECF"/>
    <w:rsid w:val="00DF0E86"/>
    <w:rsid w:val="00DF1E94"/>
    <w:rsid w:val="00DF3F83"/>
    <w:rsid w:val="00DF4E67"/>
    <w:rsid w:val="00DF4FBF"/>
    <w:rsid w:val="00DF7F3A"/>
    <w:rsid w:val="00E03058"/>
    <w:rsid w:val="00E0332B"/>
    <w:rsid w:val="00E04DEA"/>
    <w:rsid w:val="00E06B2E"/>
    <w:rsid w:val="00E07260"/>
    <w:rsid w:val="00E07295"/>
    <w:rsid w:val="00E0799C"/>
    <w:rsid w:val="00E1061F"/>
    <w:rsid w:val="00E1199D"/>
    <w:rsid w:val="00E11E9D"/>
    <w:rsid w:val="00E125C0"/>
    <w:rsid w:val="00E14CCA"/>
    <w:rsid w:val="00E15B7A"/>
    <w:rsid w:val="00E175E5"/>
    <w:rsid w:val="00E17D2E"/>
    <w:rsid w:val="00E225CF"/>
    <w:rsid w:val="00E24B2A"/>
    <w:rsid w:val="00E2516F"/>
    <w:rsid w:val="00E262B5"/>
    <w:rsid w:val="00E26B8A"/>
    <w:rsid w:val="00E26E4B"/>
    <w:rsid w:val="00E33CFB"/>
    <w:rsid w:val="00E344D6"/>
    <w:rsid w:val="00E3747C"/>
    <w:rsid w:val="00E37A44"/>
    <w:rsid w:val="00E41AF6"/>
    <w:rsid w:val="00E41B3F"/>
    <w:rsid w:val="00E41E02"/>
    <w:rsid w:val="00E422F7"/>
    <w:rsid w:val="00E50BE4"/>
    <w:rsid w:val="00E51189"/>
    <w:rsid w:val="00E53CDF"/>
    <w:rsid w:val="00E545F1"/>
    <w:rsid w:val="00E54609"/>
    <w:rsid w:val="00E56BDA"/>
    <w:rsid w:val="00E57500"/>
    <w:rsid w:val="00E60138"/>
    <w:rsid w:val="00E60424"/>
    <w:rsid w:val="00E621D5"/>
    <w:rsid w:val="00E6262A"/>
    <w:rsid w:val="00E62A86"/>
    <w:rsid w:val="00E63A33"/>
    <w:rsid w:val="00E6711E"/>
    <w:rsid w:val="00E67151"/>
    <w:rsid w:val="00E725D6"/>
    <w:rsid w:val="00E72E89"/>
    <w:rsid w:val="00E7323F"/>
    <w:rsid w:val="00E74C20"/>
    <w:rsid w:val="00E7748F"/>
    <w:rsid w:val="00E77DB3"/>
    <w:rsid w:val="00E77DDF"/>
    <w:rsid w:val="00E81F0F"/>
    <w:rsid w:val="00E82230"/>
    <w:rsid w:val="00E82D33"/>
    <w:rsid w:val="00E82F5D"/>
    <w:rsid w:val="00E85027"/>
    <w:rsid w:val="00E8515E"/>
    <w:rsid w:val="00E85723"/>
    <w:rsid w:val="00E871AC"/>
    <w:rsid w:val="00E92D0E"/>
    <w:rsid w:val="00E92EEA"/>
    <w:rsid w:val="00E9386A"/>
    <w:rsid w:val="00E93E9A"/>
    <w:rsid w:val="00E94036"/>
    <w:rsid w:val="00E944BD"/>
    <w:rsid w:val="00E94A31"/>
    <w:rsid w:val="00E9563B"/>
    <w:rsid w:val="00E976C4"/>
    <w:rsid w:val="00EA20F6"/>
    <w:rsid w:val="00EA5D65"/>
    <w:rsid w:val="00EA7246"/>
    <w:rsid w:val="00EB110F"/>
    <w:rsid w:val="00EB145E"/>
    <w:rsid w:val="00EB3F2E"/>
    <w:rsid w:val="00EB6790"/>
    <w:rsid w:val="00EB7F73"/>
    <w:rsid w:val="00EC052E"/>
    <w:rsid w:val="00EC0DF5"/>
    <w:rsid w:val="00EC111C"/>
    <w:rsid w:val="00EC2B55"/>
    <w:rsid w:val="00EC430C"/>
    <w:rsid w:val="00EC5C21"/>
    <w:rsid w:val="00EC7B94"/>
    <w:rsid w:val="00ED2329"/>
    <w:rsid w:val="00ED4E96"/>
    <w:rsid w:val="00ED5756"/>
    <w:rsid w:val="00EE2DF9"/>
    <w:rsid w:val="00EE3D19"/>
    <w:rsid w:val="00EE57F2"/>
    <w:rsid w:val="00EE68BA"/>
    <w:rsid w:val="00EE7326"/>
    <w:rsid w:val="00EF00C3"/>
    <w:rsid w:val="00EF19AE"/>
    <w:rsid w:val="00EF3842"/>
    <w:rsid w:val="00EF393A"/>
    <w:rsid w:val="00EF544E"/>
    <w:rsid w:val="00EF6B39"/>
    <w:rsid w:val="00EF7F11"/>
    <w:rsid w:val="00F01FF4"/>
    <w:rsid w:val="00F02247"/>
    <w:rsid w:val="00F06FEE"/>
    <w:rsid w:val="00F107A8"/>
    <w:rsid w:val="00F130F1"/>
    <w:rsid w:val="00F134D2"/>
    <w:rsid w:val="00F137A0"/>
    <w:rsid w:val="00F139DD"/>
    <w:rsid w:val="00F146A7"/>
    <w:rsid w:val="00F16476"/>
    <w:rsid w:val="00F16489"/>
    <w:rsid w:val="00F16ACC"/>
    <w:rsid w:val="00F170CE"/>
    <w:rsid w:val="00F174C8"/>
    <w:rsid w:val="00F202E4"/>
    <w:rsid w:val="00F21848"/>
    <w:rsid w:val="00F22592"/>
    <w:rsid w:val="00F22B7B"/>
    <w:rsid w:val="00F242EA"/>
    <w:rsid w:val="00F25B5E"/>
    <w:rsid w:val="00F263BC"/>
    <w:rsid w:val="00F26DFB"/>
    <w:rsid w:val="00F31264"/>
    <w:rsid w:val="00F34899"/>
    <w:rsid w:val="00F34975"/>
    <w:rsid w:val="00F36C42"/>
    <w:rsid w:val="00F37B9C"/>
    <w:rsid w:val="00F4160A"/>
    <w:rsid w:val="00F41703"/>
    <w:rsid w:val="00F41BDC"/>
    <w:rsid w:val="00F42225"/>
    <w:rsid w:val="00F427B6"/>
    <w:rsid w:val="00F43F9B"/>
    <w:rsid w:val="00F45C39"/>
    <w:rsid w:val="00F47DE9"/>
    <w:rsid w:val="00F511D8"/>
    <w:rsid w:val="00F5158D"/>
    <w:rsid w:val="00F51955"/>
    <w:rsid w:val="00F52439"/>
    <w:rsid w:val="00F53059"/>
    <w:rsid w:val="00F558C7"/>
    <w:rsid w:val="00F601D4"/>
    <w:rsid w:val="00F60F8F"/>
    <w:rsid w:val="00F62FE3"/>
    <w:rsid w:val="00F64CB6"/>
    <w:rsid w:val="00F65584"/>
    <w:rsid w:val="00F70CF8"/>
    <w:rsid w:val="00F70E4A"/>
    <w:rsid w:val="00F7196E"/>
    <w:rsid w:val="00F72772"/>
    <w:rsid w:val="00F73193"/>
    <w:rsid w:val="00F76088"/>
    <w:rsid w:val="00F760BD"/>
    <w:rsid w:val="00F768AA"/>
    <w:rsid w:val="00F768DD"/>
    <w:rsid w:val="00F77762"/>
    <w:rsid w:val="00F77C0F"/>
    <w:rsid w:val="00F81108"/>
    <w:rsid w:val="00F82851"/>
    <w:rsid w:val="00F83B87"/>
    <w:rsid w:val="00F83D5D"/>
    <w:rsid w:val="00F844BE"/>
    <w:rsid w:val="00F85B14"/>
    <w:rsid w:val="00F87CE3"/>
    <w:rsid w:val="00F87F27"/>
    <w:rsid w:val="00F91750"/>
    <w:rsid w:val="00F91B50"/>
    <w:rsid w:val="00F91DCA"/>
    <w:rsid w:val="00F92886"/>
    <w:rsid w:val="00F92AB7"/>
    <w:rsid w:val="00F93C78"/>
    <w:rsid w:val="00F966DE"/>
    <w:rsid w:val="00F97ED8"/>
    <w:rsid w:val="00F97FD1"/>
    <w:rsid w:val="00FA0872"/>
    <w:rsid w:val="00FA1C1C"/>
    <w:rsid w:val="00FA1FC8"/>
    <w:rsid w:val="00FA2F90"/>
    <w:rsid w:val="00FA3277"/>
    <w:rsid w:val="00FA49A6"/>
    <w:rsid w:val="00FA5F81"/>
    <w:rsid w:val="00FA699B"/>
    <w:rsid w:val="00FA69A1"/>
    <w:rsid w:val="00FA7474"/>
    <w:rsid w:val="00FA7889"/>
    <w:rsid w:val="00FB12DA"/>
    <w:rsid w:val="00FB3A50"/>
    <w:rsid w:val="00FB40EC"/>
    <w:rsid w:val="00FB5873"/>
    <w:rsid w:val="00FB6202"/>
    <w:rsid w:val="00FB7920"/>
    <w:rsid w:val="00FC5361"/>
    <w:rsid w:val="00FC593C"/>
    <w:rsid w:val="00FC599B"/>
    <w:rsid w:val="00FC66F8"/>
    <w:rsid w:val="00FC778F"/>
    <w:rsid w:val="00FC7A14"/>
    <w:rsid w:val="00FC7C09"/>
    <w:rsid w:val="00FD0E29"/>
    <w:rsid w:val="00FD1391"/>
    <w:rsid w:val="00FD144E"/>
    <w:rsid w:val="00FD20DD"/>
    <w:rsid w:val="00FE00F1"/>
    <w:rsid w:val="00FE1002"/>
    <w:rsid w:val="00FE1155"/>
    <w:rsid w:val="00FE39BC"/>
    <w:rsid w:val="00FE425B"/>
    <w:rsid w:val="00FE458C"/>
    <w:rsid w:val="00FE5BD2"/>
    <w:rsid w:val="00FE6A0C"/>
    <w:rsid w:val="00FE6E81"/>
    <w:rsid w:val="00FE7F67"/>
    <w:rsid w:val="00FF0841"/>
    <w:rsid w:val="00FF0998"/>
    <w:rsid w:val="00FF51B2"/>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FB6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B31553"/>
    <w:rPr>
      <w:sz w:val="16"/>
      <w:szCs w:val="16"/>
    </w:rPr>
  </w:style>
  <w:style w:type="paragraph" w:styleId="CommentText">
    <w:name w:val="annotation text"/>
    <w:basedOn w:val="Normal"/>
    <w:link w:val="CommentTextChar"/>
    <w:uiPriority w:val="99"/>
    <w:semiHidden/>
    <w:unhideWhenUsed/>
    <w:rsid w:val="00B31553"/>
    <w:rPr>
      <w:sz w:val="20"/>
      <w:szCs w:val="20"/>
    </w:rPr>
  </w:style>
  <w:style w:type="character" w:customStyle="1" w:styleId="CommentTextChar">
    <w:name w:val="Comment Text Char"/>
    <w:basedOn w:val="DefaultParagraphFont"/>
    <w:link w:val="CommentText"/>
    <w:uiPriority w:val="99"/>
    <w:semiHidden/>
    <w:rsid w:val="00B3155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31553"/>
    <w:rPr>
      <w:b/>
      <w:bCs/>
    </w:rPr>
  </w:style>
  <w:style w:type="character" w:customStyle="1" w:styleId="CommentSubjectChar">
    <w:name w:val="Comment Subject Char"/>
    <w:basedOn w:val="CommentTextChar"/>
    <w:link w:val="CommentSubject"/>
    <w:uiPriority w:val="99"/>
    <w:semiHidden/>
    <w:rsid w:val="00B31553"/>
    <w:rPr>
      <w:rFonts w:ascii="Times New Roman" w:hAnsi="Times New Roman"/>
      <w:b/>
      <w:bCs/>
    </w:rPr>
  </w:style>
  <w:style w:type="character" w:styleId="Hyperlink">
    <w:name w:val="Hyperlink"/>
    <w:basedOn w:val="DefaultParagraphFont"/>
    <w:uiPriority w:val="99"/>
    <w:unhideWhenUsed/>
    <w:rsid w:val="008875A5"/>
    <w:rPr>
      <w:color w:val="0000FF" w:themeColor="hyperlink"/>
      <w:u w:val="single"/>
    </w:rPr>
  </w:style>
  <w:style w:type="paragraph" w:styleId="Revision">
    <w:name w:val="Revision"/>
    <w:hidden/>
    <w:uiPriority w:val="99"/>
    <w:semiHidden/>
    <w:rsid w:val="00E41E02"/>
    <w:rPr>
      <w:rFonts w:ascii="Times New Roman" w:hAnsi="Times New Roman"/>
      <w:sz w:val="24"/>
      <w:szCs w:val="22"/>
    </w:rPr>
  </w:style>
  <w:style w:type="character" w:customStyle="1" w:styleId="Heading1Char">
    <w:name w:val="Heading 1 Char"/>
    <w:basedOn w:val="DefaultParagraphFont"/>
    <w:link w:val="Heading1"/>
    <w:uiPriority w:val="9"/>
    <w:rsid w:val="00FB6202"/>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FB6202"/>
    <w:pPr>
      <w:spacing w:before="0"/>
      <w:jc w:val="center"/>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FB6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B31553"/>
    <w:rPr>
      <w:sz w:val="16"/>
      <w:szCs w:val="16"/>
    </w:rPr>
  </w:style>
  <w:style w:type="paragraph" w:styleId="CommentText">
    <w:name w:val="annotation text"/>
    <w:basedOn w:val="Normal"/>
    <w:link w:val="CommentTextChar"/>
    <w:uiPriority w:val="99"/>
    <w:semiHidden/>
    <w:unhideWhenUsed/>
    <w:rsid w:val="00B31553"/>
    <w:rPr>
      <w:sz w:val="20"/>
      <w:szCs w:val="20"/>
    </w:rPr>
  </w:style>
  <w:style w:type="character" w:customStyle="1" w:styleId="CommentTextChar">
    <w:name w:val="Comment Text Char"/>
    <w:basedOn w:val="DefaultParagraphFont"/>
    <w:link w:val="CommentText"/>
    <w:uiPriority w:val="99"/>
    <w:semiHidden/>
    <w:rsid w:val="00B3155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31553"/>
    <w:rPr>
      <w:b/>
      <w:bCs/>
    </w:rPr>
  </w:style>
  <w:style w:type="character" w:customStyle="1" w:styleId="CommentSubjectChar">
    <w:name w:val="Comment Subject Char"/>
    <w:basedOn w:val="CommentTextChar"/>
    <w:link w:val="CommentSubject"/>
    <w:uiPriority w:val="99"/>
    <w:semiHidden/>
    <w:rsid w:val="00B31553"/>
    <w:rPr>
      <w:rFonts w:ascii="Times New Roman" w:hAnsi="Times New Roman"/>
      <w:b/>
      <w:bCs/>
    </w:rPr>
  </w:style>
  <w:style w:type="character" w:styleId="Hyperlink">
    <w:name w:val="Hyperlink"/>
    <w:basedOn w:val="DefaultParagraphFont"/>
    <w:uiPriority w:val="99"/>
    <w:unhideWhenUsed/>
    <w:rsid w:val="008875A5"/>
    <w:rPr>
      <w:color w:val="0000FF" w:themeColor="hyperlink"/>
      <w:u w:val="single"/>
    </w:rPr>
  </w:style>
  <w:style w:type="paragraph" w:styleId="Revision">
    <w:name w:val="Revision"/>
    <w:hidden/>
    <w:uiPriority w:val="99"/>
    <w:semiHidden/>
    <w:rsid w:val="00E41E02"/>
    <w:rPr>
      <w:rFonts w:ascii="Times New Roman" w:hAnsi="Times New Roman"/>
      <w:sz w:val="24"/>
      <w:szCs w:val="22"/>
    </w:rPr>
  </w:style>
  <w:style w:type="character" w:customStyle="1" w:styleId="Heading1Char">
    <w:name w:val="Heading 1 Char"/>
    <w:basedOn w:val="DefaultParagraphFont"/>
    <w:link w:val="Heading1"/>
    <w:uiPriority w:val="9"/>
    <w:rsid w:val="00FB6202"/>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FB6202"/>
    <w:pPr>
      <w:spacing w:before="0"/>
      <w:jc w:val="center"/>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67539">
      <w:bodyDiv w:val="1"/>
      <w:marLeft w:val="0"/>
      <w:marRight w:val="0"/>
      <w:marTop w:val="0"/>
      <w:marBottom w:val="0"/>
      <w:divBdr>
        <w:top w:val="none" w:sz="0" w:space="0" w:color="auto"/>
        <w:left w:val="none" w:sz="0" w:space="0" w:color="auto"/>
        <w:bottom w:val="none" w:sz="0" w:space="0" w:color="auto"/>
        <w:right w:val="none" w:sz="0" w:space="0" w:color="auto"/>
      </w:divBdr>
    </w:div>
    <w:div w:id="480082170">
      <w:bodyDiv w:val="1"/>
      <w:marLeft w:val="0"/>
      <w:marRight w:val="0"/>
      <w:marTop w:val="0"/>
      <w:marBottom w:val="0"/>
      <w:divBdr>
        <w:top w:val="none" w:sz="0" w:space="0" w:color="auto"/>
        <w:left w:val="none" w:sz="0" w:space="0" w:color="auto"/>
        <w:bottom w:val="none" w:sz="0" w:space="0" w:color="auto"/>
        <w:right w:val="none" w:sz="0" w:space="0" w:color="auto"/>
      </w:divBdr>
      <w:divsChild>
        <w:div w:id="2121946515">
          <w:marLeft w:val="0"/>
          <w:marRight w:val="0"/>
          <w:marTop w:val="0"/>
          <w:marBottom w:val="0"/>
          <w:divBdr>
            <w:top w:val="none" w:sz="0" w:space="0" w:color="auto"/>
            <w:left w:val="none" w:sz="0" w:space="0" w:color="auto"/>
            <w:bottom w:val="none" w:sz="0" w:space="0" w:color="auto"/>
            <w:right w:val="none" w:sz="0" w:space="0" w:color="auto"/>
          </w:divBdr>
          <w:divsChild>
            <w:div w:id="15729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586">
      <w:bodyDiv w:val="1"/>
      <w:marLeft w:val="0"/>
      <w:marRight w:val="0"/>
      <w:marTop w:val="0"/>
      <w:marBottom w:val="0"/>
      <w:divBdr>
        <w:top w:val="none" w:sz="0" w:space="0" w:color="auto"/>
        <w:left w:val="none" w:sz="0" w:space="0" w:color="auto"/>
        <w:bottom w:val="none" w:sz="0" w:space="0" w:color="auto"/>
        <w:right w:val="none" w:sz="0" w:space="0" w:color="auto"/>
      </w:divBdr>
    </w:div>
    <w:div w:id="665280407">
      <w:bodyDiv w:val="1"/>
      <w:marLeft w:val="0"/>
      <w:marRight w:val="0"/>
      <w:marTop w:val="0"/>
      <w:marBottom w:val="0"/>
      <w:divBdr>
        <w:top w:val="none" w:sz="0" w:space="0" w:color="auto"/>
        <w:left w:val="none" w:sz="0" w:space="0" w:color="auto"/>
        <w:bottom w:val="none" w:sz="0" w:space="0" w:color="auto"/>
        <w:right w:val="none" w:sz="0" w:space="0" w:color="auto"/>
      </w:divBdr>
    </w:div>
    <w:div w:id="986014655">
      <w:bodyDiv w:val="1"/>
      <w:marLeft w:val="0"/>
      <w:marRight w:val="0"/>
      <w:marTop w:val="0"/>
      <w:marBottom w:val="0"/>
      <w:divBdr>
        <w:top w:val="none" w:sz="0" w:space="0" w:color="auto"/>
        <w:left w:val="none" w:sz="0" w:space="0" w:color="auto"/>
        <w:bottom w:val="none" w:sz="0" w:space="0" w:color="auto"/>
        <w:right w:val="none" w:sz="0" w:space="0" w:color="auto"/>
      </w:divBdr>
    </w:div>
    <w:div w:id="1406536744">
      <w:bodyDiv w:val="1"/>
      <w:marLeft w:val="0"/>
      <w:marRight w:val="0"/>
      <w:marTop w:val="0"/>
      <w:marBottom w:val="0"/>
      <w:divBdr>
        <w:top w:val="none" w:sz="0" w:space="0" w:color="auto"/>
        <w:left w:val="none" w:sz="0" w:space="0" w:color="auto"/>
        <w:bottom w:val="none" w:sz="0" w:space="0" w:color="auto"/>
        <w:right w:val="none" w:sz="0" w:space="0" w:color="auto"/>
      </w:divBdr>
    </w:div>
    <w:div w:id="1642080904">
      <w:bodyDiv w:val="1"/>
      <w:marLeft w:val="0"/>
      <w:marRight w:val="0"/>
      <w:marTop w:val="0"/>
      <w:marBottom w:val="0"/>
      <w:divBdr>
        <w:top w:val="none" w:sz="0" w:space="0" w:color="auto"/>
        <w:left w:val="none" w:sz="0" w:space="0" w:color="auto"/>
        <w:bottom w:val="none" w:sz="0" w:space="0" w:color="auto"/>
        <w:right w:val="none" w:sz="0" w:space="0" w:color="auto"/>
      </w:divBdr>
    </w:div>
    <w:div w:id="1682580609">
      <w:bodyDiv w:val="1"/>
      <w:marLeft w:val="0"/>
      <w:marRight w:val="0"/>
      <w:marTop w:val="0"/>
      <w:marBottom w:val="0"/>
      <w:divBdr>
        <w:top w:val="none" w:sz="0" w:space="0" w:color="auto"/>
        <w:left w:val="none" w:sz="0" w:space="0" w:color="auto"/>
        <w:bottom w:val="none" w:sz="0" w:space="0" w:color="auto"/>
        <w:right w:val="none" w:sz="0" w:space="0" w:color="auto"/>
      </w:divBdr>
    </w:div>
    <w:div w:id="1682783179">
      <w:bodyDiv w:val="1"/>
      <w:marLeft w:val="0"/>
      <w:marRight w:val="0"/>
      <w:marTop w:val="0"/>
      <w:marBottom w:val="0"/>
      <w:divBdr>
        <w:top w:val="none" w:sz="0" w:space="0" w:color="auto"/>
        <w:left w:val="none" w:sz="0" w:space="0" w:color="auto"/>
        <w:bottom w:val="none" w:sz="0" w:space="0" w:color="auto"/>
        <w:right w:val="none" w:sz="0" w:space="0" w:color="auto"/>
      </w:divBdr>
      <w:divsChild>
        <w:div w:id="892421131">
          <w:marLeft w:val="0"/>
          <w:marRight w:val="0"/>
          <w:marTop w:val="0"/>
          <w:marBottom w:val="0"/>
          <w:divBdr>
            <w:top w:val="none" w:sz="0" w:space="0" w:color="auto"/>
            <w:left w:val="none" w:sz="0" w:space="0" w:color="auto"/>
            <w:bottom w:val="none" w:sz="0" w:space="0" w:color="auto"/>
            <w:right w:val="none" w:sz="0" w:space="0" w:color="auto"/>
          </w:divBdr>
          <w:divsChild>
            <w:div w:id="844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142">
      <w:bodyDiv w:val="1"/>
      <w:marLeft w:val="0"/>
      <w:marRight w:val="0"/>
      <w:marTop w:val="0"/>
      <w:marBottom w:val="0"/>
      <w:divBdr>
        <w:top w:val="none" w:sz="0" w:space="0" w:color="auto"/>
        <w:left w:val="none" w:sz="0" w:space="0" w:color="auto"/>
        <w:bottom w:val="none" w:sz="0" w:space="0" w:color="auto"/>
        <w:right w:val="none" w:sz="0" w:space="0" w:color="auto"/>
      </w:divBdr>
      <w:divsChild>
        <w:div w:id="1635678316">
          <w:marLeft w:val="0"/>
          <w:marRight w:val="0"/>
          <w:marTop w:val="0"/>
          <w:marBottom w:val="0"/>
          <w:divBdr>
            <w:top w:val="none" w:sz="0" w:space="0" w:color="auto"/>
            <w:left w:val="none" w:sz="0" w:space="0" w:color="auto"/>
            <w:bottom w:val="none" w:sz="0" w:space="0" w:color="auto"/>
            <w:right w:val="none" w:sz="0" w:space="0" w:color="auto"/>
          </w:divBdr>
          <w:divsChild>
            <w:div w:id="14418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2162">
      <w:bodyDiv w:val="1"/>
      <w:marLeft w:val="0"/>
      <w:marRight w:val="0"/>
      <w:marTop w:val="0"/>
      <w:marBottom w:val="0"/>
      <w:divBdr>
        <w:top w:val="none" w:sz="0" w:space="0" w:color="auto"/>
        <w:left w:val="none" w:sz="0" w:space="0" w:color="auto"/>
        <w:bottom w:val="none" w:sz="0" w:space="0" w:color="auto"/>
        <w:right w:val="none" w:sz="0" w:space="0" w:color="auto"/>
      </w:divBdr>
    </w:div>
    <w:div w:id="18799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672C-CB22-4673-925B-2ECABDCD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6120</Words>
  <Characters>31335</Characters>
  <Application>Microsoft Office Word</Application>
  <DocSecurity>0</DocSecurity>
  <Lines>480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2018-01-09T21:30:00Z</dcterms:created>
  <dcterms:modified xsi:type="dcterms:W3CDTF">2018-01-09T21:35:00Z</dcterms:modified>
</cp:coreProperties>
</file>