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54" w:rsidRPr="00E26B8A" w:rsidRDefault="008A6D54" w:rsidP="008A6D54">
      <w:bookmarkStart w:id="0" w:name="designation"/>
      <w:bookmarkEnd w:id="0"/>
      <w:r>
        <w:t>PUBLIC MATTER—NOT DESIGNATED FOR PUBLICATION</w:t>
      </w:r>
    </w:p>
    <w:p w:rsidR="008A6D54" w:rsidRDefault="00B20B94" w:rsidP="008A6D54">
      <w:r>
        <w:tab/>
      </w:r>
      <w:r>
        <w:tab/>
      </w:r>
      <w:r>
        <w:tab/>
      </w:r>
      <w:r>
        <w:tab/>
      </w:r>
      <w:r>
        <w:tab/>
      </w:r>
      <w:r>
        <w:tab/>
      </w:r>
      <w:r>
        <w:tab/>
      </w:r>
      <w:r>
        <w:tab/>
      </w:r>
      <w:r>
        <w:tab/>
      </w:r>
      <w:r>
        <w:tab/>
      </w:r>
    </w:p>
    <w:p w:rsidR="008A6D54" w:rsidRDefault="00B20B94" w:rsidP="008A6D54">
      <w:r>
        <w:tab/>
      </w:r>
      <w:r>
        <w:tab/>
      </w:r>
      <w:r>
        <w:tab/>
      </w:r>
      <w:r>
        <w:tab/>
      </w:r>
      <w:r>
        <w:tab/>
      </w:r>
      <w:r>
        <w:tab/>
      </w:r>
      <w:r>
        <w:tab/>
      </w:r>
      <w:r>
        <w:tab/>
      </w:r>
      <w:r>
        <w:tab/>
        <w:t>Filed December 26, 2017</w:t>
      </w:r>
    </w:p>
    <w:p w:rsidR="00683FEC" w:rsidRDefault="00683FEC" w:rsidP="008A6D54"/>
    <w:p w:rsidR="008A6D54" w:rsidRDefault="008A6D54" w:rsidP="008A6D54"/>
    <w:p w:rsidR="008A6D54" w:rsidRDefault="008A6D54" w:rsidP="008A6D54">
      <w:pPr>
        <w:rPr>
          <w:b/>
        </w:rPr>
      </w:pPr>
    </w:p>
    <w:p w:rsidR="008A6D54" w:rsidRDefault="008A6D54" w:rsidP="008D5DCC">
      <w:pPr>
        <w:pStyle w:val="OpinionHeading"/>
      </w:pPr>
      <w:r>
        <w:t>STATE BA</w:t>
      </w:r>
      <w:r w:rsidRPr="00C11CC8">
        <w:t>R</w:t>
      </w:r>
      <w:r>
        <w:t xml:space="preserve"> COURT OF CALIFORNIA</w:t>
      </w:r>
    </w:p>
    <w:p w:rsidR="008A6D54" w:rsidRDefault="008A6D54" w:rsidP="008D5DCC">
      <w:pPr>
        <w:pStyle w:val="OpinionHeading"/>
      </w:pPr>
    </w:p>
    <w:p w:rsidR="008A6D54" w:rsidRDefault="008A6D54" w:rsidP="008D5DCC">
      <w:pPr>
        <w:pStyle w:val="OpinionHeading"/>
      </w:pPr>
      <w:r>
        <w:t>REVIEW DEPARTMENT</w:t>
      </w:r>
    </w:p>
    <w:p w:rsidR="008A6D54" w:rsidRPr="00C11CC8" w:rsidRDefault="008A6D54" w:rsidP="008A6D54">
      <w:pPr>
        <w:jc w:val="center"/>
        <w:rPr>
          <w:b/>
        </w:rPr>
      </w:pPr>
    </w:p>
    <w:p w:rsidR="008A6D54" w:rsidRPr="00C11CC8" w:rsidRDefault="008A6D54" w:rsidP="008A6D54">
      <w:pPr>
        <w:rPr>
          <w:b/>
        </w:rPr>
      </w:pPr>
    </w:p>
    <w:tbl>
      <w:tblPr>
        <w:tblStyle w:val="TableGrid"/>
        <w:tblW w:w="9810" w:type="dxa"/>
        <w:tblLook w:val="04A0" w:firstRow="1" w:lastRow="0" w:firstColumn="1" w:lastColumn="0" w:noHBand="0" w:noVBand="1"/>
        <w:tblCaption w:val="Freddie Fletcher Opinion and Order filed December 26, 2017"/>
        <w:tblDescription w:val="In the matter of Freddie Fletcher, A member of the State Bar, No. 134734  Case No. 15-O-13669; 15-O-121822 (Consolidated) Opinion and Order"/>
      </w:tblPr>
      <w:tblGrid>
        <w:gridCol w:w="4770"/>
        <w:gridCol w:w="497"/>
        <w:gridCol w:w="4543"/>
      </w:tblGrid>
      <w:tr w:rsidR="008A6D54" w:rsidRPr="00C11CC8" w:rsidTr="00C65F49">
        <w:tc>
          <w:tcPr>
            <w:tcW w:w="4770" w:type="dxa"/>
            <w:tcBorders>
              <w:top w:val="nil"/>
              <w:left w:val="nil"/>
              <w:right w:val="nil"/>
            </w:tcBorders>
            <w:tcMar>
              <w:left w:w="0" w:type="dxa"/>
              <w:right w:w="0" w:type="dxa"/>
            </w:tcMar>
          </w:tcPr>
          <w:p w:rsidR="008A6D54" w:rsidRDefault="008A6D54" w:rsidP="00C65F49">
            <w:bookmarkStart w:id="1" w:name="_GoBack"/>
            <w:bookmarkEnd w:id="1"/>
            <w:r>
              <w:t>In the Matter of</w:t>
            </w:r>
          </w:p>
          <w:p w:rsidR="008A6D54" w:rsidRDefault="008A6D54" w:rsidP="00C65F49"/>
          <w:p w:rsidR="008A6D54" w:rsidRPr="008F3169" w:rsidRDefault="008A6D54" w:rsidP="00C65F49">
            <w:bookmarkStart w:id="2" w:name="Respondent"/>
            <w:bookmarkEnd w:id="2"/>
            <w:r>
              <w:t>FREDDIE FLETCHER</w:t>
            </w:r>
            <w:r w:rsidRPr="008F3169">
              <w:t>,</w:t>
            </w:r>
          </w:p>
          <w:p w:rsidR="008A6D54" w:rsidRDefault="008A6D54" w:rsidP="00C65F49"/>
          <w:p w:rsidR="008A6D54" w:rsidRPr="00C11CC8" w:rsidRDefault="008A6D54" w:rsidP="00C65F49">
            <w:bookmarkStart w:id="3" w:name="type"/>
            <w:bookmarkEnd w:id="3"/>
            <w:r>
              <w:t xml:space="preserve">A Member of the State Bar, No. </w:t>
            </w:r>
            <w:bookmarkStart w:id="4" w:name="memno"/>
            <w:bookmarkStart w:id="5" w:name="MemberNo"/>
            <w:bookmarkEnd w:id="4"/>
            <w:bookmarkEnd w:id="5"/>
            <w:r>
              <w:t>134734.</w:t>
            </w:r>
          </w:p>
        </w:tc>
        <w:tc>
          <w:tcPr>
            <w:tcW w:w="497" w:type="dxa"/>
            <w:tcBorders>
              <w:top w:val="nil"/>
              <w:left w:val="nil"/>
              <w:bottom w:val="nil"/>
              <w:right w:val="nil"/>
            </w:tcBorders>
            <w:tcMar>
              <w:left w:w="0" w:type="dxa"/>
              <w:right w:w="0" w:type="dxa"/>
            </w:tcMar>
          </w:tcPr>
          <w:p w:rsidR="008A6D54" w:rsidRDefault="008A6D54" w:rsidP="00C65F49">
            <w:pPr>
              <w:rPr>
                <w:b/>
              </w:rPr>
            </w:pPr>
            <w:r>
              <w:rPr>
                <w:b/>
              </w:rPr>
              <w:t>)</w:t>
            </w:r>
          </w:p>
          <w:p w:rsidR="008A6D54" w:rsidRPr="00C11CC8" w:rsidRDefault="008A6D54" w:rsidP="00C65F49">
            <w:pPr>
              <w:rPr>
                <w:b/>
              </w:rPr>
            </w:pPr>
            <w:r>
              <w:rPr>
                <w:b/>
              </w:rPr>
              <w:t>)</w:t>
            </w:r>
            <w:r>
              <w:rPr>
                <w:b/>
              </w:rPr>
              <w:br/>
              <w:t>)</w:t>
            </w:r>
            <w:r>
              <w:rPr>
                <w:b/>
              </w:rPr>
              <w:br/>
              <w:t>)</w:t>
            </w:r>
            <w:r>
              <w:rPr>
                <w:b/>
              </w:rPr>
              <w:br/>
              <w:t>)</w:t>
            </w:r>
            <w:r>
              <w:rPr>
                <w:b/>
              </w:rPr>
              <w:br/>
              <w:t>)</w:t>
            </w:r>
          </w:p>
        </w:tc>
        <w:tc>
          <w:tcPr>
            <w:tcW w:w="4543" w:type="dxa"/>
            <w:tcBorders>
              <w:top w:val="nil"/>
              <w:left w:val="nil"/>
              <w:bottom w:val="nil"/>
              <w:right w:val="nil"/>
            </w:tcBorders>
          </w:tcPr>
          <w:p w:rsidR="008A6D54" w:rsidRPr="005E6703" w:rsidRDefault="008A6D54" w:rsidP="00C65F49">
            <w:r w:rsidRPr="005E6703">
              <w:t xml:space="preserve">Case No. </w:t>
            </w:r>
            <w:bookmarkStart w:id="6" w:name="caseno"/>
            <w:bookmarkEnd w:id="6"/>
            <w:r>
              <w:t>15-O-1</w:t>
            </w:r>
            <w:r w:rsidR="00C95B8E">
              <w:t>3669</w:t>
            </w:r>
            <w:r>
              <w:t>; 15-O-1</w:t>
            </w:r>
            <w:r w:rsidR="00C95B8E">
              <w:t>2822</w:t>
            </w:r>
            <w:r>
              <w:t xml:space="preserve"> (Cons</w:t>
            </w:r>
            <w:r w:rsidR="00C95B8E">
              <w:t>olidated</w:t>
            </w:r>
            <w:r>
              <w:t>)</w:t>
            </w:r>
          </w:p>
          <w:p w:rsidR="008A6D54" w:rsidRDefault="008A6D54" w:rsidP="00C65F49"/>
          <w:p w:rsidR="008A6D54" w:rsidRPr="00D90643" w:rsidRDefault="008A6D54" w:rsidP="00C65F49">
            <w:bookmarkStart w:id="7" w:name="title"/>
            <w:bookmarkEnd w:id="7"/>
            <w:r>
              <w:t>OPINION AND ORDER</w:t>
            </w:r>
          </w:p>
        </w:tc>
      </w:tr>
    </w:tbl>
    <w:p w:rsidR="008A6D54" w:rsidRDefault="008A6D54" w:rsidP="008A6D54"/>
    <w:p w:rsidR="008A6D54" w:rsidRDefault="008A6D54" w:rsidP="008A6D54">
      <w:pPr>
        <w:spacing w:line="480" w:lineRule="auto"/>
      </w:pPr>
      <w:r>
        <w:tab/>
        <w:t xml:space="preserve">A hearing judge found Freddie Fletcher culpable </w:t>
      </w:r>
      <w:r w:rsidR="00C95B8E">
        <w:t>of</w:t>
      </w:r>
      <w:r>
        <w:t xml:space="preserve"> violating two sanctions orders in a civil case—the first order issued in 2013 for $3,500, and the second in 2014 for $1,980.  </w:t>
      </w:r>
      <w:r w:rsidR="00460342">
        <w:t xml:space="preserve">The judge </w:t>
      </w:r>
      <w:r>
        <w:t xml:space="preserve">dismissed a </w:t>
      </w:r>
      <w:r w:rsidR="009B1C5A">
        <w:t xml:space="preserve">separate </w:t>
      </w:r>
      <w:r>
        <w:t xml:space="preserve">charge </w:t>
      </w:r>
      <w:r w:rsidR="00FB1A6C">
        <w:t>for commingling funds</w:t>
      </w:r>
      <w:r w:rsidR="00DD1133">
        <w:t>,</w:t>
      </w:r>
      <w:r w:rsidR="007203EB">
        <w:t xml:space="preserve"> and </w:t>
      </w:r>
      <w:r w:rsidR="001F32E9">
        <w:t xml:space="preserve">ordered </w:t>
      </w:r>
      <w:r>
        <w:t xml:space="preserve">a public reproval with conditions that Fletcher attend State Bar Ethics School (Ethics School) and pay </w:t>
      </w:r>
      <w:r w:rsidR="006E146E">
        <w:t>all</w:t>
      </w:r>
      <w:r w:rsidR="001F32E9">
        <w:t xml:space="preserve"> </w:t>
      </w:r>
      <w:r>
        <w:t>sanctions.</w:t>
      </w:r>
    </w:p>
    <w:p w:rsidR="008A6D54" w:rsidRPr="005C3F69" w:rsidRDefault="008A6D54" w:rsidP="008A6D54">
      <w:pPr>
        <w:spacing w:line="480" w:lineRule="auto"/>
      </w:pPr>
      <w:r>
        <w:tab/>
        <w:t xml:space="preserve">Fletcher appeals culpability only as to the $1,980 sanctions order.  </w:t>
      </w:r>
      <w:r w:rsidR="00B31122">
        <w:t>Our disciplinary standards call for a minimum actual suspension for violation of a court order.  Fletcher</w:t>
      </w:r>
      <w:r>
        <w:t xml:space="preserve"> seeks a private reproval </w:t>
      </w:r>
      <w:r w:rsidR="001F32E9">
        <w:t xml:space="preserve">for his unchallenged </w:t>
      </w:r>
      <w:r w:rsidR="007833AF">
        <w:t>violation</w:t>
      </w:r>
      <w:r w:rsidR="001F32E9">
        <w:t xml:space="preserve"> </w:t>
      </w:r>
      <w:r>
        <w:t xml:space="preserve">and objects to paying sanctions because </w:t>
      </w:r>
      <w:r w:rsidR="002A7C0A">
        <w:t xml:space="preserve">he contends </w:t>
      </w:r>
      <w:r>
        <w:t xml:space="preserve">they were </w:t>
      </w:r>
      <w:r w:rsidR="00C95B8E">
        <w:t>resolved</w:t>
      </w:r>
      <w:r w:rsidR="00FB1A6C">
        <w:t xml:space="preserve"> when the </w:t>
      </w:r>
      <w:r w:rsidR="00DD1133">
        <w:t xml:space="preserve">civil </w:t>
      </w:r>
      <w:r w:rsidR="001F32E9">
        <w:t xml:space="preserve">case </w:t>
      </w:r>
      <w:r w:rsidR="00FB1A6C">
        <w:t>settled</w:t>
      </w:r>
      <w:r w:rsidR="00DD1133">
        <w:t xml:space="preserve"> in 2014</w:t>
      </w:r>
      <w:r>
        <w:t xml:space="preserve">.  The Office of Chief Trial Counsel </w:t>
      </w:r>
      <w:r w:rsidR="00C95B8E">
        <w:t xml:space="preserve">of the State Bar </w:t>
      </w:r>
      <w:r>
        <w:t>(OCTC) does not appeal</w:t>
      </w:r>
      <w:r w:rsidR="002A7C0A">
        <w:t xml:space="preserve"> and </w:t>
      </w:r>
      <w:r>
        <w:t xml:space="preserve">requests </w:t>
      </w:r>
      <w:r w:rsidR="006E146E">
        <w:t xml:space="preserve">that </w:t>
      </w:r>
      <w:r>
        <w:t xml:space="preserve">we </w:t>
      </w:r>
      <w:r w:rsidR="007203EB">
        <w:t>affirm the public reproval</w:t>
      </w:r>
      <w:r w:rsidR="00DD1133">
        <w:t xml:space="preserve"> and not </w:t>
      </w:r>
      <w:r w:rsidR="007203EB">
        <w:t xml:space="preserve">order </w:t>
      </w:r>
      <w:r w:rsidR="002A7C0A">
        <w:t>Fletcher to pay sanctions</w:t>
      </w:r>
      <w:r>
        <w:t>.</w:t>
      </w:r>
      <w:r>
        <w:rPr>
          <w:szCs w:val="24"/>
        </w:rPr>
        <w:t xml:space="preserve"> </w:t>
      </w:r>
    </w:p>
    <w:p w:rsidR="00683FEC" w:rsidRDefault="008A6D54" w:rsidP="008A6D54">
      <w:pPr>
        <w:tabs>
          <w:tab w:val="left" w:pos="720"/>
        </w:tabs>
        <w:spacing w:line="480" w:lineRule="auto"/>
        <w:rPr>
          <w:rFonts w:eastAsia="Times New Roman"/>
          <w:szCs w:val="24"/>
        </w:rPr>
      </w:pPr>
      <w:r>
        <w:tab/>
      </w:r>
      <w:r>
        <w:rPr>
          <w:rFonts w:eastAsia="Times New Roman"/>
          <w:szCs w:val="24"/>
        </w:rPr>
        <w:t xml:space="preserve">Upon independent review of the record </w:t>
      </w:r>
      <w:r w:rsidRPr="00347B5B">
        <w:rPr>
          <w:rFonts w:eastAsia="Times New Roman"/>
          <w:szCs w:val="24"/>
        </w:rPr>
        <w:t>(Cal. Rules of Court, rule</w:t>
      </w:r>
      <w:r>
        <w:rPr>
          <w:rFonts w:eastAsia="Times New Roman"/>
          <w:szCs w:val="24"/>
        </w:rPr>
        <w:t> </w:t>
      </w:r>
      <w:r w:rsidRPr="00347B5B">
        <w:rPr>
          <w:rFonts w:eastAsia="Times New Roman"/>
          <w:szCs w:val="24"/>
        </w:rPr>
        <w:t xml:space="preserve">9.12), </w:t>
      </w:r>
      <w:r>
        <w:rPr>
          <w:rFonts w:eastAsia="Times New Roman"/>
          <w:szCs w:val="24"/>
        </w:rPr>
        <w:t xml:space="preserve">we affirm the hearing judge’s culpability findings.  </w:t>
      </w:r>
      <w:r w:rsidR="00D419FC">
        <w:rPr>
          <w:rFonts w:eastAsia="Times New Roman"/>
          <w:szCs w:val="24"/>
        </w:rPr>
        <w:t xml:space="preserve">Given Fletcher’s considerable mitigation, lack of aggravation, and noting OCTC’s </w:t>
      </w:r>
      <w:r>
        <w:rPr>
          <w:rFonts w:eastAsia="Times New Roman"/>
          <w:szCs w:val="24"/>
        </w:rPr>
        <w:t>position on discipline</w:t>
      </w:r>
      <w:r w:rsidR="00D419FC">
        <w:rPr>
          <w:rFonts w:eastAsia="Times New Roman"/>
          <w:szCs w:val="24"/>
        </w:rPr>
        <w:t xml:space="preserve">, we affirm the public reproval with the condition that Fletcher attend Ethics </w:t>
      </w:r>
      <w:r w:rsidR="0096173C">
        <w:rPr>
          <w:rFonts w:eastAsia="Times New Roman"/>
          <w:szCs w:val="24"/>
        </w:rPr>
        <w:t>S</w:t>
      </w:r>
      <w:r w:rsidR="00D419FC">
        <w:rPr>
          <w:rFonts w:eastAsia="Times New Roman"/>
          <w:szCs w:val="24"/>
        </w:rPr>
        <w:t xml:space="preserve">chool.  </w:t>
      </w:r>
      <w:r w:rsidR="0096173C">
        <w:rPr>
          <w:rFonts w:eastAsia="Times New Roman"/>
          <w:szCs w:val="24"/>
        </w:rPr>
        <w:t>We</w:t>
      </w:r>
      <w:r w:rsidR="00D419FC">
        <w:rPr>
          <w:rFonts w:eastAsia="Times New Roman"/>
          <w:szCs w:val="24"/>
        </w:rPr>
        <w:t xml:space="preserve"> do </w:t>
      </w:r>
      <w:r>
        <w:rPr>
          <w:rFonts w:eastAsia="Times New Roman"/>
          <w:szCs w:val="24"/>
        </w:rPr>
        <w:t xml:space="preserve">not order </w:t>
      </w:r>
      <w:r w:rsidR="00FC78C8">
        <w:rPr>
          <w:rFonts w:eastAsia="Times New Roman"/>
          <w:szCs w:val="24"/>
        </w:rPr>
        <w:t xml:space="preserve">payment of </w:t>
      </w:r>
      <w:r>
        <w:rPr>
          <w:rFonts w:eastAsia="Times New Roman"/>
          <w:szCs w:val="24"/>
        </w:rPr>
        <w:t>sanctions</w:t>
      </w:r>
      <w:r w:rsidR="00D419FC">
        <w:rPr>
          <w:rFonts w:eastAsia="Times New Roman"/>
          <w:szCs w:val="24"/>
        </w:rPr>
        <w:t xml:space="preserve"> </w:t>
      </w:r>
      <w:r w:rsidR="0096173C">
        <w:rPr>
          <w:rFonts w:eastAsia="Times New Roman"/>
          <w:szCs w:val="24"/>
        </w:rPr>
        <w:t xml:space="preserve">in light of </w:t>
      </w:r>
      <w:r w:rsidR="00D419FC">
        <w:rPr>
          <w:rFonts w:eastAsia="Times New Roman"/>
          <w:szCs w:val="24"/>
        </w:rPr>
        <w:t>the civil case settlement.</w:t>
      </w:r>
    </w:p>
    <w:p w:rsidR="002A7C0A" w:rsidRDefault="002A7C0A" w:rsidP="008A6D54">
      <w:pPr>
        <w:tabs>
          <w:tab w:val="left" w:pos="720"/>
        </w:tabs>
        <w:spacing w:line="480" w:lineRule="auto"/>
        <w:rPr>
          <w:rFonts w:eastAsia="Times New Roman"/>
          <w:szCs w:val="24"/>
        </w:rPr>
      </w:pPr>
    </w:p>
    <w:p w:rsidR="008A6D54" w:rsidRDefault="008A6D54" w:rsidP="008A6D54">
      <w:pPr>
        <w:tabs>
          <w:tab w:val="left" w:pos="720"/>
        </w:tabs>
        <w:spacing w:line="480" w:lineRule="auto"/>
        <w:jc w:val="center"/>
        <w:rPr>
          <w:b/>
        </w:rPr>
      </w:pPr>
      <w:r>
        <w:rPr>
          <w:b/>
        </w:rPr>
        <w:lastRenderedPageBreak/>
        <w:t xml:space="preserve">I.  </w:t>
      </w:r>
      <w:r w:rsidR="00C95B8E">
        <w:rPr>
          <w:b/>
        </w:rPr>
        <w:t xml:space="preserve">SIGNIFICANT PROCEDURAL HISTORY AND </w:t>
      </w:r>
      <w:r>
        <w:rPr>
          <w:b/>
        </w:rPr>
        <w:t>ISSUES ON REVIEW</w:t>
      </w:r>
    </w:p>
    <w:p w:rsidR="008A6D54" w:rsidRDefault="008A6D54" w:rsidP="008A6D54">
      <w:pPr>
        <w:spacing w:line="480" w:lineRule="auto"/>
      </w:pPr>
      <w:r>
        <w:tab/>
      </w:r>
      <w:r w:rsidR="00C95B8E">
        <w:t xml:space="preserve">Fletcher was admitted to practice </w:t>
      </w:r>
      <w:r w:rsidR="007833AF">
        <w:t xml:space="preserve">law </w:t>
      </w:r>
      <w:r w:rsidR="00C95B8E">
        <w:t xml:space="preserve">in 1988.  In this, his first disciplinary proceeding, OCTC charged him with three counts of misconduct: </w:t>
      </w:r>
      <w:r w:rsidR="004C287B">
        <w:t xml:space="preserve">one count of commingling funds, in violation of rule 4.100(A)(2) of </w:t>
      </w:r>
      <w:r w:rsidR="002A1342">
        <w:t>the Rules of Professional Condu</w:t>
      </w:r>
      <w:r w:rsidR="004C287B">
        <w:t>ct (First Notice of Disciplinary Charges, filed March 4, 2016, State Bar Court Case No. 15-O-13669); and two counts of disobeying civil court sanctions orders ($3,500 and $1,980), in violation of Business and Professions Code section 6103</w:t>
      </w:r>
      <w:r w:rsidR="004C287B">
        <w:rPr>
          <w:rStyle w:val="FootnoteReference"/>
        </w:rPr>
        <w:footnoteReference w:id="1"/>
      </w:r>
      <w:r w:rsidR="004C287B">
        <w:t xml:space="preserve"> (Second Notice of Disciplinary Charges, filed July 25, 2016, State Bar Court Case No. 15-O-12822).  Following consolidation of the cases and a three-day trial, the hearing judge issued her decision on January 3, 2017, as amended on </w:t>
      </w:r>
      <w:r w:rsidR="004C287B" w:rsidRPr="004C287B">
        <w:t>January</w:t>
      </w:r>
      <w:r w:rsidR="004C287B">
        <w:t xml:space="preserve"> 18, 2017.  </w:t>
      </w:r>
      <w:r w:rsidR="002A1342">
        <w:tab/>
      </w:r>
      <w:r w:rsidR="00FC78C8" w:rsidRPr="004C287B">
        <w:t>The</w:t>
      </w:r>
      <w:r w:rsidR="00FC78C8">
        <w:t xml:space="preserve"> </w:t>
      </w:r>
      <w:r w:rsidR="00FB1A6C">
        <w:t xml:space="preserve">disputed </w:t>
      </w:r>
      <w:r w:rsidR="00FC78C8">
        <w:t xml:space="preserve">issues on review are limited.  </w:t>
      </w:r>
      <w:r>
        <w:t>Fletcher does not challenge his culpability for failing to timely pay the $3,500 sanctions</w:t>
      </w:r>
      <w:r w:rsidR="002A1342">
        <w:t>, and</w:t>
      </w:r>
      <w:r>
        <w:t xml:space="preserve"> OCTC does not challenge the dismissal of the </w:t>
      </w:r>
      <w:r w:rsidR="002A1342">
        <w:t>commingling charge</w:t>
      </w:r>
      <w:r>
        <w:t>.  We affirm both counts</w:t>
      </w:r>
      <w:r w:rsidR="00FC78C8">
        <w:t>,</w:t>
      </w:r>
      <w:r>
        <w:t xml:space="preserve"> as supported by the record.  Accordingly, the only issues </w:t>
      </w:r>
      <w:r w:rsidR="00FB1A6C">
        <w:t>before us</w:t>
      </w:r>
      <w:r>
        <w:t xml:space="preserve"> are: (1) whether Fletcher is culpable for not tim</w:t>
      </w:r>
      <w:r w:rsidR="002A1342">
        <w:t>ely paying the $1,980 sanctions</w:t>
      </w:r>
      <w:r>
        <w:t xml:space="preserve">; (2) the appropriate level of discipline; and (3) whether Fletcher should be ordered to pay </w:t>
      </w:r>
      <w:r w:rsidR="002A1342">
        <w:t xml:space="preserve">the </w:t>
      </w:r>
      <w:r>
        <w:t>sanctions.</w:t>
      </w:r>
      <w:r w:rsidR="00BD00CE">
        <w:t xml:space="preserve">  </w:t>
      </w:r>
      <w:r w:rsidR="0096173C">
        <w:t xml:space="preserve">For reasons analyzed below, we </w:t>
      </w:r>
      <w:r w:rsidR="0090583C">
        <w:t xml:space="preserve">conclude </w:t>
      </w:r>
      <w:r w:rsidR="0096173C">
        <w:t xml:space="preserve">that </w:t>
      </w:r>
      <w:r w:rsidR="006E146E">
        <w:t>Fletcher</w:t>
      </w:r>
      <w:r w:rsidR="00BD00CE">
        <w:t xml:space="preserve"> is culpable, </w:t>
      </w:r>
      <w:r w:rsidR="0096173C">
        <w:t xml:space="preserve">a public reproval is the proper discipline, and </w:t>
      </w:r>
      <w:r w:rsidR="00B31122">
        <w:t>no</w:t>
      </w:r>
      <w:r w:rsidR="0090583C">
        <w:t xml:space="preserve"> sanctions</w:t>
      </w:r>
      <w:r w:rsidR="00B31122">
        <w:t xml:space="preserve"> are due</w:t>
      </w:r>
      <w:r w:rsidR="00BD00CE">
        <w:t>.</w:t>
      </w:r>
    </w:p>
    <w:p w:rsidR="008A6D54" w:rsidRDefault="008A6D54" w:rsidP="008A6D54">
      <w:pPr>
        <w:spacing w:line="480" w:lineRule="auto"/>
        <w:jc w:val="center"/>
        <w:rPr>
          <w:b/>
        </w:rPr>
      </w:pPr>
      <w:r w:rsidRPr="00D8536E">
        <w:rPr>
          <w:b/>
        </w:rPr>
        <w:t>II.</w:t>
      </w:r>
      <w:r>
        <w:rPr>
          <w:b/>
        </w:rPr>
        <w:t xml:space="preserve">  THE FACTS</w:t>
      </w:r>
      <w:r>
        <w:rPr>
          <w:rStyle w:val="FootnoteReference"/>
          <w:b/>
        </w:rPr>
        <w:footnoteReference w:id="2"/>
      </w:r>
    </w:p>
    <w:p w:rsidR="008A6D54" w:rsidRDefault="008A6D54" w:rsidP="008A6D54">
      <w:pPr>
        <w:spacing w:line="480" w:lineRule="auto"/>
        <w:ind w:firstLine="720"/>
      </w:pPr>
      <w:r>
        <w:t>John Davis sued Myrine Daiges in a civil action.</w:t>
      </w:r>
      <w:r>
        <w:rPr>
          <w:rStyle w:val="FootnoteReference"/>
        </w:rPr>
        <w:footnoteReference w:id="3"/>
      </w:r>
      <w:r>
        <w:t xml:space="preserve">  Fletcher represented Daiges and Daiges’s nonprofit corporation, Nova Group Home</w:t>
      </w:r>
      <w:r w:rsidR="002A1342">
        <w:t>, Inc.</w:t>
      </w:r>
      <w:r>
        <w:t xml:space="preserve"> (Nova).  Fletcher filed a cross-complaint and amended cross-complaint on behalf of both clients against Davis on July 19 and </w:t>
      </w:r>
      <w:r>
        <w:lastRenderedPageBreak/>
        <w:t xml:space="preserve">September 30, 2013, respectively.  On October 22, 2013, Davis served interrogatories, requests for documents, and requests for admissions on Fletcher as counsel for Nova.  On November 14, 2013, Davis amended his complaint to name Nova in place of a Doe defendant.  </w:t>
      </w:r>
    </w:p>
    <w:p w:rsidR="008A6D54" w:rsidRDefault="008A6D54" w:rsidP="008A6D54">
      <w:pPr>
        <w:spacing w:line="480" w:lineRule="auto"/>
        <w:ind w:firstLine="720"/>
      </w:pPr>
      <w:r>
        <w:t xml:space="preserve">Fletcher did not respond to Davis’s discovery requests.  Instead, he filed a voluntary dismissal of the cross-complaint, which the court granted on December 3, 2013.  Two days later, Davis filed three motions to compel discovery and related requests for sanctions against Nova and Fletcher.  There is no evidence that Nova or Fletcher filed oppositions. </w:t>
      </w:r>
    </w:p>
    <w:p w:rsidR="008A6D54" w:rsidRDefault="008A6D54" w:rsidP="008A6D54">
      <w:pPr>
        <w:spacing w:line="480" w:lineRule="auto"/>
        <w:ind w:firstLine="720"/>
      </w:pPr>
      <w:r>
        <w:t xml:space="preserve">The </w:t>
      </w:r>
      <w:r w:rsidR="0022150F">
        <w:t xml:space="preserve">superior </w:t>
      </w:r>
      <w:r>
        <w:t xml:space="preserve">court heard the motions on July 10, 2014.  By this time, Fletcher had filed an answer on behalf of Nova, and he attended the hearing.  The court granted Davis’s motions and ordered Nova and Fletcher to pay $1,980 in sanctions to Davis within 10 days.  The court </w:t>
      </w:r>
      <w:r w:rsidR="0022150F">
        <w:t xml:space="preserve">also </w:t>
      </w:r>
      <w:r>
        <w:t>issued a minute order imposing sanctions consistent with the ruling</w:t>
      </w:r>
      <w:r w:rsidR="00715F00">
        <w:t xml:space="preserve">. </w:t>
      </w:r>
      <w:r>
        <w:t xml:space="preserve"> Fletcher was served with the notice of ruling.  Neither Nova nor Fletcher timely paid the sanctions, sought reconsideration, or otherwise appealed the order.  On September 19, 2014, </w:t>
      </w:r>
      <w:r w:rsidR="00710B42">
        <w:t>the parties</w:t>
      </w:r>
      <w:r>
        <w:t xml:space="preserve"> entered into a settlement and mutual release that resolved the case, including the sanctions owed to Davis.  </w:t>
      </w:r>
    </w:p>
    <w:p w:rsidR="008A6D54" w:rsidRPr="006248FE" w:rsidRDefault="008A6D54" w:rsidP="008A6D54">
      <w:pPr>
        <w:spacing w:line="480" w:lineRule="auto"/>
        <w:ind w:firstLine="720"/>
        <w:jc w:val="center"/>
        <w:rPr>
          <w:b/>
        </w:rPr>
      </w:pPr>
      <w:r>
        <w:rPr>
          <w:b/>
        </w:rPr>
        <w:t>III.  FLETCHER IS CULPABLE</w:t>
      </w:r>
    </w:p>
    <w:p w:rsidR="008A6D54" w:rsidRDefault="008A6D54" w:rsidP="008A6D54">
      <w:pPr>
        <w:spacing w:line="480" w:lineRule="auto"/>
        <w:ind w:firstLine="720"/>
      </w:pPr>
      <w:r>
        <w:t xml:space="preserve">We affirm the </w:t>
      </w:r>
      <w:r w:rsidRPr="00D30935">
        <w:t>hearing judge</w:t>
      </w:r>
      <w:r>
        <w:t xml:space="preserve">’s finding that Fletcher </w:t>
      </w:r>
      <w:r w:rsidRPr="00D30935">
        <w:t>willful</w:t>
      </w:r>
      <w:r>
        <w:t>ly disobeyed the superior court’</w:t>
      </w:r>
      <w:r w:rsidRPr="00D30935">
        <w:t xml:space="preserve">s </w:t>
      </w:r>
      <w:r>
        <w:t>July 10, 2014, order by failing to timely pay the sanctions of $1,980, in violation of section 6103.</w:t>
      </w:r>
      <w:r w:rsidRPr="009A1D97">
        <w:rPr>
          <w:rFonts w:eastAsia="Times New Roman"/>
          <w:szCs w:val="24"/>
          <w:vertAlign w:val="superscript"/>
        </w:rPr>
        <w:footnoteReference w:id="4"/>
      </w:r>
      <w:r>
        <w:rPr>
          <w:rFonts w:eastAsia="Times New Roman"/>
          <w:szCs w:val="24"/>
        </w:rPr>
        <w:t xml:space="preserve">  T</w:t>
      </w:r>
      <w:r>
        <w:t xml:space="preserve">o establish a willful violation of this section, an attorney must know </w:t>
      </w:r>
      <w:r w:rsidR="00476DD2">
        <w:t>an order</w:t>
      </w:r>
      <w:r>
        <w:t xml:space="preserve"> </w:t>
      </w:r>
      <w:r w:rsidR="00476DD2">
        <w:t>is</w:t>
      </w:r>
      <w:r>
        <w:t xml:space="preserve"> final and binding.  (</w:t>
      </w:r>
      <w:r w:rsidRPr="002878D8">
        <w:rPr>
          <w:i/>
        </w:rPr>
        <w:t>In the Matter of Maloney and Virsik</w:t>
      </w:r>
      <w:r>
        <w:t xml:space="preserve"> (Review Dept. 2005) 4 Cal. State Bar Ct. Rptr. 774, 787 [attorney’s knowledge of final, binding order is essential element of § 6103 violation].)  Fletcher knew the sanctions order was final and binding because he received notice </w:t>
      </w:r>
      <w:r>
        <w:lastRenderedPageBreak/>
        <w:t xml:space="preserve">of the motions, attended the hearing, and was served with a notice of the ruling.  </w:t>
      </w:r>
      <w:r w:rsidR="008B4A74">
        <w:t>Nevertheless, he failed to pay the sanctions within the specified period.</w:t>
      </w:r>
    </w:p>
    <w:p w:rsidR="005F2151" w:rsidRDefault="002E3000" w:rsidP="008A6D54">
      <w:pPr>
        <w:spacing w:line="480" w:lineRule="auto"/>
        <w:ind w:firstLine="720"/>
      </w:pPr>
      <w:r>
        <w:rPr>
          <w:szCs w:val="24"/>
        </w:rPr>
        <w:t xml:space="preserve">On review, </w:t>
      </w:r>
      <w:r w:rsidR="003D53A8">
        <w:rPr>
          <w:szCs w:val="24"/>
        </w:rPr>
        <w:t>Fletcher argues that</w:t>
      </w:r>
      <w:r w:rsidR="008B4A74" w:rsidRPr="008B4A74">
        <w:rPr>
          <w:szCs w:val="24"/>
        </w:rPr>
        <w:t xml:space="preserve"> </w:t>
      </w:r>
      <w:r w:rsidR="008B4A74">
        <w:rPr>
          <w:szCs w:val="24"/>
        </w:rPr>
        <w:t>the sanctions order is void and unenforceable</w:t>
      </w:r>
      <w:r w:rsidR="00B7370B">
        <w:rPr>
          <w:szCs w:val="24"/>
        </w:rPr>
        <w:t xml:space="preserve">.  He </w:t>
      </w:r>
      <w:r w:rsidR="00715F00">
        <w:rPr>
          <w:szCs w:val="24"/>
        </w:rPr>
        <w:t>contends</w:t>
      </w:r>
      <w:r w:rsidR="00B7370B">
        <w:rPr>
          <w:szCs w:val="24"/>
        </w:rPr>
        <w:t xml:space="preserve"> that </w:t>
      </w:r>
      <w:r w:rsidR="000B15CD">
        <w:rPr>
          <w:szCs w:val="24"/>
        </w:rPr>
        <w:t>the</w:t>
      </w:r>
      <w:r w:rsidR="008B4A74">
        <w:rPr>
          <w:szCs w:val="24"/>
        </w:rPr>
        <w:t xml:space="preserve"> </w:t>
      </w:r>
      <w:r w:rsidR="003D53A8">
        <w:rPr>
          <w:szCs w:val="24"/>
        </w:rPr>
        <w:t xml:space="preserve">superior court lacked subject matter and personal jurisdiction </w:t>
      </w:r>
      <w:r w:rsidR="00B7370B">
        <w:rPr>
          <w:szCs w:val="24"/>
        </w:rPr>
        <w:t xml:space="preserve">over </w:t>
      </w:r>
      <w:r w:rsidR="008D340E">
        <w:rPr>
          <w:szCs w:val="24"/>
        </w:rPr>
        <w:t xml:space="preserve">Nova and him </w:t>
      </w:r>
      <w:r w:rsidR="003D53A8">
        <w:rPr>
          <w:szCs w:val="24"/>
        </w:rPr>
        <w:t xml:space="preserve">when it issued the sanctions because he had dismissed the cross-complaint involving Nova before the sanctions motion was filed.  </w:t>
      </w:r>
      <w:r w:rsidR="00B7370B">
        <w:rPr>
          <w:szCs w:val="24"/>
        </w:rPr>
        <w:t xml:space="preserve">We reject his </w:t>
      </w:r>
      <w:r w:rsidR="008B4A74">
        <w:rPr>
          <w:szCs w:val="24"/>
        </w:rPr>
        <w:t>argument.</w:t>
      </w:r>
      <w:r w:rsidR="00C02B8F">
        <w:rPr>
          <w:szCs w:val="24"/>
        </w:rPr>
        <w:t xml:space="preserve"> </w:t>
      </w:r>
      <w:r w:rsidR="00DE411D">
        <w:rPr>
          <w:szCs w:val="24"/>
        </w:rPr>
        <w:t xml:space="preserve"> </w:t>
      </w:r>
      <w:r w:rsidR="00964DBE">
        <w:rPr>
          <w:szCs w:val="24"/>
        </w:rPr>
        <w:t>U</w:t>
      </w:r>
      <w:r w:rsidR="00C67057">
        <w:rPr>
          <w:szCs w:val="24"/>
        </w:rPr>
        <w:t xml:space="preserve">nder </w:t>
      </w:r>
      <w:r w:rsidR="00444CA5">
        <w:rPr>
          <w:szCs w:val="24"/>
        </w:rPr>
        <w:t xml:space="preserve">established </w:t>
      </w:r>
      <w:r w:rsidR="00C67057" w:rsidRPr="00BE2811">
        <w:rPr>
          <w:i/>
          <w:szCs w:val="24"/>
        </w:rPr>
        <w:t xml:space="preserve">disciplinary </w:t>
      </w:r>
      <w:r w:rsidR="00E01197">
        <w:rPr>
          <w:szCs w:val="24"/>
        </w:rPr>
        <w:t>authorities</w:t>
      </w:r>
      <w:r w:rsidR="00C67057">
        <w:rPr>
          <w:szCs w:val="24"/>
        </w:rPr>
        <w:t xml:space="preserve">, </w:t>
      </w:r>
      <w:r w:rsidR="00C24B31">
        <w:rPr>
          <w:szCs w:val="24"/>
        </w:rPr>
        <w:t xml:space="preserve">this court does not </w:t>
      </w:r>
      <w:r w:rsidR="005F2151">
        <w:rPr>
          <w:szCs w:val="24"/>
        </w:rPr>
        <w:t xml:space="preserve">review a </w:t>
      </w:r>
      <w:r w:rsidR="00C24B31">
        <w:rPr>
          <w:szCs w:val="24"/>
        </w:rPr>
        <w:t xml:space="preserve">superior court order </w:t>
      </w:r>
      <w:r w:rsidR="005F2151">
        <w:rPr>
          <w:szCs w:val="24"/>
        </w:rPr>
        <w:t xml:space="preserve">for </w:t>
      </w:r>
      <w:r w:rsidR="00391CD0">
        <w:rPr>
          <w:szCs w:val="24"/>
        </w:rPr>
        <w:t xml:space="preserve">such </w:t>
      </w:r>
      <w:r w:rsidR="005F2151">
        <w:rPr>
          <w:szCs w:val="24"/>
        </w:rPr>
        <w:t>jurisdictional validity</w:t>
      </w:r>
      <w:r w:rsidR="00B7370B">
        <w:rPr>
          <w:szCs w:val="24"/>
        </w:rPr>
        <w:t xml:space="preserve">, and </w:t>
      </w:r>
      <w:r w:rsidR="00DE411D">
        <w:rPr>
          <w:szCs w:val="24"/>
        </w:rPr>
        <w:t>Fletcher</w:t>
      </w:r>
      <w:r w:rsidR="00497F3B">
        <w:rPr>
          <w:szCs w:val="24"/>
        </w:rPr>
        <w:t xml:space="preserve"> may not </w:t>
      </w:r>
      <w:r w:rsidR="008A6D54">
        <w:t xml:space="preserve">collaterally attack </w:t>
      </w:r>
      <w:r w:rsidR="008D340E">
        <w:t>the</w:t>
      </w:r>
      <w:r w:rsidR="00E667E9">
        <w:t xml:space="preserve"> </w:t>
      </w:r>
      <w:r w:rsidR="00B7370B">
        <w:t>order</w:t>
      </w:r>
      <w:r w:rsidR="00444CA5">
        <w:t xml:space="preserve"> </w:t>
      </w:r>
      <w:r w:rsidR="008A6D54">
        <w:t xml:space="preserve">for the first time </w:t>
      </w:r>
      <w:r>
        <w:t xml:space="preserve">in </w:t>
      </w:r>
      <w:r w:rsidR="00F12C06">
        <w:t xml:space="preserve">the State Bar Court </w:t>
      </w:r>
      <w:r w:rsidR="00A66665">
        <w:t xml:space="preserve">to </w:t>
      </w:r>
      <w:r w:rsidR="008A6D54">
        <w:t xml:space="preserve">avoid culpability </w:t>
      </w:r>
      <w:r w:rsidR="00B7370B">
        <w:t xml:space="preserve">and discipline </w:t>
      </w:r>
      <w:r w:rsidR="008A6D54">
        <w:t>for violating section 6103.</w:t>
      </w:r>
      <w:r w:rsidR="00EE0924">
        <w:rPr>
          <w:rStyle w:val="FootnoteReference"/>
        </w:rPr>
        <w:footnoteReference w:id="5"/>
      </w:r>
      <w:r w:rsidR="00EE0924">
        <w:t xml:space="preserve">  </w:t>
      </w:r>
      <w:r w:rsidR="000B15CD">
        <w:t>Though</w:t>
      </w:r>
      <w:r w:rsidR="00EE0924">
        <w:t xml:space="preserve"> we do not elaborate on Fletcher’s jurisdictional challenge, </w:t>
      </w:r>
      <w:r w:rsidR="00B7370B">
        <w:t xml:space="preserve">we note </w:t>
      </w:r>
      <w:r w:rsidR="00324572">
        <w:t xml:space="preserve">that </w:t>
      </w:r>
      <w:r w:rsidR="00B7370B">
        <w:t xml:space="preserve">case law </w:t>
      </w:r>
      <w:r w:rsidR="00BE2811">
        <w:t xml:space="preserve">provides that </w:t>
      </w:r>
      <w:r w:rsidR="00EE0924">
        <w:t xml:space="preserve">civil courts </w:t>
      </w:r>
      <w:r w:rsidR="00BE2811">
        <w:t xml:space="preserve">may </w:t>
      </w:r>
      <w:r w:rsidR="00EE0924">
        <w:t>retain jurisdiction to determine and enforce statutory sanctions against dismissed parties and their attorneys where the misconduct meriting sanctions occurred before the dismissal.  (</w:t>
      </w:r>
      <w:r w:rsidR="002B427F">
        <w:t xml:space="preserve">See </w:t>
      </w:r>
      <w:r w:rsidR="00EE0924" w:rsidRPr="00D657BC">
        <w:rPr>
          <w:i/>
        </w:rPr>
        <w:t>Frank Annino &amp; Sons Constr., Inc. v. McArthur Restaurants, Inc.</w:t>
      </w:r>
      <w:r w:rsidR="00EE0924">
        <w:t xml:space="preserve"> (1998) 215</w:t>
      </w:r>
      <w:r w:rsidR="00B03249">
        <w:t> </w:t>
      </w:r>
      <w:r w:rsidR="00EE0924">
        <w:t xml:space="preserve">Cal.App.3d 353, 357–358; </w:t>
      </w:r>
      <w:r w:rsidR="00EE0924" w:rsidRPr="00471880">
        <w:rPr>
          <w:i/>
        </w:rPr>
        <w:t>Durdines v. Superior Court</w:t>
      </w:r>
      <w:r w:rsidR="00EE0924">
        <w:t xml:space="preserve"> (1999) 76</w:t>
      </w:r>
      <w:r w:rsidR="00B03249">
        <w:t> </w:t>
      </w:r>
      <w:r w:rsidR="00EE0924">
        <w:t>Cal.App.4th 247, 256 [</w:t>
      </w:r>
      <w:r w:rsidR="00EE0924" w:rsidRPr="00471880">
        <w:t xml:space="preserve">attorney is officer of </w:t>
      </w:r>
      <w:r w:rsidR="00EE0924">
        <w:t>court and generally subject to</w:t>
      </w:r>
      <w:r w:rsidR="00EE0924" w:rsidRPr="00471880">
        <w:t xml:space="preserve"> court’s </w:t>
      </w:r>
      <w:r w:rsidR="00EE0924">
        <w:t>jurisdiction</w:t>
      </w:r>
      <w:r w:rsidR="00EE0924" w:rsidRPr="00471880">
        <w:t>, as person conne</w:t>
      </w:r>
      <w:r w:rsidR="00EE0924">
        <w:t>cted with judicial proceeding].)</w:t>
      </w:r>
    </w:p>
    <w:p w:rsidR="008A6D54" w:rsidRPr="00444CA5" w:rsidRDefault="008A6D54" w:rsidP="008A6D54">
      <w:pPr>
        <w:spacing w:line="480" w:lineRule="auto"/>
        <w:rPr>
          <w:szCs w:val="24"/>
        </w:rPr>
      </w:pPr>
      <w:r>
        <w:rPr>
          <w:szCs w:val="24"/>
        </w:rPr>
        <w:tab/>
        <w:t>Fletcher</w:t>
      </w:r>
      <w:r w:rsidR="00EE0924">
        <w:rPr>
          <w:szCs w:val="24"/>
        </w:rPr>
        <w:t xml:space="preserve"> relies </w:t>
      </w:r>
      <w:r w:rsidR="004367EE">
        <w:rPr>
          <w:szCs w:val="24"/>
        </w:rPr>
        <w:t>on</w:t>
      </w:r>
      <w:r>
        <w:rPr>
          <w:szCs w:val="24"/>
        </w:rPr>
        <w:t xml:space="preserve"> </w:t>
      </w:r>
      <w:r>
        <w:rPr>
          <w:i/>
          <w:szCs w:val="24"/>
        </w:rPr>
        <w:t>In the Matter of Respondent X</w:t>
      </w:r>
      <w:r>
        <w:t xml:space="preserve"> (Review Dept. 1997) 3 Cal. State Bar Ct. Rptr. 592</w:t>
      </w:r>
      <w:r>
        <w:rPr>
          <w:szCs w:val="24"/>
        </w:rPr>
        <w:t xml:space="preserve">, to support </w:t>
      </w:r>
      <w:r w:rsidR="00AD3CA9">
        <w:rPr>
          <w:szCs w:val="24"/>
        </w:rPr>
        <w:t xml:space="preserve">his argument for </w:t>
      </w:r>
      <w:r>
        <w:rPr>
          <w:szCs w:val="24"/>
        </w:rPr>
        <w:t>collateral attack</w:t>
      </w:r>
      <w:r w:rsidR="00391CD0">
        <w:rPr>
          <w:szCs w:val="24"/>
        </w:rPr>
        <w:t xml:space="preserve"> on the order as void</w:t>
      </w:r>
      <w:r>
        <w:rPr>
          <w:szCs w:val="24"/>
        </w:rPr>
        <w:t xml:space="preserve">.  His reliance is misplaced.  </w:t>
      </w:r>
      <w:r w:rsidRPr="00383B2B">
        <w:rPr>
          <w:i/>
          <w:szCs w:val="24"/>
        </w:rPr>
        <w:t>Respondent X</w:t>
      </w:r>
      <w:r>
        <w:rPr>
          <w:szCs w:val="24"/>
        </w:rPr>
        <w:t xml:space="preserve"> concerned a </w:t>
      </w:r>
      <w:r w:rsidR="000A1CF9">
        <w:rPr>
          <w:szCs w:val="24"/>
        </w:rPr>
        <w:t>violation of a confidentiality order</w:t>
      </w:r>
      <w:r>
        <w:rPr>
          <w:szCs w:val="24"/>
        </w:rPr>
        <w:t xml:space="preserve"> where the attorney challenged the </w:t>
      </w:r>
      <w:r w:rsidR="000A1CF9">
        <w:rPr>
          <w:szCs w:val="24"/>
        </w:rPr>
        <w:t>order’s validity</w:t>
      </w:r>
      <w:r>
        <w:rPr>
          <w:szCs w:val="24"/>
        </w:rPr>
        <w:t xml:space="preserve"> </w:t>
      </w:r>
      <w:r w:rsidRPr="00711824">
        <w:rPr>
          <w:szCs w:val="24"/>
        </w:rPr>
        <w:t xml:space="preserve">at the time </w:t>
      </w:r>
      <w:r w:rsidR="008B3241">
        <w:rPr>
          <w:szCs w:val="24"/>
        </w:rPr>
        <w:t xml:space="preserve">when he </w:t>
      </w:r>
      <w:r w:rsidRPr="00711824">
        <w:rPr>
          <w:szCs w:val="24"/>
        </w:rPr>
        <w:t>would be punished</w:t>
      </w:r>
      <w:r>
        <w:rPr>
          <w:szCs w:val="24"/>
        </w:rPr>
        <w:t xml:space="preserve"> for his disobedience, namely, at the superior court contempt sentencing hearing.  We did not entertain a collateral </w:t>
      </w:r>
      <w:r>
        <w:rPr>
          <w:szCs w:val="24"/>
        </w:rPr>
        <w:lastRenderedPageBreak/>
        <w:t xml:space="preserve">attack in </w:t>
      </w:r>
      <w:r w:rsidR="00A66665">
        <w:rPr>
          <w:szCs w:val="24"/>
        </w:rPr>
        <w:t xml:space="preserve">that </w:t>
      </w:r>
      <w:r>
        <w:rPr>
          <w:szCs w:val="24"/>
        </w:rPr>
        <w:t>disciplinary proceeding</w:t>
      </w:r>
      <w:r w:rsidR="00065E1D">
        <w:rPr>
          <w:szCs w:val="24"/>
        </w:rPr>
        <w:t xml:space="preserve"> as to the order’s validity</w:t>
      </w:r>
      <w:r>
        <w:rPr>
          <w:szCs w:val="24"/>
        </w:rPr>
        <w:t xml:space="preserve">, as Fletcher seeks to do here.  To the contrary, we </w:t>
      </w:r>
      <w:r w:rsidRPr="00C107EA">
        <w:rPr>
          <w:szCs w:val="24"/>
        </w:rPr>
        <w:t>defer</w:t>
      </w:r>
      <w:r>
        <w:rPr>
          <w:szCs w:val="24"/>
        </w:rPr>
        <w:t>red</w:t>
      </w:r>
      <w:r w:rsidRPr="00C107EA">
        <w:rPr>
          <w:szCs w:val="24"/>
        </w:rPr>
        <w:t xml:space="preserve"> </w:t>
      </w:r>
      <w:r>
        <w:rPr>
          <w:szCs w:val="24"/>
        </w:rPr>
        <w:t>questions of</w:t>
      </w:r>
      <w:r w:rsidR="00964DBE">
        <w:rPr>
          <w:szCs w:val="24"/>
        </w:rPr>
        <w:t xml:space="preserve"> the </w:t>
      </w:r>
      <w:r w:rsidR="00AD3CA9">
        <w:rPr>
          <w:szCs w:val="24"/>
        </w:rPr>
        <w:t xml:space="preserve">superior court </w:t>
      </w:r>
      <w:r w:rsidR="00964DBE">
        <w:rPr>
          <w:szCs w:val="24"/>
        </w:rPr>
        <w:t>order’s</w:t>
      </w:r>
      <w:r>
        <w:rPr>
          <w:szCs w:val="24"/>
        </w:rPr>
        <w:t xml:space="preserve"> validit</w:t>
      </w:r>
      <w:r w:rsidR="00964DBE">
        <w:rPr>
          <w:szCs w:val="24"/>
        </w:rPr>
        <w:t xml:space="preserve">y to </w:t>
      </w:r>
      <w:r w:rsidRPr="00C107EA">
        <w:rPr>
          <w:szCs w:val="24"/>
        </w:rPr>
        <w:t xml:space="preserve">the </w:t>
      </w:r>
      <w:r w:rsidR="00AD3CA9">
        <w:rPr>
          <w:szCs w:val="24"/>
        </w:rPr>
        <w:t xml:space="preserve">state </w:t>
      </w:r>
      <w:r w:rsidRPr="00C107EA">
        <w:rPr>
          <w:szCs w:val="24"/>
        </w:rPr>
        <w:t xml:space="preserve">courts </w:t>
      </w:r>
      <w:r>
        <w:rPr>
          <w:szCs w:val="24"/>
        </w:rPr>
        <w:t>and emphasized that the attorney “</w:t>
      </w:r>
      <w:r w:rsidRPr="005B6460">
        <w:rPr>
          <w:szCs w:val="24"/>
        </w:rPr>
        <w:t xml:space="preserve">had his opportunities to litigate </w:t>
      </w:r>
      <w:r w:rsidRPr="008A12B5">
        <w:rPr>
          <w:i/>
          <w:szCs w:val="24"/>
        </w:rPr>
        <w:t>in the courts of record</w:t>
      </w:r>
      <w:r w:rsidRPr="005B6460">
        <w:rPr>
          <w:szCs w:val="24"/>
        </w:rPr>
        <w:t xml:space="preserve"> his claims that the order he violated was void</w:t>
      </w:r>
      <w:r>
        <w:rPr>
          <w:szCs w:val="24"/>
        </w:rPr>
        <w:t>” and that there was “</w:t>
      </w:r>
      <w:r w:rsidRPr="005B6460">
        <w:rPr>
          <w:szCs w:val="24"/>
        </w:rPr>
        <w:t>no valid reason to go behind the now-final order.</w:t>
      </w:r>
      <w:r>
        <w:rPr>
          <w:szCs w:val="24"/>
        </w:rPr>
        <w:t>”  (</w:t>
      </w:r>
      <w:r>
        <w:rPr>
          <w:i/>
          <w:szCs w:val="24"/>
        </w:rPr>
        <w:t xml:space="preserve">Id. </w:t>
      </w:r>
      <w:r w:rsidRPr="00E03F55">
        <w:rPr>
          <w:szCs w:val="24"/>
        </w:rPr>
        <w:t xml:space="preserve">at </w:t>
      </w:r>
      <w:r>
        <w:rPr>
          <w:szCs w:val="24"/>
        </w:rPr>
        <w:t>p. </w:t>
      </w:r>
      <w:r w:rsidRPr="00E03F55">
        <w:rPr>
          <w:szCs w:val="24"/>
        </w:rPr>
        <w:t>605</w:t>
      </w:r>
      <w:r>
        <w:rPr>
          <w:szCs w:val="24"/>
        </w:rPr>
        <w:t xml:space="preserve">, emphasis added.)  </w:t>
      </w:r>
      <w:r w:rsidR="00126876">
        <w:rPr>
          <w:szCs w:val="24"/>
        </w:rPr>
        <w:t xml:space="preserve">We find that, </w:t>
      </w:r>
      <w:r w:rsidR="00AD3CA9">
        <w:rPr>
          <w:szCs w:val="24"/>
        </w:rPr>
        <w:t xml:space="preserve">for </w:t>
      </w:r>
      <w:r w:rsidR="00EF4D9D" w:rsidRPr="00444CA5">
        <w:t xml:space="preserve">purposes of attorney discipline, </w:t>
      </w:r>
      <w:r w:rsidR="00783287">
        <w:t xml:space="preserve">the </w:t>
      </w:r>
      <w:r w:rsidR="00967C4C" w:rsidRPr="00444CA5">
        <w:t xml:space="preserve">unchallenged </w:t>
      </w:r>
      <w:r w:rsidR="008D16DF">
        <w:t>$1</w:t>
      </w:r>
      <w:r w:rsidR="003C7D5B">
        <w:t>,</w:t>
      </w:r>
      <w:r w:rsidR="008D16DF">
        <w:t xml:space="preserve">980 </w:t>
      </w:r>
      <w:r w:rsidR="00ED075F" w:rsidRPr="00444CA5">
        <w:t xml:space="preserve">sanctions </w:t>
      </w:r>
      <w:r w:rsidR="00EF4D9D" w:rsidRPr="00444CA5">
        <w:t xml:space="preserve">order is </w:t>
      </w:r>
      <w:r w:rsidR="008D16DF">
        <w:t xml:space="preserve">final and </w:t>
      </w:r>
      <w:r w:rsidR="00EF4D9D" w:rsidRPr="00444CA5">
        <w:t>binding</w:t>
      </w:r>
      <w:r w:rsidR="00783287">
        <w:t xml:space="preserve">, and Fletcher </w:t>
      </w:r>
      <w:r w:rsidRPr="00444CA5">
        <w:rPr>
          <w:szCs w:val="24"/>
        </w:rPr>
        <w:t xml:space="preserve">violated section 6103 by not timely complying with </w:t>
      </w:r>
      <w:r w:rsidR="008D16DF">
        <w:rPr>
          <w:szCs w:val="24"/>
        </w:rPr>
        <w:t>it</w:t>
      </w:r>
      <w:r w:rsidR="00126876">
        <w:rPr>
          <w:szCs w:val="24"/>
        </w:rPr>
        <w:t>.</w:t>
      </w:r>
      <w:r w:rsidR="001F282B">
        <w:rPr>
          <w:szCs w:val="24"/>
        </w:rPr>
        <w:t xml:space="preserve"> </w:t>
      </w:r>
    </w:p>
    <w:p w:rsidR="008A6D54" w:rsidRDefault="008A6D54" w:rsidP="008A6D54">
      <w:pPr>
        <w:spacing w:line="480" w:lineRule="auto"/>
        <w:jc w:val="center"/>
        <w:rPr>
          <w:b/>
        </w:rPr>
      </w:pPr>
      <w:r>
        <w:rPr>
          <w:b/>
        </w:rPr>
        <w:t xml:space="preserve">IV.  SUBSTANTIAL MITIGATION AND NO </w:t>
      </w:r>
      <w:r w:rsidRPr="00E6493C">
        <w:rPr>
          <w:b/>
        </w:rPr>
        <w:t>AGGRAVATION</w:t>
      </w:r>
      <w:r>
        <w:rPr>
          <w:rStyle w:val="FootnoteReference"/>
          <w:b/>
        </w:rPr>
        <w:footnoteReference w:id="6"/>
      </w:r>
      <w:r w:rsidRPr="00E6493C">
        <w:rPr>
          <w:b/>
        </w:rPr>
        <w:t xml:space="preserve"> </w:t>
      </w:r>
    </w:p>
    <w:p w:rsidR="008A6D54" w:rsidRDefault="008A6D54" w:rsidP="008A6D54">
      <w:pPr>
        <w:spacing w:line="480" w:lineRule="auto"/>
        <w:rPr>
          <w:szCs w:val="24"/>
        </w:rPr>
      </w:pPr>
      <w:r>
        <w:tab/>
        <w:t xml:space="preserve">The </w:t>
      </w:r>
      <w:r>
        <w:rPr>
          <w:szCs w:val="24"/>
        </w:rPr>
        <w:t xml:space="preserve">hearing judge found three factors in mitigation, which we affirm with modifications that increase Fletcher’s overall mitigation credit.  </w:t>
      </w:r>
      <w:r w:rsidR="00EF4D9D">
        <w:rPr>
          <w:szCs w:val="24"/>
        </w:rPr>
        <w:t xml:space="preserve">We find that </w:t>
      </w:r>
      <w:r w:rsidR="00C50DD8">
        <w:rPr>
          <w:szCs w:val="24"/>
        </w:rPr>
        <w:t>his</w:t>
      </w:r>
      <w:r w:rsidR="00EF4D9D">
        <w:rPr>
          <w:szCs w:val="24"/>
        </w:rPr>
        <w:t xml:space="preserve"> mitigation predominates as there are </w:t>
      </w:r>
      <w:r>
        <w:rPr>
          <w:szCs w:val="24"/>
        </w:rPr>
        <w:t>no aggravating factors</w:t>
      </w:r>
      <w:r w:rsidR="00EF4D9D">
        <w:rPr>
          <w:szCs w:val="24"/>
        </w:rPr>
        <w:t>.</w:t>
      </w:r>
    </w:p>
    <w:p w:rsidR="008A6D54" w:rsidRDefault="008A6D54" w:rsidP="008A6D54">
      <w:pPr>
        <w:spacing w:line="480" w:lineRule="auto"/>
        <w:rPr>
          <w:b/>
          <w:szCs w:val="24"/>
        </w:rPr>
      </w:pPr>
      <w:r>
        <w:rPr>
          <w:b/>
          <w:szCs w:val="24"/>
        </w:rPr>
        <w:t>A</w:t>
      </w:r>
      <w:r w:rsidRPr="006D66F8">
        <w:rPr>
          <w:b/>
          <w:szCs w:val="24"/>
        </w:rPr>
        <w:t>.</w:t>
      </w:r>
      <w:r w:rsidRPr="006D66F8">
        <w:rPr>
          <w:b/>
          <w:szCs w:val="24"/>
        </w:rPr>
        <w:tab/>
      </w:r>
      <w:r>
        <w:rPr>
          <w:b/>
          <w:szCs w:val="24"/>
        </w:rPr>
        <w:t xml:space="preserve">No Prior Discipline </w:t>
      </w:r>
    </w:p>
    <w:p w:rsidR="008A6D54" w:rsidRDefault="008A6D54" w:rsidP="008A6D54">
      <w:pPr>
        <w:spacing w:line="480" w:lineRule="auto"/>
        <w:ind w:firstLine="720"/>
        <w:rPr>
          <w:szCs w:val="24"/>
        </w:rPr>
      </w:pPr>
      <w:r>
        <w:rPr>
          <w:szCs w:val="24"/>
        </w:rPr>
        <w:t>Mitigation is available where no prior record of discipline exists over many years of practice coupled with present misconduct that is not likely to recur.  (Std. 1.6(a).)  Fletcher has a 25-year record of discipline-free practice</w:t>
      </w:r>
      <w:r w:rsidR="00797CB7">
        <w:rPr>
          <w:szCs w:val="24"/>
        </w:rPr>
        <w:t xml:space="preserve">.  </w:t>
      </w:r>
      <w:r w:rsidR="00324572">
        <w:rPr>
          <w:szCs w:val="24"/>
        </w:rPr>
        <w:t>W</w:t>
      </w:r>
      <w:r w:rsidR="00797CB7">
        <w:rPr>
          <w:szCs w:val="24"/>
        </w:rPr>
        <w:t xml:space="preserve">hile </w:t>
      </w:r>
      <w:r w:rsidR="00710B42">
        <w:rPr>
          <w:szCs w:val="24"/>
        </w:rPr>
        <w:t>the</w:t>
      </w:r>
      <w:r w:rsidR="00CA6677">
        <w:rPr>
          <w:szCs w:val="24"/>
        </w:rPr>
        <w:t xml:space="preserve"> </w:t>
      </w:r>
      <w:r>
        <w:rPr>
          <w:szCs w:val="24"/>
        </w:rPr>
        <w:t xml:space="preserve">misconduct occurred over </w:t>
      </w:r>
      <w:r w:rsidR="00CA6677">
        <w:rPr>
          <w:szCs w:val="24"/>
        </w:rPr>
        <w:t xml:space="preserve">a </w:t>
      </w:r>
      <w:r w:rsidR="00710B42">
        <w:rPr>
          <w:szCs w:val="24"/>
        </w:rPr>
        <w:t>roughly nine</w:t>
      </w:r>
      <w:r>
        <w:rPr>
          <w:szCs w:val="24"/>
        </w:rPr>
        <w:t>-month period of time</w:t>
      </w:r>
      <w:r w:rsidR="00CA6677">
        <w:rPr>
          <w:szCs w:val="24"/>
        </w:rPr>
        <w:t xml:space="preserve">, </w:t>
      </w:r>
      <w:r w:rsidR="00797CB7">
        <w:rPr>
          <w:szCs w:val="24"/>
        </w:rPr>
        <w:t xml:space="preserve">it involved a single matter and </w:t>
      </w:r>
      <w:r w:rsidR="00CA6677">
        <w:rPr>
          <w:szCs w:val="24"/>
        </w:rPr>
        <w:t xml:space="preserve">the </w:t>
      </w:r>
      <w:r w:rsidR="00444CA5">
        <w:rPr>
          <w:szCs w:val="24"/>
        </w:rPr>
        <w:t xml:space="preserve">sanctions payment was resolved </w:t>
      </w:r>
      <w:r w:rsidR="00797CB7">
        <w:rPr>
          <w:szCs w:val="24"/>
        </w:rPr>
        <w:t xml:space="preserve">by </w:t>
      </w:r>
      <w:r>
        <w:t xml:space="preserve">settlement more than three years ago.  </w:t>
      </w:r>
      <w:r>
        <w:rPr>
          <w:szCs w:val="24"/>
        </w:rPr>
        <w:t xml:space="preserve">When </w:t>
      </w:r>
      <w:r w:rsidR="00444CA5">
        <w:rPr>
          <w:szCs w:val="24"/>
        </w:rPr>
        <w:t xml:space="preserve">we view </w:t>
      </w:r>
      <w:r w:rsidR="00797CB7">
        <w:rPr>
          <w:szCs w:val="24"/>
        </w:rPr>
        <w:t xml:space="preserve">Fletcher’s </w:t>
      </w:r>
      <w:r>
        <w:rPr>
          <w:szCs w:val="24"/>
        </w:rPr>
        <w:t xml:space="preserve">transgressions </w:t>
      </w:r>
      <w:r w:rsidR="00444CA5">
        <w:rPr>
          <w:szCs w:val="24"/>
        </w:rPr>
        <w:t xml:space="preserve">in </w:t>
      </w:r>
      <w:r>
        <w:rPr>
          <w:szCs w:val="24"/>
        </w:rPr>
        <w:t xml:space="preserve">relation to </w:t>
      </w:r>
      <w:r w:rsidR="00CA6677">
        <w:rPr>
          <w:szCs w:val="24"/>
        </w:rPr>
        <w:t xml:space="preserve">these factors, </w:t>
      </w:r>
      <w:r>
        <w:rPr>
          <w:szCs w:val="24"/>
        </w:rPr>
        <w:t xml:space="preserve">we </w:t>
      </w:r>
      <w:r w:rsidR="00797CB7">
        <w:rPr>
          <w:szCs w:val="24"/>
        </w:rPr>
        <w:t>conclude</w:t>
      </w:r>
      <w:r>
        <w:rPr>
          <w:szCs w:val="24"/>
        </w:rPr>
        <w:t xml:space="preserve"> </w:t>
      </w:r>
      <w:r w:rsidR="00CA6677">
        <w:rPr>
          <w:szCs w:val="24"/>
        </w:rPr>
        <w:t xml:space="preserve">his misconduct was </w:t>
      </w:r>
      <w:r>
        <w:rPr>
          <w:szCs w:val="24"/>
        </w:rPr>
        <w:t>aberrationa</w:t>
      </w:r>
      <w:r w:rsidR="007C7400">
        <w:rPr>
          <w:szCs w:val="24"/>
        </w:rPr>
        <w:t>l and unlikely to recur</w:t>
      </w:r>
      <w:r>
        <w:rPr>
          <w:szCs w:val="24"/>
        </w:rPr>
        <w:t xml:space="preserve">.  (See </w:t>
      </w:r>
      <w:r w:rsidRPr="006A4DDA">
        <w:rPr>
          <w:i/>
          <w:szCs w:val="24"/>
        </w:rPr>
        <w:t>Cooper v. State Bar</w:t>
      </w:r>
      <w:r w:rsidRPr="006A4DDA">
        <w:rPr>
          <w:szCs w:val="24"/>
        </w:rPr>
        <w:t xml:space="preserve"> (1987) 43</w:t>
      </w:r>
      <w:r>
        <w:rPr>
          <w:szCs w:val="24"/>
        </w:rPr>
        <w:t> </w:t>
      </w:r>
      <w:r w:rsidRPr="006A4DDA">
        <w:rPr>
          <w:szCs w:val="24"/>
        </w:rPr>
        <w:t>Cal.3d 1016, 1029</w:t>
      </w:r>
      <w:r>
        <w:rPr>
          <w:szCs w:val="24"/>
        </w:rPr>
        <w:t xml:space="preserve"> [</w:t>
      </w:r>
      <w:r w:rsidRPr="006A4DDA">
        <w:rPr>
          <w:szCs w:val="24"/>
        </w:rPr>
        <w:t>long record of no discipline is most relevant when misconduct is aberrational</w:t>
      </w:r>
      <w:r>
        <w:rPr>
          <w:szCs w:val="24"/>
        </w:rPr>
        <w:t xml:space="preserve">].)  </w:t>
      </w:r>
      <w:r w:rsidR="00324572">
        <w:rPr>
          <w:szCs w:val="24"/>
        </w:rPr>
        <w:t>W</w:t>
      </w:r>
      <w:r>
        <w:rPr>
          <w:szCs w:val="24"/>
        </w:rPr>
        <w:t xml:space="preserve">e agree with the hearing judge that Fletcher is entitled to substantial mitigation under standard 1.6(a).  (See </w:t>
      </w:r>
      <w:r w:rsidRPr="005C52C5">
        <w:rPr>
          <w:i/>
          <w:szCs w:val="24"/>
        </w:rPr>
        <w:t>Hawes v. State Bar</w:t>
      </w:r>
      <w:r>
        <w:rPr>
          <w:szCs w:val="24"/>
        </w:rPr>
        <w:t xml:space="preserve"> (1990) 51 Cal.3d 587, 596 [significant weight for </w:t>
      </w:r>
      <w:r w:rsidR="00444CA5">
        <w:rPr>
          <w:szCs w:val="24"/>
        </w:rPr>
        <w:t>more than</w:t>
      </w:r>
      <w:r>
        <w:rPr>
          <w:szCs w:val="24"/>
        </w:rPr>
        <w:t xml:space="preserve"> 10 years of practice].)  </w:t>
      </w:r>
    </w:p>
    <w:p w:rsidR="008A6D54" w:rsidRDefault="008A6D54" w:rsidP="008A6D54">
      <w:pPr>
        <w:spacing w:line="480" w:lineRule="auto"/>
        <w:rPr>
          <w:b/>
          <w:szCs w:val="24"/>
        </w:rPr>
      </w:pPr>
      <w:r>
        <w:rPr>
          <w:b/>
          <w:szCs w:val="24"/>
        </w:rPr>
        <w:lastRenderedPageBreak/>
        <w:t>B.</w:t>
      </w:r>
      <w:r>
        <w:rPr>
          <w:b/>
          <w:szCs w:val="24"/>
        </w:rPr>
        <w:tab/>
      </w:r>
      <w:r>
        <w:rPr>
          <w:b/>
        </w:rPr>
        <w:t xml:space="preserve">Good Character </w:t>
      </w:r>
      <w:r w:rsidR="006C02D2">
        <w:rPr>
          <w:b/>
        </w:rPr>
        <w:t>Evidence</w:t>
      </w:r>
    </w:p>
    <w:p w:rsidR="008A6D54" w:rsidRDefault="008A6D54" w:rsidP="008A6D54">
      <w:pPr>
        <w:spacing w:line="480" w:lineRule="auto"/>
        <w:rPr>
          <w:szCs w:val="24"/>
        </w:rPr>
      </w:pPr>
      <w:r>
        <w:tab/>
        <w:t>Fletcher is entitled to mitigation if he establishes</w:t>
      </w:r>
      <w:r w:rsidRPr="00E213BB">
        <w:t xml:space="preserve"> </w:t>
      </w:r>
      <w:r>
        <w:t>“</w:t>
      </w:r>
      <w:r w:rsidRPr="00E213BB">
        <w:t xml:space="preserve">extraordinary good character attested to by </w:t>
      </w:r>
      <w:r>
        <w:t xml:space="preserve">a </w:t>
      </w:r>
      <w:r w:rsidRPr="00E213BB">
        <w:t xml:space="preserve">wide range of references in </w:t>
      </w:r>
      <w:r>
        <w:t>the legal and general communities</w:t>
      </w:r>
      <w:r w:rsidR="006C02D2">
        <w:t>,</w:t>
      </w:r>
      <w:r w:rsidRPr="00E213BB">
        <w:t xml:space="preserve"> who are aware of </w:t>
      </w:r>
      <w:r>
        <w:t xml:space="preserve">the full extent of his misconduct.”  </w:t>
      </w:r>
      <w:r w:rsidRPr="00E213BB">
        <w:t>(</w:t>
      </w:r>
      <w:r>
        <w:t>Std. 1.6(f)</w:t>
      </w:r>
      <w:r>
        <w:rPr>
          <w:szCs w:val="24"/>
        </w:rPr>
        <w:t>.)  The hearing judge assigned moderate</w:t>
      </w:r>
      <w:r w:rsidR="00324572">
        <w:rPr>
          <w:szCs w:val="24"/>
        </w:rPr>
        <w:t xml:space="preserve"> mitigati</w:t>
      </w:r>
      <w:r>
        <w:rPr>
          <w:szCs w:val="24"/>
        </w:rPr>
        <w:t>ng credit</w:t>
      </w:r>
      <w:r w:rsidR="00324572">
        <w:rPr>
          <w:szCs w:val="24"/>
        </w:rPr>
        <w:t>.</w:t>
      </w:r>
    </w:p>
    <w:p w:rsidR="008A6D54" w:rsidRDefault="008A6D54" w:rsidP="008A6D54">
      <w:pPr>
        <w:pStyle w:val="ListParagraph"/>
        <w:spacing w:line="480" w:lineRule="auto"/>
        <w:ind w:left="0" w:firstLine="720"/>
      </w:pPr>
      <w:r>
        <w:t xml:space="preserve">Six </w:t>
      </w:r>
      <w:r w:rsidR="007C7400">
        <w:t xml:space="preserve">character </w:t>
      </w:r>
      <w:r>
        <w:t>witnesses testified</w:t>
      </w:r>
      <w:r w:rsidR="001F282B">
        <w:t xml:space="preserve">, including several people </w:t>
      </w:r>
      <w:r w:rsidR="00D65C20">
        <w:t>who had</w:t>
      </w:r>
      <w:r>
        <w:t xml:space="preserve"> long-term relationships</w:t>
      </w:r>
      <w:r w:rsidR="001F282B">
        <w:t xml:space="preserve"> </w:t>
      </w:r>
      <w:r w:rsidR="00D65C20">
        <w:t xml:space="preserve">with Fletcher, </w:t>
      </w:r>
      <w:r w:rsidR="001F282B">
        <w:t xml:space="preserve">such as </w:t>
      </w:r>
      <w:r>
        <w:t>his pastor, his older brother (</w:t>
      </w:r>
      <w:r w:rsidR="00D65C20">
        <w:t>a</w:t>
      </w:r>
      <w:r>
        <w:t xml:space="preserve"> </w:t>
      </w:r>
      <w:r w:rsidR="007C7400">
        <w:t xml:space="preserve">military </w:t>
      </w:r>
      <w:r>
        <w:t xml:space="preserve">contract specialist), a friend and former employee, and three former or current clients.  </w:t>
      </w:r>
      <w:r>
        <w:rPr>
          <w:szCs w:val="24"/>
        </w:rPr>
        <w:t xml:space="preserve">The witnesses convincingly described Fletcher’s </w:t>
      </w:r>
      <w:r>
        <w:t xml:space="preserve">honesty and passion for the law, </w:t>
      </w:r>
      <w:r w:rsidR="007C7400">
        <w:t>and</w:t>
      </w:r>
      <w:r>
        <w:t xml:space="preserve"> </w:t>
      </w:r>
      <w:r w:rsidR="00797CB7">
        <w:t xml:space="preserve">they knew about </w:t>
      </w:r>
      <w:r>
        <w:t xml:space="preserve">the </w:t>
      </w:r>
      <w:r w:rsidR="002916F0">
        <w:t xml:space="preserve">discipline </w:t>
      </w:r>
      <w:r>
        <w:t>charges</w:t>
      </w:r>
      <w:r w:rsidRPr="00D9374A">
        <w:t>.</w:t>
      </w:r>
      <w:r>
        <w:t xml:space="preserve">  One witness said </w:t>
      </w:r>
      <w:r w:rsidR="002916F0">
        <w:t xml:space="preserve">Fletcher </w:t>
      </w:r>
      <w:r w:rsidR="00C50DD8">
        <w:t xml:space="preserve">was </w:t>
      </w:r>
      <w:r>
        <w:t xml:space="preserve">“decent” and “kindhearted,” while another </w:t>
      </w:r>
      <w:r w:rsidR="002916F0">
        <w:t xml:space="preserve">believed </w:t>
      </w:r>
      <w:r>
        <w:t xml:space="preserve">his reputation in the community </w:t>
      </w:r>
      <w:r w:rsidR="002916F0">
        <w:t xml:space="preserve">was that of </w:t>
      </w:r>
      <w:r>
        <w:t xml:space="preserve">“a very honest attorney” who is always willing to help people. </w:t>
      </w:r>
    </w:p>
    <w:p w:rsidR="008A6D54" w:rsidRDefault="008A6D54" w:rsidP="008A6D54">
      <w:pPr>
        <w:pStyle w:val="ListParagraph"/>
        <w:spacing w:line="480" w:lineRule="auto"/>
        <w:ind w:left="0" w:firstLine="720"/>
      </w:pPr>
      <w:r>
        <w:rPr>
          <w:szCs w:val="24"/>
        </w:rPr>
        <w:t>Overall, we find that the quality of these endorsements is impressive and persuasive.  Yet</w:t>
      </w:r>
      <w:r>
        <w:t xml:space="preserve"> the witnesses did not include any references from the legal community, as the standard requires</w:t>
      </w:r>
      <w:r w:rsidR="007C7400">
        <w:t xml:space="preserve"> to form “a wide range of references in the legal and general communities.”</w:t>
      </w:r>
      <w:r>
        <w:rPr>
          <w:szCs w:val="24"/>
        </w:rPr>
        <w:t xml:space="preserve">  For this reason, </w:t>
      </w:r>
      <w:r>
        <w:t>we</w:t>
      </w:r>
      <w:r w:rsidR="00324572">
        <w:t xml:space="preserve"> </w:t>
      </w:r>
      <w:r>
        <w:t>assign moderate mitigating weight to Fletcher’s character evidence.  (</w:t>
      </w:r>
      <w:r w:rsidRPr="00C67627">
        <w:rPr>
          <w:i/>
        </w:rPr>
        <w:t>In the Matter of Kreitenberg</w:t>
      </w:r>
      <w:r>
        <w:t xml:space="preserve"> (Review Dept. 2002) 4 Cal. State Bar Ct. Rptr. 469, 476 [weight of character evidence reduced where wide range of references lacking].) </w:t>
      </w:r>
    </w:p>
    <w:p w:rsidR="008A6D54" w:rsidRDefault="008A6D54" w:rsidP="008A6D54">
      <w:pPr>
        <w:spacing w:line="480" w:lineRule="auto"/>
        <w:rPr>
          <w:b/>
        </w:rPr>
      </w:pPr>
      <w:r>
        <w:rPr>
          <w:b/>
          <w:szCs w:val="24"/>
        </w:rPr>
        <w:t>C.</w:t>
      </w:r>
      <w:r>
        <w:rPr>
          <w:b/>
          <w:szCs w:val="24"/>
        </w:rPr>
        <w:tab/>
      </w:r>
      <w:r>
        <w:rPr>
          <w:b/>
        </w:rPr>
        <w:t xml:space="preserve">Pro Bono and Community Services </w:t>
      </w:r>
    </w:p>
    <w:p w:rsidR="008A6D54" w:rsidRDefault="008A6D54" w:rsidP="008A6D54">
      <w:pPr>
        <w:spacing w:line="480" w:lineRule="auto"/>
        <w:ind w:firstLine="720"/>
      </w:pPr>
      <w:r>
        <w:t>Community service and pro bono activities are mitigating circumstances.  (</w:t>
      </w:r>
      <w:r w:rsidRPr="000351B4">
        <w:rPr>
          <w:i/>
        </w:rPr>
        <w:t xml:space="preserve">Calvert v. State Bar </w:t>
      </w:r>
      <w:r w:rsidRPr="000351B4">
        <w:t>(1991) 54</w:t>
      </w:r>
      <w:r>
        <w:t> </w:t>
      </w:r>
      <w:r w:rsidRPr="000351B4">
        <w:t>Cal.3d 765, 785</w:t>
      </w:r>
      <w:r>
        <w:t xml:space="preserve">.)  The hearing judge </w:t>
      </w:r>
      <w:r w:rsidR="002916F0">
        <w:t xml:space="preserve">assigned moderate credit after citing </w:t>
      </w:r>
      <w:r>
        <w:t xml:space="preserve">generally to Fletcher’s pro bono services and his work with </w:t>
      </w:r>
      <w:r w:rsidR="00CB7355">
        <w:t xml:space="preserve">the </w:t>
      </w:r>
      <w:r>
        <w:t>“Feed the Hungry”</w:t>
      </w:r>
      <w:r w:rsidR="00CB7355">
        <w:t xml:space="preserve"> program.</w:t>
      </w:r>
      <w:r>
        <w:t xml:space="preserve">  The record, however, reveals </w:t>
      </w:r>
      <w:r w:rsidR="002916F0">
        <w:t xml:space="preserve">much more detail that </w:t>
      </w:r>
      <w:r>
        <w:t xml:space="preserve">entitles Fletcher to greater mitigation.  </w:t>
      </w:r>
    </w:p>
    <w:p w:rsidR="008A6D54" w:rsidRDefault="0034310B" w:rsidP="008A6D54">
      <w:pPr>
        <w:spacing w:line="480" w:lineRule="auto"/>
        <w:ind w:firstLine="720"/>
      </w:pPr>
      <w:r>
        <w:t>As an overview, case</w:t>
      </w:r>
      <w:r w:rsidR="000308B2">
        <w:t xml:space="preserve"> authorities guide us to </w:t>
      </w:r>
      <w:r w:rsidR="002916F0">
        <w:t xml:space="preserve">evaluate </w:t>
      </w:r>
      <w:r w:rsidR="008A6D54">
        <w:t>community and pro bono service</w:t>
      </w:r>
      <w:r w:rsidR="002916F0">
        <w:t xml:space="preserve"> by looking </w:t>
      </w:r>
      <w:r w:rsidR="00ED20E4">
        <w:t xml:space="preserve">at </w:t>
      </w:r>
      <w:r>
        <w:t xml:space="preserve">several different </w:t>
      </w:r>
      <w:r w:rsidR="00ED20E4">
        <w:t>factors such as</w:t>
      </w:r>
      <w:r w:rsidR="00D65C20">
        <w:t>:</w:t>
      </w:r>
      <w:r w:rsidR="002916F0">
        <w:t xml:space="preserve"> (1)</w:t>
      </w:r>
      <w:r w:rsidR="00CB7355">
        <w:t> </w:t>
      </w:r>
      <w:r w:rsidR="000308B2">
        <w:t xml:space="preserve">the </w:t>
      </w:r>
      <w:r w:rsidR="008A6D54">
        <w:t>nature</w:t>
      </w:r>
      <w:r w:rsidR="000308B2">
        <w:t xml:space="preserve">, quality, and specificity </w:t>
      </w:r>
      <w:r w:rsidR="008A6D54">
        <w:t>of</w:t>
      </w:r>
      <w:r w:rsidR="00CB7355">
        <w:t xml:space="preserve"> </w:t>
      </w:r>
      <w:r w:rsidR="008A6D54">
        <w:t xml:space="preserve">the volunteer service </w:t>
      </w:r>
      <w:r w:rsidR="000308B2">
        <w:t xml:space="preserve">itself </w:t>
      </w:r>
      <w:r w:rsidR="008A6D54">
        <w:t>(</w:t>
      </w:r>
      <w:r w:rsidR="00CB7355">
        <w:t>s</w:t>
      </w:r>
      <w:r w:rsidR="000308B2">
        <w:t xml:space="preserve">ee </w:t>
      </w:r>
      <w:r w:rsidR="008A6D54" w:rsidRPr="009472F0">
        <w:rPr>
          <w:i/>
        </w:rPr>
        <w:t>Rose v. State Bar</w:t>
      </w:r>
      <w:r w:rsidR="008A6D54" w:rsidRPr="009472F0">
        <w:t xml:space="preserve"> (1989) 49</w:t>
      </w:r>
      <w:r w:rsidR="008A6D54">
        <w:t> </w:t>
      </w:r>
      <w:r w:rsidR="008A6D54" w:rsidRPr="009472F0">
        <w:t>Cal.3d 646, 667 [</w:t>
      </w:r>
      <w:r w:rsidR="008A6D54">
        <w:t xml:space="preserve">mitigation for legal </w:t>
      </w:r>
      <w:r w:rsidR="008A6D54">
        <w:lastRenderedPageBreak/>
        <w:t xml:space="preserve">abilities, </w:t>
      </w:r>
      <w:r w:rsidR="008A6D54" w:rsidRPr="009472F0">
        <w:t>dedication, and zeal in</w:t>
      </w:r>
      <w:r w:rsidR="008A6D54">
        <w:t xml:space="preserve"> pro bono work]); and (2) </w:t>
      </w:r>
      <w:r w:rsidR="000308B2">
        <w:t xml:space="preserve">the amount, quality, and persuasiveness of the proof </w:t>
      </w:r>
      <w:r w:rsidR="008A6D54">
        <w:t>of such service.</w:t>
      </w:r>
      <w:r w:rsidR="008A6D54" w:rsidRPr="00845B43">
        <w:rPr>
          <w:i/>
        </w:rPr>
        <w:t xml:space="preserve"> </w:t>
      </w:r>
      <w:r w:rsidR="008A6D54">
        <w:rPr>
          <w:i/>
        </w:rPr>
        <w:t xml:space="preserve"> </w:t>
      </w:r>
      <w:r w:rsidR="008A6D54">
        <w:t>(</w:t>
      </w:r>
      <w:r w:rsidR="000308B2">
        <w:t xml:space="preserve">See </w:t>
      </w:r>
      <w:r w:rsidR="008A6D54">
        <w:rPr>
          <w:i/>
        </w:rPr>
        <w:t>In the Matter of Shalant</w:t>
      </w:r>
      <w:r w:rsidR="00D65C20">
        <w:t xml:space="preserve"> (Review Dept. 2005</w:t>
      </w:r>
      <w:r w:rsidR="008A6D54">
        <w:t>) 4 Cal. State Bar Ct. Rptr. 8</w:t>
      </w:r>
      <w:r w:rsidR="00D65C20">
        <w:t>29</w:t>
      </w:r>
      <w:r w:rsidR="008A6D54">
        <w:t>, 840</w:t>
      </w:r>
      <w:r w:rsidR="008A6D54" w:rsidRPr="00BA0A2B">
        <w:t xml:space="preserve"> [</w:t>
      </w:r>
      <w:r w:rsidR="008A6D54">
        <w:t>limited weight in</w:t>
      </w:r>
      <w:r w:rsidR="008A6D54" w:rsidRPr="00BA0A2B">
        <w:t xml:space="preserve"> </w:t>
      </w:r>
      <w:r w:rsidR="008A6D54">
        <w:t>mitigation where community service evidence based solely on respondent’s testimony].</w:t>
      </w:r>
      <w:r w:rsidR="008A6D54" w:rsidRPr="00BA0A2B">
        <w:t>)</w:t>
      </w:r>
      <w:r w:rsidR="008A6D54">
        <w:t xml:space="preserve">  Fletcher’s evidence addressed both</w:t>
      </w:r>
      <w:r w:rsidR="000308B2">
        <w:t xml:space="preserve"> of these factors</w:t>
      </w:r>
      <w:r w:rsidR="008A6D54">
        <w:t xml:space="preserve">.  </w:t>
      </w:r>
    </w:p>
    <w:p w:rsidR="00B924A2" w:rsidRDefault="0034310B" w:rsidP="008A6D54">
      <w:pPr>
        <w:spacing w:line="480" w:lineRule="auto"/>
        <w:ind w:firstLine="720"/>
      </w:pPr>
      <w:r>
        <w:rPr>
          <w:szCs w:val="24"/>
        </w:rPr>
        <w:t>Fletcher, as well as s</w:t>
      </w:r>
      <w:r w:rsidR="008A6D54">
        <w:rPr>
          <w:szCs w:val="24"/>
        </w:rPr>
        <w:t>everal character witnesses</w:t>
      </w:r>
      <w:r>
        <w:rPr>
          <w:szCs w:val="24"/>
        </w:rPr>
        <w:t>,</w:t>
      </w:r>
      <w:r w:rsidR="008A6D54">
        <w:rPr>
          <w:szCs w:val="24"/>
        </w:rPr>
        <w:t xml:space="preserve"> testified about </w:t>
      </w:r>
      <w:r>
        <w:rPr>
          <w:szCs w:val="24"/>
        </w:rPr>
        <w:t>his</w:t>
      </w:r>
      <w:r w:rsidR="008A6D54">
        <w:rPr>
          <w:szCs w:val="24"/>
        </w:rPr>
        <w:t xml:space="preserve"> ongoing pro bono and community service, as well as his generosity.  </w:t>
      </w:r>
      <w:r>
        <w:rPr>
          <w:szCs w:val="24"/>
        </w:rPr>
        <w:t>His</w:t>
      </w:r>
      <w:r w:rsidR="008A6D54">
        <w:rPr>
          <w:szCs w:val="24"/>
        </w:rPr>
        <w:t xml:space="preserve"> </w:t>
      </w:r>
      <w:r w:rsidR="008A6D54">
        <w:t xml:space="preserve">older brother </w:t>
      </w:r>
      <w:r>
        <w:t xml:space="preserve">provided background </w:t>
      </w:r>
      <w:r w:rsidR="00AC0C46">
        <w:t xml:space="preserve">information about Fletcher, including that he has been </w:t>
      </w:r>
      <w:r w:rsidR="008A6D54">
        <w:t>civic-minded since high school</w:t>
      </w:r>
      <w:r w:rsidR="00D536F7">
        <w:t xml:space="preserve"> whe</w:t>
      </w:r>
      <w:r w:rsidR="00B924A2">
        <w:t>re</w:t>
      </w:r>
      <w:r w:rsidR="00D536F7">
        <w:t xml:space="preserve"> </w:t>
      </w:r>
      <w:r w:rsidR="008A6D54">
        <w:t xml:space="preserve">he served as the first African-American </w:t>
      </w:r>
      <w:r w:rsidR="00D65C20">
        <w:t xml:space="preserve">student body </w:t>
      </w:r>
      <w:r w:rsidR="008A6D54">
        <w:t xml:space="preserve">president.  </w:t>
      </w:r>
      <w:r w:rsidR="00AC0C46">
        <w:t xml:space="preserve">And </w:t>
      </w:r>
      <w:r w:rsidR="00D536F7">
        <w:t>Fletcher’s</w:t>
      </w:r>
      <w:r w:rsidR="008A6D54">
        <w:t xml:space="preserve"> past and present clients</w:t>
      </w:r>
      <w:r w:rsidR="00D536F7">
        <w:t xml:space="preserve"> testified, citing his selfless volunteer nature.</w:t>
      </w:r>
      <w:r w:rsidR="008A6D54">
        <w:t xml:space="preserve">  One former client </w:t>
      </w:r>
      <w:r w:rsidR="00D536F7">
        <w:t xml:space="preserve">noted </w:t>
      </w:r>
      <w:r w:rsidR="008A6D54">
        <w:t>that Fletcher provided significantly</w:t>
      </w:r>
      <w:r w:rsidR="00395D30">
        <w:t xml:space="preserve"> </w:t>
      </w:r>
      <w:r w:rsidR="008A6D54">
        <w:t xml:space="preserve">reduced-fee legal services to him and several </w:t>
      </w:r>
      <w:r w:rsidR="00ED20E4">
        <w:t xml:space="preserve">of his </w:t>
      </w:r>
      <w:r w:rsidR="008A6D54">
        <w:t>family members</w:t>
      </w:r>
      <w:r w:rsidR="00D536F7">
        <w:t xml:space="preserve"> </w:t>
      </w:r>
      <w:r w:rsidR="00ED20E4">
        <w:t xml:space="preserve">through representation in </w:t>
      </w:r>
      <w:r w:rsidR="00D536F7">
        <w:t>criminal case</w:t>
      </w:r>
      <w:r w:rsidR="00E53F10">
        <w:t xml:space="preserve">s or </w:t>
      </w:r>
      <w:r w:rsidR="00CE4B19">
        <w:t xml:space="preserve">preparation of </w:t>
      </w:r>
      <w:r w:rsidR="008A6D54">
        <w:t>living wills and trusts</w:t>
      </w:r>
      <w:r w:rsidR="00D536F7">
        <w:t xml:space="preserve">.  </w:t>
      </w:r>
      <w:r w:rsidR="008A6D54">
        <w:t xml:space="preserve">A current client testified that Fletcher handled a civil case at no cost, and when the client lost his income and property, Fletcher gave him money, clothing, and $600 for Christmas.  In addition to his pro bono </w:t>
      </w:r>
      <w:r w:rsidR="00E53F10">
        <w:t xml:space="preserve">legal </w:t>
      </w:r>
      <w:r w:rsidR="008A6D54">
        <w:t xml:space="preserve">work, Fletcher is actively involved with the “Feed the Hungry” program for the </w:t>
      </w:r>
      <w:r w:rsidR="00D65C20">
        <w:t>C</w:t>
      </w:r>
      <w:r w:rsidR="008A6D54">
        <w:t xml:space="preserve">ity of Inglewood, which he personally supports and for which he solicits involvement and donations from other attorneys.  </w:t>
      </w:r>
    </w:p>
    <w:p w:rsidR="008A6D54" w:rsidRDefault="008A6D54" w:rsidP="008A6D54">
      <w:pPr>
        <w:spacing w:line="480" w:lineRule="auto"/>
        <w:ind w:firstLine="720"/>
      </w:pPr>
      <w:r>
        <w:t xml:space="preserve">Based on this evidence, we find that Fletcher has </w:t>
      </w:r>
      <w:r w:rsidR="00AC0C46">
        <w:t xml:space="preserve">proved, by clear and convincing evidence, that he is dedicated to </w:t>
      </w:r>
      <w:r>
        <w:t xml:space="preserve">pro bono and community service.  </w:t>
      </w:r>
      <w:r w:rsidR="00AC0C46">
        <w:t>We therefore</w:t>
      </w:r>
      <w:r>
        <w:t xml:space="preserve"> assign significant mitigation credit.</w:t>
      </w:r>
    </w:p>
    <w:p w:rsidR="008A6D54" w:rsidRDefault="008A6D54" w:rsidP="008A6D54">
      <w:pPr>
        <w:spacing w:line="480" w:lineRule="auto"/>
        <w:jc w:val="center"/>
        <w:rPr>
          <w:b/>
        </w:rPr>
      </w:pPr>
      <w:r>
        <w:rPr>
          <w:b/>
        </w:rPr>
        <w:t>V.  A PUBLIC REPROVAL</w:t>
      </w:r>
      <w:r>
        <w:rPr>
          <w:rFonts w:eastAsia="Times New Roman"/>
          <w:b/>
          <w:bCs/>
          <w:szCs w:val="24"/>
        </w:rPr>
        <w:t xml:space="preserve"> IS APPROPRIATE DISCIPLINE</w:t>
      </w:r>
    </w:p>
    <w:p w:rsidR="008A6D54" w:rsidRPr="002037E2" w:rsidRDefault="008A6D54" w:rsidP="008A6D54">
      <w:pPr>
        <w:spacing w:line="480" w:lineRule="auto"/>
        <w:ind w:firstLine="720"/>
        <w:rPr>
          <w:rFonts w:eastAsia="Times New Roman"/>
          <w:szCs w:val="24"/>
        </w:rPr>
      </w:pPr>
      <w:r w:rsidRPr="00F256AF">
        <w:t>The purpose of attorney discipline is not to punish the attorney, but to protect the public, the courts and the legal profession</w:t>
      </w:r>
      <w:r>
        <w:t>;</w:t>
      </w:r>
      <w:r w:rsidRPr="00F256AF">
        <w:t xml:space="preserve"> to preserve public confidence in the profession</w:t>
      </w:r>
      <w:r>
        <w:t>;</w:t>
      </w:r>
      <w:r w:rsidRPr="00F256AF">
        <w:t xml:space="preserve"> and to maintain high standards for attorneys.  </w:t>
      </w:r>
      <w:r>
        <w:t>(Std. 1.1</w:t>
      </w:r>
      <w:r w:rsidRPr="00F256AF">
        <w:t>.)</w:t>
      </w:r>
      <w:r>
        <w:t xml:space="preserve">  Our disciplinary analysis begins with the standards, which, </w:t>
      </w:r>
      <w:r w:rsidRPr="00083DB4">
        <w:rPr>
          <w:rFonts w:eastAsia="Times New Roman"/>
          <w:szCs w:val="24"/>
        </w:rPr>
        <w:t xml:space="preserve">although not binding, </w:t>
      </w:r>
      <w:r>
        <w:rPr>
          <w:rFonts w:eastAsia="Times New Roman"/>
          <w:szCs w:val="24"/>
        </w:rPr>
        <w:t xml:space="preserve">are entitled to </w:t>
      </w:r>
      <w:r w:rsidRPr="00083DB4">
        <w:rPr>
          <w:rFonts w:eastAsia="Times New Roman"/>
          <w:szCs w:val="24"/>
        </w:rPr>
        <w:t>great weight</w:t>
      </w:r>
      <w:r w:rsidR="00D65C20">
        <w:rPr>
          <w:rFonts w:eastAsia="Times New Roman"/>
          <w:szCs w:val="24"/>
        </w:rPr>
        <w:t xml:space="preserve">. </w:t>
      </w:r>
      <w:r w:rsidRPr="00083DB4">
        <w:rPr>
          <w:rFonts w:eastAsia="Times New Roman"/>
          <w:szCs w:val="24"/>
        </w:rPr>
        <w:t xml:space="preserve"> (</w:t>
      </w:r>
      <w:r w:rsidRPr="00083DB4">
        <w:rPr>
          <w:rFonts w:eastAsia="Times New Roman"/>
          <w:i/>
          <w:szCs w:val="24"/>
        </w:rPr>
        <w:t>In re Silverton</w:t>
      </w:r>
      <w:r>
        <w:rPr>
          <w:rFonts w:eastAsia="Times New Roman"/>
          <w:szCs w:val="24"/>
        </w:rPr>
        <w:t xml:space="preserve"> (2005) </w:t>
      </w:r>
      <w:r>
        <w:rPr>
          <w:rFonts w:eastAsia="Times New Roman"/>
          <w:szCs w:val="24"/>
        </w:rPr>
        <w:lastRenderedPageBreak/>
        <w:t>36 </w:t>
      </w:r>
      <w:r w:rsidRPr="00083DB4">
        <w:rPr>
          <w:rFonts w:eastAsia="Times New Roman"/>
          <w:szCs w:val="24"/>
        </w:rPr>
        <w:t>Cal.4th 81, 92</w:t>
      </w:r>
      <w:r w:rsidR="00D65C20">
        <w:rPr>
          <w:rFonts w:eastAsia="Times New Roman"/>
          <w:szCs w:val="24"/>
        </w:rPr>
        <w:t>.</w:t>
      </w:r>
      <w:r w:rsidR="00E53F10">
        <w:rPr>
          <w:rFonts w:eastAsia="Times New Roman"/>
          <w:szCs w:val="24"/>
        </w:rPr>
        <w:t xml:space="preserve">)  </w:t>
      </w:r>
      <w:r>
        <w:rPr>
          <w:rFonts w:eastAsia="Times New Roman"/>
          <w:szCs w:val="24"/>
        </w:rPr>
        <w:t>We also</w:t>
      </w:r>
      <w:r w:rsidRPr="00083DB4">
        <w:rPr>
          <w:rFonts w:eastAsia="Times New Roman"/>
          <w:szCs w:val="24"/>
        </w:rPr>
        <w:t xml:space="preserve"> look to comparable case law for guidance.  (See </w:t>
      </w:r>
      <w:r w:rsidRPr="00083DB4">
        <w:rPr>
          <w:rFonts w:eastAsia="Times New Roman"/>
          <w:i/>
          <w:szCs w:val="24"/>
        </w:rPr>
        <w:t>Snyder v. State Bar</w:t>
      </w:r>
      <w:r>
        <w:rPr>
          <w:rFonts w:eastAsia="Times New Roman"/>
          <w:szCs w:val="24"/>
        </w:rPr>
        <w:t xml:space="preserve"> (1990) 49 </w:t>
      </w:r>
      <w:r w:rsidRPr="00083DB4">
        <w:rPr>
          <w:rFonts w:eastAsia="Times New Roman"/>
          <w:szCs w:val="24"/>
        </w:rPr>
        <w:t>Cal.3d 1302, 1310</w:t>
      </w:r>
      <w:r>
        <w:rPr>
          <w:rFonts w:eastAsia="Times New Roman"/>
          <w:szCs w:val="24"/>
        </w:rPr>
        <w:t>–</w:t>
      </w:r>
      <w:r w:rsidRPr="00083DB4">
        <w:rPr>
          <w:rFonts w:eastAsia="Times New Roman"/>
          <w:szCs w:val="24"/>
        </w:rPr>
        <w:t>1311.)</w:t>
      </w:r>
      <w:r>
        <w:rPr>
          <w:rFonts w:eastAsia="Times New Roman"/>
          <w:szCs w:val="24"/>
        </w:rPr>
        <w:t xml:space="preserve">  Ultimately, we </w:t>
      </w:r>
      <w:r w:rsidRPr="00114CB1">
        <w:t>balance all relevant factors, including mitigating and aggravating circumstances, on a case-by-case basis to ensure that the discipline imposed is consistent with its purpose.  (</w:t>
      </w:r>
      <w:r w:rsidRPr="00114CB1">
        <w:rPr>
          <w:i/>
        </w:rPr>
        <w:t>In re Young</w:t>
      </w:r>
      <w:r>
        <w:t xml:space="preserve"> </w:t>
      </w:r>
      <w:r w:rsidR="00E53F10">
        <w:t>(1989)</w:t>
      </w:r>
      <w:r>
        <w:t xml:space="preserve"> 49 </w:t>
      </w:r>
      <w:r w:rsidRPr="00114CB1">
        <w:t xml:space="preserve">Cal.3d </w:t>
      </w:r>
      <w:r w:rsidR="00E53F10">
        <w:t>257,</w:t>
      </w:r>
      <w:r w:rsidR="00B924A2">
        <w:t xml:space="preserve"> </w:t>
      </w:r>
      <w:r w:rsidRPr="00114CB1">
        <w:t xml:space="preserve">266.)  </w:t>
      </w:r>
    </w:p>
    <w:p w:rsidR="00AA3E26" w:rsidRDefault="008A6D54" w:rsidP="008A6D54">
      <w:pPr>
        <w:pStyle w:val="FootnoteText"/>
        <w:spacing w:line="480" w:lineRule="auto"/>
      </w:pPr>
      <w:r>
        <w:t>The hearing judge properly cited to s</w:t>
      </w:r>
      <w:r>
        <w:rPr>
          <w:rFonts w:eastAsia="Times New Roman"/>
          <w:szCs w:val="24"/>
        </w:rPr>
        <w:t>tandard </w:t>
      </w:r>
      <w:r>
        <w:t xml:space="preserve">2.12(a), which calls for disbarment or actual suspension for violation of a court order related to the practice of law.  This standard </w:t>
      </w:r>
      <w:r>
        <w:rPr>
          <w:rFonts w:eastAsia="Times New Roman"/>
          <w:szCs w:val="24"/>
        </w:rPr>
        <w:t xml:space="preserve">echoes the language of </w:t>
      </w:r>
      <w:r>
        <w:t>section 6103, which also provides for disbarment or suspension for willfully violating a court order.  Yet the hearing judge opted to resolve this case with a public reproval with conditions</w:t>
      </w:r>
      <w:r w:rsidR="00AA3E26">
        <w:t>.  While the judge</w:t>
      </w:r>
      <w:r>
        <w:t xml:space="preserve"> recognized that Fletcher’s violation of two court orders is serious misconduct “unbefitting an attorney” (</w:t>
      </w:r>
      <w:r w:rsidRPr="00586822">
        <w:rPr>
          <w:i/>
        </w:rPr>
        <w:t>Barnum v. State Bar</w:t>
      </w:r>
      <w:r>
        <w:t xml:space="preserve"> (1990) 52 Cal.3d 104, 112), </w:t>
      </w:r>
      <w:r w:rsidR="00AA3E26">
        <w:t>she</w:t>
      </w:r>
      <w:r>
        <w:t xml:space="preserve"> concluded that it “does not warrant a period of actual suspension or disbarment as provided for in standard 2.12(a).”  The judge reasoned that there was no culpability other than the section 6103 violations, </w:t>
      </w:r>
      <w:r w:rsidR="00AA3E26">
        <w:t xml:space="preserve">several factors in mitigation </w:t>
      </w:r>
      <w:r w:rsidR="00F9357B">
        <w:t xml:space="preserve">were present </w:t>
      </w:r>
      <w:r w:rsidR="00AA3E26">
        <w:t xml:space="preserve">and none in </w:t>
      </w:r>
      <w:r>
        <w:t>aggravat</w:t>
      </w:r>
      <w:r w:rsidR="00AA3E26">
        <w:t>ion</w:t>
      </w:r>
      <w:r>
        <w:t>, and case law supported a public reproval.</w:t>
      </w:r>
      <w:r>
        <w:rPr>
          <w:rStyle w:val="FootnoteReference"/>
        </w:rPr>
        <w:footnoteReference w:id="7"/>
      </w:r>
      <w:r>
        <w:t xml:space="preserve">  </w:t>
      </w:r>
    </w:p>
    <w:p w:rsidR="008A6D54" w:rsidRDefault="008A6D54" w:rsidP="008A6D54">
      <w:pPr>
        <w:pStyle w:val="FootnoteText"/>
        <w:spacing w:line="480" w:lineRule="auto"/>
      </w:pPr>
      <w:r>
        <w:t>Like the hearing judge, we too find clear reasons to depart from standard</w:t>
      </w:r>
      <w:r w:rsidR="00F9357B">
        <w:t> </w:t>
      </w:r>
      <w:r>
        <w:t>2.12(a) and recommend a public reproval.  (Std. 1.1;</w:t>
      </w:r>
      <w:r>
        <w:rPr>
          <w:i/>
          <w:iCs/>
        </w:rPr>
        <w:t xml:space="preserve"> Blair v. State Bar</w:t>
      </w:r>
      <w:r>
        <w:t xml:space="preserve"> (1989) 49 Cal.3d 762, 776, fn. 5 [requiring clear reasons to deviate from standards].)  </w:t>
      </w:r>
      <w:r w:rsidR="006862D5">
        <w:t xml:space="preserve">As noted, </w:t>
      </w:r>
      <w:r>
        <w:t xml:space="preserve">Fletcher has a lengthy discipline-free record, has performed extensive pro bono and volunteer work, </w:t>
      </w:r>
      <w:r w:rsidR="008C1D0B">
        <w:t xml:space="preserve">and </w:t>
      </w:r>
      <w:r w:rsidR="006862D5">
        <w:t xml:space="preserve">presented </w:t>
      </w:r>
      <w:r>
        <w:t xml:space="preserve">character witnesses </w:t>
      </w:r>
      <w:r w:rsidR="006862D5">
        <w:t xml:space="preserve">who </w:t>
      </w:r>
      <w:r w:rsidR="008F172B">
        <w:t xml:space="preserve">credibly </w:t>
      </w:r>
      <w:r>
        <w:t>testified to his reputation for integrity</w:t>
      </w:r>
      <w:r w:rsidR="008C1D0B">
        <w:t>.  Further,</w:t>
      </w:r>
      <w:r>
        <w:t xml:space="preserve"> </w:t>
      </w:r>
      <w:r w:rsidR="008C1D0B">
        <w:t xml:space="preserve">the sanctions were </w:t>
      </w:r>
      <w:r w:rsidR="006862D5">
        <w:t xml:space="preserve">resolved </w:t>
      </w:r>
      <w:r w:rsidR="008C1D0B">
        <w:t xml:space="preserve">through the </w:t>
      </w:r>
      <w:r>
        <w:t xml:space="preserve">civil case settlement </w:t>
      </w:r>
      <w:r w:rsidR="008C1D0B">
        <w:t>in 2014</w:t>
      </w:r>
      <w:r w:rsidR="00FB753A">
        <w:t>, and there are no aggravating circumstances</w:t>
      </w:r>
      <w:r>
        <w:t xml:space="preserve">.  </w:t>
      </w:r>
      <w:r w:rsidR="004A2930">
        <w:t>Though</w:t>
      </w:r>
      <w:r>
        <w:t xml:space="preserve"> violation of a court order is serious misconduct</w:t>
      </w:r>
      <w:r w:rsidR="00CA6677">
        <w:t>,</w:t>
      </w:r>
      <w:r>
        <w:t xml:space="preserve"> </w:t>
      </w:r>
      <w:r w:rsidR="00FA79CE">
        <w:t>there is</w:t>
      </w:r>
      <w:r>
        <w:t xml:space="preserve"> no evidence of harm or injury</w:t>
      </w:r>
      <w:r w:rsidR="00D65C20">
        <w:t>,</w:t>
      </w:r>
      <w:r w:rsidR="008C1D0B">
        <w:t xml:space="preserve"> </w:t>
      </w:r>
      <w:r w:rsidR="008C1D0B">
        <w:lastRenderedPageBreak/>
        <w:t xml:space="preserve">and Fletcher’s </w:t>
      </w:r>
      <w:r>
        <w:t>aberrational misconduct over 25 years of</w:t>
      </w:r>
      <w:r w:rsidR="0058647A">
        <w:t xml:space="preserve"> </w:t>
      </w:r>
      <w:r>
        <w:t xml:space="preserve">practice demonstrates he is willing and able to </w:t>
      </w:r>
      <w:r w:rsidR="008C1D0B">
        <w:t xml:space="preserve">abide by his </w:t>
      </w:r>
      <w:r>
        <w:t>ethical responsibility</w:t>
      </w:r>
      <w:r w:rsidR="008C1D0B">
        <w:t xml:space="preserve"> in the future</w:t>
      </w:r>
      <w:r>
        <w:t xml:space="preserve">.  </w:t>
      </w:r>
      <w:r w:rsidR="008C1D0B">
        <w:t>Given these findings,</w:t>
      </w:r>
      <w:r>
        <w:t xml:space="preserve"> and </w:t>
      </w:r>
      <w:r w:rsidR="008C1D0B">
        <w:t>noting</w:t>
      </w:r>
      <w:r>
        <w:t xml:space="preserve"> OCTC’s request to affirm the hearing judge, a public reproval, and not the private </w:t>
      </w:r>
      <w:r w:rsidR="008D16DF">
        <w:t xml:space="preserve">reproval Fletcher requests, is </w:t>
      </w:r>
      <w:r w:rsidR="006862D5">
        <w:t>the proper discipline</w:t>
      </w:r>
      <w:r>
        <w:t>.</w:t>
      </w:r>
      <w:r w:rsidRPr="00ED1DF7">
        <w:t xml:space="preserve"> </w:t>
      </w:r>
    </w:p>
    <w:p w:rsidR="008A6D54" w:rsidRDefault="008A6D54" w:rsidP="008A6D54">
      <w:pPr>
        <w:pStyle w:val="FootnoteText"/>
        <w:spacing w:line="480" w:lineRule="auto"/>
        <w:ind w:firstLine="0"/>
        <w:jc w:val="center"/>
      </w:pPr>
      <w:r>
        <w:rPr>
          <w:b/>
        </w:rPr>
        <w:t>VI.  FLETCHER SHOULD NOT BE REQUIRED TO PAY SANCTIONS</w:t>
      </w:r>
    </w:p>
    <w:p w:rsidR="008A6D54" w:rsidRDefault="009B5A52" w:rsidP="008A6D54">
      <w:pPr>
        <w:pStyle w:val="FootnoteText"/>
        <w:spacing w:line="480" w:lineRule="auto"/>
      </w:pPr>
      <w:r>
        <w:t>Neither party requests that Fletcher pay sanctions, and we agree</w:t>
      </w:r>
      <w:r w:rsidR="00F41788">
        <w:t xml:space="preserve"> because they were</w:t>
      </w:r>
      <w:r w:rsidR="00762F0E">
        <w:t xml:space="preserve"> </w:t>
      </w:r>
      <w:r w:rsidR="00D65C20">
        <w:t>resolved</w:t>
      </w:r>
      <w:r w:rsidR="00762F0E">
        <w:t xml:space="preserve"> in the </w:t>
      </w:r>
      <w:r w:rsidR="00413EBC">
        <w:t xml:space="preserve">civil settlement.  </w:t>
      </w:r>
      <w:r w:rsidR="00F41788">
        <w:t xml:space="preserve">We do not find it necessary </w:t>
      </w:r>
      <w:r>
        <w:t>for rehabilitation purposes to require Fletcher to pay them now</w:t>
      </w:r>
      <w:r w:rsidR="00F41788">
        <w:t xml:space="preserve">.  The </w:t>
      </w:r>
      <w:r w:rsidR="00413EBC">
        <w:t xml:space="preserve">discipline imposed is adequate </w:t>
      </w:r>
      <w:r w:rsidR="008A6D54">
        <w:t xml:space="preserve">to impress upon </w:t>
      </w:r>
      <w:r w:rsidR="00413EBC">
        <w:t>him</w:t>
      </w:r>
      <w:r w:rsidR="008A6D54">
        <w:t xml:space="preserve"> the seriousness of his misconduct.  (See </w:t>
      </w:r>
      <w:r w:rsidR="008A6D54">
        <w:rPr>
          <w:i/>
        </w:rPr>
        <w:t xml:space="preserve">Hippard v. State Bar </w:t>
      </w:r>
      <w:r w:rsidR="008A6D54">
        <w:t xml:space="preserve">(1989) 49 Cal.3d 1084, 1093 </w:t>
      </w:r>
      <w:r w:rsidR="00762F0E">
        <w:t>[</w:t>
      </w:r>
      <w:r w:rsidR="000A10E6">
        <w:t>“</w:t>
      </w:r>
      <w:r w:rsidR="00762F0E">
        <w:t xml:space="preserve">significance of </w:t>
      </w:r>
      <w:r w:rsidR="00CD692E">
        <w:t xml:space="preserve">restitution is </w:t>
      </w:r>
      <w:r w:rsidR="000A10E6">
        <w:t xml:space="preserve">its </w:t>
      </w:r>
      <w:r w:rsidR="00CD692E">
        <w:t xml:space="preserve">probative </w:t>
      </w:r>
      <w:r w:rsidR="00762F0E">
        <w:t xml:space="preserve">value as </w:t>
      </w:r>
      <w:r w:rsidR="000A10E6">
        <w:t xml:space="preserve">an </w:t>
      </w:r>
      <w:r w:rsidR="00762F0E">
        <w:t xml:space="preserve">indicator of rehabilitation, not </w:t>
      </w:r>
      <w:r w:rsidR="000A10E6">
        <w:t xml:space="preserve">the </w:t>
      </w:r>
      <w:r w:rsidR="00762F0E">
        <w:t xml:space="preserve">repayment of </w:t>
      </w:r>
      <w:r w:rsidR="000A10E6">
        <w:t>the underlying indebtedness”]</w:t>
      </w:r>
      <w:r w:rsidR="00762F0E">
        <w:t xml:space="preserve">.) </w:t>
      </w:r>
    </w:p>
    <w:p w:rsidR="008A6D54" w:rsidRDefault="008A6D54" w:rsidP="008A6D54">
      <w:pPr>
        <w:pStyle w:val="ListParagraph"/>
        <w:spacing w:line="480" w:lineRule="auto"/>
        <w:ind w:left="0"/>
        <w:jc w:val="center"/>
        <w:rPr>
          <w:b/>
        </w:rPr>
      </w:pPr>
      <w:r>
        <w:rPr>
          <w:b/>
        </w:rPr>
        <w:t>VII.  ORDER</w:t>
      </w:r>
    </w:p>
    <w:p w:rsidR="008A6D54" w:rsidRPr="006B103B" w:rsidRDefault="008A6D54" w:rsidP="00AA3E26">
      <w:pPr>
        <w:pStyle w:val="ListParagraph"/>
        <w:spacing w:line="480" w:lineRule="auto"/>
        <w:ind w:left="0"/>
      </w:pPr>
      <w:r>
        <w:rPr>
          <w:b/>
        </w:rPr>
        <w:tab/>
      </w:r>
      <w:r w:rsidRPr="006B103B">
        <w:t>Freddie Fletcher is ordered publicly reproved, to be effective 15 days after service of this opinion and order.  (</w:t>
      </w:r>
      <w:r>
        <w:t>R</w:t>
      </w:r>
      <w:r w:rsidRPr="006B103B">
        <w:t>ule</w:t>
      </w:r>
      <w:r>
        <w:t> </w:t>
      </w:r>
      <w:r w:rsidRPr="006B103B">
        <w:t>5.127(A).)  He must comply with the specified condition attached to the public reproval.  (</w:t>
      </w:r>
      <w:r w:rsidR="000A10E6">
        <w:t xml:space="preserve">Rule 5.128; </w:t>
      </w:r>
      <w:r w:rsidRPr="006B103B">
        <w:t>Cal. Rules of Court, rule</w:t>
      </w:r>
      <w:r>
        <w:t> </w:t>
      </w:r>
      <w:r w:rsidRPr="006B103B">
        <w:t>9.19.)  Failure to comply with this condition may constitute cause for a separate proceeding for willful breach of rule</w:t>
      </w:r>
      <w:r>
        <w:t> </w:t>
      </w:r>
      <w:r w:rsidRPr="006B103B">
        <w:t xml:space="preserve">1-110 of the </w:t>
      </w:r>
      <w:r w:rsidRPr="006B103B">
        <w:rPr>
          <w:szCs w:val="24"/>
        </w:rPr>
        <w:t>Rules of Professional Conduct.</w:t>
      </w:r>
      <w:r w:rsidR="00AA3E26">
        <w:rPr>
          <w:szCs w:val="24"/>
        </w:rPr>
        <w:t xml:space="preserve">  </w:t>
      </w:r>
      <w:r w:rsidRPr="006B103B">
        <w:t xml:space="preserve">Fletcher is ordered to comply with the following condition: </w:t>
      </w:r>
    </w:p>
    <w:p w:rsidR="000A34F8" w:rsidRDefault="008A6D54" w:rsidP="008A6D54">
      <w:pPr>
        <w:pStyle w:val="ListParagraph"/>
        <w:spacing w:line="480" w:lineRule="auto"/>
        <w:ind w:left="0"/>
      </w:pPr>
      <w:r w:rsidRPr="006B103B">
        <w:tab/>
        <w:t>Within one year of the effective date of this public reproval, he must submit to the Office of Probation satisfactory evidence of completion of Ethics School and passage of the test given at the end of that session.  This requirement is separate from any Minimum Continuing Legal Education (MCLE) requirement, and he shall not receive MCLE credit for attending Ethics School.  (Rule</w:t>
      </w:r>
      <w:r>
        <w:t> </w:t>
      </w:r>
      <w:r w:rsidRPr="006B103B">
        <w:t>3201.)</w:t>
      </w:r>
      <w:r>
        <w:t xml:space="preserve"> </w:t>
      </w:r>
    </w:p>
    <w:p w:rsidR="000A34F8" w:rsidRDefault="000A34F8">
      <w:pPr>
        <w:spacing w:after="200" w:line="276" w:lineRule="auto"/>
      </w:pPr>
      <w:r>
        <w:br w:type="page"/>
      </w:r>
    </w:p>
    <w:p w:rsidR="008A6D54" w:rsidRPr="00352AF5" w:rsidRDefault="008A6D54" w:rsidP="008A6D54">
      <w:pPr>
        <w:pStyle w:val="ListParagraph"/>
        <w:spacing w:line="480" w:lineRule="auto"/>
        <w:ind w:left="0"/>
        <w:jc w:val="center"/>
        <w:rPr>
          <w:b/>
        </w:rPr>
      </w:pPr>
      <w:r>
        <w:rPr>
          <w:b/>
        </w:rPr>
        <w:lastRenderedPageBreak/>
        <w:t xml:space="preserve">VIII.  </w:t>
      </w:r>
      <w:r w:rsidRPr="00352AF5">
        <w:rPr>
          <w:b/>
        </w:rPr>
        <w:t>COSTS</w:t>
      </w:r>
    </w:p>
    <w:p w:rsidR="008A6D54" w:rsidRDefault="008A6D54" w:rsidP="008A6D54">
      <w:pPr>
        <w:spacing w:line="480" w:lineRule="auto"/>
      </w:pPr>
      <w:r w:rsidRPr="00F646A2">
        <w:tab/>
        <w:t>C</w:t>
      </w:r>
      <w:r>
        <w:t>osts are awarded to the State Bar in accordance with section 6086.10, such costs being enforceable both as provided in section 6140.7 and as a money judgment.</w:t>
      </w:r>
    </w:p>
    <w:p w:rsidR="008A6D54" w:rsidRDefault="008A6D54" w:rsidP="008A6D54">
      <w:r w:rsidRPr="007768C9">
        <w:tab/>
      </w:r>
      <w:r w:rsidRPr="007768C9">
        <w:tab/>
      </w:r>
      <w:r w:rsidRPr="007768C9">
        <w:tab/>
      </w:r>
      <w:r w:rsidRPr="007768C9">
        <w:tab/>
      </w:r>
      <w:r w:rsidRPr="007768C9">
        <w:tab/>
      </w:r>
      <w:r w:rsidRPr="007768C9">
        <w:tab/>
      </w:r>
      <w:r w:rsidRPr="007768C9">
        <w:tab/>
      </w:r>
      <w:bookmarkStart w:id="8" w:name="judge"/>
      <w:bookmarkEnd w:id="8"/>
      <w:r>
        <w:t>PURCELL, P. J.</w:t>
      </w:r>
    </w:p>
    <w:p w:rsidR="008A6D54" w:rsidRDefault="008A6D54" w:rsidP="008A6D54"/>
    <w:p w:rsidR="008A6D54" w:rsidRDefault="008A6D54" w:rsidP="008A6D54">
      <w:r>
        <w:t>WE CONCUR:</w:t>
      </w:r>
      <w:bookmarkStart w:id="9" w:name="multinames"/>
      <w:bookmarkEnd w:id="9"/>
    </w:p>
    <w:p w:rsidR="008A6D54" w:rsidRDefault="008A6D54" w:rsidP="008A6D54"/>
    <w:p w:rsidR="008A6D54" w:rsidRDefault="008A6D54" w:rsidP="008A6D54">
      <w:r>
        <w:t>HONN, J.</w:t>
      </w:r>
    </w:p>
    <w:p w:rsidR="008A6D54" w:rsidRDefault="008A6D54" w:rsidP="008A6D54"/>
    <w:p w:rsidR="008A6D54" w:rsidRDefault="008A6D54" w:rsidP="008A6D54">
      <w:r>
        <w:t xml:space="preserve">McGILL, J. </w:t>
      </w:r>
    </w:p>
    <w:p w:rsidR="00BD1DE1" w:rsidRDefault="0088594F"/>
    <w:sectPr w:rsidR="00BD1DE1" w:rsidSect="00845B43">
      <w:footerReference w:type="default" r:id="rId8"/>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54" w:rsidRDefault="008A6D54" w:rsidP="008A6D54">
      <w:r>
        <w:separator/>
      </w:r>
    </w:p>
  </w:endnote>
  <w:endnote w:type="continuationSeparator" w:id="0">
    <w:p w:rsidR="008A6D54" w:rsidRDefault="008A6D54" w:rsidP="008A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845B43" w:rsidRDefault="00815A63" w:rsidP="00845B43">
        <w:pPr>
          <w:pStyle w:val="Footer"/>
          <w:spacing w:before="120"/>
          <w:jc w:val="center"/>
        </w:pPr>
        <w:r>
          <w:t>-</w:t>
        </w:r>
        <w:r>
          <w:fldChar w:fldCharType="begin"/>
        </w:r>
        <w:r>
          <w:instrText xml:space="preserve"> PAGE   \* MERGEFORMAT </w:instrText>
        </w:r>
        <w:r>
          <w:fldChar w:fldCharType="separate"/>
        </w:r>
        <w:r w:rsidR="0088594F">
          <w:rPr>
            <w:noProof/>
          </w:rPr>
          <w:t>10</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54" w:rsidRDefault="008A6D54" w:rsidP="008A6D54">
      <w:r>
        <w:separator/>
      </w:r>
    </w:p>
  </w:footnote>
  <w:footnote w:type="continuationSeparator" w:id="0">
    <w:p w:rsidR="008A6D54" w:rsidRDefault="008A6D54" w:rsidP="008A6D54">
      <w:r>
        <w:continuationSeparator/>
      </w:r>
    </w:p>
  </w:footnote>
  <w:footnote w:id="1">
    <w:p w:rsidR="004C287B" w:rsidRDefault="004C287B" w:rsidP="004C287B">
      <w:pPr>
        <w:pStyle w:val="TemplateFootnote"/>
      </w:pPr>
      <w:r>
        <w:rPr>
          <w:rStyle w:val="FootnoteReference"/>
        </w:rPr>
        <w:footnoteRef/>
      </w:r>
      <w:r>
        <w:t xml:space="preserve"> All further references to sections are to the Business and Professions Code.</w:t>
      </w:r>
    </w:p>
  </w:footnote>
  <w:footnote w:id="2">
    <w:p w:rsidR="008A6D54" w:rsidRPr="008A41D2" w:rsidRDefault="008A6D54" w:rsidP="008A6D54">
      <w:pPr>
        <w:pStyle w:val="TemplateFootnote"/>
        <w:rPr>
          <w:szCs w:val="24"/>
        </w:rPr>
      </w:pPr>
      <w:r>
        <w:rPr>
          <w:rStyle w:val="FootnoteReference"/>
        </w:rPr>
        <w:footnoteRef/>
      </w:r>
      <w:r>
        <w:t xml:space="preserve"> The facts address </w:t>
      </w:r>
      <w:r w:rsidR="00710B42">
        <w:t xml:space="preserve">only the disputed count </w:t>
      </w:r>
      <w:r>
        <w:t xml:space="preserve">and are </w:t>
      </w:r>
      <w:r w:rsidRPr="00C53770">
        <w:t>based</w:t>
      </w:r>
      <w:r>
        <w:t xml:space="preserve"> on documentary </w:t>
      </w:r>
      <w:r w:rsidRPr="008A41D2">
        <w:t>evidence</w:t>
      </w:r>
      <w:r>
        <w:t xml:space="preserve">, trial testimony, and the hearing judge’s factual findings, which are entitled to great weight.  </w:t>
      </w:r>
      <w:r w:rsidRPr="00AE496D">
        <w:rPr>
          <w:szCs w:val="24"/>
        </w:rPr>
        <w:t>(Rules Proc. of State Bar, rule 5.155(A).)</w:t>
      </w:r>
      <w:r>
        <w:rPr>
          <w:szCs w:val="24"/>
        </w:rPr>
        <w:t xml:space="preserve">  All further references to rules are to the Rules of Procedure of the State Bar. </w:t>
      </w:r>
    </w:p>
  </w:footnote>
  <w:footnote w:id="3">
    <w:p w:rsidR="008A6D54" w:rsidRDefault="008A6D54" w:rsidP="008A6D54">
      <w:pPr>
        <w:pStyle w:val="TemplateFootnote"/>
        <w:spacing w:after="0"/>
      </w:pPr>
      <w:r>
        <w:rPr>
          <w:rStyle w:val="FootnoteReference"/>
        </w:rPr>
        <w:footnoteRef/>
      </w:r>
      <w:r>
        <w:t xml:space="preserve"> </w:t>
      </w:r>
      <w:r w:rsidRPr="00CD6723">
        <w:rPr>
          <w:i/>
        </w:rPr>
        <w:t>Davi</w:t>
      </w:r>
      <w:r>
        <w:rPr>
          <w:i/>
        </w:rPr>
        <w:t>s</w:t>
      </w:r>
      <w:r w:rsidRPr="00CD6723">
        <w:rPr>
          <w:i/>
        </w:rPr>
        <w:t xml:space="preserve"> v. Daiges</w:t>
      </w:r>
      <w:r>
        <w:t>, Los Angeles Superior Court Case No.</w:t>
      </w:r>
      <w:r w:rsidR="00A14533">
        <w:t> </w:t>
      </w:r>
      <w:r>
        <w:t>BC492159.</w:t>
      </w:r>
    </w:p>
  </w:footnote>
  <w:footnote w:id="4">
    <w:p w:rsidR="008A6D54" w:rsidRDefault="008A6D54" w:rsidP="008A6D54">
      <w:pPr>
        <w:pStyle w:val="TemplateFootnote"/>
      </w:pPr>
      <w:r>
        <w:rPr>
          <w:rStyle w:val="FootnoteReference"/>
        </w:rPr>
        <w:footnoteRef/>
      </w:r>
      <w:r>
        <w:t xml:space="preserve"> Section 6103 provides that: “</w:t>
      </w:r>
      <w:r w:rsidRPr="00E9289D">
        <w:t>A wi</w:t>
      </w:r>
      <w:r>
        <w:t>l</w:t>
      </w:r>
      <w:r w:rsidRPr="00E9289D">
        <w:t>lful disobedience or violation of an order of the court requiring him to do or forbear an act connected with or in the course of his profession, which he ought in good faith to do or forbear, and any violation of the oath taken by him, or of his duties as such attorney, constitute causes for disbarment or suspension.”</w:t>
      </w:r>
    </w:p>
  </w:footnote>
  <w:footnote w:id="5">
    <w:p w:rsidR="00EE0924" w:rsidRDefault="00EE0924" w:rsidP="00EE0924">
      <w:pPr>
        <w:pStyle w:val="FootnoteText"/>
      </w:pPr>
      <w:r>
        <w:rPr>
          <w:rStyle w:val="FootnoteReference"/>
        </w:rPr>
        <w:footnoteRef/>
      </w:r>
      <w:r>
        <w:t xml:space="preserve"> </w:t>
      </w:r>
      <w:r w:rsidRPr="005A44CF">
        <w:rPr>
          <w:i/>
          <w:szCs w:val="24"/>
        </w:rPr>
        <w:t>In the Matter of Klein</w:t>
      </w:r>
      <w:r w:rsidRPr="005A44CF">
        <w:rPr>
          <w:szCs w:val="24"/>
        </w:rPr>
        <w:t xml:space="preserve"> (Review Dept. 1994) 3 Cal. St</w:t>
      </w:r>
      <w:r>
        <w:rPr>
          <w:szCs w:val="24"/>
        </w:rPr>
        <w:t>ate Bar. Ct. Rptr. 1, 9 (attorney “</w:t>
      </w:r>
      <w:r w:rsidRPr="005A44CF">
        <w:rPr>
          <w:rFonts w:eastAsia="Times New Roman"/>
          <w:szCs w:val="24"/>
        </w:rPr>
        <w:t xml:space="preserve">was obligated to obey the order </w:t>
      </w:r>
      <w:r>
        <w:rPr>
          <w:rFonts w:eastAsia="Times New Roman"/>
          <w:szCs w:val="24"/>
        </w:rPr>
        <w:t xml:space="preserve">unless he took steps to have it </w:t>
      </w:r>
      <w:r w:rsidRPr="005A44CF">
        <w:rPr>
          <w:rFonts w:eastAsia="Times New Roman"/>
          <w:szCs w:val="24"/>
        </w:rPr>
        <w:t xml:space="preserve">modified or </w:t>
      </w:r>
      <w:r>
        <w:rPr>
          <w:rFonts w:eastAsia="Times New Roman"/>
          <w:szCs w:val="24"/>
        </w:rPr>
        <w:t xml:space="preserve">vacated, which he did not do”); </w:t>
      </w:r>
      <w:r>
        <w:rPr>
          <w:i/>
          <w:szCs w:val="24"/>
        </w:rPr>
        <w:t>In the Matter of Boyne</w:t>
      </w:r>
      <w:r>
        <w:rPr>
          <w:szCs w:val="24"/>
        </w:rPr>
        <w:t xml:space="preserve"> (Review Dept. 1993) 2 Cal. State Bar Ct. Rptr. 389, 403 (“</w:t>
      </w:r>
      <w:r w:rsidRPr="00DF4E89">
        <w:rPr>
          <w:szCs w:val="24"/>
        </w:rPr>
        <w:t>In the case of court-ordered sanctions, the attorney is expected to follow the order or proffer a formal explanation by motion or appeal as to</w:t>
      </w:r>
      <w:r>
        <w:rPr>
          <w:szCs w:val="24"/>
        </w:rPr>
        <w:t xml:space="preserve"> why the order cannot be obeyed”); see </w:t>
      </w:r>
      <w:r>
        <w:rPr>
          <w:i/>
          <w:iCs/>
        </w:rPr>
        <w:t xml:space="preserve">Maltaman v. State Bar </w:t>
      </w:r>
      <w:r>
        <w:t>(1987) 43 Cal.3d 924, 951–952 (technical arguments regarding validity of order waived if order becomes final without appropriate challenge; “[t]here can be no plausible belief in the right to ignore final, unchallengeable orders one personally considers invalid”).</w:t>
      </w:r>
    </w:p>
  </w:footnote>
  <w:footnote w:id="6">
    <w:p w:rsidR="008A6D54" w:rsidRDefault="008A6D54" w:rsidP="008A6D54">
      <w:pPr>
        <w:pStyle w:val="FootnoteText"/>
      </w:pPr>
      <w:r>
        <w:rPr>
          <w:rStyle w:val="FootnoteReference"/>
        </w:rPr>
        <w:footnoteRef/>
      </w:r>
      <w:r>
        <w:t xml:space="preserve"> Standard 1.</w:t>
      </w:r>
      <w:r w:rsidR="006C02D2">
        <w:t>5</w:t>
      </w:r>
      <w:r>
        <w:t xml:space="preserve"> </w:t>
      </w:r>
      <w:r w:rsidRPr="00BE77CB">
        <w:t xml:space="preserve">requires OCTC to establish aggravating </w:t>
      </w:r>
      <w:r w:rsidRPr="001D7CFA">
        <w:t>circumstances</w:t>
      </w:r>
      <w:r>
        <w:t xml:space="preserve"> by clear and convincing evidence.  Under s</w:t>
      </w:r>
      <w:r w:rsidRPr="00A532D0">
        <w:t>tandard</w:t>
      </w:r>
      <w:r>
        <w:t> </w:t>
      </w:r>
      <w:r w:rsidRPr="00A532D0">
        <w:t>1.6</w:t>
      </w:r>
      <w:r>
        <w:t xml:space="preserve">, Fletcher has the </w:t>
      </w:r>
      <w:r w:rsidRPr="00A532D0">
        <w:t>sa</w:t>
      </w:r>
      <w:r>
        <w:t>me burden to prove mitigation.</w:t>
      </w:r>
      <w:r w:rsidR="006C02D2">
        <w:t xml:space="preserve">  All further references to standards are to the Rules of Procedure of the State Bar, title IV, Standards for Attorney Sanctions for Professional Misconduct. </w:t>
      </w:r>
    </w:p>
  </w:footnote>
  <w:footnote w:id="7">
    <w:p w:rsidR="008A6D54" w:rsidRDefault="008A6D54" w:rsidP="008A6D54">
      <w:pPr>
        <w:pStyle w:val="FootnoteText"/>
      </w:pPr>
      <w:r>
        <w:rPr>
          <w:rStyle w:val="FootnoteReference"/>
        </w:rPr>
        <w:footnoteRef/>
      </w:r>
      <w:r>
        <w:t xml:space="preserve"> </w:t>
      </w:r>
      <w:r w:rsidR="008360A6">
        <w:t>The hearing judge relied on</w:t>
      </w:r>
      <w:r>
        <w:t xml:space="preserve"> </w:t>
      </w:r>
      <w:r>
        <w:rPr>
          <w:i/>
        </w:rPr>
        <w:t xml:space="preserve">In </w:t>
      </w:r>
      <w:r w:rsidRPr="008B7F12">
        <w:rPr>
          <w:i/>
        </w:rPr>
        <w:t>the Matter of Respondent X</w:t>
      </w:r>
      <w:r>
        <w:t xml:space="preserve">, </w:t>
      </w:r>
      <w:r>
        <w:rPr>
          <w:i/>
        </w:rPr>
        <w:t>supra</w:t>
      </w:r>
      <w:r>
        <w:t>, 3 Cal. State Bar Ct. Rptr. 592 (</w:t>
      </w:r>
      <w:r w:rsidR="00FA79CE">
        <w:t>public</w:t>
      </w:r>
      <w:r>
        <w:t xml:space="preserve"> reproval for violating court order) and </w:t>
      </w:r>
      <w:r w:rsidRPr="008B7F12">
        <w:rPr>
          <w:i/>
        </w:rPr>
        <w:t>In the Matter of Respondent Y</w:t>
      </w:r>
      <w:r>
        <w:t xml:space="preserve"> (Review Dept. 1998) 3 Cal. State Bar Ct. Rptr. 862 (private reproval with conditions for violating </w:t>
      </w:r>
      <w:r w:rsidR="008360A6">
        <w:t xml:space="preserve">sanctions </w:t>
      </w:r>
      <w:r>
        <w:t>order)</w:t>
      </w:r>
      <w:r w:rsidR="008360A6">
        <w:t xml:space="preserve">.  </w:t>
      </w:r>
      <w:r w:rsidR="008F172B">
        <w:t xml:space="preserve">These </w:t>
      </w:r>
      <w:r w:rsidR="00631F6C">
        <w:t>cases do</w:t>
      </w:r>
      <w:r w:rsidR="00FA79CE">
        <w:t xml:space="preserve"> </w:t>
      </w:r>
      <w:r w:rsidR="008360A6">
        <w:t xml:space="preserve">not </w:t>
      </w:r>
      <w:r w:rsidR="000A34F8">
        <w:t xml:space="preserve">currently </w:t>
      </w:r>
      <w:r w:rsidR="008360A6">
        <w:t xml:space="preserve">provide </w:t>
      </w:r>
      <w:r w:rsidR="008F172B">
        <w:t xml:space="preserve">clear </w:t>
      </w:r>
      <w:r w:rsidR="003267BC">
        <w:t>guidance</w:t>
      </w:r>
      <w:r w:rsidR="008F172B">
        <w:t xml:space="preserve">, however, </w:t>
      </w:r>
      <w:r w:rsidR="00631F6C">
        <w:t>because</w:t>
      </w:r>
      <w:r w:rsidR="008360A6">
        <w:t xml:space="preserve"> they were based </w:t>
      </w:r>
      <w:r>
        <w:t>on former standard 2.6, which allowed for a stayed suspension for violating a court order</w:t>
      </w:r>
      <w:r w:rsidR="008F172B">
        <w:t xml:space="preserve">, while </w:t>
      </w:r>
      <w:r w:rsidR="00631F6C">
        <w:t xml:space="preserve">current </w:t>
      </w:r>
      <w:r>
        <w:t>standard</w:t>
      </w:r>
      <w:r w:rsidR="00CE4B19">
        <w:t xml:space="preserve"> </w:t>
      </w:r>
      <w:r>
        <w:t>2.12(a)</w:t>
      </w:r>
      <w:r w:rsidR="008360A6">
        <w:t xml:space="preserve"> </w:t>
      </w:r>
      <w:r>
        <w:t xml:space="preserve">calls </w:t>
      </w:r>
      <w:r w:rsidR="008360A6">
        <w:t xml:space="preserve">for </w:t>
      </w:r>
      <w:r>
        <w:t xml:space="preserve">a minimum </w:t>
      </w:r>
      <w:r w:rsidRPr="00760FF7">
        <w:rPr>
          <w:i/>
        </w:rPr>
        <w:t>actual</w:t>
      </w:r>
      <w:r>
        <w:t xml:space="preserve"> suspension</w:t>
      </w:r>
      <w:r w:rsidR="00FA79CE">
        <w:t xml:space="preserve"> for </w:t>
      </w:r>
      <w:r w:rsidR="00F9357B">
        <w:t xml:space="preserve">such </w:t>
      </w:r>
      <w:r w:rsidR="00631F6C">
        <w:t xml:space="preserve">a </w:t>
      </w:r>
      <w:r w:rsidR="00FA79CE">
        <w:t>violation</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D54"/>
    <w:rsid w:val="00026CE2"/>
    <w:rsid w:val="000308B2"/>
    <w:rsid w:val="00065E1D"/>
    <w:rsid w:val="00070109"/>
    <w:rsid w:val="00093FC3"/>
    <w:rsid w:val="000A10E6"/>
    <w:rsid w:val="000A1CF9"/>
    <w:rsid w:val="000A34F8"/>
    <w:rsid w:val="000B15CD"/>
    <w:rsid w:val="00100584"/>
    <w:rsid w:val="0011763F"/>
    <w:rsid w:val="00126876"/>
    <w:rsid w:val="00177B22"/>
    <w:rsid w:val="00194E9A"/>
    <w:rsid w:val="001F282B"/>
    <w:rsid w:val="001F32E9"/>
    <w:rsid w:val="0022150F"/>
    <w:rsid w:val="00262C05"/>
    <w:rsid w:val="002916F0"/>
    <w:rsid w:val="002A1342"/>
    <w:rsid w:val="002A7C0A"/>
    <w:rsid w:val="002B427F"/>
    <w:rsid w:val="002E3000"/>
    <w:rsid w:val="00324572"/>
    <w:rsid w:val="003267BC"/>
    <w:rsid w:val="0034310B"/>
    <w:rsid w:val="0036133F"/>
    <w:rsid w:val="00367E7D"/>
    <w:rsid w:val="003858A3"/>
    <w:rsid w:val="00391CD0"/>
    <w:rsid w:val="00395D30"/>
    <w:rsid w:val="003C7D5B"/>
    <w:rsid w:val="003D53A8"/>
    <w:rsid w:val="00413EBC"/>
    <w:rsid w:val="004327E3"/>
    <w:rsid w:val="004367EE"/>
    <w:rsid w:val="00444CA5"/>
    <w:rsid w:val="00460342"/>
    <w:rsid w:val="00476DD2"/>
    <w:rsid w:val="00480037"/>
    <w:rsid w:val="00497F3B"/>
    <w:rsid w:val="004A2930"/>
    <w:rsid w:val="004C287B"/>
    <w:rsid w:val="004C5539"/>
    <w:rsid w:val="00570618"/>
    <w:rsid w:val="0058647A"/>
    <w:rsid w:val="00586BA2"/>
    <w:rsid w:val="005F2151"/>
    <w:rsid w:val="00613E63"/>
    <w:rsid w:val="006239DE"/>
    <w:rsid w:val="00631F6C"/>
    <w:rsid w:val="00683FEC"/>
    <w:rsid w:val="006862D5"/>
    <w:rsid w:val="0069014F"/>
    <w:rsid w:val="00692E63"/>
    <w:rsid w:val="006B5D1A"/>
    <w:rsid w:val="006C02D2"/>
    <w:rsid w:val="006E146E"/>
    <w:rsid w:val="00710B42"/>
    <w:rsid w:val="00715F00"/>
    <w:rsid w:val="007203EB"/>
    <w:rsid w:val="00726E3C"/>
    <w:rsid w:val="00762F0E"/>
    <w:rsid w:val="00783287"/>
    <w:rsid w:val="007833AF"/>
    <w:rsid w:val="00797CB7"/>
    <w:rsid w:val="007C3444"/>
    <w:rsid w:val="007C7400"/>
    <w:rsid w:val="007F1285"/>
    <w:rsid w:val="00815A63"/>
    <w:rsid w:val="00826B5A"/>
    <w:rsid w:val="00834959"/>
    <w:rsid w:val="008360A6"/>
    <w:rsid w:val="0088594F"/>
    <w:rsid w:val="008A6D54"/>
    <w:rsid w:val="008B3241"/>
    <w:rsid w:val="008B4A74"/>
    <w:rsid w:val="008C1D0B"/>
    <w:rsid w:val="008D16DF"/>
    <w:rsid w:val="008D340E"/>
    <w:rsid w:val="008D5DCC"/>
    <w:rsid w:val="008F172B"/>
    <w:rsid w:val="00900E81"/>
    <w:rsid w:val="0090583C"/>
    <w:rsid w:val="009563E7"/>
    <w:rsid w:val="0096173C"/>
    <w:rsid w:val="00964DBE"/>
    <w:rsid w:val="00967C4C"/>
    <w:rsid w:val="009B1C5A"/>
    <w:rsid w:val="009B5A52"/>
    <w:rsid w:val="009C0890"/>
    <w:rsid w:val="009D7CCD"/>
    <w:rsid w:val="00A14533"/>
    <w:rsid w:val="00A171AE"/>
    <w:rsid w:val="00A66665"/>
    <w:rsid w:val="00AA3E26"/>
    <w:rsid w:val="00AB0BD1"/>
    <w:rsid w:val="00AC0C46"/>
    <w:rsid w:val="00AD3CA9"/>
    <w:rsid w:val="00B03249"/>
    <w:rsid w:val="00B20B94"/>
    <w:rsid w:val="00B31122"/>
    <w:rsid w:val="00B32295"/>
    <w:rsid w:val="00B344F9"/>
    <w:rsid w:val="00B4605F"/>
    <w:rsid w:val="00B73663"/>
    <w:rsid w:val="00B7370B"/>
    <w:rsid w:val="00B85B0B"/>
    <w:rsid w:val="00B924A2"/>
    <w:rsid w:val="00B97546"/>
    <w:rsid w:val="00BD00CE"/>
    <w:rsid w:val="00BE2811"/>
    <w:rsid w:val="00C02B8F"/>
    <w:rsid w:val="00C24B31"/>
    <w:rsid w:val="00C50DD8"/>
    <w:rsid w:val="00C6235F"/>
    <w:rsid w:val="00C67057"/>
    <w:rsid w:val="00C956F9"/>
    <w:rsid w:val="00C95B8E"/>
    <w:rsid w:val="00CA2A33"/>
    <w:rsid w:val="00CA6677"/>
    <w:rsid w:val="00CB7355"/>
    <w:rsid w:val="00CD692E"/>
    <w:rsid w:val="00CE4B19"/>
    <w:rsid w:val="00D41812"/>
    <w:rsid w:val="00D419FC"/>
    <w:rsid w:val="00D536F7"/>
    <w:rsid w:val="00D65C20"/>
    <w:rsid w:val="00D91011"/>
    <w:rsid w:val="00DD1133"/>
    <w:rsid w:val="00DD6374"/>
    <w:rsid w:val="00DE411D"/>
    <w:rsid w:val="00DF1A52"/>
    <w:rsid w:val="00DF7041"/>
    <w:rsid w:val="00E01197"/>
    <w:rsid w:val="00E16C3E"/>
    <w:rsid w:val="00E27311"/>
    <w:rsid w:val="00E53F10"/>
    <w:rsid w:val="00E667E9"/>
    <w:rsid w:val="00ED075F"/>
    <w:rsid w:val="00ED20E4"/>
    <w:rsid w:val="00EE0924"/>
    <w:rsid w:val="00EF4D9D"/>
    <w:rsid w:val="00F001D0"/>
    <w:rsid w:val="00F12C06"/>
    <w:rsid w:val="00F27D1B"/>
    <w:rsid w:val="00F329D4"/>
    <w:rsid w:val="00F41788"/>
    <w:rsid w:val="00F702F3"/>
    <w:rsid w:val="00F8751F"/>
    <w:rsid w:val="00F9357B"/>
    <w:rsid w:val="00FA79CE"/>
    <w:rsid w:val="00FB1A6C"/>
    <w:rsid w:val="00FB31A9"/>
    <w:rsid w:val="00FB753A"/>
    <w:rsid w:val="00FC69F4"/>
    <w:rsid w:val="00FC78C8"/>
    <w:rsid w:val="00FE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5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54"/>
    <w:pPr>
      <w:ind w:left="720"/>
      <w:contextualSpacing/>
    </w:pPr>
  </w:style>
  <w:style w:type="paragraph" w:styleId="Footer">
    <w:name w:val="footer"/>
    <w:basedOn w:val="Normal"/>
    <w:link w:val="FooterChar"/>
    <w:unhideWhenUsed/>
    <w:rsid w:val="008A6D54"/>
    <w:pPr>
      <w:tabs>
        <w:tab w:val="center" w:pos="4680"/>
        <w:tab w:val="right" w:pos="9360"/>
      </w:tabs>
    </w:pPr>
  </w:style>
  <w:style w:type="character" w:customStyle="1" w:styleId="FooterChar">
    <w:name w:val="Footer Char"/>
    <w:basedOn w:val="DefaultParagraphFont"/>
    <w:link w:val="Footer"/>
    <w:rsid w:val="008A6D54"/>
    <w:rPr>
      <w:rFonts w:ascii="Times New Roman" w:eastAsia="Calibri" w:hAnsi="Times New Roman" w:cs="Times New Roman"/>
      <w:sz w:val="24"/>
    </w:rPr>
  </w:style>
  <w:style w:type="table" w:styleId="TableGrid">
    <w:name w:val="Table Grid"/>
    <w:basedOn w:val="TableNormal"/>
    <w:uiPriority w:val="59"/>
    <w:rsid w:val="008A6D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A6D54"/>
    <w:pPr>
      <w:ind w:firstLine="720"/>
    </w:pPr>
    <w:rPr>
      <w:szCs w:val="20"/>
    </w:rPr>
  </w:style>
  <w:style w:type="character" w:customStyle="1" w:styleId="FootnoteTextChar">
    <w:name w:val="Footnote Text Char"/>
    <w:basedOn w:val="DefaultParagraphFont"/>
    <w:link w:val="FootnoteText"/>
    <w:uiPriority w:val="99"/>
    <w:rsid w:val="008A6D54"/>
    <w:rPr>
      <w:rFonts w:ascii="Times New Roman" w:eastAsia="Calibri" w:hAnsi="Times New Roman" w:cs="Times New Roman"/>
      <w:sz w:val="24"/>
      <w:szCs w:val="20"/>
    </w:rPr>
  </w:style>
  <w:style w:type="character" w:styleId="FootnoteReference">
    <w:name w:val="footnote reference"/>
    <w:basedOn w:val="DefaultParagraphFont"/>
    <w:uiPriority w:val="99"/>
    <w:semiHidden/>
    <w:unhideWhenUsed/>
    <w:rsid w:val="008A6D54"/>
    <w:rPr>
      <w:vertAlign w:val="superscript"/>
    </w:rPr>
  </w:style>
  <w:style w:type="paragraph" w:customStyle="1" w:styleId="TemplateFootnote">
    <w:name w:val="Template Footnote"/>
    <w:basedOn w:val="FootnoteText"/>
    <w:qFormat/>
    <w:rsid w:val="008A6D54"/>
    <w:pPr>
      <w:spacing w:after="120"/>
    </w:pPr>
  </w:style>
  <w:style w:type="paragraph" w:styleId="BalloonText">
    <w:name w:val="Balloon Text"/>
    <w:basedOn w:val="Normal"/>
    <w:link w:val="BalloonTextChar"/>
    <w:uiPriority w:val="99"/>
    <w:semiHidden/>
    <w:unhideWhenUsed/>
    <w:rsid w:val="006B5D1A"/>
    <w:rPr>
      <w:rFonts w:ascii="Tahoma" w:hAnsi="Tahoma" w:cs="Tahoma"/>
      <w:sz w:val="16"/>
      <w:szCs w:val="16"/>
    </w:rPr>
  </w:style>
  <w:style w:type="character" w:customStyle="1" w:styleId="BalloonTextChar">
    <w:name w:val="Balloon Text Char"/>
    <w:basedOn w:val="DefaultParagraphFont"/>
    <w:link w:val="BalloonText"/>
    <w:uiPriority w:val="99"/>
    <w:semiHidden/>
    <w:rsid w:val="006B5D1A"/>
    <w:rPr>
      <w:rFonts w:ascii="Tahoma" w:eastAsia="Calibri" w:hAnsi="Tahoma" w:cs="Tahoma"/>
      <w:sz w:val="16"/>
      <w:szCs w:val="16"/>
    </w:rPr>
  </w:style>
  <w:style w:type="paragraph" w:customStyle="1" w:styleId="OpinionHeading">
    <w:name w:val="Opinion Heading"/>
    <w:basedOn w:val="Normal"/>
    <w:link w:val="OpinionHeadingChar"/>
    <w:qFormat/>
    <w:rsid w:val="008D5DCC"/>
    <w:pPr>
      <w:jc w:val="center"/>
    </w:pPr>
    <w:rPr>
      <w:b/>
    </w:rPr>
  </w:style>
  <w:style w:type="character" w:customStyle="1" w:styleId="OpinionHeadingChar">
    <w:name w:val="Opinion Heading Char"/>
    <w:basedOn w:val="DefaultParagraphFont"/>
    <w:link w:val="OpinionHeading"/>
    <w:rsid w:val="008D5DCC"/>
    <w:rPr>
      <w:rFonts w:ascii="Times New Roman" w:eastAsia="Calibri"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D5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54"/>
    <w:pPr>
      <w:ind w:left="720"/>
      <w:contextualSpacing/>
    </w:pPr>
  </w:style>
  <w:style w:type="paragraph" w:styleId="Footer">
    <w:name w:val="footer"/>
    <w:basedOn w:val="Normal"/>
    <w:link w:val="FooterChar"/>
    <w:unhideWhenUsed/>
    <w:rsid w:val="008A6D54"/>
    <w:pPr>
      <w:tabs>
        <w:tab w:val="center" w:pos="4680"/>
        <w:tab w:val="right" w:pos="9360"/>
      </w:tabs>
    </w:pPr>
  </w:style>
  <w:style w:type="character" w:customStyle="1" w:styleId="FooterChar">
    <w:name w:val="Footer Char"/>
    <w:basedOn w:val="DefaultParagraphFont"/>
    <w:link w:val="Footer"/>
    <w:rsid w:val="008A6D54"/>
    <w:rPr>
      <w:rFonts w:ascii="Times New Roman" w:eastAsia="Calibri" w:hAnsi="Times New Roman" w:cs="Times New Roman"/>
      <w:sz w:val="24"/>
    </w:rPr>
  </w:style>
  <w:style w:type="table" w:styleId="TableGrid">
    <w:name w:val="Table Grid"/>
    <w:basedOn w:val="TableNormal"/>
    <w:uiPriority w:val="59"/>
    <w:rsid w:val="008A6D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A6D54"/>
    <w:pPr>
      <w:ind w:firstLine="720"/>
    </w:pPr>
    <w:rPr>
      <w:szCs w:val="20"/>
    </w:rPr>
  </w:style>
  <w:style w:type="character" w:customStyle="1" w:styleId="FootnoteTextChar">
    <w:name w:val="Footnote Text Char"/>
    <w:basedOn w:val="DefaultParagraphFont"/>
    <w:link w:val="FootnoteText"/>
    <w:uiPriority w:val="99"/>
    <w:rsid w:val="008A6D54"/>
    <w:rPr>
      <w:rFonts w:ascii="Times New Roman" w:eastAsia="Calibri" w:hAnsi="Times New Roman" w:cs="Times New Roman"/>
      <w:sz w:val="24"/>
      <w:szCs w:val="20"/>
    </w:rPr>
  </w:style>
  <w:style w:type="character" w:styleId="FootnoteReference">
    <w:name w:val="footnote reference"/>
    <w:basedOn w:val="DefaultParagraphFont"/>
    <w:uiPriority w:val="99"/>
    <w:semiHidden/>
    <w:unhideWhenUsed/>
    <w:rsid w:val="008A6D54"/>
    <w:rPr>
      <w:vertAlign w:val="superscript"/>
    </w:rPr>
  </w:style>
  <w:style w:type="paragraph" w:customStyle="1" w:styleId="TemplateFootnote">
    <w:name w:val="Template Footnote"/>
    <w:basedOn w:val="FootnoteText"/>
    <w:qFormat/>
    <w:rsid w:val="008A6D54"/>
    <w:pPr>
      <w:spacing w:after="120"/>
    </w:pPr>
  </w:style>
  <w:style w:type="paragraph" w:styleId="BalloonText">
    <w:name w:val="Balloon Text"/>
    <w:basedOn w:val="Normal"/>
    <w:link w:val="BalloonTextChar"/>
    <w:uiPriority w:val="99"/>
    <w:semiHidden/>
    <w:unhideWhenUsed/>
    <w:rsid w:val="006B5D1A"/>
    <w:rPr>
      <w:rFonts w:ascii="Tahoma" w:hAnsi="Tahoma" w:cs="Tahoma"/>
      <w:sz w:val="16"/>
      <w:szCs w:val="16"/>
    </w:rPr>
  </w:style>
  <w:style w:type="character" w:customStyle="1" w:styleId="BalloonTextChar">
    <w:name w:val="Balloon Text Char"/>
    <w:basedOn w:val="DefaultParagraphFont"/>
    <w:link w:val="BalloonText"/>
    <w:uiPriority w:val="99"/>
    <w:semiHidden/>
    <w:rsid w:val="006B5D1A"/>
    <w:rPr>
      <w:rFonts w:ascii="Tahoma" w:eastAsia="Calibri" w:hAnsi="Tahoma" w:cs="Tahoma"/>
      <w:sz w:val="16"/>
      <w:szCs w:val="16"/>
    </w:rPr>
  </w:style>
  <w:style w:type="paragraph" w:customStyle="1" w:styleId="OpinionHeading">
    <w:name w:val="Opinion Heading"/>
    <w:basedOn w:val="Normal"/>
    <w:link w:val="OpinionHeadingChar"/>
    <w:qFormat/>
    <w:rsid w:val="008D5DCC"/>
    <w:pPr>
      <w:jc w:val="center"/>
    </w:pPr>
    <w:rPr>
      <w:b/>
    </w:rPr>
  </w:style>
  <w:style w:type="character" w:customStyle="1" w:styleId="OpinionHeadingChar">
    <w:name w:val="Opinion Heading Char"/>
    <w:basedOn w:val="DefaultParagraphFont"/>
    <w:link w:val="OpinionHeading"/>
    <w:rsid w:val="008D5DCC"/>
    <w:rPr>
      <w:rFonts w:ascii="Times New Roman" w:eastAsia="Calibri"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87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4182-FD89-428C-A898-ACC59283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2617</Words>
  <Characters>14033</Characters>
  <Application>Microsoft Office Word</Application>
  <DocSecurity>0</DocSecurity>
  <Lines>229</Lines>
  <Paragraphs>52</Paragraphs>
  <ScaleCrop>false</ScaleCrop>
  <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Freddie Fletcher Opinion and Order</dc:title>
  <dc:creator/>
  <cp:keywords>Freddie Fletcher; 15-O-13669; 15-O-12822</cp:keywords>
  <cp:lastModifiedBy/>
  <cp:revision>1</cp:revision>
  <dcterms:created xsi:type="dcterms:W3CDTF">2018-01-09T22:20:00Z</dcterms:created>
  <dcterms:modified xsi:type="dcterms:W3CDTF">2018-01-09T22:25:00Z</dcterms:modified>
</cp:coreProperties>
</file>