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B2F0" w14:textId="77777777" w:rsidR="002374C2" w:rsidRPr="00E26B8A" w:rsidRDefault="002374C2" w:rsidP="002374C2">
      <w:bookmarkStart w:id="0" w:name="designation"/>
      <w:bookmarkEnd w:id="0"/>
      <w:r w:rsidRPr="009E10EF">
        <w:t>PUBLIC MATTER—DESIGNATED FOR PUBLICATION</w:t>
      </w:r>
    </w:p>
    <w:p w14:paraId="0D9268F4" w14:textId="17FF5465" w:rsidR="00832223" w:rsidRPr="009946F6" w:rsidRDefault="00832223" w:rsidP="00C13F27">
      <w:pPr>
        <w:rPr>
          <w:b/>
          <w:bCs/>
        </w:rPr>
      </w:pPr>
    </w:p>
    <w:p w14:paraId="44D11F26" w14:textId="0E0886B8" w:rsidR="00474987" w:rsidRDefault="00740723" w:rsidP="00F427B6">
      <w:pPr>
        <w:contextualSpacing/>
      </w:pPr>
      <w:r>
        <w:tab/>
      </w:r>
      <w:r>
        <w:tab/>
      </w:r>
      <w:r>
        <w:tab/>
      </w:r>
      <w:r>
        <w:tab/>
      </w:r>
      <w:r>
        <w:tab/>
      </w:r>
      <w:r>
        <w:tab/>
      </w:r>
      <w:r>
        <w:tab/>
      </w:r>
      <w:r>
        <w:tab/>
      </w:r>
      <w:r>
        <w:tab/>
        <w:t>Filed May 25, 2022</w:t>
      </w:r>
    </w:p>
    <w:p w14:paraId="36D38884" w14:textId="77777777" w:rsidR="00E95FFD" w:rsidRPr="00D50330" w:rsidRDefault="00E95FFD" w:rsidP="00F427B6">
      <w:pPr>
        <w:contextualSpacing/>
      </w:pPr>
    </w:p>
    <w:p w14:paraId="47A49704" w14:textId="77777777" w:rsidR="00832223" w:rsidRPr="00C11CC8" w:rsidRDefault="00832223" w:rsidP="00C13F27"/>
    <w:p w14:paraId="10423E69" w14:textId="77777777" w:rsidR="00832223" w:rsidRPr="004F51D8" w:rsidRDefault="00832223" w:rsidP="00B76F6A">
      <w:pPr>
        <w:pStyle w:val="OpinionHeading"/>
        <w:rPr>
          <w:rFonts w:cs="Times New Roman"/>
          <w:szCs w:val="24"/>
        </w:rPr>
      </w:pPr>
      <w:r w:rsidRPr="004F51D8">
        <w:rPr>
          <w:rFonts w:cs="Times New Roman"/>
          <w:szCs w:val="24"/>
        </w:rPr>
        <w:t>STATE BAR COURT OF CALIFORNIA</w:t>
      </w:r>
    </w:p>
    <w:p w14:paraId="58610055" w14:textId="77777777" w:rsidR="00832223" w:rsidRPr="004F51D8" w:rsidRDefault="00832223" w:rsidP="00B76F6A">
      <w:pPr>
        <w:pStyle w:val="OpinionHeading"/>
        <w:rPr>
          <w:rFonts w:cs="Times New Roman"/>
          <w:szCs w:val="24"/>
        </w:rPr>
      </w:pPr>
    </w:p>
    <w:p w14:paraId="1C56B3F1" w14:textId="77777777" w:rsidR="00832223" w:rsidRPr="004F51D8" w:rsidRDefault="00832223" w:rsidP="00B76F6A">
      <w:pPr>
        <w:pStyle w:val="OpinionHeading"/>
        <w:rPr>
          <w:rFonts w:cs="Times New Roman"/>
          <w:szCs w:val="24"/>
        </w:rPr>
      </w:pPr>
      <w:r w:rsidRPr="004F51D8">
        <w:rPr>
          <w:rFonts w:cs="Times New Roman"/>
          <w:szCs w:val="24"/>
        </w:rPr>
        <w:t>REVIEW DEPARTMENT</w:t>
      </w:r>
    </w:p>
    <w:p w14:paraId="4541F014" w14:textId="77777777" w:rsidR="00832223" w:rsidRPr="004F51D8" w:rsidRDefault="00832223" w:rsidP="00832223">
      <w:pPr>
        <w:jc w:val="center"/>
        <w:rPr>
          <w:b/>
          <w:szCs w:val="24"/>
        </w:rPr>
      </w:pPr>
    </w:p>
    <w:p w14:paraId="0DA40CB4" w14:textId="77777777" w:rsidR="00832223" w:rsidRPr="004F51D8" w:rsidRDefault="00832223" w:rsidP="00832223">
      <w:pPr>
        <w:rPr>
          <w:b/>
          <w:szCs w:val="24"/>
        </w:rPr>
      </w:pPr>
    </w:p>
    <w:tbl>
      <w:tblPr>
        <w:tblStyle w:val="TableGrid"/>
        <w:tblW w:w="0" w:type="auto"/>
        <w:tblLook w:val="04A0" w:firstRow="1" w:lastRow="0" w:firstColumn="1" w:lastColumn="0" w:noHBand="0" w:noVBand="1"/>
      </w:tblPr>
      <w:tblGrid>
        <w:gridCol w:w="4713"/>
        <w:gridCol w:w="491"/>
        <w:gridCol w:w="4156"/>
      </w:tblGrid>
      <w:tr w:rsidR="00832223" w:rsidRPr="004F51D8" w14:paraId="649CB47B" w14:textId="77777777" w:rsidTr="00357051">
        <w:tc>
          <w:tcPr>
            <w:tcW w:w="4770" w:type="dxa"/>
            <w:tcBorders>
              <w:top w:val="nil"/>
              <w:left w:val="nil"/>
              <w:right w:val="nil"/>
            </w:tcBorders>
            <w:tcMar>
              <w:left w:w="0" w:type="dxa"/>
              <w:right w:w="0" w:type="dxa"/>
            </w:tcMar>
          </w:tcPr>
          <w:p w14:paraId="69881C45" w14:textId="77777777" w:rsidR="00832223" w:rsidRPr="004F51D8" w:rsidRDefault="00832223" w:rsidP="00357051">
            <w:pPr>
              <w:rPr>
                <w:szCs w:val="24"/>
              </w:rPr>
            </w:pPr>
            <w:r w:rsidRPr="004F51D8">
              <w:rPr>
                <w:szCs w:val="24"/>
              </w:rPr>
              <w:t>In the Matter of</w:t>
            </w:r>
          </w:p>
          <w:p w14:paraId="25B17CD4" w14:textId="77777777" w:rsidR="00832223" w:rsidRPr="004F51D8" w:rsidRDefault="00832223" w:rsidP="00357051">
            <w:pPr>
              <w:rPr>
                <w:szCs w:val="24"/>
              </w:rPr>
            </w:pPr>
          </w:p>
          <w:bookmarkStart w:id="1" w:name="Respondent"/>
          <w:bookmarkEnd w:id="1"/>
          <w:p w14:paraId="250E8ADD" w14:textId="70AA9090" w:rsidR="00832223" w:rsidRPr="004F51D8" w:rsidRDefault="00740723" w:rsidP="00357051">
            <w:pPr>
              <w:rPr>
                <w:szCs w:val="24"/>
              </w:rPr>
            </w:pPr>
            <w:sdt>
              <w:sdtPr>
                <w:rPr>
                  <w:szCs w:val="24"/>
                </w:rPr>
                <w:alias w:val="Enter Respondent's Name"/>
                <w:tag w:val="Enter Respondent's Name"/>
                <w:id w:val="-1392577500"/>
                <w:placeholder>
                  <w:docPart w:val="D4FD46B8272D49BDB1DB0519960EFAF7"/>
                </w:placeholder>
                <w15:color w:val="FF0000"/>
              </w:sdtPr>
              <w:sdtEndPr/>
              <w:sdtContent>
                <w:r w:rsidR="000D2174" w:rsidRPr="004F51D8">
                  <w:rPr>
                    <w:szCs w:val="24"/>
                  </w:rPr>
                  <w:t>DAVID ROMANO ISOLA</w:t>
                </w:r>
              </w:sdtContent>
            </w:sdt>
            <w:r w:rsidR="00832223" w:rsidRPr="004F51D8">
              <w:rPr>
                <w:szCs w:val="24"/>
              </w:rPr>
              <w:t>,</w:t>
            </w:r>
          </w:p>
          <w:p w14:paraId="39F1FC74" w14:textId="77777777" w:rsidR="00832223" w:rsidRPr="004F51D8" w:rsidRDefault="00832223" w:rsidP="00357051">
            <w:pPr>
              <w:rPr>
                <w:szCs w:val="24"/>
              </w:rPr>
            </w:pPr>
          </w:p>
          <w:p w14:paraId="136EC283" w14:textId="68A46330" w:rsidR="00832223" w:rsidRPr="004F51D8" w:rsidRDefault="000469FB" w:rsidP="00357051">
            <w:pPr>
              <w:rPr>
                <w:szCs w:val="24"/>
              </w:rPr>
            </w:pPr>
            <w:bookmarkStart w:id="2" w:name="type"/>
            <w:bookmarkEnd w:id="2"/>
            <w:r w:rsidRPr="004F51D8">
              <w:rPr>
                <w:szCs w:val="24"/>
              </w:rPr>
              <w:t>State Bar No.</w:t>
            </w:r>
            <w:r w:rsidR="00832223" w:rsidRPr="004F51D8">
              <w:rPr>
                <w:szCs w:val="24"/>
              </w:rPr>
              <w:t xml:space="preserve"> </w:t>
            </w:r>
            <w:bookmarkStart w:id="3" w:name="memno"/>
            <w:bookmarkStart w:id="4" w:name="MemberNo"/>
            <w:bookmarkEnd w:id="3"/>
            <w:bookmarkEnd w:id="4"/>
            <w:sdt>
              <w:sdtPr>
                <w:rPr>
                  <w:szCs w:val="24"/>
                </w:rPr>
                <w:alias w:val="Enter State Bar No."/>
                <w:tag w:val="Enter State Bar No."/>
                <w:id w:val="-1539580479"/>
                <w:placeholder>
                  <w:docPart w:val="1AB9B9C042884FD2B94D36758950119C"/>
                </w:placeholder>
                <w15:color w:val="FF0000"/>
              </w:sdtPr>
              <w:sdtEndPr/>
              <w:sdtContent>
                <w:r w:rsidR="000D2174" w:rsidRPr="004F51D8">
                  <w:rPr>
                    <w:szCs w:val="24"/>
                  </w:rPr>
                  <w:t>150311</w:t>
                </w:r>
              </w:sdtContent>
            </w:sdt>
            <w:r w:rsidR="00D8287E" w:rsidRPr="004F51D8">
              <w:rPr>
                <w:szCs w:val="24"/>
              </w:rPr>
              <w:t>.</w:t>
            </w:r>
          </w:p>
        </w:tc>
        <w:tc>
          <w:tcPr>
            <w:tcW w:w="497" w:type="dxa"/>
            <w:tcBorders>
              <w:top w:val="nil"/>
              <w:left w:val="nil"/>
              <w:bottom w:val="nil"/>
              <w:right w:val="nil"/>
            </w:tcBorders>
            <w:tcMar>
              <w:left w:w="0" w:type="dxa"/>
              <w:right w:w="0" w:type="dxa"/>
            </w:tcMar>
          </w:tcPr>
          <w:p w14:paraId="1B28E34C" w14:textId="77777777" w:rsidR="00832223" w:rsidRPr="004F51D8" w:rsidRDefault="00832223" w:rsidP="00357051">
            <w:pPr>
              <w:rPr>
                <w:szCs w:val="24"/>
              </w:rPr>
            </w:pPr>
            <w:r w:rsidRPr="004F51D8">
              <w:rPr>
                <w:szCs w:val="24"/>
              </w:rPr>
              <w:t>)</w:t>
            </w:r>
          </w:p>
          <w:p w14:paraId="0AA4ADEF" w14:textId="77777777" w:rsidR="00832223" w:rsidRPr="004F51D8" w:rsidRDefault="00832223" w:rsidP="00357051">
            <w:pPr>
              <w:rPr>
                <w:szCs w:val="24"/>
              </w:rPr>
            </w:pPr>
            <w:r w:rsidRPr="004F51D8">
              <w:rPr>
                <w:szCs w:val="24"/>
              </w:rPr>
              <w:t>)</w:t>
            </w:r>
            <w:r w:rsidRPr="004F51D8">
              <w:rPr>
                <w:szCs w:val="24"/>
              </w:rPr>
              <w:br/>
              <w:t>)</w:t>
            </w:r>
            <w:r w:rsidRPr="004F51D8">
              <w:rPr>
                <w:szCs w:val="24"/>
              </w:rPr>
              <w:br/>
              <w:t>)</w:t>
            </w:r>
            <w:r w:rsidRPr="004F51D8">
              <w:rPr>
                <w:szCs w:val="24"/>
              </w:rPr>
              <w:br/>
              <w:t>)</w:t>
            </w:r>
            <w:r w:rsidRPr="004F51D8">
              <w:rPr>
                <w:szCs w:val="24"/>
              </w:rPr>
              <w:br/>
              <w:t>)</w:t>
            </w:r>
          </w:p>
        </w:tc>
        <w:tc>
          <w:tcPr>
            <w:tcW w:w="4201" w:type="dxa"/>
            <w:tcBorders>
              <w:top w:val="nil"/>
              <w:left w:val="nil"/>
              <w:bottom w:val="nil"/>
              <w:right w:val="nil"/>
            </w:tcBorders>
          </w:tcPr>
          <w:bookmarkStart w:id="5" w:name="caseno" w:displacedByCustomXml="next"/>
          <w:bookmarkEnd w:id="5" w:displacedByCustomXml="next"/>
          <w:sdt>
            <w:sdtPr>
              <w:rPr>
                <w:szCs w:val="24"/>
              </w:rPr>
              <w:alias w:val="Enter Case No."/>
              <w:tag w:val="Enter Case No."/>
              <w:id w:val="1364322504"/>
              <w:placeholder>
                <w:docPart w:val="CBA799C20F0A4373BEBB6240F12CE2A5"/>
              </w:placeholder>
              <w15:color w:val="FF0000"/>
            </w:sdtPr>
            <w:sdtEndPr/>
            <w:sdtContent>
              <w:p w14:paraId="6AB15CB3" w14:textId="566AF09E" w:rsidR="00832223" w:rsidRPr="004F51D8" w:rsidRDefault="000D2174" w:rsidP="00357051">
                <w:pPr>
                  <w:rPr>
                    <w:szCs w:val="24"/>
                  </w:rPr>
                </w:pPr>
                <w:r w:rsidRPr="004F51D8">
                  <w:rPr>
                    <w:szCs w:val="24"/>
                  </w:rPr>
                  <w:t>SBC-20-O-30310</w:t>
                </w:r>
              </w:p>
            </w:sdtContent>
          </w:sdt>
          <w:p w14:paraId="313E25AE" w14:textId="77777777" w:rsidR="00832223" w:rsidRPr="004F51D8" w:rsidRDefault="00832223" w:rsidP="00357051">
            <w:pPr>
              <w:rPr>
                <w:szCs w:val="24"/>
              </w:rPr>
            </w:pPr>
          </w:p>
          <w:bookmarkStart w:id="6" w:name="title" w:displacedByCustomXml="next"/>
          <w:bookmarkEnd w:id="6" w:displacedByCustomXml="next"/>
          <w:sdt>
            <w:sdtPr>
              <w:rPr>
                <w:szCs w:val="24"/>
              </w:rPr>
              <w:alias w:val="Select Title"/>
              <w:tag w:val="Select Title"/>
              <w:id w:val="2093728980"/>
              <w:placeholder>
                <w:docPart w:val="1DA691F0008D4537A6672DB55DBD8989"/>
              </w:placeholder>
              <w15:color w:val="FF0000"/>
              <w:dropDownList>
                <w:listItem w:displayText="OPINION" w:value="OPINION"/>
                <w:listItem w:displayText="OPINION AND ORDER" w:value="OPINION AND ORDER"/>
              </w:dropDownList>
            </w:sdtPr>
            <w:sdtEndPr/>
            <w:sdtContent>
              <w:p w14:paraId="38385835" w14:textId="52E17926" w:rsidR="00832223" w:rsidRPr="004F51D8" w:rsidRDefault="000D2174" w:rsidP="00357051">
                <w:pPr>
                  <w:rPr>
                    <w:szCs w:val="24"/>
                  </w:rPr>
                </w:pPr>
                <w:r w:rsidRPr="004F51D8">
                  <w:rPr>
                    <w:szCs w:val="24"/>
                  </w:rPr>
                  <w:t>OPINION</w:t>
                </w:r>
              </w:p>
            </w:sdtContent>
          </w:sdt>
        </w:tc>
      </w:tr>
    </w:tbl>
    <w:p w14:paraId="6AC4BA9B" w14:textId="77777777" w:rsidR="00832223" w:rsidRPr="004F51D8" w:rsidRDefault="00832223" w:rsidP="00832223">
      <w:pPr>
        <w:rPr>
          <w:szCs w:val="24"/>
        </w:rPr>
      </w:pPr>
    </w:p>
    <w:p w14:paraId="1837CA0B" w14:textId="4F934C12" w:rsidR="00832223" w:rsidRPr="004F51D8" w:rsidRDefault="00192F70" w:rsidP="002771B8">
      <w:pPr>
        <w:spacing w:line="480" w:lineRule="auto"/>
        <w:ind w:right="-144" w:firstLine="720"/>
        <w:rPr>
          <w:szCs w:val="24"/>
        </w:rPr>
      </w:pPr>
      <w:bookmarkStart w:id="7" w:name="start"/>
      <w:bookmarkEnd w:id="7"/>
      <w:r>
        <w:rPr>
          <w:szCs w:val="24"/>
        </w:rPr>
        <w:t xml:space="preserve">In his first disciplinary case after </w:t>
      </w:r>
      <w:r w:rsidR="002A62D3">
        <w:rPr>
          <w:szCs w:val="24"/>
        </w:rPr>
        <w:t xml:space="preserve">21 years of practice, </w:t>
      </w:r>
      <w:r w:rsidR="00BC6977" w:rsidRPr="004F51D8">
        <w:rPr>
          <w:szCs w:val="24"/>
        </w:rPr>
        <w:t>David Romano Isola is charged with 26 counts of misconduct</w:t>
      </w:r>
      <w:r w:rsidR="00175BA7">
        <w:rPr>
          <w:szCs w:val="24"/>
        </w:rPr>
        <w:t xml:space="preserve"> in</w:t>
      </w:r>
      <w:r w:rsidR="00BC6977" w:rsidRPr="004F51D8">
        <w:rPr>
          <w:szCs w:val="24"/>
        </w:rPr>
        <w:t xml:space="preserve"> an environmental remediation matter.  A hearing judge </w:t>
      </w:r>
      <w:r w:rsidR="001F6D28">
        <w:rPr>
          <w:szCs w:val="24"/>
        </w:rPr>
        <w:t xml:space="preserve">dismissed </w:t>
      </w:r>
      <w:r w:rsidR="00650336">
        <w:rPr>
          <w:szCs w:val="24"/>
        </w:rPr>
        <w:t>15</w:t>
      </w:r>
      <w:r w:rsidR="001F6D28">
        <w:rPr>
          <w:szCs w:val="24"/>
        </w:rPr>
        <w:t xml:space="preserve"> of those counts</w:t>
      </w:r>
      <w:r w:rsidR="00792929">
        <w:rPr>
          <w:szCs w:val="24"/>
        </w:rPr>
        <w:t xml:space="preserve">, finding culpability on </w:t>
      </w:r>
      <w:r w:rsidR="00BC6977" w:rsidRPr="004F51D8">
        <w:rPr>
          <w:szCs w:val="24"/>
        </w:rPr>
        <w:t>11 counts, including six acts of moral turpitude, appearing for a party without authority, failing to inform a client of significant developments, breach of fiduciary duties, overreaching</w:t>
      </w:r>
      <w:r w:rsidR="003403C3" w:rsidRPr="004F51D8">
        <w:rPr>
          <w:szCs w:val="24"/>
        </w:rPr>
        <w:t>, and failing to communicate a settlement offer.</w:t>
      </w:r>
      <w:r w:rsidR="00B1010A">
        <w:rPr>
          <w:szCs w:val="24"/>
        </w:rPr>
        <w:t xml:space="preserve">  The judge recommended two years actual suspension,</w:t>
      </w:r>
      <w:r w:rsidR="00451A4B">
        <w:rPr>
          <w:szCs w:val="24"/>
        </w:rPr>
        <w:t xml:space="preserve"> with conditions, including </w:t>
      </w:r>
      <w:r w:rsidR="00650336">
        <w:rPr>
          <w:szCs w:val="24"/>
        </w:rPr>
        <w:t xml:space="preserve">continuing </w:t>
      </w:r>
      <w:r w:rsidR="00451A4B">
        <w:rPr>
          <w:szCs w:val="24"/>
        </w:rPr>
        <w:t>the suspension</w:t>
      </w:r>
      <w:r w:rsidR="00B1010A">
        <w:rPr>
          <w:szCs w:val="24"/>
        </w:rPr>
        <w:t xml:space="preserve"> until proof of rehabilitation, fitness to practice, and present learning and ability in the law.  </w:t>
      </w:r>
    </w:p>
    <w:p w14:paraId="527700B8" w14:textId="42E4E75B" w:rsidR="003403C3" w:rsidRPr="004F51D8" w:rsidRDefault="003403C3" w:rsidP="002374C2">
      <w:pPr>
        <w:spacing w:line="480" w:lineRule="auto"/>
        <w:ind w:firstLine="720"/>
        <w:rPr>
          <w:szCs w:val="24"/>
        </w:rPr>
      </w:pPr>
      <w:r w:rsidRPr="004F51D8">
        <w:rPr>
          <w:szCs w:val="24"/>
        </w:rPr>
        <w:t xml:space="preserve">Isola appeals, denying culpability for all charges except his failure to communicate.  He advocates for an actual suspension less than 90 days.  The Office of Chief Trial Counsel of the State Bar (OCTC) also appeals, asserting that Isola is culpable of additional misconduct, that his actions were intentional, and that disbarment is appropriate.  </w:t>
      </w:r>
    </w:p>
    <w:p w14:paraId="7ACCF67D" w14:textId="11F80B37" w:rsidR="00BB76CF" w:rsidRPr="004F51D8" w:rsidRDefault="003403C3" w:rsidP="00810FAD">
      <w:pPr>
        <w:spacing w:line="480" w:lineRule="auto"/>
        <w:ind w:firstLine="720"/>
        <w:rPr>
          <w:szCs w:val="24"/>
        </w:rPr>
      </w:pPr>
      <w:r w:rsidRPr="004F51D8">
        <w:rPr>
          <w:szCs w:val="24"/>
        </w:rPr>
        <w:t xml:space="preserve">Upon </w:t>
      </w:r>
      <w:r w:rsidR="00064D13">
        <w:rPr>
          <w:szCs w:val="24"/>
        </w:rPr>
        <w:t xml:space="preserve">our </w:t>
      </w:r>
      <w:r w:rsidRPr="004F51D8">
        <w:rPr>
          <w:szCs w:val="24"/>
        </w:rPr>
        <w:t>independent review of the record (Cal. Rules of Court, rule 9.12), we</w:t>
      </w:r>
      <w:r w:rsidR="00792929">
        <w:rPr>
          <w:szCs w:val="24"/>
        </w:rPr>
        <w:t xml:space="preserve"> agree with the hearing judge’s dismissals, but find </w:t>
      </w:r>
      <w:r w:rsidR="00601471">
        <w:rPr>
          <w:szCs w:val="24"/>
        </w:rPr>
        <w:t xml:space="preserve">that additional counts also require dismissal.  In sum, we find that Isola did not act with moral turpitude.  Instead, he neglected to communicate with his </w:t>
      </w:r>
      <w:r w:rsidR="00725366">
        <w:rPr>
          <w:szCs w:val="24"/>
        </w:rPr>
        <w:t xml:space="preserve">clients over a six-year period, while he </w:t>
      </w:r>
      <w:r w:rsidR="005A5C57">
        <w:rPr>
          <w:szCs w:val="24"/>
        </w:rPr>
        <w:t>successfully</w:t>
      </w:r>
      <w:r w:rsidR="00725366">
        <w:rPr>
          <w:szCs w:val="24"/>
        </w:rPr>
        <w:t xml:space="preserve"> pursued their interests.  </w:t>
      </w:r>
      <w:r w:rsidR="007D7C61">
        <w:rPr>
          <w:szCs w:val="24"/>
        </w:rPr>
        <w:t xml:space="preserve">Importantly, Isola admitted </w:t>
      </w:r>
      <w:r w:rsidR="00F7540D">
        <w:rPr>
          <w:szCs w:val="24"/>
        </w:rPr>
        <w:t>at trial</w:t>
      </w:r>
      <w:r w:rsidR="005F472B">
        <w:rPr>
          <w:szCs w:val="24"/>
        </w:rPr>
        <w:t xml:space="preserve"> </w:t>
      </w:r>
      <w:r w:rsidR="007D7C61">
        <w:rPr>
          <w:szCs w:val="24"/>
        </w:rPr>
        <w:t xml:space="preserve">his failure to communicate and </w:t>
      </w:r>
      <w:r w:rsidR="005F472B">
        <w:rPr>
          <w:szCs w:val="24"/>
        </w:rPr>
        <w:t>acknowledged</w:t>
      </w:r>
      <w:r w:rsidR="00AA7728">
        <w:rPr>
          <w:szCs w:val="24"/>
        </w:rPr>
        <w:t xml:space="preserve"> that he should have </w:t>
      </w:r>
      <w:r w:rsidR="00C27912">
        <w:rPr>
          <w:szCs w:val="24"/>
        </w:rPr>
        <w:lastRenderedPageBreak/>
        <w:t>memorialized the attorney-client relationship.</w:t>
      </w:r>
      <w:r w:rsidR="00400F3A">
        <w:rPr>
          <w:szCs w:val="24"/>
        </w:rPr>
        <w:t xml:space="preserve"> </w:t>
      </w:r>
      <w:r w:rsidR="00C27912">
        <w:rPr>
          <w:szCs w:val="24"/>
        </w:rPr>
        <w:t xml:space="preserve"> </w:t>
      </w:r>
      <w:r w:rsidR="00EF3342">
        <w:rPr>
          <w:szCs w:val="24"/>
        </w:rPr>
        <w:t xml:space="preserve">Unlike the hearing judge, we do not find that </w:t>
      </w:r>
      <w:r w:rsidR="00025221">
        <w:rPr>
          <w:szCs w:val="24"/>
        </w:rPr>
        <w:t>I</w:t>
      </w:r>
      <w:r w:rsidR="000C1DCC">
        <w:rPr>
          <w:szCs w:val="24"/>
        </w:rPr>
        <w:t>sola’s</w:t>
      </w:r>
      <w:r w:rsidR="00EF3342">
        <w:rPr>
          <w:szCs w:val="24"/>
        </w:rPr>
        <w:t xml:space="preserve"> lack of communication with his client</w:t>
      </w:r>
      <w:r w:rsidR="005B6781">
        <w:rPr>
          <w:szCs w:val="24"/>
        </w:rPr>
        <w:t>s</w:t>
      </w:r>
      <w:r w:rsidR="00EF3342">
        <w:rPr>
          <w:szCs w:val="24"/>
        </w:rPr>
        <w:t xml:space="preserve"> negates or </w:t>
      </w:r>
      <w:r w:rsidR="00703642">
        <w:rPr>
          <w:szCs w:val="24"/>
        </w:rPr>
        <w:t>undermines</w:t>
      </w:r>
      <w:r w:rsidR="00EF3342">
        <w:rPr>
          <w:szCs w:val="24"/>
        </w:rPr>
        <w:t xml:space="preserve"> the original authority </w:t>
      </w:r>
      <w:r w:rsidR="00474730">
        <w:rPr>
          <w:szCs w:val="24"/>
        </w:rPr>
        <w:t>he received</w:t>
      </w:r>
      <w:r w:rsidR="00EF3342">
        <w:rPr>
          <w:szCs w:val="24"/>
        </w:rPr>
        <w:t xml:space="preserve"> </w:t>
      </w:r>
      <w:r w:rsidR="00BF0306">
        <w:rPr>
          <w:szCs w:val="24"/>
        </w:rPr>
        <w:t>when he was hired</w:t>
      </w:r>
      <w:r w:rsidR="00EF3342">
        <w:rPr>
          <w:szCs w:val="24"/>
        </w:rPr>
        <w:t xml:space="preserve">.  </w:t>
      </w:r>
      <w:r w:rsidR="005416C1">
        <w:rPr>
          <w:szCs w:val="24"/>
        </w:rPr>
        <w:t xml:space="preserve">We find culpability on </w:t>
      </w:r>
      <w:r w:rsidR="001462A7">
        <w:rPr>
          <w:szCs w:val="24"/>
        </w:rPr>
        <w:t xml:space="preserve">two </w:t>
      </w:r>
      <w:r w:rsidR="00B65011">
        <w:rPr>
          <w:szCs w:val="24"/>
        </w:rPr>
        <w:t>counts of misconduct involving failure to communicate</w:t>
      </w:r>
      <w:r w:rsidR="000E0AFF">
        <w:rPr>
          <w:szCs w:val="24"/>
        </w:rPr>
        <w:t xml:space="preserve"> (counts</w:t>
      </w:r>
      <w:r w:rsidR="007D54E6">
        <w:rPr>
          <w:szCs w:val="24"/>
        </w:rPr>
        <w:t> </w:t>
      </w:r>
      <w:r w:rsidR="002D6111">
        <w:rPr>
          <w:szCs w:val="24"/>
        </w:rPr>
        <w:t>twenty-one</w:t>
      </w:r>
      <w:r w:rsidR="000E0AFF">
        <w:rPr>
          <w:szCs w:val="24"/>
        </w:rPr>
        <w:t xml:space="preserve"> </w:t>
      </w:r>
      <w:r w:rsidR="0005430B">
        <w:rPr>
          <w:szCs w:val="24"/>
        </w:rPr>
        <w:t xml:space="preserve">and </w:t>
      </w:r>
      <w:r w:rsidR="002D6111">
        <w:rPr>
          <w:szCs w:val="24"/>
        </w:rPr>
        <w:t>twenty-two</w:t>
      </w:r>
      <w:r w:rsidR="000E0AFF">
        <w:rPr>
          <w:szCs w:val="24"/>
        </w:rPr>
        <w:t>)</w:t>
      </w:r>
      <w:r w:rsidR="00B65011">
        <w:rPr>
          <w:szCs w:val="24"/>
        </w:rPr>
        <w:t xml:space="preserve">.  Based on Isola’s misconduct and </w:t>
      </w:r>
      <w:r w:rsidR="00BB76CF">
        <w:rPr>
          <w:szCs w:val="24"/>
        </w:rPr>
        <w:t xml:space="preserve">the </w:t>
      </w:r>
      <w:r w:rsidR="00B65011">
        <w:rPr>
          <w:szCs w:val="24"/>
        </w:rPr>
        <w:t xml:space="preserve">aggravating and mitigating circumstances, we find that </w:t>
      </w:r>
      <w:r w:rsidR="00FC3718">
        <w:rPr>
          <w:szCs w:val="24"/>
        </w:rPr>
        <w:t xml:space="preserve">a </w:t>
      </w:r>
      <w:r w:rsidR="00E9121C">
        <w:rPr>
          <w:szCs w:val="24"/>
        </w:rPr>
        <w:t>3</w:t>
      </w:r>
      <w:r w:rsidR="000555AA">
        <w:rPr>
          <w:szCs w:val="24"/>
        </w:rPr>
        <w:t>0</w:t>
      </w:r>
      <w:r w:rsidR="00FC3718">
        <w:rPr>
          <w:szCs w:val="24"/>
        </w:rPr>
        <w:t>-</w:t>
      </w:r>
      <w:r w:rsidR="000555AA">
        <w:rPr>
          <w:szCs w:val="24"/>
        </w:rPr>
        <w:t>day</w:t>
      </w:r>
      <w:r w:rsidR="00B65011">
        <w:rPr>
          <w:szCs w:val="24"/>
        </w:rPr>
        <w:t xml:space="preserve"> actual suspension </w:t>
      </w:r>
      <w:r w:rsidR="00FC3718">
        <w:rPr>
          <w:szCs w:val="24"/>
        </w:rPr>
        <w:t xml:space="preserve">is </w:t>
      </w:r>
      <w:r w:rsidR="00B65011">
        <w:rPr>
          <w:szCs w:val="24"/>
        </w:rPr>
        <w:t>necessary to protect the</w:t>
      </w:r>
      <w:r w:rsidR="00BB76CF">
        <w:rPr>
          <w:szCs w:val="24"/>
        </w:rPr>
        <w:t xml:space="preserve"> public, the courts, and the legal profession.  </w:t>
      </w:r>
    </w:p>
    <w:p w14:paraId="22180AC0" w14:textId="677B8F74" w:rsidR="000D2174" w:rsidRPr="004F51D8" w:rsidRDefault="000D2174" w:rsidP="000D2174">
      <w:pPr>
        <w:spacing w:line="480" w:lineRule="auto"/>
        <w:jc w:val="center"/>
        <w:rPr>
          <w:b/>
          <w:bCs/>
          <w:szCs w:val="24"/>
        </w:rPr>
      </w:pPr>
      <w:r w:rsidRPr="004F51D8">
        <w:rPr>
          <w:b/>
          <w:bCs/>
          <w:szCs w:val="24"/>
        </w:rPr>
        <w:t>I.  PROCEDURAL BACKGROUND</w:t>
      </w:r>
    </w:p>
    <w:p w14:paraId="560E59A1" w14:textId="7B1E1F3C" w:rsidR="001421E7" w:rsidRPr="004F51D8" w:rsidRDefault="000D2174" w:rsidP="000D2174">
      <w:pPr>
        <w:spacing w:line="480" w:lineRule="auto"/>
        <w:ind w:firstLine="720"/>
        <w:rPr>
          <w:szCs w:val="24"/>
        </w:rPr>
      </w:pPr>
      <w:r w:rsidRPr="004F51D8">
        <w:rPr>
          <w:szCs w:val="24"/>
        </w:rPr>
        <w:t xml:space="preserve">OCTC filed </w:t>
      </w:r>
      <w:r w:rsidR="004A5344" w:rsidRPr="004F51D8">
        <w:rPr>
          <w:szCs w:val="24"/>
        </w:rPr>
        <w:t>a Notice of Disciplinary Charges (NDC) on May</w:t>
      </w:r>
      <w:r w:rsidR="007D54E6">
        <w:rPr>
          <w:szCs w:val="24"/>
        </w:rPr>
        <w:t> </w:t>
      </w:r>
      <w:r w:rsidR="004A5344" w:rsidRPr="004F51D8">
        <w:rPr>
          <w:szCs w:val="24"/>
        </w:rPr>
        <w:t>28, 2020.  Isola timely filed his response, denying all allegations.  OCTC filed an Amended Notice of Disciplinary Charges (ANDC) on September</w:t>
      </w:r>
      <w:r w:rsidR="007D54E6">
        <w:rPr>
          <w:szCs w:val="24"/>
        </w:rPr>
        <w:t> </w:t>
      </w:r>
      <w:r w:rsidR="004A5344" w:rsidRPr="004F51D8">
        <w:rPr>
          <w:szCs w:val="24"/>
        </w:rPr>
        <w:t>10.  The court deemed Isola’s response to the NDC as his response to the ANDC.  On September</w:t>
      </w:r>
      <w:r w:rsidR="007D54E6">
        <w:rPr>
          <w:szCs w:val="24"/>
        </w:rPr>
        <w:t> </w:t>
      </w:r>
      <w:r w:rsidR="004A5344" w:rsidRPr="004F51D8">
        <w:rPr>
          <w:szCs w:val="24"/>
        </w:rPr>
        <w:t>17, the parties filed a Stipulation as to Facts (Stipulation).  Trial was held on September</w:t>
      </w:r>
      <w:r w:rsidR="007D54E6">
        <w:rPr>
          <w:szCs w:val="24"/>
        </w:rPr>
        <w:t> </w:t>
      </w:r>
      <w:r w:rsidR="004A5344" w:rsidRPr="004F51D8">
        <w:rPr>
          <w:szCs w:val="24"/>
        </w:rPr>
        <w:t>21, 22, and 23; October</w:t>
      </w:r>
      <w:r w:rsidR="007D54E6">
        <w:rPr>
          <w:szCs w:val="24"/>
        </w:rPr>
        <w:t> </w:t>
      </w:r>
      <w:r w:rsidR="004A5344" w:rsidRPr="004F51D8">
        <w:rPr>
          <w:szCs w:val="24"/>
        </w:rPr>
        <w:t>27 and 30; November</w:t>
      </w:r>
      <w:r w:rsidR="007D54E6">
        <w:rPr>
          <w:szCs w:val="24"/>
        </w:rPr>
        <w:t> </w:t>
      </w:r>
      <w:r w:rsidR="004A5344" w:rsidRPr="004F51D8">
        <w:rPr>
          <w:szCs w:val="24"/>
        </w:rPr>
        <w:t>9, 10, and 13; December</w:t>
      </w:r>
      <w:r w:rsidR="007D54E6">
        <w:rPr>
          <w:szCs w:val="24"/>
        </w:rPr>
        <w:t> </w:t>
      </w:r>
      <w:r w:rsidR="004A5344" w:rsidRPr="004F51D8">
        <w:rPr>
          <w:szCs w:val="24"/>
        </w:rPr>
        <w:t xml:space="preserve">17; </w:t>
      </w:r>
      <w:r w:rsidR="005200E6">
        <w:rPr>
          <w:szCs w:val="24"/>
        </w:rPr>
        <w:t xml:space="preserve">and </w:t>
      </w:r>
      <w:r w:rsidR="004A5344" w:rsidRPr="007D54E6">
        <w:t>January</w:t>
      </w:r>
      <w:r w:rsidR="007D54E6">
        <w:t> </w:t>
      </w:r>
      <w:r w:rsidR="004A5344" w:rsidRPr="007D54E6">
        <w:t>6</w:t>
      </w:r>
      <w:r w:rsidR="004A5344" w:rsidRPr="004F51D8">
        <w:rPr>
          <w:szCs w:val="24"/>
        </w:rPr>
        <w:t xml:space="preserve"> and February</w:t>
      </w:r>
      <w:r w:rsidR="007D54E6">
        <w:rPr>
          <w:szCs w:val="24"/>
        </w:rPr>
        <w:t> </w:t>
      </w:r>
      <w:r w:rsidR="004A5344" w:rsidRPr="004F51D8">
        <w:rPr>
          <w:szCs w:val="24"/>
        </w:rPr>
        <w:t>9, 2021.</w:t>
      </w:r>
      <w:r w:rsidR="00982013" w:rsidRPr="004F51D8">
        <w:rPr>
          <w:szCs w:val="24"/>
        </w:rPr>
        <w:t xml:space="preserve">  The parties submitted closing brief</w:t>
      </w:r>
      <w:r w:rsidR="00AC485C">
        <w:rPr>
          <w:szCs w:val="24"/>
        </w:rPr>
        <w:t>s</w:t>
      </w:r>
      <w:r w:rsidR="00982013" w:rsidRPr="004F51D8">
        <w:rPr>
          <w:szCs w:val="24"/>
        </w:rPr>
        <w:t xml:space="preserve"> and the </w:t>
      </w:r>
      <w:r w:rsidR="009E10EF">
        <w:rPr>
          <w:szCs w:val="24"/>
        </w:rPr>
        <w:t xml:space="preserve">hearing </w:t>
      </w:r>
      <w:r w:rsidR="00982013" w:rsidRPr="004F51D8">
        <w:rPr>
          <w:szCs w:val="24"/>
        </w:rPr>
        <w:t>judge issued her decision on June</w:t>
      </w:r>
      <w:r w:rsidR="007D54E6">
        <w:rPr>
          <w:szCs w:val="24"/>
        </w:rPr>
        <w:t> </w:t>
      </w:r>
      <w:r w:rsidR="00982013" w:rsidRPr="004F51D8">
        <w:rPr>
          <w:szCs w:val="24"/>
        </w:rPr>
        <w:t>16, 2021.  The parties submitted requests for review in July 2021.  After briefing was completed, we heard oral argument on March</w:t>
      </w:r>
      <w:r w:rsidR="007D54E6">
        <w:rPr>
          <w:szCs w:val="24"/>
        </w:rPr>
        <w:t> </w:t>
      </w:r>
      <w:r w:rsidR="00982013" w:rsidRPr="004F51D8">
        <w:rPr>
          <w:szCs w:val="24"/>
        </w:rPr>
        <w:t xml:space="preserve">28, 2022.  </w:t>
      </w:r>
    </w:p>
    <w:p w14:paraId="6F54AC3A" w14:textId="2069C9A7" w:rsidR="000D2174" w:rsidRPr="004F51D8" w:rsidRDefault="000D2174" w:rsidP="000D2174">
      <w:pPr>
        <w:spacing w:line="480" w:lineRule="auto"/>
        <w:jc w:val="center"/>
        <w:rPr>
          <w:b/>
          <w:bCs/>
          <w:szCs w:val="24"/>
        </w:rPr>
      </w:pPr>
      <w:r w:rsidRPr="004F51D8">
        <w:rPr>
          <w:b/>
          <w:bCs/>
          <w:szCs w:val="24"/>
        </w:rPr>
        <w:t>II.  FACTUAL BACKGROUND</w:t>
      </w:r>
    </w:p>
    <w:p w14:paraId="5DAF2059" w14:textId="4F238745" w:rsidR="001421E7" w:rsidRDefault="001421E7" w:rsidP="0011651C">
      <w:pPr>
        <w:spacing w:line="480" w:lineRule="auto"/>
        <w:ind w:firstLine="720"/>
        <w:rPr>
          <w:szCs w:val="24"/>
        </w:rPr>
      </w:pPr>
      <w:r w:rsidRPr="001421E7">
        <w:rPr>
          <w:szCs w:val="24"/>
        </w:rPr>
        <w:t>The facts are based on the Stipulation, trial testimony, documentary evidence, and the hearing judge’s factual findings, which are entitled to great weight unless we have found differently based on the record.  (Rules Proc. of State Bar, rule 5.155(A</w:t>
      </w:r>
      <w:r w:rsidRPr="003017ED">
        <w:rPr>
          <w:szCs w:val="24"/>
        </w:rPr>
        <w:t>);</w:t>
      </w:r>
      <w:r w:rsidRPr="001421E7">
        <w:rPr>
          <w:szCs w:val="24"/>
        </w:rPr>
        <w:t xml:space="preserve"> </w:t>
      </w:r>
      <w:r w:rsidRPr="001421E7">
        <w:rPr>
          <w:i/>
          <w:szCs w:val="24"/>
        </w:rPr>
        <w:t xml:space="preserve">In the Matter of </w:t>
      </w:r>
      <w:proofErr w:type="spellStart"/>
      <w:r w:rsidRPr="001421E7">
        <w:rPr>
          <w:i/>
          <w:szCs w:val="24"/>
        </w:rPr>
        <w:t>DeMassa</w:t>
      </w:r>
      <w:proofErr w:type="spellEnd"/>
      <w:r w:rsidRPr="001421E7">
        <w:rPr>
          <w:szCs w:val="24"/>
        </w:rPr>
        <w:t xml:space="preserve"> (Review Dept. 1991) 1</w:t>
      </w:r>
      <w:r w:rsidR="007D54E6">
        <w:rPr>
          <w:szCs w:val="24"/>
        </w:rPr>
        <w:t> </w:t>
      </w:r>
      <w:r w:rsidRPr="001421E7">
        <w:rPr>
          <w:szCs w:val="24"/>
        </w:rPr>
        <w:t xml:space="preserve">Cal. State Bar Ct. </w:t>
      </w:r>
      <w:proofErr w:type="spellStart"/>
      <w:r w:rsidRPr="001421E7">
        <w:rPr>
          <w:szCs w:val="24"/>
        </w:rPr>
        <w:t>Rptr</w:t>
      </w:r>
      <w:proofErr w:type="spellEnd"/>
      <w:r w:rsidRPr="001421E7">
        <w:rPr>
          <w:szCs w:val="24"/>
        </w:rPr>
        <w:t xml:space="preserve">. 737, 748 [Review Department may decline to adopt hearing judge’s findings if insufficient </w:t>
      </w:r>
      <w:r w:rsidR="00455158">
        <w:rPr>
          <w:szCs w:val="24"/>
        </w:rPr>
        <w:t xml:space="preserve">supporting </w:t>
      </w:r>
      <w:r w:rsidRPr="001421E7">
        <w:rPr>
          <w:szCs w:val="24"/>
        </w:rPr>
        <w:t>evidence exists in record]</w:t>
      </w:r>
      <w:r w:rsidR="009E2ABA">
        <w:rPr>
          <w:szCs w:val="24"/>
        </w:rPr>
        <w:t xml:space="preserve">; see also </w:t>
      </w:r>
      <w:r w:rsidR="009E2ABA" w:rsidRPr="009E2ABA">
        <w:rPr>
          <w:i/>
          <w:iCs/>
          <w:szCs w:val="24"/>
        </w:rPr>
        <w:t xml:space="preserve">In the Matter of </w:t>
      </w:r>
      <w:proofErr w:type="spellStart"/>
      <w:r w:rsidR="009E2ABA" w:rsidRPr="009E2ABA">
        <w:rPr>
          <w:i/>
          <w:iCs/>
          <w:szCs w:val="24"/>
        </w:rPr>
        <w:t>Lingwood</w:t>
      </w:r>
      <w:proofErr w:type="spellEnd"/>
      <w:r w:rsidR="009E2ABA" w:rsidRPr="009E2ABA">
        <w:rPr>
          <w:szCs w:val="24"/>
        </w:rPr>
        <w:t xml:space="preserve"> (Review Dept. 2019) 5 Cal. State Bar Ct. </w:t>
      </w:r>
      <w:proofErr w:type="spellStart"/>
      <w:r w:rsidR="009E2ABA" w:rsidRPr="009E2ABA">
        <w:rPr>
          <w:szCs w:val="24"/>
        </w:rPr>
        <w:t>Rptr</w:t>
      </w:r>
      <w:proofErr w:type="spellEnd"/>
      <w:r w:rsidR="009E2ABA" w:rsidRPr="009E2ABA">
        <w:rPr>
          <w:szCs w:val="24"/>
        </w:rPr>
        <w:t>. 660</w:t>
      </w:r>
      <w:r w:rsidR="009E2ABA">
        <w:rPr>
          <w:szCs w:val="24"/>
        </w:rPr>
        <w:t>, 672, fn. 15</w:t>
      </w:r>
      <w:r w:rsidRPr="001421E7">
        <w:rPr>
          <w:szCs w:val="24"/>
        </w:rPr>
        <w:t>.)</w:t>
      </w:r>
      <w:r>
        <w:rPr>
          <w:szCs w:val="24"/>
        </w:rPr>
        <w:t xml:space="preserve">  </w:t>
      </w:r>
      <w:r w:rsidRPr="001421E7">
        <w:rPr>
          <w:szCs w:val="24"/>
        </w:rPr>
        <w:t xml:space="preserve">If the evidence leads to differing reasonable interpretations of the facts, we must adopt the inference that misconduct </w:t>
      </w:r>
      <w:r w:rsidR="00D401D6">
        <w:rPr>
          <w:szCs w:val="24"/>
        </w:rPr>
        <w:t xml:space="preserve">was lacking </w:t>
      </w:r>
      <w:r w:rsidRPr="001421E7">
        <w:rPr>
          <w:szCs w:val="24"/>
        </w:rPr>
        <w:t>as OCTC has the burden to prove culpability.  (</w:t>
      </w:r>
      <w:r w:rsidRPr="001421E7">
        <w:rPr>
          <w:i/>
          <w:szCs w:val="24"/>
        </w:rPr>
        <w:t xml:space="preserve">In the </w:t>
      </w:r>
      <w:r w:rsidRPr="001421E7">
        <w:rPr>
          <w:i/>
          <w:szCs w:val="24"/>
        </w:rPr>
        <w:lastRenderedPageBreak/>
        <w:t xml:space="preserve">Matter of </w:t>
      </w:r>
      <w:proofErr w:type="spellStart"/>
      <w:r w:rsidRPr="001421E7">
        <w:rPr>
          <w:i/>
          <w:szCs w:val="24"/>
        </w:rPr>
        <w:t>DeMassa</w:t>
      </w:r>
      <w:proofErr w:type="spellEnd"/>
      <w:r w:rsidR="002E6F5F">
        <w:rPr>
          <w:szCs w:val="24"/>
        </w:rPr>
        <w:t xml:space="preserve">, </w:t>
      </w:r>
      <w:r w:rsidR="002E6F5F" w:rsidRPr="0083137F">
        <w:rPr>
          <w:i/>
          <w:iCs/>
          <w:szCs w:val="24"/>
        </w:rPr>
        <w:t>supra</w:t>
      </w:r>
      <w:r w:rsidR="007F7BEC">
        <w:rPr>
          <w:szCs w:val="24"/>
        </w:rPr>
        <w:t xml:space="preserve">, </w:t>
      </w:r>
      <w:r w:rsidRPr="007F7BEC">
        <w:rPr>
          <w:szCs w:val="24"/>
        </w:rPr>
        <w:t>1</w:t>
      </w:r>
      <w:r w:rsidR="007D54E6">
        <w:rPr>
          <w:szCs w:val="24"/>
        </w:rPr>
        <w:t> </w:t>
      </w:r>
      <w:r w:rsidRPr="001421E7">
        <w:rPr>
          <w:szCs w:val="24"/>
        </w:rPr>
        <w:t xml:space="preserve">Cal. State Bar Ct. </w:t>
      </w:r>
      <w:proofErr w:type="spellStart"/>
      <w:r w:rsidRPr="001421E7">
        <w:rPr>
          <w:szCs w:val="24"/>
        </w:rPr>
        <w:t>Rptr</w:t>
      </w:r>
      <w:proofErr w:type="spellEnd"/>
      <w:r w:rsidRPr="001421E7">
        <w:rPr>
          <w:szCs w:val="24"/>
        </w:rPr>
        <w:t xml:space="preserve">. </w:t>
      </w:r>
      <w:r w:rsidR="0083137F">
        <w:rPr>
          <w:szCs w:val="24"/>
        </w:rPr>
        <w:t>at p. </w:t>
      </w:r>
      <w:r w:rsidRPr="001421E7">
        <w:rPr>
          <w:szCs w:val="24"/>
        </w:rPr>
        <w:t xml:space="preserve">749 [appropriate to resolve reasonable doubts in favor of respondent and reject contrary finding as unsupported by clear and convincing evidence].)  </w:t>
      </w:r>
      <w:r w:rsidR="005D5E76">
        <w:rPr>
          <w:szCs w:val="24"/>
        </w:rPr>
        <w:t>O</w:t>
      </w:r>
      <w:r w:rsidRPr="001421E7">
        <w:rPr>
          <w:szCs w:val="24"/>
        </w:rPr>
        <w:t>ur recit</w:t>
      </w:r>
      <w:r w:rsidR="00C204F9">
        <w:rPr>
          <w:szCs w:val="24"/>
        </w:rPr>
        <w:t>a</w:t>
      </w:r>
      <w:r w:rsidR="00FC3718">
        <w:rPr>
          <w:szCs w:val="24"/>
        </w:rPr>
        <w:t>l</w:t>
      </w:r>
      <w:r w:rsidRPr="001421E7">
        <w:rPr>
          <w:szCs w:val="24"/>
        </w:rPr>
        <w:t xml:space="preserve"> of the facts utiliz</w:t>
      </w:r>
      <w:r w:rsidR="00BB21D9">
        <w:rPr>
          <w:szCs w:val="24"/>
        </w:rPr>
        <w:t>es</w:t>
      </w:r>
      <w:r w:rsidRPr="001421E7">
        <w:rPr>
          <w:szCs w:val="24"/>
        </w:rPr>
        <w:t xml:space="preserve"> </w:t>
      </w:r>
      <w:r w:rsidR="00837F8C" w:rsidRPr="001421E7">
        <w:rPr>
          <w:szCs w:val="24"/>
        </w:rPr>
        <w:t>th</w:t>
      </w:r>
      <w:r w:rsidR="00837F8C">
        <w:rPr>
          <w:szCs w:val="24"/>
        </w:rPr>
        <w:t>ese</w:t>
      </w:r>
      <w:r w:rsidR="00837F8C" w:rsidRPr="001421E7">
        <w:rPr>
          <w:szCs w:val="24"/>
        </w:rPr>
        <w:t xml:space="preserve"> </w:t>
      </w:r>
      <w:r w:rsidRPr="001421E7">
        <w:rPr>
          <w:szCs w:val="24"/>
        </w:rPr>
        <w:t>principle</w:t>
      </w:r>
      <w:r w:rsidR="00837F8C">
        <w:rPr>
          <w:szCs w:val="24"/>
        </w:rPr>
        <w:t>s</w:t>
      </w:r>
      <w:r w:rsidRPr="001421E7">
        <w:rPr>
          <w:szCs w:val="24"/>
        </w:rPr>
        <w:t xml:space="preserve">.  </w:t>
      </w:r>
    </w:p>
    <w:p w14:paraId="12903248" w14:textId="482D44DB" w:rsidR="0011651C" w:rsidRPr="0011651C" w:rsidRDefault="0011651C" w:rsidP="0011651C">
      <w:pPr>
        <w:spacing w:line="480" w:lineRule="auto"/>
        <w:rPr>
          <w:b/>
          <w:bCs/>
          <w:szCs w:val="24"/>
        </w:rPr>
      </w:pPr>
      <w:r w:rsidRPr="0011651C">
        <w:rPr>
          <w:b/>
          <w:bCs/>
          <w:szCs w:val="24"/>
        </w:rPr>
        <w:t>A.</w:t>
      </w:r>
      <w:r w:rsidRPr="0011651C">
        <w:rPr>
          <w:b/>
          <w:bCs/>
          <w:szCs w:val="24"/>
        </w:rPr>
        <w:tab/>
        <w:t>The Parties</w:t>
      </w:r>
    </w:p>
    <w:p w14:paraId="0700A814" w14:textId="77777777" w:rsidR="00272613" w:rsidRDefault="002B0FC4" w:rsidP="00D309F7">
      <w:pPr>
        <w:spacing w:line="480" w:lineRule="auto"/>
        <w:ind w:firstLine="720"/>
        <w:rPr>
          <w:szCs w:val="24"/>
        </w:rPr>
      </w:pPr>
      <w:r w:rsidRPr="004F51D8">
        <w:rPr>
          <w:szCs w:val="24"/>
        </w:rPr>
        <w:t xml:space="preserve">In May 2011, Isola met with Gregory Hahn, Thomas </w:t>
      </w:r>
      <w:proofErr w:type="spellStart"/>
      <w:r w:rsidR="00272613">
        <w:rPr>
          <w:szCs w:val="24"/>
        </w:rPr>
        <w:t>DeArth</w:t>
      </w:r>
      <w:proofErr w:type="spellEnd"/>
      <w:r w:rsidRPr="004F51D8">
        <w:rPr>
          <w:szCs w:val="24"/>
        </w:rPr>
        <w:t xml:space="preserve">, and Richard Greco in a diner </w:t>
      </w:r>
      <w:r w:rsidR="00D309F7" w:rsidRPr="004F51D8">
        <w:rPr>
          <w:szCs w:val="24"/>
        </w:rPr>
        <w:t xml:space="preserve">in New Jersey </w:t>
      </w:r>
      <w:r w:rsidRPr="004F51D8">
        <w:rPr>
          <w:szCs w:val="24"/>
        </w:rPr>
        <w:t>to discuss representation of the Hahn family in an environmental remediation matter</w:t>
      </w:r>
      <w:r w:rsidR="003A64AA" w:rsidRPr="004F51D8">
        <w:rPr>
          <w:szCs w:val="24"/>
        </w:rPr>
        <w:t xml:space="preserve"> (Diner Meeting)</w:t>
      </w:r>
      <w:r w:rsidR="00462E70" w:rsidRPr="004F51D8">
        <w:rPr>
          <w:szCs w:val="24"/>
        </w:rPr>
        <w:t>.</w:t>
      </w:r>
      <w:r w:rsidR="00D309F7" w:rsidRPr="004F51D8">
        <w:rPr>
          <w:rStyle w:val="FootnoteReference"/>
          <w:szCs w:val="24"/>
        </w:rPr>
        <w:footnoteReference w:id="1"/>
      </w:r>
      <w:r w:rsidR="00462E70" w:rsidRPr="004F51D8">
        <w:rPr>
          <w:szCs w:val="24"/>
        </w:rPr>
        <w:t xml:space="preserve">  The </w:t>
      </w:r>
      <w:proofErr w:type="spellStart"/>
      <w:r w:rsidR="00462E70" w:rsidRPr="004F51D8">
        <w:rPr>
          <w:szCs w:val="24"/>
        </w:rPr>
        <w:t>Hahns</w:t>
      </w:r>
      <w:proofErr w:type="spellEnd"/>
      <w:r w:rsidR="00462E70" w:rsidRPr="004F51D8">
        <w:rPr>
          <w:szCs w:val="24"/>
        </w:rPr>
        <w:t xml:space="preserve"> owned a dry-cleaning business, Cameo Dry Cleaners of Fair Lawn, Inc.</w:t>
      </w:r>
      <w:r w:rsidR="00902F2B" w:rsidRPr="004F51D8">
        <w:rPr>
          <w:szCs w:val="24"/>
        </w:rPr>
        <w:t xml:space="preserve"> (</w:t>
      </w:r>
      <w:bookmarkStart w:id="8" w:name="_Hlk98496470"/>
      <w:r w:rsidR="00902F2B" w:rsidRPr="004F51D8">
        <w:rPr>
          <w:szCs w:val="24"/>
        </w:rPr>
        <w:t>Cameo Cleaners of Fair Lawn</w:t>
      </w:r>
      <w:bookmarkEnd w:id="8"/>
      <w:r w:rsidR="00902F2B" w:rsidRPr="004F51D8">
        <w:rPr>
          <w:szCs w:val="24"/>
        </w:rPr>
        <w:t>)</w:t>
      </w:r>
      <w:r w:rsidR="00462E70" w:rsidRPr="004F51D8">
        <w:rPr>
          <w:szCs w:val="24"/>
        </w:rPr>
        <w:t xml:space="preserve">, </w:t>
      </w:r>
      <w:r w:rsidRPr="004F51D8">
        <w:rPr>
          <w:szCs w:val="24"/>
        </w:rPr>
        <w:t>from 1983 to 2002.</w:t>
      </w:r>
      <w:r w:rsidR="00542251" w:rsidRPr="004F51D8">
        <w:rPr>
          <w:szCs w:val="24"/>
        </w:rPr>
        <w:t xml:space="preserve">  </w:t>
      </w:r>
      <w:r w:rsidR="00D309F7" w:rsidRPr="004F51D8">
        <w:rPr>
          <w:szCs w:val="24"/>
        </w:rPr>
        <w:t xml:space="preserve">Cameo Cleaners of Fair Lawn was located at a property in Fair Lawn, New Jersey, known as </w:t>
      </w:r>
    </w:p>
    <w:p w14:paraId="000C9CD4" w14:textId="49240C82" w:rsidR="00D309F7" w:rsidRPr="004F51D8" w:rsidRDefault="00D309F7" w:rsidP="00272613">
      <w:pPr>
        <w:spacing w:line="480" w:lineRule="auto"/>
        <w:rPr>
          <w:szCs w:val="24"/>
        </w:rPr>
      </w:pPr>
      <w:r w:rsidRPr="004F51D8">
        <w:rPr>
          <w:szCs w:val="24"/>
        </w:rPr>
        <w:t>31-01</w:t>
      </w:r>
      <w:r w:rsidR="001D5BEE">
        <w:rPr>
          <w:szCs w:val="24"/>
        </w:rPr>
        <w:t> </w:t>
      </w:r>
      <w:r w:rsidRPr="004F51D8">
        <w:rPr>
          <w:szCs w:val="24"/>
        </w:rPr>
        <w:t xml:space="preserve">Broadway.  The </w:t>
      </w:r>
      <w:proofErr w:type="spellStart"/>
      <w:r w:rsidRPr="004F51D8">
        <w:rPr>
          <w:szCs w:val="24"/>
        </w:rPr>
        <w:t>Grecos</w:t>
      </w:r>
      <w:proofErr w:type="spellEnd"/>
      <w:r w:rsidR="00D95AEB" w:rsidRPr="004F51D8">
        <w:rPr>
          <w:szCs w:val="24"/>
        </w:rPr>
        <w:t xml:space="preserve"> (Richard, Michael, and Robert)</w:t>
      </w:r>
      <w:r w:rsidRPr="004F51D8">
        <w:rPr>
          <w:szCs w:val="24"/>
        </w:rPr>
        <w:t xml:space="preserve"> owned the property and </w:t>
      </w:r>
      <w:r w:rsidR="006F2C23">
        <w:rPr>
          <w:szCs w:val="24"/>
        </w:rPr>
        <w:t xml:space="preserve">their family </w:t>
      </w:r>
      <w:r w:rsidRPr="004F51D8">
        <w:rPr>
          <w:szCs w:val="24"/>
        </w:rPr>
        <w:t>had previously operated a dry-cleaning business there, Cameo Fabric Care Center, Inc.</w:t>
      </w:r>
      <w:r w:rsidR="00230A68">
        <w:rPr>
          <w:szCs w:val="24"/>
        </w:rPr>
        <w:t xml:space="preserve">, also known as </w:t>
      </w:r>
      <w:r w:rsidRPr="004F51D8">
        <w:rPr>
          <w:szCs w:val="24"/>
        </w:rPr>
        <w:t xml:space="preserve">Cameo Cleaners.  The </w:t>
      </w:r>
      <w:proofErr w:type="spellStart"/>
      <w:r w:rsidRPr="004F51D8">
        <w:rPr>
          <w:szCs w:val="24"/>
        </w:rPr>
        <w:t>Hahns</w:t>
      </w:r>
      <w:proofErr w:type="spellEnd"/>
      <w:r w:rsidRPr="004F51D8">
        <w:rPr>
          <w:szCs w:val="24"/>
        </w:rPr>
        <w:t xml:space="preserve"> bought the dry-cleaning business from the </w:t>
      </w:r>
      <w:proofErr w:type="spellStart"/>
      <w:r w:rsidRPr="004F51D8">
        <w:rPr>
          <w:szCs w:val="24"/>
        </w:rPr>
        <w:t>Grecos</w:t>
      </w:r>
      <w:proofErr w:type="spellEnd"/>
      <w:r w:rsidRPr="004F51D8">
        <w:rPr>
          <w:szCs w:val="24"/>
        </w:rPr>
        <w:t xml:space="preserve"> and </w:t>
      </w:r>
      <w:r w:rsidR="004F5CAC">
        <w:rPr>
          <w:szCs w:val="24"/>
        </w:rPr>
        <w:t xml:space="preserve">they </w:t>
      </w:r>
      <w:r w:rsidRPr="004F51D8">
        <w:rPr>
          <w:szCs w:val="24"/>
        </w:rPr>
        <w:t xml:space="preserve">entered into a lease agreement for the property.  </w:t>
      </w:r>
      <w:r w:rsidR="00024054">
        <w:rPr>
          <w:szCs w:val="24"/>
        </w:rPr>
        <w:t xml:space="preserve">Gregory currently works as </w:t>
      </w:r>
      <w:r w:rsidR="004F5CAC">
        <w:rPr>
          <w:szCs w:val="24"/>
        </w:rPr>
        <w:t xml:space="preserve">a </w:t>
      </w:r>
      <w:r w:rsidR="00024054">
        <w:rPr>
          <w:szCs w:val="24"/>
        </w:rPr>
        <w:t>commercial real estate broker</w:t>
      </w:r>
      <w:r w:rsidR="00972F58">
        <w:rPr>
          <w:szCs w:val="24"/>
        </w:rPr>
        <w:t xml:space="preserve">.  </w:t>
      </w:r>
    </w:p>
    <w:p w14:paraId="3927D9F9" w14:textId="5B727CE8" w:rsidR="00B961EB" w:rsidRDefault="00272613" w:rsidP="007B071B">
      <w:pPr>
        <w:spacing w:line="480" w:lineRule="auto"/>
        <w:ind w:firstLine="720"/>
        <w:rPr>
          <w:szCs w:val="24"/>
        </w:rPr>
      </w:pPr>
      <w:proofErr w:type="spellStart"/>
      <w:r>
        <w:rPr>
          <w:szCs w:val="24"/>
        </w:rPr>
        <w:t>DeArth</w:t>
      </w:r>
      <w:proofErr w:type="spellEnd"/>
      <w:r w:rsidR="00542251" w:rsidRPr="004F51D8">
        <w:rPr>
          <w:szCs w:val="24"/>
        </w:rPr>
        <w:t xml:space="preserve"> was a founding partner of Genesis Engineering &amp; Redevelopment (Genesis), a consulting firm working on environmental remediation projects.  Isola partnered with Genesis; he did legal work while Genesis did consulting</w:t>
      </w:r>
      <w:r w:rsidR="009177F4">
        <w:rPr>
          <w:szCs w:val="24"/>
        </w:rPr>
        <w:t xml:space="preserve"> work</w:t>
      </w:r>
      <w:r w:rsidR="00542251" w:rsidRPr="004F51D8">
        <w:rPr>
          <w:szCs w:val="24"/>
        </w:rPr>
        <w:t xml:space="preserve">.  Genesis and Isola promoted their services as environmental remediation at no cost to a client with insurance coverage. </w:t>
      </w:r>
    </w:p>
    <w:p w14:paraId="314E15F0" w14:textId="1BAC7088" w:rsidR="007B071B" w:rsidRDefault="007B071B" w:rsidP="007B071B">
      <w:pPr>
        <w:spacing w:line="480" w:lineRule="auto"/>
        <w:ind w:firstLine="720"/>
        <w:rPr>
          <w:szCs w:val="24"/>
        </w:rPr>
      </w:pPr>
    </w:p>
    <w:p w14:paraId="531950DF" w14:textId="11A9C644" w:rsidR="002B0FC4" w:rsidRPr="004F51D8" w:rsidRDefault="0011651C" w:rsidP="00A840CD">
      <w:pPr>
        <w:spacing w:line="480" w:lineRule="auto"/>
        <w:rPr>
          <w:b/>
          <w:bCs/>
          <w:szCs w:val="24"/>
        </w:rPr>
      </w:pPr>
      <w:r>
        <w:rPr>
          <w:b/>
          <w:bCs/>
          <w:szCs w:val="24"/>
        </w:rPr>
        <w:lastRenderedPageBreak/>
        <w:t>B</w:t>
      </w:r>
      <w:r w:rsidR="00A840CD" w:rsidRPr="004F51D8">
        <w:rPr>
          <w:b/>
          <w:bCs/>
          <w:szCs w:val="24"/>
        </w:rPr>
        <w:t>.</w:t>
      </w:r>
      <w:r w:rsidR="00A840CD" w:rsidRPr="004F51D8">
        <w:rPr>
          <w:b/>
          <w:bCs/>
          <w:szCs w:val="24"/>
        </w:rPr>
        <w:tab/>
        <w:t>Initial Environmental Remediation Events</w:t>
      </w:r>
    </w:p>
    <w:p w14:paraId="691608A1" w14:textId="11FA44CF" w:rsidR="00A840CD" w:rsidRPr="004F51D8" w:rsidRDefault="00F50EDD" w:rsidP="00A840CD">
      <w:pPr>
        <w:spacing w:line="480" w:lineRule="auto"/>
        <w:ind w:firstLine="720"/>
        <w:rPr>
          <w:szCs w:val="24"/>
        </w:rPr>
      </w:pPr>
      <w:r>
        <w:rPr>
          <w:szCs w:val="24"/>
        </w:rPr>
        <w:t>The New Jersey Department of Environmental Protection (NJDEP) has the power to oversee remediation of contaminated sites.</w:t>
      </w:r>
      <w:r w:rsidR="00FE3210">
        <w:rPr>
          <w:rStyle w:val="FootnoteReference"/>
          <w:szCs w:val="24"/>
        </w:rPr>
        <w:footnoteReference w:id="2"/>
      </w:r>
      <w:r w:rsidR="00FE3210">
        <w:rPr>
          <w:szCs w:val="24"/>
        </w:rPr>
        <w:t xml:space="preserve">  </w:t>
      </w:r>
      <w:r w:rsidR="00A840CD" w:rsidRPr="004F51D8">
        <w:rPr>
          <w:szCs w:val="24"/>
        </w:rPr>
        <w:t xml:space="preserve">In 2003, the NJDEP notified the </w:t>
      </w:r>
      <w:proofErr w:type="spellStart"/>
      <w:r w:rsidR="00A840CD" w:rsidRPr="004F51D8">
        <w:rPr>
          <w:szCs w:val="24"/>
        </w:rPr>
        <w:t>Grecos</w:t>
      </w:r>
      <w:proofErr w:type="spellEnd"/>
      <w:r w:rsidR="00A840CD" w:rsidRPr="004F51D8">
        <w:rPr>
          <w:szCs w:val="24"/>
        </w:rPr>
        <w:t xml:space="preserve"> about environmental contamination </w:t>
      </w:r>
      <w:r w:rsidR="007D6F01">
        <w:rPr>
          <w:szCs w:val="24"/>
        </w:rPr>
        <w:t>from</w:t>
      </w:r>
      <w:r w:rsidR="00A840CD" w:rsidRPr="004F51D8">
        <w:rPr>
          <w:szCs w:val="24"/>
        </w:rPr>
        <w:t xml:space="preserve"> dry-cleaning solvent</w:t>
      </w:r>
      <w:r w:rsidR="005A5C57">
        <w:rPr>
          <w:szCs w:val="24"/>
        </w:rPr>
        <w:t>s</w:t>
      </w:r>
      <w:r w:rsidR="00A840CD" w:rsidRPr="004F51D8">
        <w:rPr>
          <w:szCs w:val="24"/>
        </w:rPr>
        <w:t xml:space="preserve"> at 31-01 Broadway.  The NJDEP sent further correspondence </w:t>
      </w:r>
      <w:r w:rsidR="00693216">
        <w:rPr>
          <w:szCs w:val="24"/>
        </w:rPr>
        <w:t xml:space="preserve">in 2008 and 2009 </w:t>
      </w:r>
      <w:r w:rsidR="00A840CD" w:rsidRPr="004F51D8">
        <w:rPr>
          <w:szCs w:val="24"/>
        </w:rPr>
        <w:t>regarding environmental remediation of the site.</w:t>
      </w:r>
      <w:r w:rsidR="00D871CC">
        <w:rPr>
          <w:szCs w:val="24"/>
        </w:rPr>
        <w:t xml:space="preserve">  Richard</w:t>
      </w:r>
      <w:r w:rsidR="006F2960">
        <w:rPr>
          <w:rStyle w:val="FootnoteReference"/>
          <w:szCs w:val="24"/>
        </w:rPr>
        <w:footnoteReference w:id="3"/>
      </w:r>
      <w:r w:rsidR="00D871CC">
        <w:rPr>
          <w:szCs w:val="24"/>
        </w:rPr>
        <w:t xml:space="preserve"> </w:t>
      </w:r>
      <w:r w:rsidR="00B961EB">
        <w:rPr>
          <w:szCs w:val="24"/>
        </w:rPr>
        <w:t xml:space="preserve">told Gregory about the environmental issues and </w:t>
      </w:r>
      <w:r w:rsidR="00D871CC">
        <w:rPr>
          <w:szCs w:val="24"/>
        </w:rPr>
        <w:t xml:space="preserve">asked </w:t>
      </w:r>
      <w:r w:rsidR="00B961EB">
        <w:rPr>
          <w:szCs w:val="24"/>
        </w:rPr>
        <w:t>him</w:t>
      </w:r>
      <w:r w:rsidR="00D871CC">
        <w:rPr>
          <w:szCs w:val="24"/>
        </w:rPr>
        <w:t xml:space="preserve"> to assist him in </w:t>
      </w:r>
      <w:r w:rsidR="00E80C56">
        <w:rPr>
          <w:szCs w:val="24"/>
        </w:rPr>
        <w:t>finding</w:t>
      </w:r>
      <w:r w:rsidR="00D871CC">
        <w:rPr>
          <w:szCs w:val="24"/>
        </w:rPr>
        <w:t xml:space="preserve"> insurance policies </w:t>
      </w:r>
      <w:r w:rsidR="0007773E">
        <w:rPr>
          <w:szCs w:val="24"/>
        </w:rPr>
        <w:t>to</w:t>
      </w:r>
      <w:r w:rsidR="00D871CC">
        <w:rPr>
          <w:szCs w:val="24"/>
        </w:rPr>
        <w:t xml:space="preserve"> help cover remediation.  </w:t>
      </w:r>
    </w:p>
    <w:p w14:paraId="79AEC8CD" w14:textId="0B93E5BE" w:rsidR="00A90BF1" w:rsidRDefault="00A840CD" w:rsidP="00A90BF1">
      <w:pPr>
        <w:spacing w:line="480" w:lineRule="auto"/>
        <w:ind w:right="-144" w:firstLine="720"/>
        <w:rPr>
          <w:szCs w:val="24"/>
        </w:rPr>
      </w:pPr>
      <w:r w:rsidRPr="004F51D8">
        <w:rPr>
          <w:szCs w:val="24"/>
        </w:rPr>
        <w:t xml:space="preserve">In 2009, Richard retained Anderson Kill &amp; Olick, P.C. (Anderson Kill) to help the </w:t>
      </w:r>
      <w:proofErr w:type="spellStart"/>
      <w:r w:rsidRPr="004F51D8">
        <w:rPr>
          <w:szCs w:val="24"/>
        </w:rPr>
        <w:t>Grecos</w:t>
      </w:r>
      <w:proofErr w:type="spellEnd"/>
      <w:r w:rsidRPr="004F51D8">
        <w:rPr>
          <w:szCs w:val="24"/>
        </w:rPr>
        <w:t xml:space="preserve"> locate any historical insurance coverage </w:t>
      </w:r>
      <w:r w:rsidR="00706CC3" w:rsidRPr="004F51D8">
        <w:rPr>
          <w:szCs w:val="24"/>
        </w:rPr>
        <w:t>on the site.</w:t>
      </w:r>
      <w:r w:rsidR="00716137">
        <w:rPr>
          <w:rStyle w:val="FootnoteReference"/>
          <w:szCs w:val="24"/>
        </w:rPr>
        <w:footnoteReference w:id="4"/>
      </w:r>
      <w:r w:rsidR="00706CC3" w:rsidRPr="004F51D8">
        <w:rPr>
          <w:szCs w:val="24"/>
        </w:rPr>
        <w:t xml:space="preserve">  Anderson Kill discovered two Travelers policies related to the </w:t>
      </w:r>
      <w:proofErr w:type="spellStart"/>
      <w:r w:rsidR="00706CC3" w:rsidRPr="004F51D8">
        <w:rPr>
          <w:szCs w:val="24"/>
        </w:rPr>
        <w:t>Hahns</w:t>
      </w:r>
      <w:proofErr w:type="spellEnd"/>
      <w:r w:rsidR="00706CC3" w:rsidRPr="004F51D8">
        <w:rPr>
          <w:szCs w:val="24"/>
        </w:rPr>
        <w:t xml:space="preserve">: one from January 1985 to January 1986 and the second from January 1986 to October 1986.  </w:t>
      </w:r>
      <w:r w:rsidR="00A90CF5">
        <w:rPr>
          <w:szCs w:val="24"/>
        </w:rPr>
        <w:t xml:space="preserve">The policies </w:t>
      </w:r>
      <w:r w:rsidR="003E0CBD">
        <w:rPr>
          <w:szCs w:val="24"/>
        </w:rPr>
        <w:t>insured</w:t>
      </w:r>
      <w:r w:rsidR="00A90CF5">
        <w:rPr>
          <w:szCs w:val="24"/>
        </w:rPr>
        <w:t xml:space="preserve"> Cameo Cleaners of Fair Law</w:t>
      </w:r>
      <w:r w:rsidR="003E0CBD">
        <w:rPr>
          <w:szCs w:val="24"/>
        </w:rPr>
        <w:t>n</w:t>
      </w:r>
      <w:r w:rsidR="007D54E6">
        <w:rPr>
          <w:szCs w:val="24"/>
        </w:rPr>
        <w:t>,</w:t>
      </w:r>
      <w:r w:rsidR="003E0CBD">
        <w:rPr>
          <w:szCs w:val="24"/>
        </w:rPr>
        <w:t xml:space="preserve"> Chung</w:t>
      </w:r>
      <w:r w:rsidR="00410C43">
        <w:rPr>
          <w:szCs w:val="24"/>
        </w:rPr>
        <w:t xml:space="preserve"> </w:t>
      </w:r>
      <w:proofErr w:type="spellStart"/>
      <w:r w:rsidR="003E0CBD">
        <w:rPr>
          <w:szCs w:val="24"/>
        </w:rPr>
        <w:t>Hee</w:t>
      </w:r>
      <w:proofErr w:type="spellEnd"/>
      <w:r w:rsidR="003E0CBD">
        <w:rPr>
          <w:szCs w:val="24"/>
        </w:rPr>
        <w:t>, Min-Ku, and Chang</w:t>
      </w:r>
      <w:r w:rsidR="007A2132">
        <w:rPr>
          <w:szCs w:val="24"/>
        </w:rPr>
        <w:t xml:space="preserve"> W</w:t>
      </w:r>
      <w:r w:rsidR="003E0CBD">
        <w:rPr>
          <w:szCs w:val="24"/>
        </w:rPr>
        <w:t>oo Hahn</w:t>
      </w:r>
      <w:r w:rsidR="002D4261">
        <w:rPr>
          <w:szCs w:val="24"/>
        </w:rPr>
        <w:t>.</w:t>
      </w:r>
      <w:r w:rsidR="002D4261">
        <w:rPr>
          <w:rStyle w:val="FootnoteReference"/>
          <w:szCs w:val="24"/>
        </w:rPr>
        <w:footnoteReference w:id="5"/>
      </w:r>
      <w:r w:rsidR="003E0CBD">
        <w:rPr>
          <w:szCs w:val="24"/>
        </w:rPr>
        <w:t xml:space="preserve">  </w:t>
      </w:r>
      <w:r w:rsidR="00706CC3" w:rsidRPr="004F51D8">
        <w:rPr>
          <w:szCs w:val="24"/>
        </w:rPr>
        <w:t xml:space="preserve">In 2010, letters were sent to Travelers regarding the </w:t>
      </w:r>
      <w:proofErr w:type="spellStart"/>
      <w:r w:rsidR="00706CC3" w:rsidRPr="004F51D8">
        <w:rPr>
          <w:szCs w:val="24"/>
        </w:rPr>
        <w:t>Hahns</w:t>
      </w:r>
      <w:proofErr w:type="spellEnd"/>
      <w:r w:rsidR="00706CC3" w:rsidRPr="004F51D8">
        <w:rPr>
          <w:szCs w:val="24"/>
        </w:rPr>
        <w:t>’ insurance policies.</w:t>
      </w:r>
      <w:r w:rsidR="006F11A8">
        <w:rPr>
          <w:szCs w:val="24"/>
        </w:rPr>
        <w:t xml:space="preserve">  Even though the letters were purportedly </w:t>
      </w:r>
      <w:r w:rsidR="002C5486">
        <w:rPr>
          <w:szCs w:val="24"/>
        </w:rPr>
        <w:t xml:space="preserve">sent </w:t>
      </w:r>
      <w:r w:rsidR="006F11A8">
        <w:rPr>
          <w:szCs w:val="24"/>
        </w:rPr>
        <w:t>from Gregory, the hearing judge found that the letters were likely sent by Richard on Gregory’s behalf, with Gregory’s consent, as they were working together to find insurance coverage for 31-01 Broadway.</w:t>
      </w:r>
      <w:r w:rsidR="005D06EE">
        <w:rPr>
          <w:szCs w:val="24"/>
        </w:rPr>
        <w:t xml:space="preserve"> </w:t>
      </w:r>
    </w:p>
    <w:p w14:paraId="5C8A4DB4" w14:textId="5E7C3205" w:rsidR="00706CC3" w:rsidRDefault="00706CC3" w:rsidP="00A90BF1">
      <w:pPr>
        <w:spacing w:line="480" w:lineRule="auto"/>
        <w:ind w:right="-144" w:firstLine="720"/>
        <w:rPr>
          <w:szCs w:val="24"/>
        </w:rPr>
      </w:pPr>
      <w:r w:rsidRPr="004F51D8">
        <w:rPr>
          <w:szCs w:val="24"/>
        </w:rPr>
        <w:lastRenderedPageBreak/>
        <w:t>In</w:t>
      </w:r>
      <w:r w:rsidR="00D85022" w:rsidRPr="004F51D8">
        <w:rPr>
          <w:szCs w:val="24"/>
        </w:rPr>
        <w:t xml:space="preserve"> January</w:t>
      </w:r>
      <w:r w:rsidRPr="004F51D8">
        <w:rPr>
          <w:szCs w:val="24"/>
        </w:rPr>
        <w:t xml:space="preserve"> </w:t>
      </w:r>
      <w:r w:rsidR="00D85022" w:rsidRPr="004F51D8">
        <w:rPr>
          <w:szCs w:val="24"/>
        </w:rPr>
        <w:t xml:space="preserve">2011, </w:t>
      </w:r>
      <w:proofErr w:type="spellStart"/>
      <w:r w:rsidR="00272613">
        <w:rPr>
          <w:szCs w:val="24"/>
        </w:rPr>
        <w:t>DeArth</w:t>
      </w:r>
      <w:proofErr w:type="spellEnd"/>
      <w:r w:rsidR="00D85022" w:rsidRPr="004F51D8">
        <w:rPr>
          <w:szCs w:val="24"/>
        </w:rPr>
        <w:t xml:space="preserve"> and Richard entered into a service agreement for Gene</w:t>
      </w:r>
      <w:r w:rsidR="00BB76CF">
        <w:rPr>
          <w:szCs w:val="24"/>
        </w:rPr>
        <w:t>s</w:t>
      </w:r>
      <w:r w:rsidR="00D85022" w:rsidRPr="004F51D8">
        <w:rPr>
          <w:szCs w:val="24"/>
        </w:rPr>
        <w:t xml:space="preserve">is to </w:t>
      </w:r>
      <w:r w:rsidRPr="004F51D8">
        <w:rPr>
          <w:szCs w:val="24"/>
        </w:rPr>
        <w:t xml:space="preserve">assist with environmental </w:t>
      </w:r>
      <w:r w:rsidR="00D95AEB" w:rsidRPr="004F51D8">
        <w:rPr>
          <w:szCs w:val="24"/>
        </w:rPr>
        <w:t>remediation at 31-01</w:t>
      </w:r>
      <w:r w:rsidR="001D5BEE">
        <w:rPr>
          <w:szCs w:val="24"/>
        </w:rPr>
        <w:t> </w:t>
      </w:r>
      <w:r w:rsidR="00D95AEB" w:rsidRPr="004F51D8">
        <w:rPr>
          <w:szCs w:val="24"/>
        </w:rPr>
        <w:t>Broadway.</w:t>
      </w:r>
      <w:r w:rsidR="00D85022" w:rsidRPr="004F51D8">
        <w:rPr>
          <w:szCs w:val="24"/>
        </w:rPr>
        <w:t xml:space="preserve">  In March 2011, Michael and </w:t>
      </w:r>
      <w:proofErr w:type="spellStart"/>
      <w:r w:rsidR="00272613">
        <w:rPr>
          <w:szCs w:val="24"/>
        </w:rPr>
        <w:t>DeArth</w:t>
      </w:r>
      <w:proofErr w:type="spellEnd"/>
      <w:r w:rsidR="00D85022" w:rsidRPr="004F51D8">
        <w:rPr>
          <w:szCs w:val="24"/>
        </w:rPr>
        <w:t xml:space="preserve"> executed an NJDEP form </w:t>
      </w:r>
      <w:r w:rsidR="00915DCC">
        <w:rPr>
          <w:szCs w:val="24"/>
        </w:rPr>
        <w:t>that</w:t>
      </w:r>
      <w:r w:rsidR="00D85022" w:rsidRPr="004F51D8">
        <w:rPr>
          <w:szCs w:val="24"/>
        </w:rPr>
        <w:t xml:space="preserve"> stated that insurance from the </w:t>
      </w:r>
      <w:proofErr w:type="spellStart"/>
      <w:r w:rsidR="00D85022" w:rsidRPr="004F51D8">
        <w:rPr>
          <w:szCs w:val="24"/>
        </w:rPr>
        <w:t>Hahns</w:t>
      </w:r>
      <w:proofErr w:type="spellEnd"/>
      <w:r w:rsidR="00D85022" w:rsidRPr="004F51D8">
        <w:rPr>
          <w:szCs w:val="24"/>
        </w:rPr>
        <w:t xml:space="preserve"> had been identified</w:t>
      </w:r>
      <w:r w:rsidR="003B0E57">
        <w:rPr>
          <w:szCs w:val="24"/>
        </w:rPr>
        <w:t xml:space="preserve"> and </w:t>
      </w:r>
      <w:r w:rsidR="002911AD">
        <w:rPr>
          <w:szCs w:val="24"/>
        </w:rPr>
        <w:t>could be u</w:t>
      </w:r>
      <w:r w:rsidR="009E6B41">
        <w:rPr>
          <w:szCs w:val="24"/>
        </w:rPr>
        <w:t xml:space="preserve">sed </w:t>
      </w:r>
      <w:r w:rsidR="00915DCC">
        <w:rPr>
          <w:szCs w:val="24"/>
        </w:rPr>
        <w:t>for</w:t>
      </w:r>
      <w:r w:rsidR="009E6B41">
        <w:rPr>
          <w:szCs w:val="24"/>
        </w:rPr>
        <w:t xml:space="preserve"> coverage in addition to the insurance </w:t>
      </w:r>
      <w:r w:rsidR="00DE5FB5">
        <w:rPr>
          <w:szCs w:val="24"/>
        </w:rPr>
        <w:t xml:space="preserve">identified </w:t>
      </w:r>
      <w:r w:rsidR="00B866B3">
        <w:rPr>
          <w:szCs w:val="24"/>
        </w:rPr>
        <w:t>by</w:t>
      </w:r>
      <w:r w:rsidR="00DE5FB5">
        <w:rPr>
          <w:szCs w:val="24"/>
        </w:rPr>
        <w:t xml:space="preserve"> the </w:t>
      </w:r>
      <w:proofErr w:type="spellStart"/>
      <w:r w:rsidR="00DE5FB5">
        <w:rPr>
          <w:szCs w:val="24"/>
        </w:rPr>
        <w:t>Grecos</w:t>
      </w:r>
      <w:proofErr w:type="spellEnd"/>
      <w:r w:rsidR="00DE5FB5">
        <w:rPr>
          <w:szCs w:val="24"/>
        </w:rPr>
        <w:t xml:space="preserve">.  </w:t>
      </w:r>
      <w:r w:rsidR="00D85022" w:rsidRPr="004F51D8">
        <w:rPr>
          <w:szCs w:val="24"/>
        </w:rPr>
        <w:t xml:space="preserve">The form also </w:t>
      </w:r>
      <w:r w:rsidR="00915DCC">
        <w:rPr>
          <w:szCs w:val="24"/>
        </w:rPr>
        <w:t>asserted</w:t>
      </w:r>
      <w:r w:rsidR="00D85022" w:rsidRPr="004F51D8">
        <w:rPr>
          <w:szCs w:val="24"/>
        </w:rPr>
        <w:t xml:space="preserve"> that Genesis was working with “Ms. Hahn” in obtaining </w:t>
      </w:r>
      <w:r w:rsidR="00092F3D">
        <w:rPr>
          <w:szCs w:val="24"/>
        </w:rPr>
        <w:t>project</w:t>
      </w:r>
      <w:r w:rsidR="00D85022" w:rsidRPr="004F51D8">
        <w:rPr>
          <w:szCs w:val="24"/>
        </w:rPr>
        <w:t xml:space="preserve"> funding</w:t>
      </w:r>
      <w:r w:rsidR="00DB239F">
        <w:rPr>
          <w:szCs w:val="24"/>
        </w:rPr>
        <w:t xml:space="preserve"> through the tenant’s historical insurance assets.</w:t>
      </w:r>
    </w:p>
    <w:p w14:paraId="06D81380" w14:textId="4C2BBAF5" w:rsidR="00D85022" w:rsidRPr="004F51D8" w:rsidRDefault="00163B82" w:rsidP="00D85022">
      <w:pPr>
        <w:spacing w:line="480" w:lineRule="auto"/>
        <w:rPr>
          <w:b/>
          <w:bCs/>
          <w:szCs w:val="24"/>
        </w:rPr>
      </w:pPr>
      <w:r>
        <w:rPr>
          <w:b/>
          <w:bCs/>
          <w:szCs w:val="24"/>
        </w:rPr>
        <w:t>C</w:t>
      </w:r>
      <w:r w:rsidR="00D85022" w:rsidRPr="004F51D8">
        <w:rPr>
          <w:b/>
          <w:bCs/>
          <w:szCs w:val="24"/>
        </w:rPr>
        <w:t>.</w:t>
      </w:r>
      <w:r w:rsidR="00D85022" w:rsidRPr="004F51D8">
        <w:rPr>
          <w:b/>
          <w:bCs/>
          <w:szCs w:val="24"/>
        </w:rPr>
        <w:tab/>
        <w:t>Isola’s Involvement</w:t>
      </w:r>
    </w:p>
    <w:p w14:paraId="2F31EA4E" w14:textId="256A30FA" w:rsidR="00D85022" w:rsidRPr="004F51D8" w:rsidRDefault="00D85022" w:rsidP="00D85022">
      <w:pPr>
        <w:spacing w:line="480" w:lineRule="auto"/>
        <w:ind w:firstLine="720"/>
        <w:rPr>
          <w:szCs w:val="24"/>
        </w:rPr>
      </w:pPr>
      <w:r w:rsidRPr="004F51D8">
        <w:rPr>
          <w:szCs w:val="24"/>
        </w:rPr>
        <w:t xml:space="preserve">Around 2010 or 2011, </w:t>
      </w:r>
      <w:proofErr w:type="spellStart"/>
      <w:r w:rsidR="00272613">
        <w:rPr>
          <w:szCs w:val="24"/>
        </w:rPr>
        <w:t>DeArth</w:t>
      </w:r>
      <w:proofErr w:type="spellEnd"/>
      <w:r w:rsidRPr="004F51D8">
        <w:rPr>
          <w:szCs w:val="24"/>
        </w:rPr>
        <w:t xml:space="preserve"> introduced Richard to Isola at a trade show </w:t>
      </w:r>
      <w:r w:rsidR="00915DCC">
        <w:rPr>
          <w:szCs w:val="24"/>
        </w:rPr>
        <w:t>and Richard told</w:t>
      </w:r>
      <w:r w:rsidRPr="004F51D8">
        <w:rPr>
          <w:szCs w:val="24"/>
        </w:rPr>
        <w:t xml:space="preserve"> Isola about the environmental remediation at 31-01 Broadway.  Richard mentioned </w:t>
      </w:r>
      <w:r w:rsidR="00915DCC">
        <w:rPr>
          <w:szCs w:val="24"/>
        </w:rPr>
        <w:t>his</w:t>
      </w:r>
      <w:r w:rsidRPr="004F51D8">
        <w:rPr>
          <w:szCs w:val="24"/>
        </w:rPr>
        <w:t xml:space="preserve"> relationship with Gregory</w:t>
      </w:r>
      <w:r w:rsidR="00915DCC">
        <w:rPr>
          <w:szCs w:val="24"/>
        </w:rPr>
        <w:t>,</w:t>
      </w:r>
      <w:r w:rsidRPr="004F51D8">
        <w:rPr>
          <w:szCs w:val="24"/>
        </w:rPr>
        <w:t xml:space="preserve"> who had helped him </w:t>
      </w:r>
      <w:r w:rsidR="002944D1">
        <w:rPr>
          <w:szCs w:val="24"/>
        </w:rPr>
        <w:t>locate</w:t>
      </w:r>
      <w:r w:rsidRPr="004F51D8">
        <w:rPr>
          <w:szCs w:val="24"/>
        </w:rPr>
        <w:t xml:space="preserve"> insurance policies for the sit</w:t>
      </w:r>
      <w:r w:rsidR="009B356C" w:rsidRPr="004F51D8">
        <w:rPr>
          <w:szCs w:val="24"/>
        </w:rPr>
        <w:t>e</w:t>
      </w:r>
      <w:r w:rsidR="00915DCC">
        <w:rPr>
          <w:szCs w:val="24"/>
        </w:rPr>
        <w:t>.</w:t>
      </w:r>
      <w:r w:rsidR="00794A09">
        <w:rPr>
          <w:szCs w:val="24"/>
        </w:rPr>
        <w:t xml:space="preserve"> </w:t>
      </w:r>
      <w:r w:rsidR="00915DCC">
        <w:rPr>
          <w:szCs w:val="24"/>
        </w:rPr>
        <w:t xml:space="preserve"> Gregory</w:t>
      </w:r>
      <w:r w:rsidR="00502314">
        <w:rPr>
          <w:szCs w:val="24"/>
        </w:rPr>
        <w:t xml:space="preserve"> was aware of the environmental</w:t>
      </w:r>
      <w:r w:rsidR="001C42F5">
        <w:rPr>
          <w:szCs w:val="24"/>
        </w:rPr>
        <w:t xml:space="preserve"> issues </w:t>
      </w:r>
      <w:r w:rsidR="0043008E">
        <w:rPr>
          <w:szCs w:val="24"/>
        </w:rPr>
        <w:t>resulting</w:t>
      </w:r>
      <w:r w:rsidR="002E7501">
        <w:rPr>
          <w:szCs w:val="24"/>
        </w:rPr>
        <w:t xml:space="preserve"> </w:t>
      </w:r>
      <w:r w:rsidR="0043008E">
        <w:rPr>
          <w:szCs w:val="24"/>
        </w:rPr>
        <w:t xml:space="preserve">from </w:t>
      </w:r>
      <w:r w:rsidR="002E7501">
        <w:rPr>
          <w:szCs w:val="24"/>
        </w:rPr>
        <w:t xml:space="preserve">the dry-cleaning business the </w:t>
      </w:r>
      <w:proofErr w:type="spellStart"/>
      <w:r w:rsidR="002E7501">
        <w:rPr>
          <w:szCs w:val="24"/>
        </w:rPr>
        <w:t>Hahns</w:t>
      </w:r>
      <w:proofErr w:type="spellEnd"/>
      <w:r w:rsidR="002E7501">
        <w:rPr>
          <w:szCs w:val="24"/>
        </w:rPr>
        <w:t xml:space="preserve"> </w:t>
      </w:r>
      <w:r w:rsidR="0043008E">
        <w:rPr>
          <w:szCs w:val="24"/>
        </w:rPr>
        <w:t>had previously</w:t>
      </w:r>
      <w:r w:rsidR="002E7501">
        <w:rPr>
          <w:szCs w:val="24"/>
        </w:rPr>
        <w:t xml:space="preserve"> operate</w:t>
      </w:r>
      <w:r w:rsidR="0043008E">
        <w:rPr>
          <w:szCs w:val="24"/>
        </w:rPr>
        <w:t>d</w:t>
      </w:r>
      <w:r w:rsidR="002E7501">
        <w:rPr>
          <w:szCs w:val="24"/>
        </w:rPr>
        <w:t xml:space="preserve"> there</w:t>
      </w:r>
      <w:r w:rsidRPr="004F51D8">
        <w:rPr>
          <w:szCs w:val="24"/>
        </w:rPr>
        <w:t>.</w:t>
      </w:r>
    </w:p>
    <w:p w14:paraId="2CE86695" w14:textId="07204779" w:rsidR="009E485A" w:rsidRDefault="00D96883" w:rsidP="008A63B4">
      <w:pPr>
        <w:spacing w:line="480" w:lineRule="auto"/>
        <w:ind w:firstLine="720"/>
        <w:rPr>
          <w:szCs w:val="24"/>
        </w:rPr>
      </w:pPr>
      <w:r>
        <w:rPr>
          <w:szCs w:val="24"/>
        </w:rPr>
        <w:t>At t</w:t>
      </w:r>
      <w:r w:rsidR="00147877" w:rsidRPr="004F51D8">
        <w:rPr>
          <w:szCs w:val="24"/>
        </w:rPr>
        <w:t>he May 2011</w:t>
      </w:r>
      <w:r>
        <w:rPr>
          <w:szCs w:val="24"/>
        </w:rPr>
        <w:t xml:space="preserve"> Diner Meeting</w:t>
      </w:r>
      <w:r w:rsidR="00147877" w:rsidRPr="004F51D8">
        <w:rPr>
          <w:szCs w:val="24"/>
        </w:rPr>
        <w:t xml:space="preserve">, where Isola </w:t>
      </w:r>
      <w:r w:rsidR="002C7045">
        <w:rPr>
          <w:szCs w:val="24"/>
        </w:rPr>
        <w:t xml:space="preserve">met with Gregory, </w:t>
      </w:r>
      <w:proofErr w:type="spellStart"/>
      <w:r w:rsidR="00272613">
        <w:rPr>
          <w:szCs w:val="24"/>
        </w:rPr>
        <w:t>DeArth</w:t>
      </w:r>
      <w:proofErr w:type="spellEnd"/>
      <w:r w:rsidR="002C7045">
        <w:rPr>
          <w:szCs w:val="24"/>
        </w:rPr>
        <w:t>, and Richard</w:t>
      </w:r>
      <w:r>
        <w:rPr>
          <w:szCs w:val="24"/>
        </w:rPr>
        <w:t>,</w:t>
      </w:r>
      <w:r w:rsidR="005870A4">
        <w:rPr>
          <w:rStyle w:val="FootnoteReference"/>
          <w:szCs w:val="24"/>
        </w:rPr>
        <w:footnoteReference w:id="6"/>
      </w:r>
      <w:r w:rsidR="00BB41DD">
        <w:rPr>
          <w:szCs w:val="24"/>
        </w:rPr>
        <w:t xml:space="preserve">  Isola </w:t>
      </w:r>
      <w:r w:rsidR="00147877" w:rsidRPr="004F51D8">
        <w:rPr>
          <w:szCs w:val="24"/>
        </w:rPr>
        <w:t>presented information about the services he and Genesis could provide, including the</w:t>
      </w:r>
    </w:p>
    <w:p w14:paraId="1A93A2A3" w14:textId="77777777" w:rsidR="009E485A" w:rsidRDefault="009E485A">
      <w:pPr>
        <w:rPr>
          <w:szCs w:val="24"/>
        </w:rPr>
      </w:pPr>
      <w:r>
        <w:rPr>
          <w:szCs w:val="24"/>
        </w:rPr>
        <w:br w:type="page"/>
      </w:r>
    </w:p>
    <w:p w14:paraId="27DA5357" w14:textId="4D2E9CC3" w:rsidR="008A63B4" w:rsidRPr="004F51D8" w:rsidRDefault="00147877" w:rsidP="009E485A">
      <w:pPr>
        <w:spacing w:line="480" w:lineRule="auto"/>
        <w:rPr>
          <w:szCs w:val="24"/>
        </w:rPr>
      </w:pPr>
      <w:r w:rsidRPr="004F51D8">
        <w:rPr>
          <w:szCs w:val="24"/>
        </w:rPr>
        <w:lastRenderedPageBreak/>
        <w:t xml:space="preserve">possibility of </w:t>
      </w:r>
      <w:r w:rsidR="00527532">
        <w:rPr>
          <w:szCs w:val="24"/>
        </w:rPr>
        <w:t>a</w:t>
      </w:r>
      <w:r w:rsidRPr="004F51D8">
        <w:rPr>
          <w:szCs w:val="24"/>
        </w:rPr>
        <w:t xml:space="preserve"> lawsuit</w:t>
      </w:r>
      <w:r w:rsidR="00527532">
        <w:rPr>
          <w:szCs w:val="24"/>
        </w:rPr>
        <w:t xml:space="preserve"> to </w:t>
      </w:r>
      <w:r w:rsidR="007014BB">
        <w:rPr>
          <w:szCs w:val="24"/>
        </w:rPr>
        <w:t>force</w:t>
      </w:r>
      <w:r w:rsidR="003413CE">
        <w:rPr>
          <w:szCs w:val="24"/>
        </w:rPr>
        <w:t xml:space="preserve"> Travelers to cover the remediation</w:t>
      </w:r>
      <w:r w:rsidRPr="004F51D8">
        <w:rPr>
          <w:szCs w:val="24"/>
        </w:rPr>
        <w:t>.</w:t>
      </w:r>
      <w:r w:rsidR="009B356C" w:rsidRPr="004F51D8">
        <w:rPr>
          <w:rStyle w:val="FootnoteReference"/>
          <w:szCs w:val="24"/>
        </w:rPr>
        <w:footnoteReference w:id="7"/>
      </w:r>
      <w:r w:rsidR="005A74DF" w:rsidRPr="004F51D8">
        <w:rPr>
          <w:szCs w:val="24"/>
        </w:rPr>
        <w:t xml:space="preserve">  They discussed the insured</w:t>
      </w:r>
      <w:r w:rsidR="008A63B4" w:rsidRPr="004F51D8">
        <w:rPr>
          <w:szCs w:val="24"/>
        </w:rPr>
        <w:t>s</w:t>
      </w:r>
      <w:r w:rsidR="005A74DF" w:rsidRPr="004F51D8">
        <w:rPr>
          <w:szCs w:val="24"/>
        </w:rPr>
        <w:t xml:space="preserve"> </w:t>
      </w:r>
      <w:r w:rsidR="00CC77E5">
        <w:rPr>
          <w:szCs w:val="24"/>
        </w:rPr>
        <w:t xml:space="preserve">listed </w:t>
      </w:r>
      <w:r w:rsidR="008F3803">
        <w:rPr>
          <w:szCs w:val="24"/>
        </w:rPr>
        <w:t>in</w:t>
      </w:r>
      <w:r w:rsidR="00CC77E5" w:rsidRPr="004F51D8">
        <w:rPr>
          <w:szCs w:val="24"/>
        </w:rPr>
        <w:t xml:space="preserve"> </w:t>
      </w:r>
      <w:r w:rsidR="005A74DF" w:rsidRPr="004F51D8">
        <w:rPr>
          <w:szCs w:val="24"/>
        </w:rPr>
        <w:t>the Trave</w:t>
      </w:r>
      <w:r w:rsidR="008A63B4" w:rsidRPr="004F51D8">
        <w:rPr>
          <w:szCs w:val="24"/>
        </w:rPr>
        <w:t>lers</w:t>
      </w:r>
      <w:r w:rsidR="008F3803">
        <w:rPr>
          <w:szCs w:val="24"/>
        </w:rPr>
        <w:t>’</w:t>
      </w:r>
      <w:r w:rsidR="008A63B4" w:rsidRPr="004F51D8">
        <w:rPr>
          <w:szCs w:val="24"/>
        </w:rPr>
        <w:t xml:space="preserve"> </w:t>
      </w:r>
      <w:r w:rsidR="008F3803">
        <w:rPr>
          <w:szCs w:val="24"/>
        </w:rPr>
        <w:t>policies</w:t>
      </w:r>
      <w:r w:rsidR="00F97C29">
        <w:rPr>
          <w:szCs w:val="24"/>
        </w:rPr>
        <w:t>,</w:t>
      </w:r>
      <w:r w:rsidR="008F3803" w:rsidRPr="004F51D8">
        <w:rPr>
          <w:szCs w:val="24"/>
        </w:rPr>
        <w:t xml:space="preserve"> </w:t>
      </w:r>
      <w:r w:rsidR="008A63B4" w:rsidRPr="004F51D8">
        <w:rPr>
          <w:szCs w:val="24"/>
        </w:rPr>
        <w:t xml:space="preserve">and </w:t>
      </w:r>
      <w:r w:rsidR="00B961EB">
        <w:rPr>
          <w:szCs w:val="24"/>
        </w:rPr>
        <w:t>making</w:t>
      </w:r>
      <w:r w:rsidR="008A63B4" w:rsidRPr="004F51D8">
        <w:rPr>
          <w:szCs w:val="24"/>
        </w:rPr>
        <w:t xml:space="preserve"> a claim</w:t>
      </w:r>
      <w:r w:rsidR="000F101C">
        <w:rPr>
          <w:szCs w:val="24"/>
        </w:rPr>
        <w:t xml:space="preserve"> using </w:t>
      </w:r>
      <w:r w:rsidR="00922F03">
        <w:rPr>
          <w:szCs w:val="24"/>
        </w:rPr>
        <w:t>Min-Ku as the insured</w:t>
      </w:r>
      <w:r w:rsidR="008A63B4" w:rsidRPr="004F51D8">
        <w:rPr>
          <w:szCs w:val="24"/>
        </w:rPr>
        <w:t>.</w:t>
      </w:r>
      <w:r w:rsidR="008A63B4" w:rsidRPr="004F51D8">
        <w:rPr>
          <w:rStyle w:val="FootnoteReference"/>
          <w:szCs w:val="24"/>
        </w:rPr>
        <w:footnoteReference w:id="8"/>
      </w:r>
      <w:r w:rsidR="00311914">
        <w:rPr>
          <w:szCs w:val="24"/>
        </w:rPr>
        <w:t xml:space="preserve">  </w:t>
      </w:r>
      <w:r w:rsidR="00FF6AD9">
        <w:rPr>
          <w:szCs w:val="24"/>
        </w:rPr>
        <w:t>They then exchanged business cards and shook hands</w:t>
      </w:r>
      <w:r w:rsidR="00420D93">
        <w:rPr>
          <w:szCs w:val="24"/>
        </w:rPr>
        <w:t>.</w:t>
      </w:r>
      <w:r w:rsidR="00F96ACA">
        <w:rPr>
          <w:szCs w:val="24"/>
        </w:rPr>
        <w:t xml:space="preserve">  </w:t>
      </w:r>
      <w:r w:rsidR="00420D93">
        <w:rPr>
          <w:szCs w:val="24"/>
        </w:rPr>
        <w:t>Isola understood f</w:t>
      </w:r>
      <w:r w:rsidR="008A63B4" w:rsidRPr="004F51D8">
        <w:rPr>
          <w:szCs w:val="24"/>
        </w:rPr>
        <w:t>rom the conversation at the Diner Meeting that he was authorized to represent Min-Ku and Cameo Cleaners of Fair</w:t>
      </w:r>
      <w:r w:rsidR="00B15790">
        <w:rPr>
          <w:szCs w:val="24"/>
        </w:rPr>
        <w:t xml:space="preserve"> L</w:t>
      </w:r>
      <w:r w:rsidR="008A63B4" w:rsidRPr="004F51D8">
        <w:rPr>
          <w:szCs w:val="24"/>
        </w:rPr>
        <w:t>awn to discharge all liability under the “Spill Act” utilizing insurance.</w:t>
      </w:r>
      <w:r w:rsidR="008A63B4" w:rsidRPr="004F51D8">
        <w:rPr>
          <w:rStyle w:val="FootnoteReference"/>
          <w:szCs w:val="24"/>
        </w:rPr>
        <w:footnoteReference w:id="9"/>
      </w:r>
      <w:r w:rsidR="00CE4D45" w:rsidRPr="004F51D8">
        <w:rPr>
          <w:szCs w:val="24"/>
        </w:rPr>
        <w:t xml:space="preserve">  A retainer agreement was never signed.  Isola did not discuss with Gregory how best to communicate with him.</w:t>
      </w:r>
    </w:p>
    <w:p w14:paraId="441820E4" w14:textId="6907E1C3" w:rsidR="007B071B" w:rsidRDefault="002A5057" w:rsidP="007B071B">
      <w:pPr>
        <w:spacing w:line="480" w:lineRule="auto"/>
        <w:ind w:firstLine="720"/>
        <w:rPr>
          <w:szCs w:val="24"/>
        </w:rPr>
      </w:pPr>
      <w:r w:rsidRPr="004F51D8">
        <w:rPr>
          <w:szCs w:val="24"/>
        </w:rPr>
        <w:t>Isola began working on the case.  He did not contact Gregory until nearly six years later whe</w:t>
      </w:r>
      <w:r w:rsidR="00EF3342">
        <w:rPr>
          <w:szCs w:val="24"/>
        </w:rPr>
        <w:t>n</w:t>
      </w:r>
      <w:r w:rsidRPr="004F51D8">
        <w:rPr>
          <w:szCs w:val="24"/>
        </w:rPr>
        <w:t xml:space="preserve"> he finalized a settlement agreement on behalf of the </w:t>
      </w:r>
      <w:proofErr w:type="spellStart"/>
      <w:r w:rsidRPr="004F51D8">
        <w:rPr>
          <w:szCs w:val="24"/>
        </w:rPr>
        <w:t>Hahns</w:t>
      </w:r>
      <w:proofErr w:type="spellEnd"/>
      <w:r w:rsidRPr="004F51D8">
        <w:rPr>
          <w:szCs w:val="24"/>
        </w:rPr>
        <w:t>.</w:t>
      </w:r>
      <w:r w:rsidR="00DD390E" w:rsidRPr="004F51D8">
        <w:rPr>
          <w:szCs w:val="24"/>
        </w:rPr>
        <w:t xml:space="preserve">  </w:t>
      </w:r>
      <w:r w:rsidR="00071A4C">
        <w:rPr>
          <w:szCs w:val="24"/>
        </w:rPr>
        <w:t>T</w:t>
      </w:r>
      <w:r w:rsidR="00DD390E" w:rsidRPr="004F51D8">
        <w:rPr>
          <w:szCs w:val="24"/>
        </w:rPr>
        <w:t xml:space="preserve">he record </w:t>
      </w:r>
      <w:r w:rsidR="00071A4C">
        <w:rPr>
          <w:szCs w:val="24"/>
        </w:rPr>
        <w:t xml:space="preserve">is clear </w:t>
      </w:r>
      <w:r w:rsidR="00DD390E" w:rsidRPr="004F51D8">
        <w:rPr>
          <w:szCs w:val="24"/>
        </w:rPr>
        <w:t xml:space="preserve">that Isola only acted as </w:t>
      </w:r>
      <w:r w:rsidR="00276F59">
        <w:rPr>
          <w:szCs w:val="24"/>
        </w:rPr>
        <w:t xml:space="preserve">the </w:t>
      </w:r>
      <w:proofErr w:type="spellStart"/>
      <w:r w:rsidR="00276F59">
        <w:rPr>
          <w:szCs w:val="24"/>
        </w:rPr>
        <w:t>Hahns</w:t>
      </w:r>
      <w:proofErr w:type="spellEnd"/>
      <w:r w:rsidR="001D7E16">
        <w:rPr>
          <w:szCs w:val="24"/>
        </w:rPr>
        <w:t xml:space="preserve">’ </w:t>
      </w:r>
      <w:r w:rsidR="00DD390E" w:rsidRPr="004F51D8">
        <w:rPr>
          <w:szCs w:val="24"/>
        </w:rPr>
        <w:t>attorney</w:t>
      </w:r>
      <w:r w:rsidR="00926996">
        <w:rPr>
          <w:szCs w:val="24"/>
        </w:rPr>
        <w:t>;</w:t>
      </w:r>
      <w:r w:rsidR="00DD390E" w:rsidRPr="004F51D8">
        <w:rPr>
          <w:szCs w:val="24"/>
        </w:rPr>
        <w:t xml:space="preserve"> </w:t>
      </w:r>
      <w:r w:rsidR="003F4BE4">
        <w:rPr>
          <w:szCs w:val="24"/>
        </w:rPr>
        <w:t>he</w:t>
      </w:r>
      <w:r w:rsidR="00DD390E" w:rsidRPr="004F51D8">
        <w:rPr>
          <w:szCs w:val="24"/>
        </w:rPr>
        <w:t xml:space="preserve"> never represented the </w:t>
      </w:r>
      <w:proofErr w:type="spellStart"/>
      <w:r w:rsidR="00DD390E" w:rsidRPr="004F51D8">
        <w:rPr>
          <w:szCs w:val="24"/>
        </w:rPr>
        <w:t>Grecos</w:t>
      </w:r>
      <w:proofErr w:type="spellEnd"/>
      <w:r w:rsidR="00DD390E" w:rsidRPr="004F51D8">
        <w:rPr>
          <w:szCs w:val="24"/>
        </w:rPr>
        <w:t>.</w:t>
      </w:r>
      <w:r w:rsidR="00E97E5B">
        <w:rPr>
          <w:szCs w:val="24"/>
        </w:rPr>
        <w:t xml:space="preserve">  Even though Gregory was aware of the</w:t>
      </w:r>
      <w:r w:rsidR="00115D1F">
        <w:rPr>
          <w:szCs w:val="24"/>
        </w:rPr>
        <w:t xml:space="preserve"> environmental issues at 31-01 Broadway, nothing in the record suggests that he </w:t>
      </w:r>
      <w:r w:rsidR="00483968">
        <w:rPr>
          <w:szCs w:val="24"/>
        </w:rPr>
        <w:t xml:space="preserve">took any action </w:t>
      </w:r>
      <w:r w:rsidR="00B961EB">
        <w:rPr>
          <w:szCs w:val="24"/>
        </w:rPr>
        <w:t xml:space="preserve">after meeting with Isola </w:t>
      </w:r>
      <w:r w:rsidR="00653CCC">
        <w:rPr>
          <w:szCs w:val="24"/>
        </w:rPr>
        <w:t>regarding remediation</w:t>
      </w:r>
      <w:r w:rsidR="00483968">
        <w:rPr>
          <w:szCs w:val="24"/>
        </w:rPr>
        <w:t xml:space="preserve">.  This is consistent </w:t>
      </w:r>
      <w:r w:rsidR="00B939B1">
        <w:rPr>
          <w:szCs w:val="24"/>
        </w:rPr>
        <w:t>with the</w:t>
      </w:r>
      <w:r w:rsidR="007962E7">
        <w:rPr>
          <w:szCs w:val="24"/>
        </w:rPr>
        <w:t xml:space="preserve"> </w:t>
      </w:r>
      <w:r w:rsidR="00B939B1">
        <w:rPr>
          <w:szCs w:val="24"/>
        </w:rPr>
        <w:t>various accounts that Gregory hired Isola at the Diner Meeting and believed that Isola would</w:t>
      </w:r>
      <w:r w:rsidR="007962E7">
        <w:rPr>
          <w:szCs w:val="24"/>
        </w:rPr>
        <w:t xml:space="preserve"> find coverage and represent the </w:t>
      </w:r>
      <w:proofErr w:type="spellStart"/>
      <w:r w:rsidR="007962E7">
        <w:rPr>
          <w:szCs w:val="24"/>
        </w:rPr>
        <w:t>Hahns</w:t>
      </w:r>
      <w:proofErr w:type="spellEnd"/>
      <w:r w:rsidR="007962E7">
        <w:rPr>
          <w:szCs w:val="24"/>
        </w:rPr>
        <w:t xml:space="preserve"> </w:t>
      </w:r>
      <w:r w:rsidR="00E74726">
        <w:rPr>
          <w:szCs w:val="24"/>
        </w:rPr>
        <w:t xml:space="preserve">in </w:t>
      </w:r>
      <w:r w:rsidR="006D2024">
        <w:rPr>
          <w:szCs w:val="24"/>
        </w:rPr>
        <w:t xml:space="preserve">any environmental claims </w:t>
      </w:r>
      <w:r w:rsidR="00BC7FED">
        <w:rPr>
          <w:szCs w:val="24"/>
        </w:rPr>
        <w:t>related to</w:t>
      </w:r>
      <w:r w:rsidR="006D2024">
        <w:rPr>
          <w:szCs w:val="24"/>
        </w:rPr>
        <w:t xml:space="preserve"> the site.  </w:t>
      </w:r>
    </w:p>
    <w:p w14:paraId="6E6CDC30" w14:textId="61482249" w:rsidR="009E485A" w:rsidRDefault="009E485A" w:rsidP="007B071B">
      <w:pPr>
        <w:spacing w:line="480" w:lineRule="auto"/>
        <w:ind w:firstLine="720"/>
        <w:rPr>
          <w:szCs w:val="24"/>
        </w:rPr>
      </w:pPr>
    </w:p>
    <w:p w14:paraId="2758264F" w14:textId="7BC26BBA" w:rsidR="009E485A" w:rsidRDefault="009E485A" w:rsidP="007B071B">
      <w:pPr>
        <w:spacing w:line="480" w:lineRule="auto"/>
        <w:ind w:firstLine="720"/>
        <w:rPr>
          <w:szCs w:val="24"/>
        </w:rPr>
      </w:pPr>
    </w:p>
    <w:p w14:paraId="006D2B03" w14:textId="3DBCC358" w:rsidR="00DD390E" w:rsidRPr="004F51D8" w:rsidRDefault="00163B82" w:rsidP="00DD390E">
      <w:pPr>
        <w:spacing w:line="480" w:lineRule="auto"/>
        <w:rPr>
          <w:b/>
          <w:bCs/>
          <w:szCs w:val="24"/>
        </w:rPr>
      </w:pPr>
      <w:r>
        <w:rPr>
          <w:b/>
          <w:bCs/>
          <w:szCs w:val="24"/>
        </w:rPr>
        <w:lastRenderedPageBreak/>
        <w:t>D</w:t>
      </w:r>
      <w:r w:rsidR="00DD390E" w:rsidRPr="004F51D8">
        <w:rPr>
          <w:b/>
          <w:bCs/>
          <w:szCs w:val="24"/>
        </w:rPr>
        <w:t>.</w:t>
      </w:r>
      <w:r w:rsidR="00DD390E" w:rsidRPr="004F51D8">
        <w:rPr>
          <w:b/>
          <w:bCs/>
          <w:szCs w:val="24"/>
        </w:rPr>
        <w:tab/>
        <w:t xml:space="preserve">Contact with the NJDEP on </w:t>
      </w:r>
      <w:r w:rsidR="00D71F9F">
        <w:rPr>
          <w:b/>
          <w:bCs/>
          <w:szCs w:val="24"/>
        </w:rPr>
        <w:t>B</w:t>
      </w:r>
      <w:r w:rsidR="00DD390E" w:rsidRPr="004F51D8">
        <w:rPr>
          <w:b/>
          <w:bCs/>
          <w:szCs w:val="24"/>
        </w:rPr>
        <w:t xml:space="preserve">ehalf of the </w:t>
      </w:r>
      <w:proofErr w:type="spellStart"/>
      <w:r w:rsidR="00DD390E" w:rsidRPr="004F51D8">
        <w:rPr>
          <w:b/>
          <w:bCs/>
          <w:szCs w:val="24"/>
        </w:rPr>
        <w:t>Hahns</w:t>
      </w:r>
      <w:proofErr w:type="spellEnd"/>
    </w:p>
    <w:p w14:paraId="75037FDC" w14:textId="2A2B5764" w:rsidR="00DD390E" w:rsidRPr="004F51D8" w:rsidRDefault="00DD390E" w:rsidP="008A63B4">
      <w:pPr>
        <w:spacing w:line="480" w:lineRule="auto"/>
        <w:ind w:firstLine="720"/>
        <w:rPr>
          <w:szCs w:val="24"/>
        </w:rPr>
      </w:pPr>
      <w:r w:rsidRPr="004F51D8">
        <w:rPr>
          <w:szCs w:val="24"/>
        </w:rPr>
        <w:t>Isola’s initial strategy was to</w:t>
      </w:r>
      <w:r w:rsidR="00320194">
        <w:rPr>
          <w:szCs w:val="24"/>
        </w:rPr>
        <w:t xml:space="preserve"> partner with Genesis and</w:t>
      </w:r>
      <w:r w:rsidRPr="004F51D8">
        <w:rPr>
          <w:szCs w:val="24"/>
        </w:rPr>
        <w:t xml:space="preserve"> </w:t>
      </w:r>
      <w:r w:rsidR="007002F9">
        <w:rPr>
          <w:szCs w:val="24"/>
        </w:rPr>
        <w:t>file</w:t>
      </w:r>
      <w:r w:rsidR="007002F9" w:rsidRPr="004F51D8">
        <w:rPr>
          <w:szCs w:val="24"/>
        </w:rPr>
        <w:t xml:space="preserve"> </w:t>
      </w:r>
      <w:r w:rsidRPr="004F51D8">
        <w:rPr>
          <w:szCs w:val="24"/>
        </w:rPr>
        <w:t>a</w:t>
      </w:r>
      <w:r w:rsidR="00F55479">
        <w:rPr>
          <w:szCs w:val="24"/>
        </w:rPr>
        <w:t>n</w:t>
      </w:r>
      <w:r w:rsidRPr="004F51D8">
        <w:rPr>
          <w:szCs w:val="24"/>
        </w:rPr>
        <w:t xml:space="preserve"> NJDEP claim</w:t>
      </w:r>
      <w:r w:rsidR="004426FA">
        <w:rPr>
          <w:szCs w:val="24"/>
        </w:rPr>
        <w:t xml:space="preserve"> that would</w:t>
      </w:r>
      <w:r w:rsidR="00F72722">
        <w:rPr>
          <w:szCs w:val="24"/>
        </w:rPr>
        <w:t xml:space="preserve"> </w:t>
      </w:r>
      <w:r w:rsidR="00BA2745">
        <w:rPr>
          <w:szCs w:val="24"/>
        </w:rPr>
        <w:t>trigger</w:t>
      </w:r>
      <w:r w:rsidR="00F442FE">
        <w:rPr>
          <w:szCs w:val="24"/>
        </w:rPr>
        <w:t xml:space="preserve"> Travelers</w:t>
      </w:r>
      <w:r w:rsidR="00FF5FB5">
        <w:rPr>
          <w:szCs w:val="24"/>
        </w:rPr>
        <w:t>’ duty to defend and provide</w:t>
      </w:r>
      <w:r w:rsidR="003C08BE">
        <w:rPr>
          <w:szCs w:val="24"/>
        </w:rPr>
        <w:t xml:space="preserve"> </w:t>
      </w:r>
      <w:r w:rsidRPr="004F51D8">
        <w:rPr>
          <w:szCs w:val="24"/>
        </w:rPr>
        <w:t xml:space="preserve">coverage </w:t>
      </w:r>
      <w:r w:rsidR="00FF5FB5">
        <w:rPr>
          <w:szCs w:val="24"/>
        </w:rPr>
        <w:t>for the remediation costs</w:t>
      </w:r>
      <w:r w:rsidRPr="004F51D8">
        <w:rPr>
          <w:szCs w:val="24"/>
        </w:rPr>
        <w:t>.</w:t>
      </w:r>
      <w:r w:rsidR="00587501">
        <w:rPr>
          <w:rStyle w:val="FootnoteReference"/>
          <w:szCs w:val="24"/>
        </w:rPr>
        <w:footnoteReference w:id="10"/>
      </w:r>
      <w:r w:rsidRPr="004F51D8">
        <w:rPr>
          <w:szCs w:val="24"/>
        </w:rPr>
        <w:t xml:space="preserve">  </w:t>
      </w:r>
      <w:r w:rsidR="00F830BC">
        <w:rPr>
          <w:szCs w:val="24"/>
        </w:rPr>
        <w:t>Isola</w:t>
      </w:r>
      <w:r w:rsidR="00AA1F4A">
        <w:rPr>
          <w:szCs w:val="24"/>
        </w:rPr>
        <w:t xml:space="preserve"> directed Genesis to contact the NJDEP</w:t>
      </w:r>
      <w:r w:rsidR="00BD3E7D">
        <w:rPr>
          <w:szCs w:val="24"/>
        </w:rPr>
        <w:t xml:space="preserve"> on behalf of the </w:t>
      </w:r>
      <w:proofErr w:type="spellStart"/>
      <w:r w:rsidR="00BD3E7D">
        <w:rPr>
          <w:szCs w:val="24"/>
        </w:rPr>
        <w:t>Hahns</w:t>
      </w:r>
      <w:proofErr w:type="spellEnd"/>
      <w:r w:rsidR="00BD3E7D">
        <w:rPr>
          <w:szCs w:val="24"/>
        </w:rPr>
        <w:t>, which they did</w:t>
      </w:r>
      <w:r w:rsidR="00AA1F4A">
        <w:rPr>
          <w:szCs w:val="24"/>
        </w:rPr>
        <w:t>.</w:t>
      </w:r>
      <w:r w:rsidR="001C69CA">
        <w:rPr>
          <w:rStyle w:val="FootnoteReference"/>
          <w:szCs w:val="24"/>
        </w:rPr>
        <w:footnoteReference w:id="11"/>
      </w:r>
      <w:r w:rsidR="00321A94">
        <w:rPr>
          <w:szCs w:val="24"/>
        </w:rPr>
        <w:t xml:space="preserve"> </w:t>
      </w:r>
    </w:p>
    <w:p w14:paraId="787CF359" w14:textId="5BC453B8" w:rsidR="0017618D" w:rsidRPr="004F51D8" w:rsidRDefault="00DD390E" w:rsidP="00A05F82">
      <w:pPr>
        <w:spacing w:line="480" w:lineRule="auto"/>
        <w:ind w:firstLine="720"/>
        <w:rPr>
          <w:szCs w:val="24"/>
        </w:rPr>
      </w:pPr>
      <w:bookmarkStart w:id="12" w:name="_Hlk97562941"/>
      <w:r w:rsidRPr="004F51D8">
        <w:rPr>
          <w:szCs w:val="24"/>
        </w:rPr>
        <w:t>On March</w:t>
      </w:r>
      <w:r w:rsidR="007F002F">
        <w:rPr>
          <w:szCs w:val="24"/>
        </w:rPr>
        <w:t> </w:t>
      </w:r>
      <w:r w:rsidRPr="004F51D8">
        <w:rPr>
          <w:szCs w:val="24"/>
        </w:rPr>
        <w:t>30, 2012, Genesis completed a</w:t>
      </w:r>
      <w:r w:rsidR="00F55479">
        <w:rPr>
          <w:szCs w:val="24"/>
        </w:rPr>
        <w:t>n</w:t>
      </w:r>
      <w:r w:rsidRPr="004F51D8">
        <w:rPr>
          <w:szCs w:val="24"/>
        </w:rPr>
        <w:t xml:space="preserve"> NJDEP receptor evaluation form </w:t>
      </w:r>
      <w:r w:rsidR="005024B3">
        <w:rPr>
          <w:szCs w:val="24"/>
        </w:rPr>
        <w:t>that</w:t>
      </w:r>
      <w:r w:rsidRPr="004F51D8">
        <w:rPr>
          <w:szCs w:val="24"/>
        </w:rPr>
        <w:t xml:space="preserve"> </w:t>
      </w:r>
      <w:r w:rsidR="005024B3">
        <w:rPr>
          <w:szCs w:val="24"/>
        </w:rPr>
        <w:t>identified</w:t>
      </w:r>
      <w:r w:rsidRPr="004F51D8">
        <w:rPr>
          <w:szCs w:val="24"/>
        </w:rPr>
        <w:t xml:space="preserve"> </w:t>
      </w:r>
      <w:r w:rsidR="005024B3">
        <w:rPr>
          <w:szCs w:val="24"/>
        </w:rPr>
        <w:t xml:space="preserve">Min-Ku as </w:t>
      </w:r>
      <w:r w:rsidRPr="004F51D8">
        <w:rPr>
          <w:szCs w:val="24"/>
        </w:rPr>
        <w:t>the person responsible for conducting the remediation.  On April</w:t>
      </w:r>
      <w:r w:rsidR="007F002F">
        <w:rPr>
          <w:szCs w:val="24"/>
        </w:rPr>
        <w:t> </w:t>
      </w:r>
      <w:r w:rsidRPr="004F51D8">
        <w:rPr>
          <w:szCs w:val="24"/>
        </w:rPr>
        <w:t>23, Kenneth Wenz, a Genesis employee, sent a letter to Min-Ku, enclosing a Licensed Site Remediation Professional (LSRP) retention form.</w:t>
      </w:r>
      <w:r w:rsidR="005413B2">
        <w:rPr>
          <w:szCs w:val="24"/>
        </w:rPr>
        <w:t xml:space="preserve">  </w:t>
      </w:r>
      <w:r w:rsidRPr="004F51D8">
        <w:rPr>
          <w:szCs w:val="24"/>
        </w:rPr>
        <w:t>The form notified the NJDEP that remediation work conducted by Genesis would be supervised by a</w:t>
      </w:r>
      <w:r w:rsidR="007B4DC6">
        <w:rPr>
          <w:szCs w:val="24"/>
        </w:rPr>
        <w:t>n</w:t>
      </w:r>
      <w:r w:rsidRPr="004F51D8">
        <w:rPr>
          <w:szCs w:val="24"/>
        </w:rPr>
        <w:t xml:space="preserve"> LSRP.</w:t>
      </w:r>
      <w:r w:rsidR="00E570CB">
        <w:rPr>
          <w:rStyle w:val="FootnoteReference"/>
          <w:szCs w:val="24"/>
        </w:rPr>
        <w:footnoteReference w:id="12"/>
      </w:r>
      <w:r w:rsidRPr="004F51D8">
        <w:rPr>
          <w:szCs w:val="24"/>
        </w:rPr>
        <w:t xml:space="preserve">  </w:t>
      </w:r>
      <w:r w:rsidR="00F36EB6" w:rsidRPr="004F51D8">
        <w:rPr>
          <w:szCs w:val="24"/>
        </w:rPr>
        <w:t xml:space="preserve">Wenz asked Min-Ku to sign the form.  Instead, Isola signed </w:t>
      </w:r>
      <w:r w:rsidR="005024B3">
        <w:rPr>
          <w:szCs w:val="24"/>
        </w:rPr>
        <w:t>it</w:t>
      </w:r>
      <w:r w:rsidR="00F36EB6" w:rsidRPr="004F51D8">
        <w:rPr>
          <w:szCs w:val="24"/>
        </w:rPr>
        <w:t xml:space="preserve"> on April</w:t>
      </w:r>
      <w:r w:rsidR="007F002F">
        <w:rPr>
          <w:szCs w:val="24"/>
        </w:rPr>
        <w:t> </w:t>
      </w:r>
      <w:r w:rsidR="00F36EB6" w:rsidRPr="004F51D8">
        <w:rPr>
          <w:szCs w:val="24"/>
        </w:rPr>
        <w:t>30</w:t>
      </w:r>
      <w:r w:rsidR="00062198">
        <w:rPr>
          <w:szCs w:val="24"/>
        </w:rPr>
        <w:t>,</w:t>
      </w:r>
      <w:r w:rsidR="00F36EB6" w:rsidRPr="004F51D8">
        <w:rPr>
          <w:szCs w:val="24"/>
        </w:rPr>
        <w:t xml:space="preserve"> as “counsel for” Min-Ku, the </w:t>
      </w:r>
      <w:r w:rsidR="00027BA8">
        <w:rPr>
          <w:szCs w:val="24"/>
        </w:rPr>
        <w:t>“</w:t>
      </w:r>
      <w:r w:rsidR="00F36EB6" w:rsidRPr="004F51D8">
        <w:rPr>
          <w:szCs w:val="24"/>
        </w:rPr>
        <w:t>owner</w:t>
      </w:r>
      <w:r w:rsidR="00027BA8">
        <w:rPr>
          <w:szCs w:val="24"/>
        </w:rPr>
        <w:t>”</w:t>
      </w:r>
      <w:r w:rsidR="00A57F18">
        <w:rPr>
          <w:szCs w:val="24"/>
        </w:rPr>
        <w:t xml:space="preserve"> of </w:t>
      </w:r>
      <w:r w:rsidR="00735B46">
        <w:rPr>
          <w:szCs w:val="24"/>
        </w:rPr>
        <w:t xml:space="preserve">the </w:t>
      </w:r>
      <w:r w:rsidR="00EB41F5">
        <w:rPr>
          <w:szCs w:val="24"/>
        </w:rPr>
        <w:t>dry</w:t>
      </w:r>
      <w:r w:rsidR="000B70E3">
        <w:rPr>
          <w:szCs w:val="24"/>
        </w:rPr>
        <w:t>-</w:t>
      </w:r>
      <w:r w:rsidR="00735B46">
        <w:rPr>
          <w:szCs w:val="24"/>
        </w:rPr>
        <w:t>cleaner</w:t>
      </w:r>
      <w:r w:rsidR="00F36EB6" w:rsidRPr="004F51D8">
        <w:rPr>
          <w:szCs w:val="24"/>
        </w:rPr>
        <w:t>.</w:t>
      </w:r>
      <w:r w:rsidR="00C91655" w:rsidRPr="004F51D8">
        <w:rPr>
          <w:szCs w:val="24"/>
        </w:rPr>
        <w:t xml:space="preserve">  </w:t>
      </w:r>
      <w:r w:rsidR="00211324" w:rsidRPr="004F51D8">
        <w:rPr>
          <w:szCs w:val="24"/>
        </w:rPr>
        <w:t xml:space="preserve">Above the signature line, the form provided, in part, “I certify under penalty of law that I have personally examined and am familiar with the information submitted herein, and that to the best of my knowledge, I believe that the submitted information is true, accurate and complete.”  </w:t>
      </w:r>
      <w:r w:rsidR="00F36EB6" w:rsidRPr="004F51D8">
        <w:rPr>
          <w:szCs w:val="24"/>
        </w:rPr>
        <w:t xml:space="preserve">Isola believed he had authority </w:t>
      </w:r>
      <w:r w:rsidR="00B961EB">
        <w:rPr>
          <w:szCs w:val="24"/>
        </w:rPr>
        <w:t xml:space="preserve">to execute this form </w:t>
      </w:r>
      <w:r w:rsidR="00F36EB6" w:rsidRPr="004F51D8">
        <w:rPr>
          <w:szCs w:val="24"/>
        </w:rPr>
        <w:t xml:space="preserve">as counsel for the </w:t>
      </w:r>
      <w:proofErr w:type="spellStart"/>
      <w:r w:rsidR="00F36EB6" w:rsidRPr="004F51D8">
        <w:rPr>
          <w:szCs w:val="24"/>
        </w:rPr>
        <w:t>Hahns</w:t>
      </w:r>
      <w:proofErr w:type="spellEnd"/>
      <w:r w:rsidR="00B3326A">
        <w:rPr>
          <w:szCs w:val="24"/>
        </w:rPr>
        <w:t xml:space="preserve"> </w:t>
      </w:r>
      <w:r w:rsidR="003B60B3">
        <w:rPr>
          <w:szCs w:val="24"/>
        </w:rPr>
        <w:t>since</w:t>
      </w:r>
      <w:r w:rsidR="00B3326A">
        <w:rPr>
          <w:szCs w:val="24"/>
        </w:rPr>
        <w:t xml:space="preserve"> it </w:t>
      </w:r>
      <w:r w:rsidR="001537BE">
        <w:rPr>
          <w:szCs w:val="24"/>
        </w:rPr>
        <w:lastRenderedPageBreak/>
        <w:t>w</w:t>
      </w:r>
      <w:r w:rsidR="00B3326A">
        <w:rPr>
          <w:szCs w:val="24"/>
        </w:rPr>
        <w:t xml:space="preserve">as part of his strategy to </w:t>
      </w:r>
      <w:r w:rsidR="00FB5A1D">
        <w:rPr>
          <w:szCs w:val="24"/>
        </w:rPr>
        <w:t>access the insurance coverage</w:t>
      </w:r>
      <w:r w:rsidR="00F36EB6" w:rsidRPr="004F51D8">
        <w:rPr>
          <w:szCs w:val="24"/>
        </w:rPr>
        <w:t>.</w:t>
      </w:r>
      <w:r w:rsidR="00691E5F" w:rsidRPr="004F51D8">
        <w:rPr>
          <w:rStyle w:val="FootnoteReference"/>
          <w:szCs w:val="24"/>
        </w:rPr>
        <w:footnoteReference w:id="13"/>
      </w:r>
      <w:r w:rsidR="00F36EB6" w:rsidRPr="004F51D8">
        <w:rPr>
          <w:szCs w:val="24"/>
        </w:rPr>
        <w:t xml:space="preserve">  </w:t>
      </w:r>
      <w:r w:rsidR="00955C0A">
        <w:rPr>
          <w:szCs w:val="24"/>
        </w:rPr>
        <w:t>He testified that i</w:t>
      </w:r>
      <w:r w:rsidR="00F36EB6" w:rsidRPr="004F51D8">
        <w:rPr>
          <w:szCs w:val="24"/>
        </w:rPr>
        <w:t xml:space="preserve">t was </w:t>
      </w:r>
      <w:r w:rsidR="003B60B3">
        <w:rPr>
          <w:szCs w:val="24"/>
        </w:rPr>
        <w:t xml:space="preserve">not </w:t>
      </w:r>
      <w:r w:rsidR="00F36EB6" w:rsidRPr="004F51D8">
        <w:rPr>
          <w:szCs w:val="24"/>
        </w:rPr>
        <w:t xml:space="preserve">his practice to notify clients when he completed </w:t>
      </w:r>
      <w:r w:rsidR="00211324" w:rsidRPr="004F51D8">
        <w:rPr>
          <w:szCs w:val="24"/>
        </w:rPr>
        <w:t xml:space="preserve">an </w:t>
      </w:r>
      <w:r w:rsidR="00F36EB6" w:rsidRPr="004F51D8">
        <w:rPr>
          <w:szCs w:val="24"/>
        </w:rPr>
        <w:t xml:space="preserve">NJDEP form in the course of representation.  </w:t>
      </w:r>
    </w:p>
    <w:bookmarkEnd w:id="12"/>
    <w:p w14:paraId="54F7CC38" w14:textId="1BA25813" w:rsidR="006B7B99" w:rsidRPr="004F51D8" w:rsidRDefault="00DC484A" w:rsidP="00304641">
      <w:pPr>
        <w:spacing w:line="480" w:lineRule="auto"/>
        <w:rPr>
          <w:b/>
          <w:bCs/>
          <w:szCs w:val="24"/>
        </w:rPr>
      </w:pPr>
      <w:r>
        <w:rPr>
          <w:b/>
          <w:bCs/>
          <w:szCs w:val="24"/>
        </w:rPr>
        <w:t>E</w:t>
      </w:r>
      <w:r w:rsidR="006B7B99" w:rsidRPr="004F51D8">
        <w:rPr>
          <w:b/>
          <w:bCs/>
          <w:szCs w:val="24"/>
        </w:rPr>
        <w:t>.</w:t>
      </w:r>
      <w:r w:rsidR="006B7B99" w:rsidRPr="004F51D8">
        <w:rPr>
          <w:b/>
          <w:bCs/>
          <w:szCs w:val="24"/>
        </w:rPr>
        <w:tab/>
        <w:t xml:space="preserve">Isola’s </w:t>
      </w:r>
      <w:r w:rsidR="00CB0BA6" w:rsidRPr="004F51D8">
        <w:rPr>
          <w:b/>
          <w:bCs/>
          <w:szCs w:val="24"/>
        </w:rPr>
        <w:t>Dealings</w:t>
      </w:r>
      <w:r w:rsidR="006B7B99" w:rsidRPr="004F51D8">
        <w:rPr>
          <w:b/>
          <w:bCs/>
          <w:szCs w:val="24"/>
        </w:rPr>
        <w:t xml:space="preserve"> with Travelers</w:t>
      </w:r>
    </w:p>
    <w:p w14:paraId="0366E8C1" w14:textId="4CCF044F" w:rsidR="00DD390E" w:rsidRPr="004F51D8" w:rsidRDefault="00304641" w:rsidP="008A63B4">
      <w:pPr>
        <w:spacing w:line="480" w:lineRule="auto"/>
        <w:ind w:firstLine="720"/>
        <w:rPr>
          <w:szCs w:val="24"/>
        </w:rPr>
      </w:pPr>
      <w:r w:rsidRPr="004F51D8">
        <w:rPr>
          <w:szCs w:val="24"/>
        </w:rPr>
        <w:t xml:space="preserve">Most of Isola’s relevant communications with Travelers were with Diane </w:t>
      </w:r>
      <w:proofErr w:type="spellStart"/>
      <w:r w:rsidRPr="004F51D8">
        <w:rPr>
          <w:szCs w:val="24"/>
        </w:rPr>
        <w:t>Colechia</w:t>
      </w:r>
      <w:proofErr w:type="spellEnd"/>
      <w:r w:rsidRPr="004F51D8">
        <w:rPr>
          <w:szCs w:val="24"/>
        </w:rPr>
        <w:t>, a senior account executive responsible for evaluating claims in the company’s Environmental Coverage Unit.</w:t>
      </w:r>
    </w:p>
    <w:p w14:paraId="3CE52EF4" w14:textId="288967D5" w:rsidR="00304641" w:rsidRPr="004F51D8" w:rsidRDefault="00304641" w:rsidP="008A63B4">
      <w:pPr>
        <w:spacing w:line="480" w:lineRule="auto"/>
        <w:ind w:firstLine="720"/>
        <w:rPr>
          <w:b/>
          <w:bCs/>
          <w:szCs w:val="24"/>
        </w:rPr>
      </w:pPr>
      <w:r w:rsidRPr="004F51D8">
        <w:rPr>
          <w:b/>
          <w:bCs/>
          <w:szCs w:val="24"/>
        </w:rPr>
        <w:t>1.  Isola Tenders Claim to Travelers on Min-Ku’s Behalf</w:t>
      </w:r>
    </w:p>
    <w:p w14:paraId="0B4DE0A2" w14:textId="3AB3D070" w:rsidR="00304641" w:rsidRPr="004F51D8" w:rsidRDefault="00304641" w:rsidP="008A63B4">
      <w:pPr>
        <w:spacing w:line="480" w:lineRule="auto"/>
        <w:ind w:firstLine="720"/>
        <w:rPr>
          <w:szCs w:val="24"/>
        </w:rPr>
      </w:pPr>
      <w:bookmarkStart w:id="14" w:name="_Hlk97217696"/>
      <w:r w:rsidRPr="004F51D8">
        <w:rPr>
          <w:szCs w:val="24"/>
        </w:rPr>
        <w:t>On July</w:t>
      </w:r>
      <w:r w:rsidR="007F002F">
        <w:rPr>
          <w:szCs w:val="24"/>
        </w:rPr>
        <w:t> </w:t>
      </w:r>
      <w:r w:rsidRPr="004F51D8">
        <w:rPr>
          <w:szCs w:val="24"/>
        </w:rPr>
        <w:t xml:space="preserve">18, 2011, Isola sent </w:t>
      </w:r>
      <w:proofErr w:type="spellStart"/>
      <w:r w:rsidRPr="004F51D8">
        <w:rPr>
          <w:szCs w:val="24"/>
        </w:rPr>
        <w:t>Colechia</w:t>
      </w:r>
      <w:proofErr w:type="spellEnd"/>
      <w:r w:rsidRPr="004F51D8">
        <w:rPr>
          <w:szCs w:val="24"/>
        </w:rPr>
        <w:t xml:space="preserve"> a letter stating that he represented Min-Ku in claims asserted by the NJDEP and demands made by the </w:t>
      </w:r>
      <w:proofErr w:type="spellStart"/>
      <w:r w:rsidRPr="004F51D8">
        <w:rPr>
          <w:szCs w:val="24"/>
        </w:rPr>
        <w:t>Grecos</w:t>
      </w:r>
      <w:proofErr w:type="spellEnd"/>
      <w:r w:rsidRPr="004F51D8">
        <w:rPr>
          <w:szCs w:val="24"/>
        </w:rPr>
        <w:t>.  Isola stated that, based on liability insurance Min-Ku and her husband purchased while operating the dry</w:t>
      </w:r>
      <w:r w:rsidR="00434089">
        <w:rPr>
          <w:szCs w:val="24"/>
        </w:rPr>
        <w:t>-</w:t>
      </w:r>
      <w:r w:rsidRPr="004F51D8">
        <w:rPr>
          <w:szCs w:val="24"/>
        </w:rPr>
        <w:t xml:space="preserve">cleaning business, Min-Ku was now tendering her defense and indemnity to Travelers.  </w:t>
      </w:r>
      <w:bookmarkEnd w:id="14"/>
      <w:r w:rsidRPr="004F51D8">
        <w:rPr>
          <w:szCs w:val="24"/>
        </w:rPr>
        <w:t xml:space="preserve">At this time, Isola </w:t>
      </w:r>
      <w:r w:rsidR="00DB10FF">
        <w:rPr>
          <w:szCs w:val="24"/>
        </w:rPr>
        <w:t xml:space="preserve">mistakenly </w:t>
      </w:r>
      <w:r w:rsidRPr="004F51D8">
        <w:rPr>
          <w:szCs w:val="24"/>
        </w:rPr>
        <w:t>believed Min-Ku was Gregory’s mother</w:t>
      </w:r>
      <w:r w:rsidR="00DB10FF">
        <w:rPr>
          <w:szCs w:val="24"/>
        </w:rPr>
        <w:t>;</w:t>
      </w:r>
      <w:r w:rsidR="001E584F">
        <w:rPr>
          <w:szCs w:val="24"/>
        </w:rPr>
        <w:t xml:space="preserve"> </w:t>
      </w:r>
      <w:r w:rsidR="00955C0A">
        <w:rPr>
          <w:szCs w:val="24"/>
        </w:rPr>
        <w:t xml:space="preserve">as noted previously, </w:t>
      </w:r>
      <w:r w:rsidR="001E584F">
        <w:rPr>
          <w:szCs w:val="24"/>
        </w:rPr>
        <w:t xml:space="preserve">Chung </w:t>
      </w:r>
      <w:proofErr w:type="spellStart"/>
      <w:r w:rsidR="001E584F">
        <w:rPr>
          <w:szCs w:val="24"/>
        </w:rPr>
        <w:t>Hee</w:t>
      </w:r>
      <w:proofErr w:type="spellEnd"/>
      <w:r w:rsidR="001E584F">
        <w:rPr>
          <w:szCs w:val="24"/>
        </w:rPr>
        <w:t xml:space="preserve"> was Gregory’s mother.</w:t>
      </w:r>
    </w:p>
    <w:p w14:paraId="1A1F5FEB" w14:textId="77777777" w:rsidR="007B071B" w:rsidRDefault="00304641" w:rsidP="006055B9">
      <w:pPr>
        <w:spacing w:line="480" w:lineRule="auto"/>
        <w:ind w:right="-144" w:firstLine="720"/>
        <w:rPr>
          <w:szCs w:val="24"/>
        </w:rPr>
      </w:pPr>
      <w:proofErr w:type="spellStart"/>
      <w:r w:rsidRPr="004F51D8">
        <w:rPr>
          <w:szCs w:val="24"/>
        </w:rPr>
        <w:t>Colechia</w:t>
      </w:r>
      <w:proofErr w:type="spellEnd"/>
      <w:r w:rsidRPr="004F51D8">
        <w:rPr>
          <w:szCs w:val="24"/>
        </w:rPr>
        <w:t xml:space="preserve"> responded on August</w:t>
      </w:r>
      <w:r w:rsidR="007F002F">
        <w:rPr>
          <w:szCs w:val="24"/>
        </w:rPr>
        <w:t> </w:t>
      </w:r>
      <w:r w:rsidRPr="004F51D8">
        <w:rPr>
          <w:szCs w:val="24"/>
        </w:rPr>
        <w:t>4, stating she had no documentation of demands or claims made against Cameo Cleaners of Fair</w:t>
      </w:r>
      <w:r w:rsidR="00F82B16">
        <w:rPr>
          <w:szCs w:val="24"/>
        </w:rPr>
        <w:t xml:space="preserve"> L</w:t>
      </w:r>
      <w:r w:rsidRPr="004F51D8">
        <w:rPr>
          <w:szCs w:val="24"/>
        </w:rPr>
        <w:t xml:space="preserve">awn or Min-Ku.  </w:t>
      </w:r>
      <w:bookmarkStart w:id="15" w:name="_Hlk97217715"/>
      <w:r w:rsidRPr="004F51D8">
        <w:rPr>
          <w:szCs w:val="24"/>
        </w:rPr>
        <w:t>Isola responded on September</w:t>
      </w:r>
      <w:r w:rsidR="007F002F">
        <w:rPr>
          <w:szCs w:val="24"/>
        </w:rPr>
        <w:t> </w:t>
      </w:r>
      <w:r w:rsidRPr="004F51D8">
        <w:rPr>
          <w:szCs w:val="24"/>
        </w:rPr>
        <w:t xml:space="preserve">8, stating, “There are two claimants </w:t>
      </w:r>
      <w:r w:rsidRPr="004F51D8">
        <w:rPr>
          <w:i/>
          <w:iCs/>
          <w:szCs w:val="24"/>
        </w:rPr>
        <w:t>implicated</w:t>
      </w:r>
      <w:r w:rsidRPr="004F51D8">
        <w:rPr>
          <w:szCs w:val="24"/>
        </w:rPr>
        <w:t xml:space="preserve"> in this matter.”</w:t>
      </w:r>
      <w:r w:rsidR="00AC2A53" w:rsidRPr="004F51D8">
        <w:rPr>
          <w:szCs w:val="24"/>
        </w:rPr>
        <w:t xml:space="preserve">  (Italics added.)</w:t>
      </w:r>
      <w:r w:rsidRPr="004F51D8">
        <w:rPr>
          <w:szCs w:val="24"/>
        </w:rPr>
        <w:t xml:space="preserve">  He stated these claimants were </w:t>
      </w:r>
      <w:r w:rsidR="00685B1B" w:rsidRPr="004F51D8">
        <w:rPr>
          <w:szCs w:val="24"/>
        </w:rPr>
        <w:t>(1)</w:t>
      </w:r>
      <w:r w:rsidR="007F002F">
        <w:rPr>
          <w:szCs w:val="24"/>
        </w:rPr>
        <w:t> </w:t>
      </w:r>
      <w:r w:rsidRPr="004F51D8">
        <w:rPr>
          <w:szCs w:val="24"/>
        </w:rPr>
        <w:t xml:space="preserve">the </w:t>
      </w:r>
      <w:r w:rsidR="007B071B">
        <w:rPr>
          <w:szCs w:val="24"/>
        </w:rPr>
        <w:t>NJDEP</w:t>
      </w:r>
      <w:r w:rsidR="00685B1B" w:rsidRPr="004F51D8">
        <w:rPr>
          <w:szCs w:val="24"/>
        </w:rPr>
        <w:t>, which was compelling Min-Ku “and others” to undertake an investigation and remediation of dry cleaning-related solvents at 31-01</w:t>
      </w:r>
      <w:r w:rsidR="007F002F">
        <w:rPr>
          <w:szCs w:val="24"/>
        </w:rPr>
        <w:t> </w:t>
      </w:r>
      <w:r w:rsidR="00685B1B" w:rsidRPr="004F51D8">
        <w:rPr>
          <w:szCs w:val="24"/>
        </w:rPr>
        <w:t>Broadway,</w:t>
      </w:r>
      <w:r w:rsidRPr="004F51D8">
        <w:rPr>
          <w:szCs w:val="24"/>
        </w:rPr>
        <w:t xml:space="preserve"> and</w:t>
      </w:r>
      <w:r w:rsidR="00685B1B" w:rsidRPr="004F51D8">
        <w:rPr>
          <w:szCs w:val="24"/>
        </w:rPr>
        <w:t xml:space="preserve"> (2)</w:t>
      </w:r>
      <w:r w:rsidR="007F002F">
        <w:rPr>
          <w:szCs w:val="24"/>
        </w:rPr>
        <w:t> </w:t>
      </w:r>
      <w:r w:rsidRPr="004F51D8">
        <w:rPr>
          <w:szCs w:val="24"/>
        </w:rPr>
        <w:t xml:space="preserve">the </w:t>
      </w:r>
      <w:proofErr w:type="spellStart"/>
      <w:r w:rsidRPr="004F51D8">
        <w:rPr>
          <w:szCs w:val="24"/>
        </w:rPr>
        <w:t>Grecos</w:t>
      </w:r>
      <w:proofErr w:type="spellEnd"/>
      <w:r w:rsidR="00626AC5">
        <w:rPr>
          <w:szCs w:val="24"/>
        </w:rPr>
        <w:t>,</w:t>
      </w:r>
      <w:r w:rsidR="00685B1B" w:rsidRPr="004F51D8">
        <w:rPr>
          <w:szCs w:val="24"/>
        </w:rPr>
        <w:t xml:space="preserve"> who owned 31-01</w:t>
      </w:r>
      <w:r w:rsidR="007F002F">
        <w:rPr>
          <w:szCs w:val="24"/>
        </w:rPr>
        <w:t> </w:t>
      </w:r>
      <w:r w:rsidR="00685B1B" w:rsidRPr="004F51D8">
        <w:rPr>
          <w:szCs w:val="24"/>
        </w:rPr>
        <w:t>Broadway</w:t>
      </w:r>
      <w:r w:rsidRPr="004F51D8">
        <w:rPr>
          <w:szCs w:val="24"/>
        </w:rPr>
        <w:t xml:space="preserve">.  </w:t>
      </w:r>
      <w:r w:rsidR="00685B1B" w:rsidRPr="004F51D8">
        <w:rPr>
          <w:szCs w:val="24"/>
        </w:rPr>
        <w:t xml:space="preserve">At the time he wrote the letter, Isola had instructed Genesis to get a claim from the NJDEP, </w:t>
      </w:r>
      <w:r w:rsidR="00487FCA">
        <w:rPr>
          <w:szCs w:val="24"/>
        </w:rPr>
        <w:t>but</w:t>
      </w:r>
      <w:r w:rsidR="00685B1B" w:rsidRPr="004F51D8">
        <w:rPr>
          <w:szCs w:val="24"/>
        </w:rPr>
        <w:t xml:space="preserve"> an actual claim had not been filed</w:t>
      </w:r>
      <w:bookmarkEnd w:id="15"/>
      <w:r w:rsidR="00685B1B" w:rsidRPr="004F51D8">
        <w:rPr>
          <w:szCs w:val="24"/>
        </w:rPr>
        <w:t>.</w:t>
      </w:r>
      <w:r w:rsidR="007726C5">
        <w:rPr>
          <w:szCs w:val="24"/>
        </w:rPr>
        <w:t xml:space="preserve">  Isola believed that Min-Ku, as a</w:t>
      </w:r>
    </w:p>
    <w:p w14:paraId="2909C1FC" w14:textId="77777777" w:rsidR="007B071B" w:rsidRDefault="007B071B">
      <w:pPr>
        <w:rPr>
          <w:szCs w:val="24"/>
        </w:rPr>
      </w:pPr>
      <w:r>
        <w:rPr>
          <w:szCs w:val="24"/>
        </w:rPr>
        <w:br w:type="page"/>
      </w:r>
    </w:p>
    <w:p w14:paraId="4735C4E0" w14:textId="14C47414" w:rsidR="00304641" w:rsidRDefault="007726C5" w:rsidP="007B071B">
      <w:pPr>
        <w:spacing w:line="480" w:lineRule="auto"/>
        <w:ind w:right="-144"/>
        <w:rPr>
          <w:szCs w:val="24"/>
        </w:rPr>
      </w:pPr>
      <w:r>
        <w:rPr>
          <w:szCs w:val="24"/>
        </w:rPr>
        <w:lastRenderedPageBreak/>
        <w:t>tenant, was a</w:t>
      </w:r>
      <w:r w:rsidR="00C77954">
        <w:rPr>
          <w:szCs w:val="24"/>
        </w:rPr>
        <w:t>n additionally</w:t>
      </w:r>
      <w:r>
        <w:rPr>
          <w:szCs w:val="24"/>
        </w:rPr>
        <w:t xml:space="preserve"> responsible party in the eyes of the NJDE</w:t>
      </w:r>
      <w:r w:rsidR="00682E66">
        <w:rPr>
          <w:szCs w:val="24"/>
        </w:rPr>
        <w:t>P.</w:t>
      </w:r>
      <w:r w:rsidR="0076638F">
        <w:rPr>
          <w:rStyle w:val="FootnoteReference"/>
          <w:szCs w:val="24"/>
        </w:rPr>
        <w:footnoteReference w:id="14"/>
      </w:r>
      <w:r w:rsidR="00682E66">
        <w:rPr>
          <w:szCs w:val="24"/>
        </w:rPr>
        <w:t xml:space="preserve">  If </w:t>
      </w:r>
      <w:r w:rsidR="00617688">
        <w:rPr>
          <w:szCs w:val="24"/>
        </w:rPr>
        <w:t xml:space="preserve">the </w:t>
      </w:r>
      <w:proofErr w:type="spellStart"/>
      <w:r w:rsidR="00617688">
        <w:rPr>
          <w:szCs w:val="24"/>
        </w:rPr>
        <w:t>Hahns</w:t>
      </w:r>
      <w:proofErr w:type="spellEnd"/>
      <w:r w:rsidR="00682E66">
        <w:rPr>
          <w:szCs w:val="24"/>
        </w:rPr>
        <w:t xml:space="preserve"> had not already been targeted, he believed they would </w:t>
      </w:r>
      <w:r w:rsidR="00617688">
        <w:rPr>
          <w:szCs w:val="24"/>
        </w:rPr>
        <w:t>soon</w:t>
      </w:r>
      <w:r w:rsidR="0015575F">
        <w:rPr>
          <w:szCs w:val="24"/>
        </w:rPr>
        <w:t xml:space="preserve"> be</w:t>
      </w:r>
      <w:r w:rsidR="003C743E">
        <w:rPr>
          <w:szCs w:val="24"/>
        </w:rPr>
        <w:t>—d</w:t>
      </w:r>
      <w:r w:rsidR="00513D7D">
        <w:rPr>
          <w:szCs w:val="24"/>
        </w:rPr>
        <w:t xml:space="preserve">ata had been collected showing </w:t>
      </w:r>
      <w:r w:rsidR="00682E66">
        <w:rPr>
          <w:szCs w:val="24"/>
        </w:rPr>
        <w:t>potential vapor intrusion at a nearby elementary school</w:t>
      </w:r>
      <w:r w:rsidR="002F0ABC">
        <w:rPr>
          <w:szCs w:val="24"/>
        </w:rPr>
        <w:t>.</w:t>
      </w:r>
    </w:p>
    <w:p w14:paraId="2EF91B79" w14:textId="347C8832" w:rsidR="006A0362" w:rsidRDefault="007B071B" w:rsidP="00603F67">
      <w:pPr>
        <w:spacing w:line="480" w:lineRule="auto"/>
        <w:ind w:right="-144" w:firstLine="720"/>
        <w:rPr>
          <w:szCs w:val="24"/>
        </w:rPr>
      </w:pPr>
      <w:r>
        <w:rPr>
          <w:szCs w:val="24"/>
        </w:rPr>
        <w:t xml:space="preserve">Isola testified that at the time he wrote this letter, he was unaware of the distinction </w:t>
      </w:r>
      <w:r w:rsidR="00850303">
        <w:rPr>
          <w:szCs w:val="24"/>
        </w:rPr>
        <w:t>between “</w:t>
      </w:r>
      <w:r w:rsidRPr="007B071B">
        <w:rPr>
          <w:szCs w:val="24"/>
        </w:rPr>
        <w:t>Cameo Cleaners of Fair Lawn” and “Cameo Cleaners.”  The hearing judge found this testimony was not credible because it conflicted with Isola’s testimony that he “jumped the gun” by disclosing in the letter that Min-Ku was already involved in an NJDEP claim.</w:t>
      </w:r>
      <w:r w:rsidR="00D366B4">
        <w:rPr>
          <w:szCs w:val="24"/>
        </w:rPr>
        <w:t xml:space="preserve">  </w:t>
      </w:r>
      <w:r w:rsidR="0005704E">
        <w:rPr>
          <w:szCs w:val="24"/>
        </w:rPr>
        <w:t xml:space="preserve">Isola </w:t>
      </w:r>
      <w:r w:rsidR="00821D97">
        <w:rPr>
          <w:szCs w:val="24"/>
        </w:rPr>
        <w:t xml:space="preserve">testified that at the time he wrote this letter, he knew </w:t>
      </w:r>
      <w:r w:rsidR="00FD361D">
        <w:rPr>
          <w:szCs w:val="24"/>
        </w:rPr>
        <w:t xml:space="preserve">that Genesis had met with the NJDEP on behalf of the </w:t>
      </w:r>
      <w:proofErr w:type="spellStart"/>
      <w:r w:rsidR="00FD361D">
        <w:rPr>
          <w:szCs w:val="24"/>
        </w:rPr>
        <w:t>Hahns</w:t>
      </w:r>
      <w:proofErr w:type="spellEnd"/>
      <w:r w:rsidR="00FD361D">
        <w:rPr>
          <w:szCs w:val="24"/>
        </w:rPr>
        <w:t xml:space="preserve">.  </w:t>
      </w:r>
      <w:r w:rsidR="001F71E7">
        <w:rPr>
          <w:szCs w:val="24"/>
        </w:rPr>
        <w:t xml:space="preserve">When asked about the letter, Isola </w:t>
      </w:r>
      <w:r w:rsidR="00C9579D">
        <w:rPr>
          <w:szCs w:val="24"/>
        </w:rPr>
        <w:t xml:space="preserve">also </w:t>
      </w:r>
      <w:r w:rsidR="001F71E7">
        <w:rPr>
          <w:szCs w:val="24"/>
        </w:rPr>
        <w:t>stated</w:t>
      </w:r>
      <w:r w:rsidR="00A065EF">
        <w:rPr>
          <w:szCs w:val="24"/>
        </w:rPr>
        <w:t>, “</w:t>
      </w:r>
      <w:r w:rsidR="00A065EF" w:rsidRPr="00603F67">
        <w:rPr>
          <w:szCs w:val="24"/>
        </w:rPr>
        <w:t>I jumped the gun.</w:t>
      </w:r>
      <w:r w:rsidR="00A065EF">
        <w:rPr>
          <w:szCs w:val="24"/>
        </w:rPr>
        <w:t xml:space="preserve">  I fully anticipated that there would be [</w:t>
      </w:r>
      <w:r w:rsidR="00961BDC">
        <w:rPr>
          <w:szCs w:val="24"/>
        </w:rPr>
        <w:t xml:space="preserve">an </w:t>
      </w:r>
      <w:r w:rsidR="00A065EF">
        <w:rPr>
          <w:szCs w:val="24"/>
        </w:rPr>
        <w:t xml:space="preserve">NJDEP] claim forthcoming, and that’s what I indicated to Ms. </w:t>
      </w:r>
      <w:proofErr w:type="spellStart"/>
      <w:r w:rsidR="00A065EF">
        <w:rPr>
          <w:szCs w:val="24"/>
        </w:rPr>
        <w:t>Colechia</w:t>
      </w:r>
      <w:proofErr w:type="spellEnd"/>
      <w:r w:rsidR="00F61274">
        <w:rPr>
          <w:szCs w:val="24"/>
        </w:rPr>
        <w:t xml:space="preserve"> . . . .  I thought that we would be seeing [NJDEP] demand for the sensitive recep</w:t>
      </w:r>
      <w:r w:rsidR="00312009">
        <w:rPr>
          <w:szCs w:val="24"/>
        </w:rPr>
        <w:t>tor survey and the school investigation imminently, if it hadn’t already been issued.”</w:t>
      </w:r>
      <w:r w:rsidR="008452D9">
        <w:rPr>
          <w:szCs w:val="24"/>
        </w:rPr>
        <w:t xml:space="preserve">  At the time, Isola believed </w:t>
      </w:r>
      <w:r w:rsidR="00E44A31">
        <w:rPr>
          <w:szCs w:val="24"/>
        </w:rPr>
        <w:t>Cameo Cleaners of Fair Lawn was already the subject of an NJDEP claim.  His comment that he “jumped the gun” was made in hindsight</w:t>
      </w:r>
      <w:r w:rsidR="00081AED">
        <w:rPr>
          <w:szCs w:val="24"/>
        </w:rPr>
        <w:t xml:space="preserve"> at trial</w:t>
      </w:r>
      <w:r w:rsidR="00332D27">
        <w:rPr>
          <w:szCs w:val="24"/>
        </w:rPr>
        <w:t xml:space="preserve">; he was explaining that he now knows that an NJDEP claim had not been made against the </w:t>
      </w:r>
      <w:proofErr w:type="spellStart"/>
      <w:r w:rsidR="00332D27">
        <w:rPr>
          <w:szCs w:val="24"/>
        </w:rPr>
        <w:t>Hahns</w:t>
      </w:r>
      <w:proofErr w:type="spellEnd"/>
      <w:r w:rsidR="00332D27">
        <w:rPr>
          <w:szCs w:val="24"/>
        </w:rPr>
        <w:t xml:space="preserve">.  </w:t>
      </w:r>
      <w:r w:rsidR="009B7736">
        <w:rPr>
          <w:szCs w:val="24"/>
        </w:rPr>
        <w:t>Therefore, there is no inconsistency between his testimony that he did not yet know the distinct</w:t>
      </w:r>
      <w:r w:rsidR="006F1DA9">
        <w:rPr>
          <w:szCs w:val="24"/>
        </w:rPr>
        <w:t xml:space="preserve">ion between </w:t>
      </w:r>
      <w:r w:rsidR="006F1DA9" w:rsidRPr="007B071B">
        <w:rPr>
          <w:szCs w:val="24"/>
        </w:rPr>
        <w:t>Cameo Cleaners of Fair Lawn and Cameo Cleaners</w:t>
      </w:r>
      <w:r w:rsidR="006F1DA9">
        <w:rPr>
          <w:szCs w:val="24"/>
        </w:rPr>
        <w:t xml:space="preserve"> and the comment</w:t>
      </w:r>
      <w:r w:rsidR="0039320B">
        <w:rPr>
          <w:szCs w:val="24"/>
        </w:rPr>
        <w:t>.</w:t>
      </w:r>
      <w:r w:rsidR="006F1DA9">
        <w:rPr>
          <w:szCs w:val="24"/>
        </w:rPr>
        <w:t xml:space="preserve">  Based on our review of the record, we </w:t>
      </w:r>
      <w:r w:rsidR="0023494A">
        <w:rPr>
          <w:szCs w:val="24"/>
        </w:rPr>
        <w:t xml:space="preserve">reverse the hearing judge’s </w:t>
      </w:r>
      <w:r w:rsidR="0023494A" w:rsidRPr="009E2ABA">
        <w:rPr>
          <w:szCs w:val="24"/>
        </w:rPr>
        <w:t>credibility finding</w:t>
      </w:r>
      <w:r w:rsidR="003017ED" w:rsidRPr="009E2ABA">
        <w:rPr>
          <w:szCs w:val="24"/>
        </w:rPr>
        <w:t>.</w:t>
      </w:r>
      <w:r w:rsidR="009E2ABA">
        <w:rPr>
          <w:szCs w:val="24"/>
        </w:rPr>
        <w:t xml:space="preserve">  (See </w:t>
      </w:r>
      <w:r w:rsidR="009E2ABA" w:rsidRPr="001421E7">
        <w:rPr>
          <w:i/>
          <w:szCs w:val="24"/>
        </w:rPr>
        <w:t xml:space="preserve">In the Matter of </w:t>
      </w:r>
      <w:proofErr w:type="spellStart"/>
      <w:r w:rsidR="009E2ABA" w:rsidRPr="001421E7">
        <w:rPr>
          <w:i/>
          <w:szCs w:val="24"/>
        </w:rPr>
        <w:t>DeMassa</w:t>
      </w:r>
      <w:proofErr w:type="spellEnd"/>
      <w:r w:rsidR="009E2ABA">
        <w:rPr>
          <w:szCs w:val="24"/>
        </w:rPr>
        <w:t xml:space="preserve">, </w:t>
      </w:r>
      <w:r w:rsidR="009E2ABA">
        <w:rPr>
          <w:i/>
          <w:iCs/>
          <w:szCs w:val="24"/>
        </w:rPr>
        <w:t>supra</w:t>
      </w:r>
      <w:r w:rsidR="009E2ABA">
        <w:rPr>
          <w:szCs w:val="24"/>
        </w:rPr>
        <w:t>,</w:t>
      </w:r>
      <w:r w:rsidR="009E2ABA" w:rsidRPr="001421E7">
        <w:rPr>
          <w:szCs w:val="24"/>
        </w:rPr>
        <w:t xml:space="preserve"> 1</w:t>
      </w:r>
      <w:r w:rsidR="009E2ABA">
        <w:rPr>
          <w:szCs w:val="24"/>
        </w:rPr>
        <w:t> </w:t>
      </w:r>
      <w:r w:rsidR="009E2ABA" w:rsidRPr="001421E7">
        <w:rPr>
          <w:szCs w:val="24"/>
        </w:rPr>
        <w:t xml:space="preserve">Cal. State Bar Ct. </w:t>
      </w:r>
      <w:proofErr w:type="spellStart"/>
      <w:r w:rsidR="009E2ABA" w:rsidRPr="001421E7">
        <w:rPr>
          <w:szCs w:val="24"/>
        </w:rPr>
        <w:t>Rptr</w:t>
      </w:r>
      <w:proofErr w:type="spellEnd"/>
      <w:r w:rsidR="009E2ABA" w:rsidRPr="001421E7">
        <w:rPr>
          <w:szCs w:val="24"/>
        </w:rPr>
        <w:t xml:space="preserve">. </w:t>
      </w:r>
      <w:r w:rsidR="009E2ABA">
        <w:rPr>
          <w:szCs w:val="24"/>
        </w:rPr>
        <w:t>at p. </w:t>
      </w:r>
      <w:r w:rsidR="009E2ABA" w:rsidRPr="001421E7">
        <w:rPr>
          <w:szCs w:val="24"/>
        </w:rPr>
        <w:t>748</w:t>
      </w:r>
      <w:r w:rsidR="009E2ABA">
        <w:rPr>
          <w:szCs w:val="24"/>
        </w:rPr>
        <w:t xml:space="preserve">; </w:t>
      </w:r>
      <w:r w:rsidR="009E2ABA" w:rsidRPr="009E2ABA">
        <w:rPr>
          <w:i/>
          <w:iCs/>
          <w:szCs w:val="24"/>
        </w:rPr>
        <w:t xml:space="preserve">In the Matter of </w:t>
      </w:r>
      <w:proofErr w:type="spellStart"/>
      <w:r w:rsidR="009E2ABA" w:rsidRPr="009E2ABA">
        <w:rPr>
          <w:i/>
          <w:iCs/>
          <w:szCs w:val="24"/>
        </w:rPr>
        <w:t>Lingwood</w:t>
      </w:r>
      <w:proofErr w:type="spellEnd"/>
      <w:r w:rsidR="009E2ABA">
        <w:rPr>
          <w:szCs w:val="24"/>
        </w:rPr>
        <w:t xml:space="preserve">, </w:t>
      </w:r>
      <w:r w:rsidR="009E2ABA">
        <w:rPr>
          <w:i/>
          <w:iCs/>
          <w:szCs w:val="24"/>
        </w:rPr>
        <w:t>supra</w:t>
      </w:r>
      <w:r w:rsidR="009E2ABA">
        <w:rPr>
          <w:szCs w:val="24"/>
        </w:rPr>
        <w:t>,</w:t>
      </w:r>
      <w:r w:rsidR="009E2ABA" w:rsidRPr="009E2ABA">
        <w:rPr>
          <w:szCs w:val="24"/>
        </w:rPr>
        <w:t xml:space="preserve"> 5 Cal. State Bar Ct. </w:t>
      </w:r>
      <w:proofErr w:type="spellStart"/>
      <w:r w:rsidR="009E2ABA" w:rsidRPr="009E2ABA">
        <w:rPr>
          <w:szCs w:val="24"/>
        </w:rPr>
        <w:t>Rptr</w:t>
      </w:r>
      <w:proofErr w:type="spellEnd"/>
      <w:r w:rsidR="009E2ABA" w:rsidRPr="009E2ABA">
        <w:rPr>
          <w:szCs w:val="24"/>
        </w:rPr>
        <w:t xml:space="preserve">. </w:t>
      </w:r>
      <w:r w:rsidR="009E2ABA">
        <w:rPr>
          <w:szCs w:val="24"/>
        </w:rPr>
        <w:t>at p. 672, fn. 15.)</w:t>
      </w:r>
    </w:p>
    <w:p w14:paraId="2881C540" w14:textId="77777777" w:rsidR="009E2ABA" w:rsidRDefault="009E2ABA" w:rsidP="00603F67">
      <w:pPr>
        <w:spacing w:line="480" w:lineRule="auto"/>
        <w:ind w:right="-144" w:firstLine="720"/>
        <w:rPr>
          <w:b/>
          <w:bCs/>
          <w:szCs w:val="24"/>
        </w:rPr>
      </w:pPr>
    </w:p>
    <w:p w14:paraId="33920DE0" w14:textId="02EBE692" w:rsidR="00D30E8C" w:rsidRPr="004F51D8" w:rsidRDefault="00D30E8C" w:rsidP="008A63B4">
      <w:pPr>
        <w:spacing w:line="480" w:lineRule="auto"/>
        <w:ind w:firstLine="720"/>
        <w:rPr>
          <w:b/>
          <w:bCs/>
          <w:szCs w:val="24"/>
        </w:rPr>
      </w:pPr>
      <w:r w:rsidRPr="004F51D8">
        <w:rPr>
          <w:b/>
          <w:bCs/>
          <w:szCs w:val="24"/>
        </w:rPr>
        <w:lastRenderedPageBreak/>
        <w:t xml:space="preserve">2.  </w:t>
      </w:r>
      <w:r w:rsidR="007B25F3" w:rsidRPr="004F51D8">
        <w:rPr>
          <w:b/>
          <w:bCs/>
          <w:szCs w:val="24"/>
        </w:rPr>
        <w:t xml:space="preserve">The </w:t>
      </w:r>
      <w:proofErr w:type="spellStart"/>
      <w:r w:rsidR="00AC2A53" w:rsidRPr="004F51D8">
        <w:rPr>
          <w:b/>
          <w:bCs/>
          <w:szCs w:val="24"/>
        </w:rPr>
        <w:t>Grecos</w:t>
      </w:r>
      <w:proofErr w:type="spellEnd"/>
      <w:r w:rsidR="00AC2A53" w:rsidRPr="004F51D8">
        <w:rPr>
          <w:b/>
          <w:bCs/>
          <w:szCs w:val="24"/>
        </w:rPr>
        <w:t xml:space="preserve"> </w:t>
      </w:r>
      <w:r w:rsidR="007B25F3" w:rsidRPr="004F51D8">
        <w:rPr>
          <w:b/>
          <w:bCs/>
          <w:szCs w:val="24"/>
        </w:rPr>
        <w:t>File an</w:t>
      </w:r>
      <w:r w:rsidRPr="004F51D8">
        <w:rPr>
          <w:b/>
          <w:bCs/>
          <w:szCs w:val="24"/>
        </w:rPr>
        <w:t xml:space="preserve"> Environmental Lawsuit</w:t>
      </w:r>
      <w:r w:rsidR="007B25F3" w:rsidRPr="004F51D8">
        <w:rPr>
          <w:b/>
          <w:bCs/>
          <w:szCs w:val="24"/>
        </w:rPr>
        <w:t xml:space="preserve"> against the </w:t>
      </w:r>
      <w:proofErr w:type="spellStart"/>
      <w:r w:rsidR="007B25F3" w:rsidRPr="004F51D8">
        <w:rPr>
          <w:b/>
          <w:bCs/>
          <w:szCs w:val="24"/>
        </w:rPr>
        <w:t>Hahns</w:t>
      </w:r>
      <w:proofErr w:type="spellEnd"/>
    </w:p>
    <w:p w14:paraId="3200B0E9" w14:textId="3DA90F92" w:rsidR="00D30E8C" w:rsidRPr="004F51D8" w:rsidRDefault="00D30E8C" w:rsidP="00ED34F9">
      <w:pPr>
        <w:spacing w:line="480" w:lineRule="auto"/>
        <w:ind w:firstLine="720"/>
        <w:rPr>
          <w:szCs w:val="24"/>
        </w:rPr>
      </w:pPr>
      <w:r w:rsidRPr="004F51D8">
        <w:rPr>
          <w:szCs w:val="24"/>
        </w:rPr>
        <w:t>On February</w:t>
      </w:r>
      <w:r w:rsidR="007F002F">
        <w:rPr>
          <w:szCs w:val="24"/>
        </w:rPr>
        <w:t> </w:t>
      </w:r>
      <w:r w:rsidRPr="004F51D8">
        <w:rPr>
          <w:szCs w:val="24"/>
        </w:rPr>
        <w:t xml:space="preserve">3, 2012, the </w:t>
      </w:r>
      <w:proofErr w:type="spellStart"/>
      <w:r w:rsidRPr="004F51D8">
        <w:rPr>
          <w:szCs w:val="24"/>
        </w:rPr>
        <w:t>Grecos</w:t>
      </w:r>
      <w:proofErr w:type="spellEnd"/>
      <w:r w:rsidRPr="004F51D8">
        <w:rPr>
          <w:szCs w:val="24"/>
        </w:rPr>
        <w:t xml:space="preserve"> filed a complaint in New Jersey Superior Court</w:t>
      </w:r>
      <w:r w:rsidR="007B25F3" w:rsidRPr="004F51D8">
        <w:rPr>
          <w:szCs w:val="24"/>
        </w:rPr>
        <w:t xml:space="preserve"> against Min-Ku and the dry-cleaning business</w:t>
      </w:r>
      <w:r w:rsidR="003063A9">
        <w:rPr>
          <w:szCs w:val="24"/>
        </w:rPr>
        <w:t xml:space="preserve"> (2012 environmental lawsuit)</w:t>
      </w:r>
      <w:r w:rsidR="007B25F3" w:rsidRPr="004F51D8">
        <w:rPr>
          <w:szCs w:val="24"/>
        </w:rPr>
        <w:t>.  Isola accepted service of the suit on behalf of Min-Ku.  He did not inform Gregory about the lawsuit because its sole purpose was to trigger coverage by Travelers</w:t>
      </w:r>
      <w:r w:rsidR="00647149">
        <w:rPr>
          <w:szCs w:val="24"/>
        </w:rPr>
        <w:t>, which was the stated goal from the Diner Meeting.</w:t>
      </w:r>
      <w:r w:rsidR="007B25F3" w:rsidRPr="004F51D8">
        <w:rPr>
          <w:szCs w:val="24"/>
        </w:rPr>
        <w:t xml:space="preserve">  On February</w:t>
      </w:r>
      <w:r w:rsidR="007F002F">
        <w:rPr>
          <w:szCs w:val="24"/>
        </w:rPr>
        <w:t> </w:t>
      </w:r>
      <w:r w:rsidR="007B25F3" w:rsidRPr="004F51D8">
        <w:rPr>
          <w:szCs w:val="24"/>
        </w:rPr>
        <w:t xml:space="preserve">14, Isola sent </w:t>
      </w:r>
      <w:proofErr w:type="spellStart"/>
      <w:r w:rsidR="007B25F3" w:rsidRPr="004F51D8">
        <w:rPr>
          <w:szCs w:val="24"/>
        </w:rPr>
        <w:t>Colechia</w:t>
      </w:r>
      <w:proofErr w:type="spellEnd"/>
      <w:r w:rsidR="007B25F3" w:rsidRPr="004F51D8">
        <w:rPr>
          <w:szCs w:val="24"/>
        </w:rPr>
        <w:t xml:space="preserve"> a copy of the lawsuit.  In March 2012, he filed an answer</w:t>
      </w:r>
      <w:r w:rsidR="00ED34F9">
        <w:rPr>
          <w:szCs w:val="24"/>
        </w:rPr>
        <w:t xml:space="preserve"> denying the allegation</w:t>
      </w:r>
      <w:r w:rsidR="00F2315A">
        <w:rPr>
          <w:szCs w:val="24"/>
        </w:rPr>
        <w:t xml:space="preserve">s </w:t>
      </w:r>
      <w:r w:rsidR="007B25F3" w:rsidRPr="004F51D8">
        <w:rPr>
          <w:szCs w:val="24"/>
        </w:rPr>
        <w:t xml:space="preserve">without consulting the </w:t>
      </w:r>
      <w:proofErr w:type="spellStart"/>
      <w:r w:rsidR="007B25F3" w:rsidRPr="004F51D8">
        <w:rPr>
          <w:szCs w:val="24"/>
        </w:rPr>
        <w:t>Hahns</w:t>
      </w:r>
      <w:proofErr w:type="spellEnd"/>
      <w:r w:rsidR="007B25F3" w:rsidRPr="004F51D8">
        <w:rPr>
          <w:szCs w:val="24"/>
        </w:rPr>
        <w:t xml:space="preserve">. </w:t>
      </w:r>
    </w:p>
    <w:p w14:paraId="6501D0B9" w14:textId="2331F768" w:rsidR="001537BE" w:rsidRPr="00C27A35" w:rsidRDefault="007B25F3" w:rsidP="00C27A35">
      <w:pPr>
        <w:spacing w:line="480" w:lineRule="auto"/>
        <w:ind w:firstLine="720"/>
        <w:rPr>
          <w:szCs w:val="24"/>
        </w:rPr>
      </w:pPr>
      <w:r w:rsidRPr="004F51D8">
        <w:rPr>
          <w:szCs w:val="24"/>
        </w:rPr>
        <w:t>On August</w:t>
      </w:r>
      <w:r w:rsidR="007F002F">
        <w:rPr>
          <w:szCs w:val="24"/>
        </w:rPr>
        <w:t> </w:t>
      </w:r>
      <w:r w:rsidRPr="004F51D8">
        <w:rPr>
          <w:szCs w:val="24"/>
        </w:rPr>
        <w:t xml:space="preserve">3, Isola sent </w:t>
      </w:r>
      <w:proofErr w:type="spellStart"/>
      <w:r w:rsidRPr="004F51D8">
        <w:rPr>
          <w:szCs w:val="24"/>
        </w:rPr>
        <w:t>Colechia</w:t>
      </w:r>
      <w:proofErr w:type="spellEnd"/>
      <w:r w:rsidRPr="004F51D8">
        <w:rPr>
          <w:szCs w:val="24"/>
        </w:rPr>
        <w:t xml:space="preserve"> a copy of the amended complaint.  </w:t>
      </w:r>
      <w:proofErr w:type="spellStart"/>
      <w:r w:rsidRPr="004F51D8">
        <w:rPr>
          <w:szCs w:val="24"/>
        </w:rPr>
        <w:t>Colechia</w:t>
      </w:r>
      <w:proofErr w:type="spellEnd"/>
      <w:r w:rsidRPr="004F51D8">
        <w:rPr>
          <w:szCs w:val="24"/>
        </w:rPr>
        <w:t xml:space="preserve"> responded that Travelers would participate in the defense of Min-Ku and Cameo Cleaners of Fair</w:t>
      </w:r>
      <w:r w:rsidR="00DA30BB">
        <w:rPr>
          <w:szCs w:val="24"/>
        </w:rPr>
        <w:t xml:space="preserve"> L</w:t>
      </w:r>
      <w:r w:rsidRPr="004F51D8">
        <w:rPr>
          <w:szCs w:val="24"/>
        </w:rPr>
        <w:t>awn, including paying attorney fees.</w:t>
      </w:r>
      <w:r w:rsidR="00E87448">
        <w:rPr>
          <w:rStyle w:val="FootnoteReference"/>
          <w:szCs w:val="24"/>
        </w:rPr>
        <w:footnoteReference w:id="15"/>
      </w:r>
      <w:r w:rsidR="00224F49" w:rsidRPr="004F51D8">
        <w:rPr>
          <w:szCs w:val="24"/>
        </w:rPr>
        <w:t xml:space="preserve">  Isola later filed answers to the amended and second amended complaints, again without consulting the </w:t>
      </w:r>
      <w:proofErr w:type="spellStart"/>
      <w:r w:rsidR="00224F49" w:rsidRPr="004F51D8">
        <w:rPr>
          <w:szCs w:val="24"/>
        </w:rPr>
        <w:t>Hahns</w:t>
      </w:r>
      <w:proofErr w:type="spellEnd"/>
      <w:r w:rsidR="00224F49" w:rsidRPr="004F51D8">
        <w:rPr>
          <w:szCs w:val="24"/>
        </w:rPr>
        <w:t>.</w:t>
      </w:r>
      <w:r w:rsidR="00283217">
        <w:rPr>
          <w:szCs w:val="24"/>
        </w:rPr>
        <w:t xml:space="preserve">  </w:t>
      </w:r>
      <w:r w:rsidR="009A5364" w:rsidRPr="004F51D8">
        <w:rPr>
          <w:szCs w:val="24"/>
        </w:rPr>
        <w:t xml:space="preserve">The 2012 </w:t>
      </w:r>
      <w:r w:rsidR="007B071B">
        <w:rPr>
          <w:szCs w:val="24"/>
        </w:rPr>
        <w:t xml:space="preserve">environmental </w:t>
      </w:r>
      <w:r w:rsidR="009A5364" w:rsidRPr="004F51D8">
        <w:rPr>
          <w:szCs w:val="24"/>
        </w:rPr>
        <w:t>lawsuit was eventually dismissed without prejudice and refiled as a new lawsuit</w:t>
      </w:r>
      <w:r w:rsidR="008755BE">
        <w:rPr>
          <w:szCs w:val="24"/>
        </w:rPr>
        <w:t xml:space="preserve"> in January 2016,</w:t>
      </w:r>
      <w:r w:rsidR="009A5364" w:rsidRPr="004F51D8">
        <w:rPr>
          <w:szCs w:val="24"/>
        </w:rPr>
        <w:t xml:space="preserve"> with identical claims (2016 environmental lawsuit).</w:t>
      </w:r>
    </w:p>
    <w:p w14:paraId="0A76C435" w14:textId="438F216B" w:rsidR="00224F49" w:rsidRPr="004F51D8" w:rsidRDefault="00224F49" w:rsidP="007B25F3">
      <w:pPr>
        <w:spacing w:line="480" w:lineRule="auto"/>
        <w:ind w:firstLine="720"/>
        <w:rPr>
          <w:b/>
          <w:bCs/>
          <w:szCs w:val="24"/>
        </w:rPr>
      </w:pPr>
      <w:r w:rsidRPr="004F51D8">
        <w:rPr>
          <w:b/>
          <w:bCs/>
          <w:szCs w:val="24"/>
        </w:rPr>
        <w:t>3.  Travelers’ Defense Obligations</w:t>
      </w:r>
    </w:p>
    <w:p w14:paraId="7689CC68" w14:textId="05CEA819" w:rsidR="00224F49" w:rsidRPr="004F51D8" w:rsidRDefault="00224F49" w:rsidP="007B25F3">
      <w:pPr>
        <w:spacing w:line="480" w:lineRule="auto"/>
        <w:ind w:firstLine="720"/>
        <w:rPr>
          <w:szCs w:val="24"/>
        </w:rPr>
      </w:pPr>
      <w:r w:rsidRPr="004F51D8">
        <w:rPr>
          <w:szCs w:val="24"/>
        </w:rPr>
        <w:t>On November</w:t>
      </w:r>
      <w:r w:rsidR="007A638B">
        <w:rPr>
          <w:szCs w:val="24"/>
        </w:rPr>
        <w:t> </w:t>
      </w:r>
      <w:r w:rsidRPr="004F51D8">
        <w:rPr>
          <w:szCs w:val="24"/>
        </w:rPr>
        <w:t xml:space="preserve">5, 2012, Isola sent </w:t>
      </w:r>
      <w:proofErr w:type="spellStart"/>
      <w:r w:rsidRPr="004F51D8">
        <w:rPr>
          <w:szCs w:val="24"/>
        </w:rPr>
        <w:t>Colechia</w:t>
      </w:r>
      <w:proofErr w:type="spellEnd"/>
      <w:r w:rsidRPr="004F51D8">
        <w:rPr>
          <w:szCs w:val="24"/>
        </w:rPr>
        <w:t xml:space="preserve"> a letter with a proposal for resolving the case, which included settlement with the </w:t>
      </w:r>
      <w:proofErr w:type="spellStart"/>
      <w:r w:rsidRPr="004F51D8">
        <w:rPr>
          <w:szCs w:val="24"/>
        </w:rPr>
        <w:t>Grecos</w:t>
      </w:r>
      <w:proofErr w:type="spellEnd"/>
      <w:r w:rsidRPr="004F51D8">
        <w:rPr>
          <w:szCs w:val="24"/>
        </w:rPr>
        <w:t xml:space="preserve"> and a policy buyback agreement.  He also attached the task order from Gene</w:t>
      </w:r>
      <w:r w:rsidR="00D25531" w:rsidRPr="004F51D8">
        <w:rPr>
          <w:szCs w:val="24"/>
        </w:rPr>
        <w:t>s</w:t>
      </w:r>
      <w:r w:rsidRPr="004F51D8">
        <w:rPr>
          <w:szCs w:val="24"/>
        </w:rPr>
        <w:t>is to evaluate the contamination site.</w:t>
      </w:r>
      <w:r w:rsidR="00D25531" w:rsidRPr="004F51D8">
        <w:rPr>
          <w:szCs w:val="24"/>
        </w:rPr>
        <w:t xml:space="preserve">  Travelers refused to fund the Genesis evaluation because its insureds were not subject to an NJDEP order and thus not required to perform a site investigation.  On January</w:t>
      </w:r>
      <w:r w:rsidR="007A638B">
        <w:rPr>
          <w:szCs w:val="24"/>
        </w:rPr>
        <w:t> </w:t>
      </w:r>
      <w:r w:rsidR="00D25531" w:rsidRPr="004F51D8">
        <w:rPr>
          <w:szCs w:val="24"/>
        </w:rPr>
        <w:t xml:space="preserve">8, 2013, </w:t>
      </w:r>
      <w:proofErr w:type="spellStart"/>
      <w:r w:rsidR="00D25531" w:rsidRPr="004F51D8">
        <w:rPr>
          <w:szCs w:val="24"/>
        </w:rPr>
        <w:t>Colechia</w:t>
      </w:r>
      <w:proofErr w:type="spellEnd"/>
      <w:r w:rsidR="00D25531" w:rsidRPr="004F51D8">
        <w:rPr>
          <w:szCs w:val="24"/>
        </w:rPr>
        <w:t xml:space="preserve"> sent Isola a letter stating that Trav</w:t>
      </w:r>
      <w:r w:rsidR="00793FB9">
        <w:rPr>
          <w:szCs w:val="24"/>
        </w:rPr>
        <w:t>e</w:t>
      </w:r>
      <w:r w:rsidR="00D25531" w:rsidRPr="004F51D8">
        <w:rPr>
          <w:szCs w:val="24"/>
        </w:rPr>
        <w:t>lers would contribute six percent toward the fees for the defense-related work performed on behalf of its insured</w:t>
      </w:r>
      <w:r w:rsidR="00FA5E6D">
        <w:rPr>
          <w:szCs w:val="24"/>
        </w:rPr>
        <w:t>.</w:t>
      </w:r>
      <w:r w:rsidR="00D25531" w:rsidRPr="004F51D8">
        <w:rPr>
          <w:szCs w:val="24"/>
        </w:rPr>
        <w:t xml:space="preserve">  </w:t>
      </w:r>
      <w:r w:rsidR="00B31B3C">
        <w:rPr>
          <w:szCs w:val="24"/>
        </w:rPr>
        <w:t xml:space="preserve">This </w:t>
      </w:r>
      <w:r w:rsidR="00D25531" w:rsidRPr="004F51D8">
        <w:rPr>
          <w:szCs w:val="24"/>
        </w:rPr>
        <w:t>was much lower than Isola expected</w:t>
      </w:r>
      <w:r w:rsidR="00CB0BA6" w:rsidRPr="004F51D8">
        <w:rPr>
          <w:szCs w:val="24"/>
        </w:rPr>
        <w:t>.</w:t>
      </w:r>
    </w:p>
    <w:p w14:paraId="6ACBAD56" w14:textId="3DD323BE" w:rsidR="009F1AAC" w:rsidRDefault="00CB0BA6" w:rsidP="0058539C">
      <w:pPr>
        <w:spacing w:line="480" w:lineRule="auto"/>
        <w:ind w:firstLine="720"/>
        <w:rPr>
          <w:szCs w:val="24"/>
        </w:rPr>
      </w:pPr>
      <w:r w:rsidRPr="004F51D8">
        <w:rPr>
          <w:szCs w:val="24"/>
        </w:rPr>
        <w:lastRenderedPageBreak/>
        <w:t>After many discussions with Trav</w:t>
      </w:r>
      <w:r w:rsidR="00793FB9">
        <w:rPr>
          <w:szCs w:val="24"/>
        </w:rPr>
        <w:t>e</w:t>
      </w:r>
      <w:r w:rsidRPr="004F51D8">
        <w:rPr>
          <w:szCs w:val="24"/>
        </w:rPr>
        <w:t xml:space="preserve">lers, Isola filed a third-party complaint against Travelers </w:t>
      </w:r>
      <w:r w:rsidR="00693F66" w:rsidRPr="004F51D8">
        <w:rPr>
          <w:szCs w:val="24"/>
        </w:rPr>
        <w:t>on July</w:t>
      </w:r>
      <w:r w:rsidR="00693F66">
        <w:rPr>
          <w:szCs w:val="24"/>
        </w:rPr>
        <w:t> </w:t>
      </w:r>
      <w:r w:rsidR="00693F66" w:rsidRPr="004F51D8">
        <w:rPr>
          <w:szCs w:val="24"/>
        </w:rPr>
        <w:t xml:space="preserve">29, 2013, </w:t>
      </w:r>
      <w:r w:rsidRPr="004F51D8">
        <w:rPr>
          <w:szCs w:val="24"/>
        </w:rPr>
        <w:t xml:space="preserve">in the 2012 environmental lawsuit.  The aim of the suit was to pressure Travelers to increase the defense costs.  Isola did not discuss the complaint with the </w:t>
      </w:r>
      <w:proofErr w:type="spellStart"/>
      <w:r w:rsidRPr="004F51D8">
        <w:rPr>
          <w:szCs w:val="24"/>
        </w:rPr>
        <w:t>Hahns</w:t>
      </w:r>
      <w:proofErr w:type="spellEnd"/>
      <w:r w:rsidR="0054712E">
        <w:rPr>
          <w:szCs w:val="24"/>
        </w:rPr>
        <w:t xml:space="preserve"> as it only affected </w:t>
      </w:r>
      <w:r w:rsidR="00B40F5E">
        <w:rPr>
          <w:szCs w:val="24"/>
        </w:rPr>
        <w:t xml:space="preserve">the amount Travelers would pay for </w:t>
      </w:r>
      <w:r w:rsidR="005164BB">
        <w:rPr>
          <w:szCs w:val="24"/>
        </w:rPr>
        <w:t>the defense costs</w:t>
      </w:r>
      <w:r w:rsidR="00587501">
        <w:rPr>
          <w:szCs w:val="24"/>
        </w:rPr>
        <w:t>, and these funds did not directly or indirectly come from his clients</w:t>
      </w:r>
      <w:r w:rsidRPr="004F51D8">
        <w:rPr>
          <w:szCs w:val="24"/>
        </w:rPr>
        <w:t>.  In September 2013, Travelers agreed to increase its share of the defense costs to 36.84 percent in exchange for dismissal of the third-party complaint.</w:t>
      </w:r>
      <w:r w:rsidR="00C25DF2">
        <w:rPr>
          <w:rStyle w:val="FootnoteReference"/>
          <w:szCs w:val="24"/>
        </w:rPr>
        <w:footnoteReference w:id="16"/>
      </w:r>
      <w:r w:rsidRPr="004F51D8">
        <w:rPr>
          <w:szCs w:val="24"/>
        </w:rPr>
        <w:t xml:space="preserve">  No formal settlement agreement was signed.  Isola dismissed the third-party complaint without prejudice</w:t>
      </w:r>
      <w:r w:rsidR="009F1AAC">
        <w:rPr>
          <w:szCs w:val="24"/>
        </w:rPr>
        <w:t xml:space="preserve"> and without di</w:t>
      </w:r>
      <w:r w:rsidR="0058539C">
        <w:rPr>
          <w:szCs w:val="24"/>
        </w:rPr>
        <w:t xml:space="preserve">scussing </w:t>
      </w:r>
      <w:r w:rsidR="00786473">
        <w:rPr>
          <w:szCs w:val="24"/>
        </w:rPr>
        <w:t>it</w:t>
      </w:r>
      <w:r w:rsidR="0058539C">
        <w:rPr>
          <w:szCs w:val="24"/>
        </w:rPr>
        <w:t xml:space="preserve"> with the </w:t>
      </w:r>
      <w:proofErr w:type="spellStart"/>
      <w:r w:rsidR="0058539C">
        <w:rPr>
          <w:szCs w:val="24"/>
        </w:rPr>
        <w:t>Hahns</w:t>
      </w:r>
      <w:proofErr w:type="spellEnd"/>
      <w:r w:rsidR="0058539C">
        <w:rPr>
          <w:szCs w:val="24"/>
        </w:rPr>
        <w:t>.</w:t>
      </w:r>
    </w:p>
    <w:p w14:paraId="032C1DF9" w14:textId="78A1393D" w:rsidR="00CB0BA6" w:rsidRPr="004F51D8" w:rsidRDefault="00DC484A" w:rsidP="00C30CDD">
      <w:pPr>
        <w:spacing w:line="480" w:lineRule="auto"/>
        <w:rPr>
          <w:b/>
          <w:bCs/>
          <w:szCs w:val="24"/>
        </w:rPr>
      </w:pPr>
      <w:r>
        <w:rPr>
          <w:b/>
          <w:bCs/>
          <w:szCs w:val="24"/>
        </w:rPr>
        <w:t>F</w:t>
      </w:r>
      <w:r w:rsidR="00CB0BA6" w:rsidRPr="004F51D8">
        <w:rPr>
          <w:b/>
          <w:bCs/>
          <w:szCs w:val="24"/>
        </w:rPr>
        <w:t>.</w:t>
      </w:r>
      <w:r w:rsidR="00691E5F" w:rsidRPr="004F51D8">
        <w:rPr>
          <w:b/>
          <w:bCs/>
          <w:szCs w:val="24"/>
        </w:rPr>
        <w:tab/>
      </w:r>
      <w:r w:rsidR="00C30CDD" w:rsidRPr="004F51D8">
        <w:rPr>
          <w:b/>
          <w:bCs/>
          <w:szCs w:val="24"/>
        </w:rPr>
        <w:t>Greco and Hahn Settlement Agreement</w:t>
      </w:r>
    </w:p>
    <w:p w14:paraId="38DC0D7B" w14:textId="229F7321" w:rsidR="00CB0BA6" w:rsidRPr="004F51D8" w:rsidRDefault="00C30CDD" w:rsidP="00C30CDD">
      <w:pPr>
        <w:spacing w:line="480" w:lineRule="auto"/>
        <w:ind w:firstLine="720"/>
        <w:rPr>
          <w:szCs w:val="24"/>
        </w:rPr>
      </w:pPr>
      <w:r w:rsidRPr="004F51D8">
        <w:rPr>
          <w:szCs w:val="24"/>
        </w:rPr>
        <w:t xml:space="preserve">Isola discussed settlement of the 2016 environmental lawsuit with the </w:t>
      </w:r>
      <w:proofErr w:type="spellStart"/>
      <w:r w:rsidRPr="004F51D8">
        <w:rPr>
          <w:szCs w:val="24"/>
        </w:rPr>
        <w:t>Grecos</w:t>
      </w:r>
      <w:proofErr w:type="spellEnd"/>
      <w:r w:rsidRPr="004F51D8">
        <w:rPr>
          <w:szCs w:val="24"/>
        </w:rPr>
        <w:t xml:space="preserve">’ attorney, Ryan </w:t>
      </w:r>
      <w:proofErr w:type="spellStart"/>
      <w:r w:rsidRPr="004F51D8">
        <w:rPr>
          <w:szCs w:val="24"/>
        </w:rPr>
        <w:t>Milun</w:t>
      </w:r>
      <w:proofErr w:type="spellEnd"/>
      <w:r w:rsidRPr="004F51D8">
        <w:rPr>
          <w:szCs w:val="24"/>
        </w:rPr>
        <w:t xml:space="preserve">.  Isola told </w:t>
      </w:r>
      <w:proofErr w:type="spellStart"/>
      <w:r w:rsidRPr="004F51D8">
        <w:rPr>
          <w:szCs w:val="24"/>
        </w:rPr>
        <w:t>Milun</w:t>
      </w:r>
      <w:proofErr w:type="spellEnd"/>
      <w:r w:rsidRPr="004F51D8">
        <w:rPr>
          <w:szCs w:val="24"/>
        </w:rPr>
        <w:t xml:space="preserve"> that the </w:t>
      </w:r>
      <w:proofErr w:type="spellStart"/>
      <w:r w:rsidRPr="004F51D8">
        <w:rPr>
          <w:szCs w:val="24"/>
        </w:rPr>
        <w:t>Hahns</w:t>
      </w:r>
      <w:proofErr w:type="spellEnd"/>
      <w:r w:rsidRPr="004F51D8">
        <w:rPr>
          <w:szCs w:val="24"/>
        </w:rPr>
        <w:t xml:space="preserve"> would only pay what Travelers would cover.  Isola </w:t>
      </w:r>
      <w:r w:rsidR="00026709">
        <w:rPr>
          <w:szCs w:val="24"/>
        </w:rPr>
        <w:t xml:space="preserve">and </w:t>
      </w:r>
      <w:proofErr w:type="spellStart"/>
      <w:r w:rsidR="00026709">
        <w:rPr>
          <w:szCs w:val="24"/>
        </w:rPr>
        <w:t>Milun</w:t>
      </w:r>
      <w:proofErr w:type="spellEnd"/>
      <w:r w:rsidR="00026709">
        <w:rPr>
          <w:szCs w:val="24"/>
        </w:rPr>
        <w:t xml:space="preserve"> went back and forth on </w:t>
      </w:r>
      <w:r w:rsidR="004408E8">
        <w:rPr>
          <w:szCs w:val="24"/>
        </w:rPr>
        <w:t>what the remediation would</w:t>
      </w:r>
      <w:r w:rsidR="00026709">
        <w:rPr>
          <w:szCs w:val="24"/>
        </w:rPr>
        <w:t xml:space="preserve"> cost, </w:t>
      </w:r>
      <w:r w:rsidR="004408E8">
        <w:rPr>
          <w:szCs w:val="24"/>
        </w:rPr>
        <w:t>ranging</w:t>
      </w:r>
      <w:r w:rsidR="00350C67">
        <w:rPr>
          <w:szCs w:val="24"/>
        </w:rPr>
        <w:t xml:space="preserve"> from </w:t>
      </w:r>
      <w:r w:rsidR="006D6011">
        <w:rPr>
          <w:szCs w:val="24"/>
        </w:rPr>
        <w:t xml:space="preserve">a few </w:t>
      </w:r>
      <w:r w:rsidR="00B717BF">
        <w:rPr>
          <w:szCs w:val="24"/>
        </w:rPr>
        <w:t>hundred</w:t>
      </w:r>
      <w:r w:rsidR="006D6011">
        <w:rPr>
          <w:szCs w:val="24"/>
        </w:rPr>
        <w:t xml:space="preserve"> thousand to </w:t>
      </w:r>
      <w:r w:rsidR="00B717BF">
        <w:rPr>
          <w:szCs w:val="24"/>
        </w:rPr>
        <w:t>two million dollars.</w:t>
      </w:r>
      <w:r w:rsidRPr="004F51D8">
        <w:rPr>
          <w:szCs w:val="24"/>
        </w:rPr>
        <w:t xml:space="preserve">  </w:t>
      </w:r>
      <w:r w:rsidR="0037311B">
        <w:rPr>
          <w:szCs w:val="24"/>
        </w:rPr>
        <w:t>Isola</w:t>
      </w:r>
      <w:r w:rsidRPr="004F51D8">
        <w:rPr>
          <w:szCs w:val="24"/>
        </w:rPr>
        <w:t xml:space="preserve"> did not discuss the </w:t>
      </w:r>
      <w:r w:rsidR="0037311B">
        <w:rPr>
          <w:szCs w:val="24"/>
        </w:rPr>
        <w:t xml:space="preserve">cost </w:t>
      </w:r>
      <w:r w:rsidRPr="004F51D8">
        <w:rPr>
          <w:szCs w:val="24"/>
        </w:rPr>
        <w:t>proposal</w:t>
      </w:r>
      <w:r w:rsidR="0037311B">
        <w:rPr>
          <w:szCs w:val="24"/>
        </w:rPr>
        <w:t>s</w:t>
      </w:r>
      <w:r w:rsidRPr="004F51D8">
        <w:rPr>
          <w:szCs w:val="24"/>
        </w:rPr>
        <w:t xml:space="preserve"> with the </w:t>
      </w:r>
      <w:proofErr w:type="spellStart"/>
      <w:r w:rsidRPr="004F51D8">
        <w:rPr>
          <w:szCs w:val="24"/>
        </w:rPr>
        <w:t>Hahns</w:t>
      </w:r>
      <w:proofErr w:type="spellEnd"/>
      <w:r w:rsidRPr="004F51D8">
        <w:rPr>
          <w:szCs w:val="24"/>
        </w:rPr>
        <w:t xml:space="preserve">.  </w:t>
      </w:r>
    </w:p>
    <w:p w14:paraId="45862ED0" w14:textId="5A1077C7" w:rsidR="00C30CDD" w:rsidRPr="004F51D8" w:rsidRDefault="00C30CDD" w:rsidP="00C30CDD">
      <w:pPr>
        <w:spacing w:line="480" w:lineRule="auto"/>
        <w:ind w:firstLine="720"/>
        <w:rPr>
          <w:szCs w:val="24"/>
        </w:rPr>
      </w:pPr>
      <w:r w:rsidRPr="004F51D8">
        <w:rPr>
          <w:szCs w:val="24"/>
        </w:rPr>
        <w:t>On December</w:t>
      </w:r>
      <w:r w:rsidR="007A638B">
        <w:rPr>
          <w:szCs w:val="24"/>
        </w:rPr>
        <w:t> </w:t>
      </w:r>
      <w:r w:rsidR="002F2625">
        <w:rPr>
          <w:szCs w:val="24"/>
        </w:rPr>
        <w:t>13</w:t>
      </w:r>
      <w:r w:rsidRPr="004F51D8">
        <w:rPr>
          <w:szCs w:val="24"/>
        </w:rPr>
        <w:t xml:space="preserve">, 2016, Isola proposed to </w:t>
      </w:r>
      <w:proofErr w:type="spellStart"/>
      <w:r w:rsidRPr="004F51D8">
        <w:rPr>
          <w:szCs w:val="24"/>
        </w:rPr>
        <w:t>Milun</w:t>
      </w:r>
      <w:proofErr w:type="spellEnd"/>
      <w:r w:rsidRPr="004F51D8">
        <w:rPr>
          <w:szCs w:val="24"/>
        </w:rPr>
        <w:t xml:space="preserve"> that Min-Ku assign the Travelers policies to the </w:t>
      </w:r>
      <w:proofErr w:type="spellStart"/>
      <w:r w:rsidRPr="004F51D8">
        <w:rPr>
          <w:szCs w:val="24"/>
        </w:rPr>
        <w:t>Grecos</w:t>
      </w:r>
      <w:proofErr w:type="spellEnd"/>
      <w:r w:rsidRPr="004F51D8">
        <w:rPr>
          <w:szCs w:val="24"/>
        </w:rPr>
        <w:t xml:space="preserve">.  He had not discussed this with the </w:t>
      </w:r>
      <w:proofErr w:type="spellStart"/>
      <w:r w:rsidRPr="004F51D8">
        <w:rPr>
          <w:szCs w:val="24"/>
        </w:rPr>
        <w:t>Hahns</w:t>
      </w:r>
      <w:proofErr w:type="spellEnd"/>
      <w:r w:rsidRPr="004F51D8">
        <w:rPr>
          <w:szCs w:val="24"/>
        </w:rPr>
        <w:t xml:space="preserve">.  </w:t>
      </w:r>
      <w:proofErr w:type="spellStart"/>
      <w:r w:rsidRPr="004F51D8">
        <w:rPr>
          <w:szCs w:val="24"/>
        </w:rPr>
        <w:t>Milun</w:t>
      </w:r>
      <w:proofErr w:type="spellEnd"/>
      <w:r w:rsidRPr="004F51D8">
        <w:rPr>
          <w:szCs w:val="24"/>
        </w:rPr>
        <w:t xml:space="preserve"> made settlement offers, proposing that the </w:t>
      </w:r>
      <w:proofErr w:type="spellStart"/>
      <w:r w:rsidRPr="004F51D8">
        <w:rPr>
          <w:szCs w:val="24"/>
        </w:rPr>
        <w:t>Hahns</w:t>
      </w:r>
      <w:proofErr w:type="spellEnd"/>
      <w:r w:rsidRPr="004F51D8">
        <w:rPr>
          <w:szCs w:val="24"/>
        </w:rPr>
        <w:t xml:space="preserve"> pay over $1.5</w:t>
      </w:r>
      <w:r w:rsidR="007A638B">
        <w:rPr>
          <w:szCs w:val="24"/>
        </w:rPr>
        <w:t> </w:t>
      </w:r>
      <w:r w:rsidRPr="004F51D8">
        <w:rPr>
          <w:szCs w:val="24"/>
        </w:rPr>
        <w:t xml:space="preserve">million.  Travelers then </w:t>
      </w:r>
      <w:r w:rsidR="00A80CC4">
        <w:rPr>
          <w:szCs w:val="24"/>
        </w:rPr>
        <w:t>asserted</w:t>
      </w:r>
      <w:r w:rsidRPr="004F51D8">
        <w:rPr>
          <w:szCs w:val="24"/>
        </w:rPr>
        <w:t xml:space="preserve"> that it would not consent to an assignment of the </w:t>
      </w:r>
      <w:proofErr w:type="spellStart"/>
      <w:r w:rsidRPr="004F51D8">
        <w:rPr>
          <w:szCs w:val="24"/>
        </w:rPr>
        <w:t>Hahns</w:t>
      </w:r>
      <w:proofErr w:type="spellEnd"/>
      <w:r w:rsidRPr="004F51D8">
        <w:rPr>
          <w:szCs w:val="24"/>
        </w:rPr>
        <w:t xml:space="preserve">’ policies.  Isola did not </w:t>
      </w:r>
      <w:r w:rsidR="005F0234">
        <w:rPr>
          <w:szCs w:val="24"/>
        </w:rPr>
        <w:t>re</w:t>
      </w:r>
      <w:r w:rsidR="00EE0CF3">
        <w:rPr>
          <w:szCs w:val="24"/>
        </w:rPr>
        <w:t>veal</w:t>
      </w:r>
      <w:r w:rsidRPr="004F51D8">
        <w:rPr>
          <w:szCs w:val="24"/>
        </w:rPr>
        <w:t xml:space="preserve"> this to the </w:t>
      </w:r>
      <w:proofErr w:type="spellStart"/>
      <w:r w:rsidRPr="004F51D8">
        <w:rPr>
          <w:szCs w:val="24"/>
        </w:rPr>
        <w:t>Hahns</w:t>
      </w:r>
      <w:proofErr w:type="spellEnd"/>
      <w:r w:rsidRPr="004F51D8">
        <w:rPr>
          <w:szCs w:val="24"/>
        </w:rPr>
        <w:t xml:space="preserve"> or </w:t>
      </w:r>
      <w:proofErr w:type="spellStart"/>
      <w:r w:rsidRPr="004F51D8">
        <w:rPr>
          <w:szCs w:val="24"/>
        </w:rPr>
        <w:t>Milun</w:t>
      </w:r>
      <w:proofErr w:type="spellEnd"/>
      <w:r w:rsidRPr="004F51D8">
        <w:rPr>
          <w:szCs w:val="24"/>
        </w:rPr>
        <w:t xml:space="preserve"> because he did not believe Travelers’ position was “binding or material or relevant.”  In January 2017, </w:t>
      </w:r>
      <w:proofErr w:type="spellStart"/>
      <w:r w:rsidRPr="004F51D8">
        <w:rPr>
          <w:szCs w:val="24"/>
        </w:rPr>
        <w:t>Milun</w:t>
      </w:r>
      <w:proofErr w:type="spellEnd"/>
      <w:r w:rsidRPr="004F51D8">
        <w:rPr>
          <w:szCs w:val="24"/>
        </w:rPr>
        <w:t xml:space="preserve"> again made a $1.5 million demand</w:t>
      </w:r>
      <w:r w:rsidR="00196080">
        <w:rPr>
          <w:szCs w:val="24"/>
        </w:rPr>
        <w:t xml:space="preserve"> to Isola</w:t>
      </w:r>
      <w:r w:rsidRPr="004F51D8">
        <w:rPr>
          <w:szCs w:val="24"/>
        </w:rPr>
        <w:t xml:space="preserve"> for settlement.</w:t>
      </w:r>
      <w:r w:rsidR="00935D7E">
        <w:rPr>
          <w:szCs w:val="24"/>
        </w:rPr>
        <w:t xml:space="preserve">  </w:t>
      </w:r>
      <w:r w:rsidR="00CA4DE4" w:rsidRPr="004F51D8">
        <w:rPr>
          <w:szCs w:val="24"/>
        </w:rPr>
        <w:t xml:space="preserve">Isola tentatively agreed, without consulting the </w:t>
      </w:r>
      <w:proofErr w:type="spellStart"/>
      <w:r w:rsidR="00CA4DE4" w:rsidRPr="004F51D8">
        <w:rPr>
          <w:szCs w:val="24"/>
        </w:rPr>
        <w:t>Hahns</w:t>
      </w:r>
      <w:proofErr w:type="spellEnd"/>
      <w:r w:rsidR="00CA4DE4" w:rsidRPr="004F51D8">
        <w:rPr>
          <w:szCs w:val="24"/>
        </w:rPr>
        <w:t xml:space="preserve">, subject to a </w:t>
      </w:r>
      <w:r w:rsidR="00EE0CF3">
        <w:rPr>
          <w:szCs w:val="24"/>
        </w:rPr>
        <w:t>condition</w:t>
      </w:r>
      <w:r w:rsidR="00BD1ACA">
        <w:rPr>
          <w:szCs w:val="24"/>
        </w:rPr>
        <w:t xml:space="preserve"> </w:t>
      </w:r>
      <w:r w:rsidR="00CA4DE4" w:rsidRPr="004F51D8">
        <w:rPr>
          <w:szCs w:val="24"/>
        </w:rPr>
        <w:t xml:space="preserve">that limited the </w:t>
      </w:r>
      <w:proofErr w:type="spellStart"/>
      <w:r w:rsidR="00CA4DE4" w:rsidRPr="004F51D8">
        <w:rPr>
          <w:szCs w:val="24"/>
        </w:rPr>
        <w:t>Grecos</w:t>
      </w:r>
      <w:proofErr w:type="spellEnd"/>
      <w:r w:rsidR="00CA4DE4" w:rsidRPr="004F51D8">
        <w:rPr>
          <w:szCs w:val="24"/>
        </w:rPr>
        <w:t xml:space="preserve"> to</w:t>
      </w:r>
      <w:r w:rsidR="00D46256">
        <w:rPr>
          <w:szCs w:val="24"/>
        </w:rPr>
        <w:t xml:space="preserve"> obtaining the money only from</w:t>
      </w:r>
      <w:r w:rsidR="00CA4DE4" w:rsidRPr="004F51D8">
        <w:rPr>
          <w:szCs w:val="24"/>
        </w:rPr>
        <w:t xml:space="preserve"> the </w:t>
      </w:r>
      <w:proofErr w:type="spellStart"/>
      <w:r w:rsidR="00CA4DE4" w:rsidRPr="004F51D8">
        <w:rPr>
          <w:szCs w:val="24"/>
        </w:rPr>
        <w:t>Hahns</w:t>
      </w:r>
      <w:proofErr w:type="spellEnd"/>
      <w:r w:rsidR="00CA4DE4" w:rsidRPr="004F51D8">
        <w:rPr>
          <w:szCs w:val="24"/>
        </w:rPr>
        <w:t xml:space="preserve">’ insurance coverage.  </w:t>
      </w:r>
    </w:p>
    <w:p w14:paraId="04DAC3CA" w14:textId="5262F180" w:rsidR="007B473D" w:rsidRDefault="00CA4DE4" w:rsidP="007B473D">
      <w:pPr>
        <w:spacing w:line="480" w:lineRule="auto"/>
        <w:ind w:firstLine="720"/>
        <w:rPr>
          <w:szCs w:val="24"/>
        </w:rPr>
      </w:pPr>
      <w:proofErr w:type="spellStart"/>
      <w:r w:rsidRPr="004F51D8">
        <w:rPr>
          <w:szCs w:val="24"/>
        </w:rPr>
        <w:lastRenderedPageBreak/>
        <w:t>Milun</w:t>
      </w:r>
      <w:proofErr w:type="spellEnd"/>
      <w:r w:rsidRPr="004F51D8">
        <w:rPr>
          <w:szCs w:val="24"/>
        </w:rPr>
        <w:t xml:space="preserve"> and Isola then began to </w:t>
      </w:r>
      <w:r w:rsidR="006C602A">
        <w:rPr>
          <w:szCs w:val="24"/>
        </w:rPr>
        <w:t>pr</w:t>
      </w:r>
      <w:r w:rsidR="009266F4">
        <w:rPr>
          <w:szCs w:val="24"/>
        </w:rPr>
        <w:t>epare</w:t>
      </w:r>
      <w:r w:rsidRPr="004F51D8">
        <w:rPr>
          <w:szCs w:val="24"/>
        </w:rPr>
        <w:t xml:space="preserve"> the settlement agreement.</w:t>
      </w:r>
      <w:r w:rsidR="00BF4619">
        <w:rPr>
          <w:szCs w:val="24"/>
        </w:rPr>
        <w:t xml:space="preserve">  </w:t>
      </w:r>
      <w:r w:rsidR="00E94D0E">
        <w:rPr>
          <w:szCs w:val="24"/>
        </w:rPr>
        <w:t xml:space="preserve">Multiple versions of the settlement agreement were </w:t>
      </w:r>
      <w:r w:rsidR="009266F4">
        <w:rPr>
          <w:szCs w:val="24"/>
        </w:rPr>
        <w:t>drafted</w:t>
      </w:r>
      <w:r w:rsidR="00147D27">
        <w:rPr>
          <w:szCs w:val="24"/>
        </w:rPr>
        <w:t xml:space="preserve">, including one version with </w:t>
      </w:r>
      <w:r w:rsidR="009266F4">
        <w:rPr>
          <w:szCs w:val="24"/>
        </w:rPr>
        <w:t>the</w:t>
      </w:r>
      <w:r w:rsidR="00147D27">
        <w:rPr>
          <w:szCs w:val="24"/>
        </w:rPr>
        <w:t xml:space="preserve"> erroneous statement that Travelers had not </w:t>
      </w:r>
      <w:r w:rsidR="00A03052">
        <w:rPr>
          <w:szCs w:val="24"/>
        </w:rPr>
        <w:t xml:space="preserve">objected to the settlement.  </w:t>
      </w:r>
      <w:r w:rsidR="007B473D">
        <w:rPr>
          <w:szCs w:val="24"/>
        </w:rPr>
        <w:t>Travelers</w:t>
      </w:r>
      <w:r w:rsidR="00D04B7E">
        <w:rPr>
          <w:szCs w:val="24"/>
        </w:rPr>
        <w:t xml:space="preserve"> had</w:t>
      </w:r>
      <w:r w:rsidR="007B473D">
        <w:rPr>
          <w:szCs w:val="24"/>
        </w:rPr>
        <w:t xml:space="preserve"> told Isola on March</w:t>
      </w:r>
      <w:r w:rsidR="007A638B">
        <w:rPr>
          <w:szCs w:val="24"/>
        </w:rPr>
        <w:t> </w:t>
      </w:r>
      <w:r w:rsidR="007B473D">
        <w:rPr>
          <w:szCs w:val="24"/>
        </w:rPr>
        <w:t xml:space="preserve">17, 2017, that it did not agree with the settlement.  </w:t>
      </w:r>
    </w:p>
    <w:p w14:paraId="2193908D" w14:textId="6457AA69" w:rsidR="007B473D" w:rsidRDefault="007B473D" w:rsidP="00403DCE">
      <w:pPr>
        <w:spacing w:line="480" w:lineRule="auto"/>
        <w:ind w:firstLine="720"/>
        <w:rPr>
          <w:szCs w:val="24"/>
        </w:rPr>
      </w:pPr>
      <w:r w:rsidRPr="004F51D8">
        <w:rPr>
          <w:szCs w:val="24"/>
        </w:rPr>
        <w:t xml:space="preserve">Meanwhile, the </w:t>
      </w:r>
      <w:proofErr w:type="spellStart"/>
      <w:r w:rsidRPr="004F51D8">
        <w:rPr>
          <w:szCs w:val="24"/>
        </w:rPr>
        <w:t>Grecos</w:t>
      </w:r>
      <w:proofErr w:type="spellEnd"/>
      <w:r w:rsidRPr="004F51D8">
        <w:rPr>
          <w:szCs w:val="24"/>
        </w:rPr>
        <w:t xml:space="preserve"> had filed a separate lawsuit in January 2017 against the </w:t>
      </w:r>
      <w:proofErr w:type="spellStart"/>
      <w:r w:rsidRPr="004F51D8">
        <w:rPr>
          <w:szCs w:val="24"/>
        </w:rPr>
        <w:t>Hahns</w:t>
      </w:r>
      <w:proofErr w:type="spellEnd"/>
      <w:r w:rsidRPr="004F51D8">
        <w:rPr>
          <w:szCs w:val="24"/>
        </w:rPr>
        <w:t xml:space="preserve"> alleging a breach of a lease guarantee (lease guarantee lawsuit)</w:t>
      </w:r>
      <w:r w:rsidR="007D128C">
        <w:rPr>
          <w:szCs w:val="24"/>
        </w:rPr>
        <w:t>;</w:t>
      </w:r>
      <w:r w:rsidRPr="004F51D8">
        <w:rPr>
          <w:szCs w:val="24"/>
        </w:rPr>
        <w:t xml:space="preserve"> Peter Kim represented Gregory</w:t>
      </w:r>
      <w:r w:rsidR="00A863D2">
        <w:rPr>
          <w:szCs w:val="24"/>
        </w:rPr>
        <w:t xml:space="preserve"> in the lease guarantee </w:t>
      </w:r>
      <w:r w:rsidR="00D71F9F">
        <w:rPr>
          <w:szCs w:val="24"/>
        </w:rPr>
        <w:t>law</w:t>
      </w:r>
      <w:r w:rsidR="00A863D2">
        <w:rPr>
          <w:szCs w:val="24"/>
        </w:rPr>
        <w:t>suit</w:t>
      </w:r>
      <w:r w:rsidRPr="004F51D8">
        <w:rPr>
          <w:szCs w:val="24"/>
        </w:rPr>
        <w:t xml:space="preserve">.  </w:t>
      </w:r>
      <w:proofErr w:type="spellStart"/>
      <w:r w:rsidRPr="004F51D8">
        <w:rPr>
          <w:szCs w:val="24"/>
        </w:rPr>
        <w:t>Milun</w:t>
      </w:r>
      <w:proofErr w:type="spellEnd"/>
      <w:r w:rsidRPr="004F51D8">
        <w:rPr>
          <w:szCs w:val="24"/>
        </w:rPr>
        <w:t xml:space="preserve"> told Kim of the </w:t>
      </w:r>
      <w:r w:rsidR="00B50A50">
        <w:rPr>
          <w:szCs w:val="24"/>
        </w:rPr>
        <w:t xml:space="preserve">2016 </w:t>
      </w:r>
      <w:r w:rsidRPr="004F51D8">
        <w:rPr>
          <w:szCs w:val="24"/>
        </w:rPr>
        <w:t>environmental lawsuit</w:t>
      </w:r>
      <w:r w:rsidR="002B5D6F">
        <w:rPr>
          <w:szCs w:val="24"/>
        </w:rPr>
        <w:t>, and</w:t>
      </w:r>
      <w:r w:rsidRPr="004F51D8">
        <w:rPr>
          <w:szCs w:val="24"/>
        </w:rPr>
        <w:t xml:space="preserve"> Kim </w:t>
      </w:r>
      <w:r w:rsidR="00DC1B9A">
        <w:rPr>
          <w:szCs w:val="24"/>
        </w:rPr>
        <w:t xml:space="preserve">thereafter </w:t>
      </w:r>
      <w:r w:rsidRPr="004F51D8">
        <w:rPr>
          <w:szCs w:val="24"/>
        </w:rPr>
        <w:t xml:space="preserve">informed Gregory.  </w:t>
      </w:r>
      <w:r w:rsidR="000A606C" w:rsidRPr="004F51D8">
        <w:rPr>
          <w:szCs w:val="24"/>
        </w:rPr>
        <w:t xml:space="preserve">Isola learned from </w:t>
      </w:r>
      <w:proofErr w:type="spellStart"/>
      <w:r w:rsidR="000A606C" w:rsidRPr="004F51D8">
        <w:rPr>
          <w:szCs w:val="24"/>
        </w:rPr>
        <w:t>Milun</w:t>
      </w:r>
      <w:proofErr w:type="spellEnd"/>
      <w:r w:rsidR="000A606C" w:rsidRPr="004F51D8">
        <w:rPr>
          <w:szCs w:val="24"/>
        </w:rPr>
        <w:t xml:space="preserve"> that Kim was representing Gregory in the lease guarantee lawsuit.  </w:t>
      </w:r>
      <w:r w:rsidR="00F175B0">
        <w:rPr>
          <w:szCs w:val="24"/>
        </w:rPr>
        <w:t xml:space="preserve">On March 27, 2017, </w:t>
      </w:r>
      <w:r w:rsidR="000A606C" w:rsidRPr="004F51D8">
        <w:rPr>
          <w:szCs w:val="24"/>
        </w:rPr>
        <w:t xml:space="preserve">Isola </w:t>
      </w:r>
      <w:r w:rsidR="00F175B0">
        <w:rPr>
          <w:szCs w:val="24"/>
        </w:rPr>
        <w:t>emailed</w:t>
      </w:r>
      <w:r w:rsidR="000A606C" w:rsidRPr="004F51D8">
        <w:rPr>
          <w:szCs w:val="24"/>
        </w:rPr>
        <w:t xml:space="preserve"> Kim</w:t>
      </w:r>
      <w:r w:rsidR="00F175B0">
        <w:rPr>
          <w:szCs w:val="24"/>
        </w:rPr>
        <w:t xml:space="preserve">, introducing himself and informing Kim </w:t>
      </w:r>
      <w:r w:rsidR="000A606C" w:rsidRPr="004F51D8">
        <w:rPr>
          <w:szCs w:val="24"/>
        </w:rPr>
        <w:t>of the settlement agreement involving Min-Ku</w:t>
      </w:r>
      <w:r w:rsidR="00F175B0">
        <w:rPr>
          <w:szCs w:val="24"/>
        </w:rPr>
        <w:t xml:space="preserve">.  Isola </w:t>
      </w:r>
      <w:r w:rsidR="000A606C" w:rsidRPr="004F51D8">
        <w:rPr>
          <w:szCs w:val="24"/>
        </w:rPr>
        <w:t xml:space="preserve">asked for assistance in contacting the </w:t>
      </w:r>
      <w:proofErr w:type="spellStart"/>
      <w:r w:rsidR="000A606C" w:rsidRPr="004F51D8">
        <w:rPr>
          <w:szCs w:val="24"/>
        </w:rPr>
        <w:t>Hahns</w:t>
      </w:r>
      <w:proofErr w:type="spellEnd"/>
      <w:r w:rsidR="000A606C" w:rsidRPr="004F51D8">
        <w:rPr>
          <w:szCs w:val="24"/>
        </w:rPr>
        <w:t xml:space="preserve">.  </w:t>
      </w:r>
    </w:p>
    <w:p w14:paraId="45F173C2" w14:textId="4CDF49E2" w:rsidR="00CA4DE4" w:rsidRPr="004F51D8" w:rsidRDefault="00F175B0" w:rsidP="00CA4DE4">
      <w:pPr>
        <w:spacing w:line="480" w:lineRule="auto"/>
        <w:ind w:firstLine="720"/>
        <w:rPr>
          <w:szCs w:val="24"/>
        </w:rPr>
      </w:pPr>
      <w:r>
        <w:rPr>
          <w:szCs w:val="24"/>
        </w:rPr>
        <w:t xml:space="preserve">Attached to the March 27 email was </w:t>
      </w:r>
      <w:r w:rsidR="00AD2CD2">
        <w:rPr>
          <w:szCs w:val="24"/>
        </w:rPr>
        <w:t>a</w:t>
      </w:r>
      <w:r w:rsidR="00A03052">
        <w:rPr>
          <w:szCs w:val="24"/>
        </w:rPr>
        <w:t xml:space="preserve"> </w:t>
      </w:r>
      <w:r w:rsidR="00D028FA">
        <w:rPr>
          <w:szCs w:val="24"/>
        </w:rPr>
        <w:t>draft of the settlement agreement containing the erroneous statement</w:t>
      </w:r>
      <w:r w:rsidR="00BF5407">
        <w:rPr>
          <w:szCs w:val="24"/>
        </w:rPr>
        <w:t xml:space="preserve"> </w:t>
      </w:r>
      <w:r w:rsidR="0032389C">
        <w:rPr>
          <w:szCs w:val="24"/>
        </w:rPr>
        <w:t>about</w:t>
      </w:r>
      <w:r w:rsidR="00BF5407">
        <w:rPr>
          <w:szCs w:val="24"/>
        </w:rPr>
        <w:t xml:space="preserve"> Travelers’ position on the settlement</w:t>
      </w:r>
      <w:r w:rsidR="00D028FA">
        <w:rPr>
          <w:szCs w:val="24"/>
        </w:rPr>
        <w:t>.</w:t>
      </w:r>
      <w:r w:rsidR="00AD2CD2">
        <w:rPr>
          <w:szCs w:val="24"/>
        </w:rPr>
        <w:t xml:space="preserve">  </w:t>
      </w:r>
      <w:r w:rsidR="00A277D3">
        <w:rPr>
          <w:szCs w:val="24"/>
        </w:rPr>
        <w:t xml:space="preserve">Isola was not aware the draft sent to Kim </w:t>
      </w:r>
      <w:r w:rsidR="00FC3FD1">
        <w:rPr>
          <w:szCs w:val="24"/>
        </w:rPr>
        <w:t>contained the erro</w:t>
      </w:r>
      <w:r w:rsidR="002B49A3">
        <w:rPr>
          <w:szCs w:val="24"/>
        </w:rPr>
        <w:t>r</w:t>
      </w:r>
      <w:r w:rsidR="00403DCE">
        <w:rPr>
          <w:szCs w:val="24"/>
        </w:rPr>
        <w:t>.  Isola believed the version being used stated</w:t>
      </w:r>
      <w:r w:rsidR="00FC3FD1">
        <w:rPr>
          <w:szCs w:val="24"/>
        </w:rPr>
        <w:t xml:space="preserve"> that Travelers had been informed of the settlement negotiations, with no </w:t>
      </w:r>
      <w:r w:rsidR="00683168">
        <w:rPr>
          <w:szCs w:val="24"/>
        </w:rPr>
        <w:t>indication of Travelers’ position.</w:t>
      </w:r>
      <w:r w:rsidR="00FC4B59">
        <w:rPr>
          <w:rStyle w:val="FootnoteReference"/>
          <w:szCs w:val="24"/>
        </w:rPr>
        <w:footnoteReference w:id="17"/>
      </w:r>
      <w:r w:rsidR="00AD2CD2">
        <w:rPr>
          <w:szCs w:val="24"/>
        </w:rPr>
        <w:t xml:space="preserve">  On April 12, Isola emailed Kim a summary of a recent status conference with the court in the 2016 environmental lawsuit.  The email was silent as to Travelers’ objection.</w:t>
      </w:r>
      <w:r w:rsidR="00E9786C">
        <w:rPr>
          <w:szCs w:val="24"/>
        </w:rPr>
        <w:t xml:space="preserve">  </w:t>
      </w:r>
    </w:p>
    <w:p w14:paraId="6E797D4F" w14:textId="0681A1B6" w:rsidR="00EC7BA7" w:rsidRDefault="003637A8" w:rsidP="00CA61E6">
      <w:pPr>
        <w:spacing w:line="480" w:lineRule="auto"/>
        <w:ind w:firstLine="720"/>
        <w:rPr>
          <w:szCs w:val="24"/>
        </w:rPr>
      </w:pPr>
      <w:r>
        <w:rPr>
          <w:szCs w:val="24"/>
        </w:rPr>
        <w:t xml:space="preserve">Another insurance company, Hartford, then notified </w:t>
      </w:r>
      <w:proofErr w:type="spellStart"/>
      <w:r>
        <w:rPr>
          <w:szCs w:val="24"/>
        </w:rPr>
        <w:t>Milun</w:t>
      </w:r>
      <w:proofErr w:type="spellEnd"/>
      <w:r>
        <w:rPr>
          <w:szCs w:val="24"/>
        </w:rPr>
        <w:t xml:space="preserve"> </w:t>
      </w:r>
      <w:r w:rsidR="00265E49">
        <w:rPr>
          <w:szCs w:val="24"/>
        </w:rPr>
        <w:t>of</w:t>
      </w:r>
      <w:r w:rsidR="00780C1B">
        <w:rPr>
          <w:szCs w:val="24"/>
        </w:rPr>
        <w:t xml:space="preserve"> additional insurance policies for the </w:t>
      </w:r>
      <w:proofErr w:type="spellStart"/>
      <w:r w:rsidR="00780C1B">
        <w:rPr>
          <w:szCs w:val="24"/>
        </w:rPr>
        <w:t>Hahns</w:t>
      </w:r>
      <w:proofErr w:type="spellEnd"/>
      <w:r w:rsidR="00780C1B">
        <w:rPr>
          <w:szCs w:val="24"/>
        </w:rPr>
        <w:t xml:space="preserve">’ business from Hartford.  </w:t>
      </w:r>
      <w:r w:rsidR="008130D7" w:rsidRPr="004F51D8">
        <w:rPr>
          <w:szCs w:val="24"/>
        </w:rPr>
        <w:t>Isola proposed</w:t>
      </w:r>
      <w:r w:rsidR="00263C59">
        <w:rPr>
          <w:szCs w:val="24"/>
        </w:rPr>
        <w:t xml:space="preserve"> to </w:t>
      </w:r>
      <w:proofErr w:type="spellStart"/>
      <w:r w:rsidR="00263C59">
        <w:rPr>
          <w:szCs w:val="24"/>
        </w:rPr>
        <w:t>Milun</w:t>
      </w:r>
      <w:proofErr w:type="spellEnd"/>
      <w:r w:rsidR="00263C59">
        <w:rPr>
          <w:szCs w:val="24"/>
        </w:rPr>
        <w:t xml:space="preserve"> and Kim</w:t>
      </w:r>
      <w:r w:rsidR="008130D7" w:rsidRPr="004F51D8">
        <w:rPr>
          <w:szCs w:val="24"/>
        </w:rPr>
        <w:t xml:space="preserve"> that the </w:t>
      </w:r>
      <w:r w:rsidR="008130D7" w:rsidRPr="004F51D8">
        <w:rPr>
          <w:szCs w:val="24"/>
        </w:rPr>
        <w:lastRenderedPageBreak/>
        <w:t xml:space="preserve">Hartford policies could be assigned to the </w:t>
      </w:r>
      <w:proofErr w:type="spellStart"/>
      <w:r w:rsidR="008130D7" w:rsidRPr="004F51D8">
        <w:rPr>
          <w:szCs w:val="24"/>
        </w:rPr>
        <w:t>Grecos</w:t>
      </w:r>
      <w:proofErr w:type="spellEnd"/>
      <w:r w:rsidR="008130D7" w:rsidRPr="004F51D8">
        <w:rPr>
          <w:szCs w:val="24"/>
        </w:rPr>
        <w:t xml:space="preserve">, which could resolve </w:t>
      </w:r>
      <w:r w:rsidR="001D4A1E" w:rsidRPr="004F51D8">
        <w:rPr>
          <w:szCs w:val="24"/>
        </w:rPr>
        <w:t>all</w:t>
      </w:r>
      <w:r w:rsidR="008130D7" w:rsidRPr="004F51D8">
        <w:rPr>
          <w:szCs w:val="24"/>
        </w:rPr>
        <w:t xml:space="preserve"> the lawsuits.  Gregory discussed the settlement with Kim, but not with Isola.</w:t>
      </w:r>
      <w:r w:rsidR="00777BC2">
        <w:rPr>
          <w:rStyle w:val="FootnoteReference"/>
          <w:szCs w:val="24"/>
        </w:rPr>
        <w:footnoteReference w:id="18"/>
      </w:r>
      <w:r w:rsidR="008130D7" w:rsidRPr="004F51D8">
        <w:rPr>
          <w:szCs w:val="24"/>
        </w:rPr>
        <w:t xml:space="preserve">  </w:t>
      </w:r>
    </w:p>
    <w:p w14:paraId="767752B6" w14:textId="32EFB685" w:rsidR="002B0FC4" w:rsidRDefault="0037499B" w:rsidP="00D279F9">
      <w:pPr>
        <w:spacing w:line="480" w:lineRule="auto"/>
        <w:ind w:firstLine="720"/>
        <w:rPr>
          <w:szCs w:val="24"/>
        </w:rPr>
      </w:pPr>
      <w:r>
        <w:rPr>
          <w:szCs w:val="24"/>
        </w:rPr>
        <w:t>During April</w:t>
      </w:r>
      <w:r w:rsidR="00F306D2">
        <w:rPr>
          <w:szCs w:val="24"/>
        </w:rPr>
        <w:t xml:space="preserve"> </w:t>
      </w:r>
      <w:r w:rsidR="002B2E4A">
        <w:rPr>
          <w:szCs w:val="24"/>
        </w:rPr>
        <w:t>discussions as to</w:t>
      </w:r>
      <w:r w:rsidR="00051EE2">
        <w:rPr>
          <w:szCs w:val="24"/>
        </w:rPr>
        <w:t xml:space="preserve"> who would sign the settlement agreement, the parties learned that Min-Ku was actually Gregory</w:t>
      </w:r>
      <w:r w:rsidR="006B33C7">
        <w:rPr>
          <w:szCs w:val="24"/>
        </w:rPr>
        <w:t>’s name, not his mother’s.</w:t>
      </w:r>
      <w:r w:rsidR="006B33C7">
        <w:rPr>
          <w:rStyle w:val="FootnoteReference"/>
          <w:szCs w:val="24"/>
        </w:rPr>
        <w:footnoteReference w:id="19"/>
      </w:r>
      <w:r w:rsidR="00620764">
        <w:rPr>
          <w:szCs w:val="24"/>
        </w:rPr>
        <w:t xml:space="preserve">  </w:t>
      </w:r>
      <w:r w:rsidR="008130D7" w:rsidRPr="004F51D8">
        <w:rPr>
          <w:szCs w:val="24"/>
        </w:rPr>
        <w:t>On May</w:t>
      </w:r>
      <w:r w:rsidR="007A638B">
        <w:rPr>
          <w:szCs w:val="24"/>
        </w:rPr>
        <w:t> </w:t>
      </w:r>
      <w:r w:rsidR="008130D7" w:rsidRPr="004F51D8">
        <w:rPr>
          <w:szCs w:val="24"/>
        </w:rPr>
        <w:t>1, 2017, Gregory approved the agreement</w:t>
      </w:r>
      <w:r w:rsidR="005D4B09">
        <w:rPr>
          <w:szCs w:val="24"/>
        </w:rPr>
        <w:t xml:space="preserve"> and </w:t>
      </w:r>
      <w:r w:rsidR="009F6B69">
        <w:rPr>
          <w:szCs w:val="24"/>
        </w:rPr>
        <w:t>arranged for his mother to sign it.</w:t>
      </w:r>
      <w:r w:rsidR="00D279F9">
        <w:rPr>
          <w:szCs w:val="24"/>
        </w:rPr>
        <w:t xml:space="preserve">  </w:t>
      </w:r>
      <w:r w:rsidR="008130D7" w:rsidRPr="004F51D8">
        <w:rPr>
          <w:szCs w:val="24"/>
        </w:rPr>
        <w:t xml:space="preserve">The </w:t>
      </w:r>
      <w:r w:rsidR="00B75DDD">
        <w:rPr>
          <w:szCs w:val="24"/>
        </w:rPr>
        <w:t>settle</w:t>
      </w:r>
      <w:r w:rsidR="00BE7344">
        <w:rPr>
          <w:szCs w:val="24"/>
        </w:rPr>
        <w:t>ment</w:t>
      </w:r>
      <w:r w:rsidR="00B75DDD">
        <w:rPr>
          <w:szCs w:val="24"/>
        </w:rPr>
        <w:t xml:space="preserve"> </w:t>
      </w:r>
      <w:r w:rsidR="008130D7" w:rsidRPr="004F51D8">
        <w:rPr>
          <w:szCs w:val="24"/>
        </w:rPr>
        <w:t xml:space="preserve">agreement </w:t>
      </w:r>
      <w:r w:rsidR="00B75DDD">
        <w:rPr>
          <w:szCs w:val="24"/>
        </w:rPr>
        <w:t xml:space="preserve">between the </w:t>
      </w:r>
      <w:proofErr w:type="spellStart"/>
      <w:r w:rsidR="00B75DDD">
        <w:rPr>
          <w:szCs w:val="24"/>
        </w:rPr>
        <w:t>Grecos</w:t>
      </w:r>
      <w:proofErr w:type="spellEnd"/>
      <w:r w:rsidR="00B75DDD">
        <w:rPr>
          <w:szCs w:val="24"/>
        </w:rPr>
        <w:t xml:space="preserve"> and the </w:t>
      </w:r>
      <w:proofErr w:type="spellStart"/>
      <w:r w:rsidR="00B75DDD">
        <w:rPr>
          <w:szCs w:val="24"/>
        </w:rPr>
        <w:t>Hahns</w:t>
      </w:r>
      <w:proofErr w:type="spellEnd"/>
      <w:r w:rsidR="00B75DDD">
        <w:rPr>
          <w:szCs w:val="24"/>
        </w:rPr>
        <w:t xml:space="preserve"> </w:t>
      </w:r>
      <w:r w:rsidR="008130D7" w:rsidRPr="004F51D8">
        <w:rPr>
          <w:szCs w:val="24"/>
        </w:rPr>
        <w:t>was executed on May</w:t>
      </w:r>
      <w:r w:rsidR="007A638B">
        <w:rPr>
          <w:szCs w:val="24"/>
        </w:rPr>
        <w:t> </w:t>
      </w:r>
      <w:r w:rsidR="008130D7" w:rsidRPr="004F51D8">
        <w:rPr>
          <w:szCs w:val="24"/>
        </w:rPr>
        <w:t xml:space="preserve">11, 2017, and signed by Chung </w:t>
      </w:r>
      <w:proofErr w:type="spellStart"/>
      <w:r w:rsidR="008130D7" w:rsidRPr="004F51D8">
        <w:rPr>
          <w:szCs w:val="24"/>
        </w:rPr>
        <w:t>Hee</w:t>
      </w:r>
      <w:proofErr w:type="spellEnd"/>
      <w:r w:rsidR="008130D7" w:rsidRPr="004F51D8">
        <w:rPr>
          <w:szCs w:val="24"/>
        </w:rPr>
        <w:t xml:space="preserve">, Gregory’s mother, on behalf of herself and </w:t>
      </w:r>
      <w:r w:rsidR="00BE7344">
        <w:rPr>
          <w:szCs w:val="24"/>
        </w:rPr>
        <w:t>Cameo Cleaners of Fair Lawn</w:t>
      </w:r>
      <w:r w:rsidR="008130D7" w:rsidRPr="004F51D8">
        <w:rPr>
          <w:szCs w:val="24"/>
        </w:rPr>
        <w:t>.</w:t>
      </w:r>
      <w:r w:rsidR="005D5170">
        <w:rPr>
          <w:rStyle w:val="FootnoteReference"/>
          <w:szCs w:val="24"/>
        </w:rPr>
        <w:footnoteReference w:id="20"/>
      </w:r>
      <w:r w:rsidR="00C0020F">
        <w:rPr>
          <w:szCs w:val="24"/>
        </w:rPr>
        <w:t xml:space="preserve">  </w:t>
      </w:r>
      <w:r w:rsidR="008130D7" w:rsidRPr="004F51D8">
        <w:rPr>
          <w:szCs w:val="24"/>
        </w:rPr>
        <w:t xml:space="preserve">The </w:t>
      </w:r>
      <w:proofErr w:type="spellStart"/>
      <w:r w:rsidR="00BC0D5A" w:rsidRPr="004F51D8">
        <w:rPr>
          <w:szCs w:val="24"/>
        </w:rPr>
        <w:t>Hahns</w:t>
      </w:r>
      <w:proofErr w:type="spellEnd"/>
      <w:r w:rsidR="00BC0D5A" w:rsidRPr="004F51D8">
        <w:rPr>
          <w:szCs w:val="24"/>
        </w:rPr>
        <w:t xml:space="preserve"> agreed to</w:t>
      </w:r>
      <w:r w:rsidR="008130D7" w:rsidRPr="004F51D8">
        <w:rPr>
          <w:szCs w:val="24"/>
        </w:rPr>
        <w:t xml:space="preserve"> a $1.5 million consent judgment</w:t>
      </w:r>
      <w:r w:rsidR="00BC0D5A" w:rsidRPr="004F51D8">
        <w:rPr>
          <w:szCs w:val="24"/>
        </w:rPr>
        <w:t xml:space="preserve"> and the </w:t>
      </w:r>
      <w:proofErr w:type="spellStart"/>
      <w:r w:rsidR="00BC0D5A" w:rsidRPr="004F51D8">
        <w:rPr>
          <w:szCs w:val="24"/>
        </w:rPr>
        <w:t>Grecos</w:t>
      </w:r>
      <w:proofErr w:type="spellEnd"/>
      <w:r w:rsidR="00BC0D5A" w:rsidRPr="004F51D8">
        <w:rPr>
          <w:szCs w:val="24"/>
        </w:rPr>
        <w:t xml:space="preserve"> agreed that they could only seek enforcement of the judgment through insurance.</w:t>
      </w:r>
      <w:r w:rsidR="00191EFE" w:rsidRPr="004F51D8">
        <w:rPr>
          <w:rStyle w:val="FootnoteReference"/>
          <w:szCs w:val="24"/>
        </w:rPr>
        <w:footnoteReference w:id="21"/>
      </w:r>
      <w:r w:rsidR="00BC0D5A" w:rsidRPr="004F51D8">
        <w:rPr>
          <w:szCs w:val="24"/>
        </w:rPr>
        <w:t xml:space="preserve">  The </w:t>
      </w:r>
      <w:proofErr w:type="spellStart"/>
      <w:r w:rsidR="00BC0D5A" w:rsidRPr="004F51D8">
        <w:rPr>
          <w:szCs w:val="24"/>
        </w:rPr>
        <w:t>Hahns</w:t>
      </w:r>
      <w:proofErr w:type="spellEnd"/>
      <w:r w:rsidR="00BC0D5A" w:rsidRPr="004F51D8">
        <w:rPr>
          <w:szCs w:val="24"/>
        </w:rPr>
        <w:t xml:space="preserve"> also agreed to assign their proceeds under the insurance policies to the </w:t>
      </w:r>
      <w:proofErr w:type="spellStart"/>
      <w:r w:rsidR="00BC0D5A" w:rsidRPr="004F51D8">
        <w:rPr>
          <w:szCs w:val="24"/>
        </w:rPr>
        <w:t>Grecos</w:t>
      </w:r>
      <w:proofErr w:type="spellEnd"/>
      <w:r w:rsidR="00BC0D5A" w:rsidRPr="004F51D8">
        <w:rPr>
          <w:szCs w:val="24"/>
        </w:rPr>
        <w:t xml:space="preserve">.  </w:t>
      </w:r>
      <w:r w:rsidR="002172A5" w:rsidRPr="004F51D8">
        <w:rPr>
          <w:szCs w:val="24"/>
        </w:rPr>
        <w:t xml:space="preserve">The agreement was not contingent on Travelers’ consent and Isola never informed Kim or </w:t>
      </w:r>
      <w:proofErr w:type="spellStart"/>
      <w:r w:rsidR="002172A5" w:rsidRPr="004F51D8">
        <w:rPr>
          <w:szCs w:val="24"/>
        </w:rPr>
        <w:t>Milun</w:t>
      </w:r>
      <w:proofErr w:type="spellEnd"/>
      <w:r w:rsidR="002172A5" w:rsidRPr="004F51D8">
        <w:rPr>
          <w:szCs w:val="24"/>
        </w:rPr>
        <w:t xml:space="preserve"> that Travelers had objected.  </w:t>
      </w:r>
      <w:r w:rsidR="00FA0F13" w:rsidRPr="004F51D8">
        <w:rPr>
          <w:szCs w:val="24"/>
        </w:rPr>
        <w:t xml:space="preserve">However, Isola did not look at the signed version of the settlement agreement as </w:t>
      </w:r>
      <w:proofErr w:type="spellStart"/>
      <w:r w:rsidR="00FA0F13" w:rsidRPr="004F51D8">
        <w:rPr>
          <w:szCs w:val="24"/>
        </w:rPr>
        <w:t>Milun</w:t>
      </w:r>
      <w:proofErr w:type="spellEnd"/>
      <w:r w:rsidR="00FA0F13" w:rsidRPr="004F51D8">
        <w:rPr>
          <w:szCs w:val="24"/>
        </w:rPr>
        <w:t xml:space="preserve"> and Kim handled the final stages of the settlement.</w:t>
      </w:r>
      <w:r w:rsidR="00191EFE" w:rsidRPr="004F51D8">
        <w:rPr>
          <w:szCs w:val="24"/>
        </w:rPr>
        <w:t xml:space="preserve">  Later, </w:t>
      </w:r>
      <w:r w:rsidR="00691E5F" w:rsidRPr="004F51D8">
        <w:rPr>
          <w:szCs w:val="24"/>
        </w:rPr>
        <w:t>Travelers paid Isola $26,085.69 for his services on behalf of Min-Ku.</w:t>
      </w:r>
      <w:r w:rsidR="00F3620D">
        <w:rPr>
          <w:rStyle w:val="FootnoteReference"/>
          <w:szCs w:val="24"/>
        </w:rPr>
        <w:footnoteReference w:id="22"/>
      </w:r>
    </w:p>
    <w:p w14:paraId="1EBFEC89" w14:textId="54AE2920" w:rsidR="003236D8" w:rsidRPr="004F51D8" w:rsidRDefault="003236D8" w:rsidP="00D279F9">
      <w:pPr>
        <w:spacing w:line="480" w:lineRule="auto"/>
        <w:ind w:firstLine="720"/>
        <w:rPr>
          <w:szCs w:val="24"/>
        </w:rPr>
      </w:pPr>
      <w:r>
        <w:rPr>
          <w:szCs w:val="24"/>
        </w:rPr>
        <w:lastRenderedPageBreak/>
        <w:t xml:space="preserve">Isola’s </w:t>
      </w:r>
      <w:r w:rsidR="00E20F68">
        <w:rPr>
          <w:szCs w:val="24"/>
        </w:rPr>
        <w:t xml:space="preserve">representation of the </w:t>
      </w:r>
      <w:proofErr w:type="spellStart"/>
      <w:r w:rsidR="00E20F68">
        <w:rPr>
          <w:szCs w:val="24"/>
        </w:rPr>
        <w:t>Hahns</w:t>
      </w:r>
      <w:proofErr w:type="spellEnd"/>
      <w:r w:rsidR="00E20F68">
        <w:rPr>
          <w:szCs w:val="24"/>
        </w:rPr>
        <w:t xml:space="preserve"> </w:t>
      </w:r>
      <w:r w:rsidR="00596B77">
        <w:rPr>
          <w:szCs w:val="24"/>
        </w:rPr>
        <w:t>resulted in a positive outcome for his clients.</w:t>
      </w:r>
      <w:r w:rsidR="007A6064">
        <w:rPr>
          <w:szCs w:val="24"/>
        </w:rPr>
        <w:t xml:space="preserve">  The goal of the representation was to find insurance coverage </w:t>
      </w:r>
      <w:r w:rsidR="00C56208">
        <w:rPr>
          <w:szCs w:val="24"/>
        </w:rPr>
        <w:t xml:space="preserve">so that the </w:t>
      </w:r>
      <w:proofErr w:type="spellStart"/>
      <w:r w:rsidR="00C56208">
        <w:rPr>
          <w:szCs w:val="24"/>
        </w:rPr>
        <w:t>Hahns</w:t>
      </w:r>
      <w:proofErr w:type="spellEnd"/>
      <w:r w:rsidR="00C56208">
        <w:rPr>
          <w:szCs w:val="24"/>
        </w:rPr>
        <w:t xml:space="preserve"> would not have to pay out-of-pocket for the remediation.</w:t>
      </w:r>
      <w:r w:rsidR="00596B77">
        <w:rPr>
          <w:szCs w:val="24"/>
        </w:rPr>
        <w:t xml:space="preserve">  </w:t>
      </w:r>
      <w:r w:rsidR="003214F6">
        <w:rPr>
          <w:szCs w:val="24"/>
        </w:rPr>
        <w:t>He</w:t>
      </w:r>
      <w:r w:rsidR="00314B7E">
        <w:rPr>
          <w:szCs w:val="24"/>
        </w:rPr>
        <w:t xml:space="preserve"> i</w:t>
      </w:r>
      <w:r w:rsidR="00651505">
        <w:rPr>
          <w:szCs w:val="24"/>
        </w:rPr>
        <w:t xml:space="preserve">nitiated </w:t>
      </w:r>
      <w:r w:rsidR="00AD7BA8">
        <w:rPr>
          <w:szCs w:val="24"/>
        </w:rPr>
        <w:t>discussions with Travelers</w:t>
      </w:r>
      <w:r w:rsidR="00DD70D8">
        <w:rPr>
          <w:szCs w:val="24"/>
        </w:rPr>
        <w:t xml:space="preserve"> </w:t>
      </w:r>
      <w:r w:rsidR="004A5331">
        <w:rPr>
          <w:szCs w:val="24"/>
        </w:rPr>
        <w:t>so</w:t>
      </w:r>
      <w:r w:rsidR="00DD70D8">
        <w:rPr>
          <w:szCs w:val="24"/>
        </w:rPr>
        <w:t xml:space="preserve"> that</w:t>
      </w:r>
      <w:r w:rsidR="00AD7BA8">
        <w:rPr>
          <w:szCs w:val="24"/>
        </w:rPr>
        <w:t xml:space="preserve"> Travelers </w:t>
      </w:r>
      <w:r w:rsidR="00DD70D8">
        <w:rPr>
          <w:szCs w:val="24"/>
        </w:rPr>
        <w:t>would</w:t>
      </w:r>
      <w:r w:rsidR="00AD7BA8">
        <w:rPr>
          <w:szCs w:val="24"/>
        </w:rPr>
        <w:t xml:space="preserve"> share in the investigation and remediation costs of 31-01</w:t>
      </w:r>
      <w:r w:rsidR="007A638B">
        <w:rPr>
          <w:szCs w:val="24"/>
        </w:rPr>
        <w:t> </w:t>
      </w:r>
      <w:r w:rsidR="00AD7BA8">
        <w:rPr>
          <w:szCs w:val="24"/>
        </w:rPr>
        <w:t>Broadway</w:t>
      </w:r>
      <w:r w:rsidR="00D818A4">
        <w:rPr>
          <w:szCs w:val="24"/>
        </w:rPr>
        <w:t xml:space="preserve"> with the </w:t>
      </w:r>
      <w:proofErr w:type="spellStart"/>
      <w:r w:rsidR="00D818A4">
        <w:rPr>
          <w:szCs w:val="24"/>
        </w:rPr>
        <w:t>Grecos</w:t>
      </w:r>
      <w:proofErr w:type="spellEnd"/>
      <w:r w:rsidR="00D818A4">
        <w:rPr>
          <w:szCs w:val="24"/>
        </w:rPr>
        <w:t>’ insurance</w:t>
      </w:r>
      <w:r w:rsidR="00AD7BA8">
        <w:rPr>
          <w:szCs w:val="24"/>
        </w:rPr>
        <w:t xml:space="preserve">.  </w:t>
      </w:r>
      <w:r w:rsidR="00D818A4">
        <w:rPr>
          <w:szCs w:val="24"/>
        </w:rPr>
        <w:t xml:space="preserve">Despite Isola’s efforts, </w:t>
      </w:r>
      <w:r w:rsidR="00DD70D8">
        <w:rPr>
          <w:szCs w:val="24"/>
        </w:rPr>
        <w:t xml:space="preserve">Travelers did not </w:t>
      </w:r>
      <w:r w:rsidR="00582856">
        <w:rPr>
          <w:szCs w:val="24"/>
        </w:rPr>
        <w:t>acknowledge its duty to defend until the 2012 environmental lawsuit was filed</w:t>
      </w:r>
      <w:r w:rsidR="00863BDE">
        <w:rPr>
          <w:szCs w:val="24"/>
        </w:rPr>
        <w:t>.  Subsequently, Travelers appointed Isola as counsel</w:t>
      </w:r>
      <w:r w:rsidR="009066FF">
        <w:rPr>
          <w:szCs w:val="24"/>
        </w:rPr>
        <w:t xml:space="preserve"> and paid </w:t>
      </w:r>
      <w:r w:rsidR="007A6064">
        <w:rPr>
          <w:szCs w:val="24"/>
        </w:rPr>
        <w:t>for him to defend against the environmental claims</w:t>
      </w:r>
      <w:r w:rsidR="00A400E4">
        <w:rPr>
          <w:szCs w:val="24"/>
        </w:rPr>
        <w:t xml:space="preserve">.  Thereafter, Isola kept Travelers informed of the remediation efforts and the possible settlement of the lawsuit.  </w:t>
      </w:r>
      <w:r w:rsidR="005C382E">
        <w:rPr>
          <w:szCs w:val="24"/>
        </w:rPr>
        <w:t xml:space="preserve">Isola negotiated </w:t>
      </w:r>
      <w:r w:rsidR="00975DA5">
        <w:rPr>
          <w:szCs w:val="24"/>
        </w:rPr>
        <w:t xml:space="preserve">the settlement on behalf of the </w:t>
      </w:r>
      <w:proofErr w:type="spellStart"/>
      <w:r w:rsidR="00975DA5">
        <w:rPr>
          <w:szCs w:val="24"/>
        </w:rPr>
        <w:t>Hahns</w:t>
      </w:r>
      <w:proofErr w:type="spellEnd"/>
      <w:r w:rsidR="00975DA5">
        <w:rPr>
          <w:szCs w:val="24"/>
        </w:rPr>
        <w:t xml:space="preserve">.  </w:t>
      </w:r>
      <w:r w:rsidR="004C18E3">
        <w:rPr>
          <w:szCs w:val="24"/>
        </w:rPr>
        <w:t xml:space="preserve">The settlement agreement procured a complete release of the </w:t>
      </w:r>
      <w:proofErr w:type="spellStart"/>
      <w:r w:rsidR="004C18E3">
        <w:rPr>
          <w:szCs w:val="24"/>
        </w:rPr>
        <w:t>Hahns</w:t>
      </w:r>
      <w:proofErr w:type="spellEnd"/>
      <w:r w:rsidR="004C18E3">
        <w:rPr>
          <w:szCs w:val="24"/>
        </w:rPr>
        <w:t xml:space="preserve"> from liability to the </w:t>
      </w:r>
      <w:proofErr w:type="spellStart"/>
      <w:r w:rsidR="004C18E3">
        <w:rPr>
          <w:szCs w:val="24"/>
        </w:rPr>
        <w:t>Grecos</w:t>
      </w:r>
      <w:proofErr w:type="spellEnd"/>
      <w:r w:rsidR="004C18E3">
        <w:rPr>
          <w:szCs w:val="24"/>
        </w:rPr>
        <w:t xml:space="preserve"> and preserved insurance coverage for </w:t>
      </w:r>
      <w:r w:rsidR="00E14B71">
        <w:rPr>
          <w:szCs w:val="24"/>
        </w:rPr>
        <w:t>possible future claims.</w:t>
      </w:r>
      <w:r w:rsidR="00836140">
        <w:rPr>
          <w:szCs w:val="24"/>
        </w:rPr>
        <w:t xml:space="preserve">  Isola completed the representation at no cost to the </w:t>
      </w:r>
      <w:proofErr w:type="spellStart"/>
      <w:r w:rsidR="00DA5EB9">
        <w:rPr>
          <w:szCs w:val="24"/>
        </w:rPr>
        <w:t>Hahns</w:t>
      </w:r>
      <w:proofErr w:type="spellEnd"/>
      <w:r w:rsidR="00DA5EB9">
        <w:rPr>
          <w:szCs w:val="24"/>
        </w:rPr>
        <w:t xml:space="preserve">.  </w:t>
      </w:r>
    </w:p>
    <w:p w14:paraId="2B3E6014" w14:textId="67245837" w:rsidR="000D2174" w:rsidRPr="004F51D8" w:rsidRDefault="000D2174" w:rsidP="000D2174">
      <w:pPr>
        <w:spacing w:line="480" w:lineRule="auto"/>
        <w:jc w:val="center"/>
        <w:rPr>
          <w:b/>
          <w:bCs/>
          <w:szCs w:val="24"/>
        </w:rPr>
      </w:pPr>
      <w:r w:rsidRPr="004F51D8">
        <w:rPr>
          <w:b/>
          <w:bCs/>
          <w:szCs w:val="24"/>
        </w:rPr>
        <w:t>III.  CULPABILITY</w:t>
      </w:r>
    </w:p>
    <w:p w14:paraId="7DFA791C" w14:textId="5954A08A" w:rsidR="006D7AC0" w:rsidRPr="004F51D8" w:rsidRDefault="006D7AC0" w:rsidP="006D7AC0">
      <w:pPr>
        <w:spacing w:line="480" w:lineRule="auto"/>
        <w:ind w:firstLine="720"/>
        <w:rPr>
          <w:szCs w:val="24"/>
        </w:rPr>
      </w:pPr>
      <w:bookmarkStart w:id="16" w:name="_Hlk97717394"/>
      <w:r w:rsidRPr="004F51D8">
        <w:rPr>
          <w:szCs w:val="24"/>
        </w:rPr>
        <w:t xml:space="preserve">OCTC </w:t>
      </w:r>
      <w:r w:rsidR="00E96E77" w:rsidRPr="004F51D8">
        <w:rPr>
          <w:szCs w:val="24"/>
        </w:rPr>
        <w:t>must prove</w:t>
      </w:r>
      <w:r w:rsidRPr="004F51D8">
        <w:rPr>
          <w:szCs w:val="24"/>
        </w:rPr>
        <w:t xml:space="preserve"> culpability by clear and convincing evidence.  (</w:t>
      </w:r>
      <w:r w:rsidR="00E96E77" w:rsidRPr="004F51D8">
        <w:rPr>
          <w:szCs w:val="24"/>
        </w:rPr>
        <w:t>Rules Proc. of State Bar, rule</w:t>
      </w:r>
      <w:r w:rsidR="007A638B">
        <w:rPr>
          <w:szCs w:val="24"/>
        </w:rPr>
        <w:t> </w:t>
      </w:r>
      <w:r w:rsidR="00E96E77" w:rsidRPr="004F51D8">
        <w:rPr>
          <w:szCs w:val="24"/>
        </w:rPr>
        <w:t xml:space="preserve">5.103; </w:t>
      </w:r>
      <w:r w:rsidRPr="004F51D8">
        <w:rPr>
          <w:i/>
          <w:szCs w:val="24"/>
        </w:rPr>
        <w:t>Conservatorship of Wendland</w:t>
      </w:r>
      <w:r w:rsidRPr="004F51D8">
        <w:rPr>
          <w:szCs w:val="24"/>
        </w:rPr>
        <w:t xml:space="preserve"> (2001) </w:t>
      </w:r>
      <w:r w:rsidR="00066069" w:rsidRPr="004F51D8">
        <w:rPr>
          <w:szCs w:val="24"/>
        </w:rPr>
        <w:t>26</w:t>
      </w:r>
      <w:r w:rsidR="007A638B">
        <w:rPr>
          <w:szCs w:val="24"/>
        </w:rPr>
        <w:t> </w:t>
      </w:r>
      <w:r w:rsidRPr="004F51D8">
        <w:rPr>
          <w:szCs w:val="24"/>
        </w:rPr>
        <w:t>Cal.</w:t>
      </w:r>
      <w:r w:rsidR="00066069" w:rsidRPr="004F51D8">
        <w:rPr>
          <w:szCs w:val="24"/>
        </w:rPr>
        <w:t>4th 519, 5</w:t>
      </w:r>
      <w:r w:rsidR="009A0419">
        <w:rPr>
          <w:szCs w:val="24"/>
        </w:rPr>
        <w:t>5</w:t>
      </w:r>
      <w:r w:rsidR="00066069" w:rsidRPr="004F51D8">
        <w:rPr>
          <w:szCs w:val="24"/>
        </w:rPr>
        <w:t>2 [clear and convincing evidence leaves no substantial doubt and is sufficiently strong to command unhesitating assent of every reasonable mind].)</w:t>
      </w:r>
      <w:r w:rsidR="002722CD" w:rsidRPr="004F51D8">
        <w:rPr>
          <w:szCs w:val="24"/>
        </w:rPr>
        <w:t xml:space="preserve">  Any reasonable doubts resulting from the evidence are resolved in favor of the respondent.  (</w:t>
      </w:r>
      <w:r w:rsidR="002722CD" w:rsidRPr="004F51D8">
        <w:rPr>
          <w:i/>
          <w:szCs w:val="24"/>
        </w:rPr>
        <w:t>Himmel v. State Bar</w:t>
      </w:r>
      <w:r w:rsidR="002722CD" w:rsidRPr="004F51D8">
        <w:rPr>
          <w:szCs w:val="24"/>
        </w:rPr>
        <w:t xml:space="preserve"> (1971) 4</w:t>
      </w:r>
      <w:r w:rsidR="007A638B">
        <w:rPr>
          <w:szCs w:val="24"/>
        </w:rPr>
        <w:t> </w:t>
      </w:r>
      <w:r w:rsidR="002722CD" w:rsidRPr="004F51D8">
        <w:rPr>
          <w:szCs w:val="24"/>
        </w:rPr>
        <w:t>Cal.3d 786, 793</w:t>
      </w:r>
      <w:r w:rsidR="009A7BE6">
        <w:rPr>
          <w:szCs w:val="24"/>
        </w:rPr>
        <w:t>-</w:t>
      </w:r>
      <w:r w:rsidR="002722CD" w:rsidRPr="004F51D8">
        <w:rPr>
          <w:szCs w:val="24"/>
        </w:rPr>
        <w:t>794.)  Evidence leading to differing reasonable interpretations of facts must lead us to adopt the inference of no culpability.  (</w:t>
      </w:r>
      <w:r w:rsidR="002722CD" w:rsidRPr="004F51D8">
        <w:rPr>
          <w:i/>
          <w:szCs w:val="24"/>
        </w:rPr>
        <w:t xml:space="preserve">In the Matter of </w:t>
      </w:r>
      <w:proofErr w:type="spellStart"/>
      <w:r w:rsidR="002722CD" w:rsidRPr="004F51D8">
        <w:rPr>
          <w:i/>
          <w:szCs w:val="24"/>
        </w:rPr>
        <w:t>DeMassa</w:t>
      </w:r>
      <w:proofErr w:type="spellEnd"/>
      <w:r w:rsidR="002722CD" w:rsidRPr="004F51D8">
        <w:rPr>
          <w:szCs w:val="24"/>
        </w:rPr>
        <w:t xml:space="preserve">, </w:t>
      </w:r>
      <w:r w:rsidR="002722CD" w:rsidRPr="004F51D8">
        <w:rPr>
          <w:i/>
          <w:iCs/>
          <w:szCs w:val="24"/>
        </w:rPr>
        <w:t>supra</w:t>
      </w:r>
      <w:r w:rsidR="002722CD" w:rsidRPr="004F51D8">
        <w:rPr>
          <w:szCs w:val="24"/>
        </w:rPr>
        <w:t>, 1</w:t>
      </w:r>
      <w:r w:rsidR="001D5BEE">
        <w:rPr>
          <w:szCs w:val="24"/>
        </w:rPr>
        <w:t> </w:t>
      </w:r>
      <w:r w:rsidR="002722CD" w:rsidRPr="004F51D8">
        <w:rPr>
          <w:szCs w:val="24"/>
        </w:rPr>
        <w:t xml:space="preserve">Cal. State Bar Ct. </w:t>
      </w:r>
      <w:proofErr w:type="spellStart"/>
      <w:r w:rsidR="002722CD" w:rsidRPr="004F51D8">
        <w:rPr>
          <w:szCs w:val="24"/>
        </w:rPr>
        <w:t>Rptr</w:t>
      </w:r>
      <w:proofErr w:type="spellEnd"/>
      <w:r w:rsidR="002722CD" w:rsidRPr="004F51D8">
        <w:rPr>
          <w:szCs w:val="24"/>
        </w:rPr>
        <w:t>. at p.</w:t>
      </w:r>
      <w:r w:rsidR="001D5BEE">
        <w:rPr>
          <w:szCs w:val="24"/>
        </w:rPr>
        <w:t> </w:t>
      </w:r>
      <w:r w:rsidR="002722CD" w:rsidRPr="004F51D8">
        <w:rPr>
          <w:szCs w:val="24"/>
        </w:rPr>
        <w:t>749.)</w:t>
      </w:r>
    </w:p>
    <w:bookmarkEnd w:id="16"/>
    <w:p w14:paraId="0C871A85" w14:textId="1316071A" w:rsidR="00687690" w:rsidRDefault="00221E2A" w:rsidP="00462E86">
      <w:pPr>
        <w:spacing w:line="480" w:lineRule="auto"/>
        <w:ind w:firstLine="720"/>
        <w:rPr>
          <w:szCs w:val="24"/>
        </w:rPr>
      </w:pPr>
      <w:r>
        <w:rPr>
          <w:szCs w:val="24"/>
        </w:rPr>
        <w:t xml:space="preserve">Like the hearing judge, we </w:t>
      </w:r>
      <w:r w:rsidR="00AF2A87">
        <w:rPr>
          <w:szCs w:val="24"/>
        </w:rPr>
        <w:t xml:space="preserve">first discuss the issue of Isola’s authority as attorney for the </w:t>
      </w:r>
      <w:proofErr w:type="spellStart"/>
      <w:r w:rsidR="00AF2A87">
        <w:rPr>
          <w:szCs w:val="24"/>
        </w:rPr>
        <w:t>Hahns</w:t>
      </w:r>
      <w:proofErr w:type="spellEnd"/>
      <w:r w:rsidR="00EC041B">
        <w:rPr>
          <w:szCs w:val="24"/>
        </w:rPr>
        <w:t xml:space="preserve"> and Cameo Cleaners of Fair Lawn.  </w:t>
      </w:r>
      <w:r w:rsidR="00FE058F">
        <w:rPr>
          <w:szCs w:val="24"/>
        </w:rPr>
        <w:t xml:space="preserve">An attorney’s duty </w:t>
      </w:r>
      <w:r w:rsidR="008B58E8">
        <w:rPr>
          <w:szCs w:val="24"/>
        </w:rPr>
        <w:t>to a client depends on the existence of an attorney-client relationship.  (</w:t>
      </w:r>
      <w:r w:rsidR="008B58E8">
        <w:rPr>
          <w:i/>
          <w:iCs/>
          <w:szCs w:val="24"/>
        </w:rPr>
        <w:t>Fox v. Pollack</w:t>
      </w:r>
      <w:r w:rsidR="008B58E8">
        <w:rPr>
          <w:szCs w:val="24"/>
        </w:rPr>
        <w:t xml:space="preserve"> (</w:t>
      </w:r>
      <w:r w:rsidR="00F2482C">
        <w:rPr>
          <w:szCs w:val="24"/>
        </w:rPr>
        <w:t>1986) 181</w:t>
      </w:r>
      <w:r w:rsidR="001D5BEE">
        <w:rPr>
          <w:szCs w:val="24"/>
        </w:rPr>
        <w:t> </w:t>
      </w:r>
      <w:r w:rsidR="00F2482C">
        <w:rPr>
          <w:szCs w:val="24"/>
        </w:rPr>
        <w:t>Cal.App.3d 954, 959</w:t>
      </w:r>
      <w:r w:rsidR="00C75BEB">
        <w:rPr>
          <w:szCs w:val="24"/>
        </w:rPr>
        <w:t>.)</w:t>
      </w:r>
      <w:r w:rsidR="00207868">
        <w:rPr>
          <w:szCs w:val="24"/>
        </w:rPr>
        <w:t xml:space="preserve">  </w:t>
      </w:r>
      <w:r w:rsidR="007D7D38">
        <w:rPr>
          <w:szCs w:val="24"/>
        </w:rPr>
        <w:t>“[T]he relationship can only be created by contract, express or implied</w:t>
      </w:r>
      <w:r w:rsidR="00F26047">
        <w:rPr>
          <w:szCs w:val="24"/>
        </w:rPr>
        <w:t>.  [Citations.]”  (</w:t>
      </w:r>
      <w:r w:rsidR="00F26047">
        <w:rPr>
          <w:i/>
          <w:iCs/>
          <w:szCs w:val="24"/>
        </w:rPr>
        <w:t>Koo v. Rubio’s Restaurants, Inc.</w:t>
      </w:r>
      <w:r w:rsidR="00F26047">
        <w:rPr>
          <w:szCs w:val="24"/>
        </w:rPr>
        <w:t xml:space="preserve"> (2003) 109</w:t>
      </w:r>
      <w:r w:rsidR="001D5BEE">
        <w:rPr>
          <w:szCs w:val="24"/>
        </w:rPr>
        <w:t> </w:t>
      </w:r>
      <w:r w:rsidR="00F26047">
        <w:rPr>
          <w:szCs w:val="24"/>
        </w:rPr>
        <w:t xml:space="preserve">Cal.App.4th 719, 729.)  </w:t>
      </w:r>
      <w:r w:rsidR="00460F4F">
        <w:rPr>
          <w:szCs w:val="24"/>
        </w:rPr>
        <w:t xml:space="preserve">An implied-in-fact contract arises </w:t>
      </w:r>
      <w:r w:rsidR="00460F4F">
        <w:rPr>
          <w:szCs w:val="24"/>
        </w:rPr>
        <w:lastRenderedPageBreak/>
        <w:t xml:space="preserve">from conduct of the parties that shows there is a </w:t>
      </w:r>
      <w:r w:rsidR="00D26BD9">
        <w:rPr>
          <w:szCs w:val="24"/>
        </w:rPr>
        <w:t xml:space="preserve">relationship despite the absence of a formal agreement.  </w:t>
      </w:r>
      <w:r w:rsidR="00B4626C">
        <w:rPr>
          <w:szCs w:val="24"/>
        </w:rPr>
        <w:t>An attorney-client relationship may be informally created by acts of the parties without a written contract.  (1 Witkin, Cal. Procedure (6th ed. 2022) Attorneys, §</w:t>
      </w:r>
      <w:r w:rsidR="001D5BEE">
        <w:rPr>
          <w:szCs w:val="24"/>
        </w:rPr>
        <w:t> </w:t>
      </w:r>
      <w:r w:rsidR="00B4626C">
        <w:rPr>
          <w:szCs w:val="24"/>
        </w:rPr>
        <w:t xml:space="preserve">40.)  </w:t>
      </w:r>
      <w:r w:rsidR="00586D82">
        <w:rPr>
          <w:szCs w:val="24"/>
        </w:rPr>
        <w:t xml:space="preserve">There are several indicia of an attorney-client relationship, but </w:t>
      </w:r>
      <w:r w:rsidR="00B636B4">
        <w:rPr>
          <w:szCs w:val="24"/>
        </w:rPr>
        <w:t xml:space="preserve">the </w:t>
      </w:r>
      <w:r w:rsidR="00F42926">
        <w:rPr>
          <w:szCs w:val="24"/>
        </w:rPr>
        <w:t>intent and conduct of the parties are critical to</w:t>
      </w:r>
      <w:r w:rsidR="00B17AA2">
        <w:rPr>
          <w:szCs w:val="24"/>
        </w:rPr>
        <w:t xml:space="preserve"> the</w:t>
      </w:r>
      <w:r w:rsidR="00F42926">
        <w:rPr>
          <w:szCs w:val="24"/>
        </w:rPr>
        <w:t xml:space="preserve"> formation of such</w:t>
      </w:r>
      <w:r w:rsidR="00B17AA2">
        <w:rPr>
          <w:szCs w:val="24"/>
        </w:rPr>
        <w:t xml:space="preserve"> a</w:t>
      </w:r>
      <w:r w:rsidR="00F42926">
        <w:rPr>
          <w:szCs w:val="24"/>
        </w:rPr>
        <w:t xml:space="preserve"> relationship.  </w:t>
      </w:r>
      <w:r w:rsidR="005D0348">
        <w:rPr>
          <w:szCs w:val="24"/>
        </w:rPr>
        <w:t>(</w:t>
      </w:r>
      <w:r w:rsidR="005D0348">
        <w:rPr>
          <w:i/>
          <w:iCs/>
          <w:szCs w:val="24"/>
        </w:rPr>
        <w:t xml:space="preserve">Lasky, Haas, </w:t>
      </w:r>
      <w:proofErr w:type="spellStart"/>
      <w:r w:rsidR="005D0348">
        <w:rPr>
          <w:i/>
          <w:iCs/>
          <w:szCs w:val="24"/>
        </w:rPr>
        <w:t>Cohler</w:t>
      </w:r>
      <w:proofErr w:type="spellEnd"/>
      <w:r w:rsidR="005D0348">
        <w:rPr>
          <w:i/>
          <w:iCs/>
          <w:szCs w:val="24"/>
        </w:rPr>
        <w:t xml:space="preserve"> &amp; Munster v. Supe</w:t>
      </w:r>
      <w:r w:rsidR="00BC599C">
        <w:rPr>
          <w:i/>
          <w:iCs/>
          <w:szCs w:val="24"/>
        </w:rPr>
        <w:t>r.</w:t>
      </w:r>
      <w:r w:rsidR="005D0348">
        <w:rPr>
          <w:i/>
          <w:iCs/>
          <w:szCs w:val="24"/>
        </w:rPr>
        <w:t xml:space="preserve"> Ct</w:t>
      </w:r>
      <w:r w:rsidR="00BC599C">
        <w:rPr>
          <w:i/>
          <w:iCs/>
          <w:szCs w:val="24"/>
        </w:rPr>
        <w:t>.</w:t>
      </w:r>
      <w:r w:rsidR="00396552">
        <w:rPr>
          <w:szCs w:val="24"/>
        </w:rPr>
        <w:t xml:space="preserve"> (1985) 172</w:t>
      </w:r>
      <w:r w:rsidR="001D5BEE">
        <w:rPr>
          <w:szCs w:val="24"/>
        </w:rPr>
        <w:t> </w:t>
      </w:r>
      <w:r w:rsidR="00396552">
        <w:rPr>
          <w:szCs w:val="24"/>
        </w:rPr>
        <w:t>Cal.App.3d 264, 285.)</w:t>
      </w:r>
      <w:r w:rsidR="00687690">
        <w:rPr>
          <w:szCs w:val="24"/>
        </w:rPr>
        <w:t xml:space="preserve">  </w:t>
      </w:r>
    </w:p>
    <w:p w14:paraId="4570A66E" w14:textId="4CE2A679" w:rsidR="00BE138E" w:rsidRDefault="00B2046F" w:rsidP="00BE138E">
      <w:pPr>
        <w:spacing w:line="480" w:lineRule="auto"/>
        <w:ind w:firstLine="720"/>
        <w:rPr>
          <w:szCs w:val="24"/>
        </w:rPr>
      </w:pPr>
      <w:r>
        <w:rPr>
          <w:szCs w:val="24"/>
        </w:rPr>
        <w:t xml:space="preserve">We agree with the hearing judge that the record supports </w:t>
      </w:r>
      <w:r w:rsidR="003C7C9D">
        <w:rPr>
          <w:szCs w:val="24"/>
        </w:rPr>
        <w:t xml:space="preserve">the existence of an attorney-client relationship between Isola and Gregory, as representative of Cameo Cleaners of Fair Lawn.  </w:t>
      </w:r>
      <w:r w:rsidR="002722CD" w:rsidRPr="004F51D8">
        <w:rPr>
          <w:szCs w:val="24"/>
        </w:rPr>
        <w:t>At the meeting, Isola met with Gregory, who represented the Hahn family.</w:t>
      </w:r>
      <w:r w:rsidR="00BC7065">
        <w:rPr>
          <w:rStyle w:val="FootnoteReference"/>
          <w:szCs w:val="24"/>
        </w:rPr>
        <w:footnoteReference w:id="23"/>
      </w:r>
      <w:r w:rsidR="002722CD" w:rsidRPr="004F51D8">
        <w:rPr>
          <w:szCs w:val="24"/>
        </w:rPr>
        <w:t xml:space="preserve">  </w:t>
      </w:r>
      <w:r w:rsidR="008150FF">
        <w:rPr>
          <w:szCs w:val="24"/>
        </w:rPr>
        <w:t>T</w:t>
      </w:r>
      <w:r w:rsidR="00BC3CD0" w:rsidRPr="004F51D8">
        <w:rPr>
          <w:szCs w:val="24"/>
        </w:rPr>
        <w:t xml:space="preserve">hey discussed the usual aspects of representation in these types of matters, including securing insurance coverage and the occasional need for a lawsuit.  </w:t>
      </w:r>
      <w:r w:rsidR="002722CD" w:rsidRPr="004F51D8">
        <w:rPr>
          <w:szCs w:val="24"/>
        </w:rPr>
        <w:t>Gregory authorized Isola to begin working on the environmental remediation</w:t>
      </w:r>
      <w:r w:rsidR="00BC3CD0" w:rsidRPr="004F51D8">
        <w:rPr>
          <w:szCs w:val="24"/>
        </w:rPr>
        <w:t xml:space="preserve"> matter for his </w:t>
      </w:r>
      <w:r w:rsidR="00E96E77" w:rsidRPr="004F51D8">
        <w:rPr>
          <w:szCs w:val="24"/>
        </w:rPr>
        <w:t>family</w:t>
      </w:r>
      <w:r w:rsidR="002722CD" w:rsidRPr="004F51D8">
        <w:rPr>
          <w:szCs w:val="24"/>
        </w:rPr>
        <w:t>.</w:t>
      </w:r>
      <w:r w:rsidR="003F56C2">
        <w:rPr>
          <w:szCs w:val="24"/>
        </w:rPr>
        <w:t xml:space="preserve">  The conduct of the parties is consistent with the finding of an attorney-client relationship.</w:t>
      </w:r>
      <w:r w:rsidR="00426EEE">
        <w:rPr>
          <w:rStyle w:val="FootnoteReference"/>
          <w:szCs w:val="24"/>
        </w:rPr>
        <w:footnoteReference w:id="24"/>
      </w:r>
      <w:r w:rsidR="003F56C2">
        <w:rPr>
          <w:szCs w:val="24"/>
        </w:rPr>
        <w:t xml:space="preserve">  Gregory was aware of his family’s </w:t>
      </w:r>
      <w:r w:rsidR="00D8601C">
        <w:rPr>
          <w:szCs w:val="24"/>
        </w:rPr>
        <w:t>involvement with the environmental issues at 31-01</w:t>
      </w:r>
      <w:r w:rsidR="001D5BEE">
        <w:rPr>
          <w:szCs w:val="24"/>
        </w:rPr>
        <w:t> </w:t>
      </w:r>
      <w:r w:rsidR="00D8601C">
        <w:rPr>
          <w:szCs w:val="24"/>
        </w:rPr>
        <w:t xml:space="preserve">Broadway.  </w:t>
      </w:r>
      <w:r w:rsidR="00071144">
        <w:rPr>
          <w:szCs w:val="24"/>
        </w:rPr>
        <w:t>N</w:t>
      </w:r>
      <w:r w:rsidR="00E475EE">
        <w:rPr>
          <w:szCs w:val="24"/>
        </w:rPr>
        <w:t>othing in the record suggest</w:t>
      </w:r>
      <w:r w:rsidR="00071144">
        <w:rPr>
          <w:szCs w:val="24"/>
        </w:rPr>
        <w:t>s</w:t>
      </w:r>
      <w:r w:rsidR="00E475EE">
        <w:rPr>
          <w:szCs w:val="24"/>
        </w:rPr>
        <w:t xml:space="preserve"> that after the Diner Meeting Gregory took further action </w:t>
      </w:r>
      <w:r w:rsidR="00E173D1">
        <w:rPr>
          <w:szCs w:val="24"/>
        </w:rPr>
        <w:t>regarding the remediation</w:t>
      </w:r>
      <w:r w:rsidR="00FC5C4A">
        <w:rPr>
          <w:szCs w:val="24"/>
        </w:rPr>
        <w:t xml:space="preserve">, which comports with the inference that Gregory hired Isola to </w:t>
      </w:r>
      <w:r w:rsidR="00C56DEF">
        <w:rPr>
          <w:szCs w:val="24"/>
        </w:rPr>
        <w:t xml:space="preserve">act as his attorney to address the </w:t>
      </w:r>
      <w:proofErr w:type="spellStart"/>
      <w:r w:rsidR="00C56DEF">
        <w:rPr>
          <w:szCs w:val="24"/>
        </w:rPr>
        <w:t>Hahns’s</w:t>
      </w:r>
      <w:proofErr w:type="spellEnd"/>
      <w:r w:rsidR="00C56DEF">
        <w:rPr>
          <w:szCs w:val="24"/>
        </w:rPr>
        <w:t xml:space="preserve"> liability.</w:t>
      </w:r>
      <w:r w:rsidR="00F64046">
        <w:rPr>
          <w:szCs w:val="24"/>
        </w:rPr>
        <w:t xml:space="preserve">  Gregory did not contact Travelers to make a claim</w:t>
      </w:r>
      <w:r w:rsidR="00461382">
        <w:rPr>
          <w:szCs w:val="24"/>
        </w:rPr>
        <w:t xml:space="preserve"> or contact another attorney to deal with the remediation</w:t>
      </w:r>
      <w:r w:rsidR="00F64046">
        <w:rPr>
          <w:szCs w:val="24"/>
        </w:rPr>
        <w:t>, even though he knew of the existence of the policies</w:t>
      </w:r>
      <w:r w:rsidR="00461382">
        <w:rPr>
          <w:szCs w:val="24"/>
        </w:rPr>
        <w:t xml:space="preserve"> and was </w:t>
      </w:r>
      <w:r w:rsidR="009F7895">
        <w:rPr>
          <w:szCs w:val="24"/>
        </w:rPr>
        <w:t xml:space="preserve">an experienced real estate professional.  Isola’s conduct </w:t>
      </w:r>
      <w:r w:rsidR="004E15DC">
        <w:rPr>
          <w:szCs w:val="24"/>
        </w:rPr>
        <w:t>also comports with the existence of an attorney-client relationship.  After the Diner Meeting, Isola began working to establish coverage</w:t>
      </w:r>
      <w:r w:rsidR="004B51F1">
        <w:rPr>
          <w:szCs w:val="24"/>
        </w:rPr>
        <w:t xml:space="preserve"> </w:t>
      </w:r>
      <w:r w:rsidR="004B51F1">
        <w:rPr>
          <w:szCs w:val="24"/>
        </w:rPr>
        <w:lastRenderedPageBreak/>
        <w:t xml:space="preserve">and discharge the </w:t>
      </w:r>
      <w:proofErr w:type="spellStart"/>
      <w:r w:rsidR="004B51F1">
        <w:rPr>
          <w:szCs w:val="24"/>
        </w:rPr>
        <w:t>Hahns</w:t>
      </w:r>
      <w:proofErr w:type="spellEnd"/>
      <w:r w:rsidR="004B51F1">
        <w:rPr>
          <w:szCs w:val="24"/>
        </w:rPr>
        <w:t xml:space="preserve"> from liability</w:t>
      </w:r>
      <w:r w:rsidR="004E15DC">
        <w:rPr>
          <w:szCs w:val="24"/>
        </w:rPr>
        <w:t xml:space="preserve">.  He then acted as </w:t>
      </w:r>
      <w:r w:rsidR="005248E4">
        <w:rPr>
          <w:szCs w:val="24"/>
        </w:rPr>
        <w:t xml:space="preserve">the </w:t>
      </w:r>
      <w:proofErr w:type="spellStart"/>
      <w:r w:rsidR="005248E4">
        <w:rPr>
          <w:szCs w:val="24"/>
        </w:rPr>
        <w:t>Hahns</w:t>
      </w:r>
      <w:proofErr w:type="spellEnd"/>
      <w:r w:rsidR="005248E4">
        <w:rPr>
          <w:szCs w:val="24"/>
        </w:rPr>
        <w:t xml:space="preserve">’ attorney when they were sued by the </w:t>
      </w:r>
      <w:proofErr w:type="spellStart"/>
      <w:r w:rsidR="005248E4">
        <w:rPr>
          <w:szCs w:val="24"/>
        </w:rPr>
        <w:t>Grecos</w:t>
      </w:r>
      <w:proofErr w:type="spellEnd"/>
      <w:r w:rsidR="005248E4">
        <w:rPr>
          <w:szCs w:val="24"/>
        </w:rPr>
        <w:t xml:space="preserve">.  </w:t>
      </w:r>
    </w:p>
    <w:p w14:paraId="429A487F" w14:textId="77777777" w:rsidR="00272613" w:rsidRDefault="00517E6E" w:rsidP="002C270C">
      <w:pPr>
        <w:spacing w:line="480" w:lineRule="auto"/>
        <w:ind w:firstLine="720"/>
        <w:rPr>
          <w:szCs w:val="24"/>
        </w:rPr>
      </w:pPr>
      <w:r>
        <w:rPr>
          <w:szCs w:val="24"/>
        </w:rPr>
        <w:t xml:space="preserve">We next address the extent of Isola’s authority as the </w:t>
      </w:r>
      <w:proofErr w:type="spellStart"/>
      <w:r>
        <w:rPr>
          <w:szCs w:val="24"/>
        </w:rPr>
        <w:t>Hahns</w:t>
      </w:r>
      <w:proofErr w:type="spellEnd"/>
      <w:r>
        <w:rPr>
          <w:szCs w:val="24"/>
        </w:rPr>
        <w:t>’ attorney.</w:t>
      </w:r>
      <w:r w:rsidR="00BD7E96">
        <w:rPr>
          <w:szCs w:val="24"/>
        </w:rPr>
        <w:t xml:space="preserve">  </w:t>
      </w:r>
      <w:r w:rsidR="00CA63B6">
        <w:rPr>
          <w:szCs w:val="24"/>
        </w:rPr>
        <w:t>Authority conferred upon an attorney is</w:t>
      </w:r>
      <w:r w:rsidR="001D5BEE">
        <w:rPr>
          <w:szCs w:val="24"/>
        </w:rPr>
        <w:t>,</w:t>
      </w:r>
      <w:r w:rsidR="00CA63B6">
        <w:rPr>
          <w:szCs w:val="24"/>
        </w:rPr>
        <w:t xml:space="preserve"> </w:t>
      </w:r>
      <w:r w:rsidR="00950367">
        <w:rPr>
          <w:szCs w:val="24"/>
        </w:rPr>
        <w:t xml:space="preserve">in part </w:t>
      </w:r>
      <w:r w:rsidR="005136F9">
        <w:rPr>
          <w:szCs w:val="24"/>
        </w:rPr>
        <w:t>(1)</w:t>
      </w:r>
      <w:r w:rsidR="001D5BEE">
        <w:rPr>
          <w:szCs w:val="24"/>
        </w:rPr>
        <w:t> </w:t>
      </w:r>
      <w:r w:rsidR="005136F9">
        <w:rPr>
          <w:szCs w:val="24"/>
        </w:rPr>
        <w:t>apparent authority—the authority to do that which the attorney was hire</w:t>
      </w:r>
      <w:r w:rsidR="00950367">
        <w:rPr>
          <w:szCs w:val="24"/>
        </w:rPr>
        <w:t>d to do—and (2)</w:t>
      </w:r>
      <w:r w:rsidR="001D5BEE">
        <w:rPr>
          <w:szCs w:val="24"/>
        </w:rPr>
        <w:t> </w:t>
      </w:r>
      <w:r w:rsidR="00EC40F3">
        <w:rPr>
          <w:szCs w:val="24"/>
        </w:rPr>
        <w:t>actual authority implied in law.  (</w:t>
      </w:r>
      <w:r w:rsidR="00EC40F3">
        <w:rPr>
          <w:i/>
          <w:iCs/>
          <w:szCs w:val="24"/>
        </w:rPr>
        <w:t xml:space="preserve">Blanton v. </w:t>
      </w:r>
      <w:proofErr w:type="spellStart"/>
      <w:r w:rsidR="00EC40F3">
        <w:rPr>
          <w:i/>
          <w:iCs/>
          <w:szCs w:val="24"/>
        </w:rPr>
        <w:t>Womancare</w:t>
      </w:r>
      <w:proofErr w:type="spellEnd"/>
      <w:r w:rsidR="00EC40F3">
        <w:rPr>
          <w:i/>
          <w:iCs/>
          <w:szCs w:val="24"/>
        </w:rPr>
        <w:t>, Inc.</w:t>
      </w:r>
      <w:r w:rsidR="00EC40F3">
        <w:rPr>
          <w:szCs w:val="24"/>
        </w:rPr>
        <w:t xml:space="preserve"> (1985) 38</w:t>
      </w:r>
      <w:r w:rsidR="001D5BEE">
        <w:rPr>
          <w:szCs w:val="24"/>
        </w:rPr>
        <w:t> </w:t>
      </w:r>
      <w:r w:rsidR="00EC40F3">
        <w:rPr>
          <w:szCs w:val="24"/>
        </w:rPr>
        <w:t xml:space="preserve">Cal.3d </w:t>
      </w:r>
      <w:r w:rsidR="00076711">
        <w:rPr>
          <w:szCs w:val="24"/>
        </w:rPr>
        <w:t xml:space="preserve">396, 404.)  </w:t>
      </w:r>
      <w:r w:rsidR="00021C3D">
        <w:rPr>
          <w:szCs w:val="24"/>
        </w:rPr>
        <w:t xml:space="preserve">Considering our finding that Gregory hired Isola </w:t>
      </w:r>
      <w:r w:rsidR="00DD3BC0">
        <w:rPr>
          <w:szCs w:val="24"/>
        </w:rPr>
        <w:t xml:space="preserve">to discharge the </w:t>
      </w:r>
      <w:proofErr w:type="spellStart"/>
      <w:r w:rsidR="00DD3BC0">
        <w:rPr>
          <w:szCs w:val="24"/>
        </w:rPr>
        <w:t>Hahns</w:t>
      </w:r>
      <w:proofErr w:type="spellEnd"/>
      <w:r w:rsidR="00DD3BC0">
        <w:rPr>
          <w:szCs w:val="24"/>
        </w:rPr>
        <w:t xml:space="preserve">’ liability </w:t>
      </w:r>
      <w:r w:rsidR="00C320AE">
        <w:rPr>
          <w:szCs w:val="24"/>
        </w:rPr>
        <w:t>for the environmental issues at 31-01</w:t>
      </w:r>
      <w:r w:rsidR="00D24BC7">
        <w:rPr>
          <w:szCs w:val="24"/>
        </w:rPr>
        <w:t> </w:t>
      </w:r>
      <w:r w:rsidR="00C320AE">
        <w:rPr>
          <w:szCs w:val="24"/>
        </w:rPr>
        <w:t xml:space="preserve">Broadway, </w:t>
      </w:r>
      <w:r w:rsidR="00F84685">
        <w:rPr>
          <w:szCs w:val="24"/>
        </w:rPr>
        <w:t xml:space="preserve">it </w:t>
      </w:r>
      <w:r w:rsidR="007471DB">
        <w:rPr>
          <w:szCs w:val="24"/>
        </w:rPr>
        <w:t>follows</w:t>
      </w:r>
      <w:r w:rsidR="00F84685">
        <w:rPr>
          <w:szCs w:val="24"/>
        </w:rPr>
        <w:t xml:space="preserve"> that Isola had apparent authority to take </w:t>
      </w:r>
      <w:r w:rsidR="00A92C6C">
        <w:rPr>
          <w:szCs w:val="24"/>
        </w:rPr>
        <w:t xml:space="preserve">reasonable actions to achieve that objective.  </w:t>
      </w:r>
      <w:r w:rsidR="002C270C">
        <w:rPr>
          <w:szCs w:val="24"/>
        </w:rPr>
        <w:t xml:space="preserve">Therefore, </w:t>
      </w:r>
      <w:r w:rsidR="0076265B" w:rsidRPr="004F51D8">
        <w:rPr>
          <w:szCs w:val="24"/>
        </w:rPr>
        <w:t xml:space="preserve">we disagree with the hearing judge that Isola’s authority was somehow “limited.”  </w:t>
      </w:r>
      <w:r w:rsidR="00DC2A92" w:rsidRPr="004F51D8">
        <w:rPr>
          <w:szCs w:val="24"/>
        </w:rPr>
        <w:t>As</w:t>
      </w:r>
      <w:r w:rsidR="00DC43CC" w:rsidRPr="004F51D8">
        <w:rPr>
          <w:szCs w:val="24"/>
        </w:rPr>
        <w:t xml:space="preserve"> the</w:t>
      </w:r>
      <w:r w:rsidR="00DC2A92" w:rsidRPr="004F51D8">
        <w:rPr>
          <w:szCs w:val="24"/>
        </w:rPr>
        <w:t xml:space="preserve"> attorney, Isola</w:t>
      </w:r>
      <w:r w:rsidR="00DC43CC" w:rsidRPr="004F51D8">
        <w:rPr>
          <w:szCs w:val="24"/>
        </w:rPr>
        <w:t xml:space="preserve"> was tasked with advancing the interests of the </w:t>
      </w:r>
      <w:proofErr w:type="spellStart"/>
      <w:r w:rsidR="00DC43CC" w:rsidRPr="004F51D8">
        <w:rPr>
          <w:szCs w:val="24"/>
        </w:rPr>
        <w:t>Hahns</w:t>
      </w:r>
      <w:proofErr w:type="spellEnd"/>
      <w:r w:rsidR="00DC43CC" w:rsidRPr="004F51D8">
        <w:rPr>
          <w:szCs w:val="24"/>
        </w:rPr>
        <w:t xml:space="preserve"> regarding the remediation.  He </w:t>
      </w:r>
      <w:r w:rsidR="00CA5E5A">
        <w:rPr>
          <w:szCs w:val="24"/>
        </w:rPr>
        <w:t>did so</w:t>
      </w:r>
      <w:r w:rsidR="00DC43CC" w:rsidRPr="004F51D8">
        <w:rPr>
          <w:szCs w:val="24"/>
        </w:rPr>
        <w:t xml:space="preserve"> by </w:t>
      </w:r>
      <w:r w:rsidR="00DC2A92" w:rsidRPr="004F51D8">
        <w:rPr>
          <w:szCs w:val="24"/>
        </w:rPr>
        <w:t>initiating a claim with Travelers, accepting service</w:t>
      </w:r>
      <w:r w:rsidR="00CA5E5A">
        <w:rPr>
          <w:szCs w:val="24"/>
        </w:rPr>
        <w:t xml:space="preserve"> of the environmental lawsuit</w:t>
      </w:r>
      <w:r w:rsidR="00DC2A92" w:rsidRPr="004F51D8">
        <w:rPr>
          <w:szCs w:val="24"/>
        </w:rPr>
        <w:t>, and filing an answer to a complaint</w:t>
      </w:r>
      <w:r w:rsidR="00DC43CC" w:rsidRPr="004F51D8">
        <w:rPr>
          <w:szCs w:val="24"/>
        </w:rPr>
        <w:t>, among other things</w:t>
      </w:r>
      <w:r w:rsidR="00DC2A92" w:rsidRPr="004F51D8">
        <w:rPr>
          <w:szCs w:val="24"/>
        </w:rPr>
        <w:t xml:space="preserve">.  </w:t>
      </w:r>
      <w:r w:rsidR="00791C10">
        <w:rPr>
          <w:szCs w:val="24"/>
        </w:rPr>
        <w:t xml:space="preserve">Even though the </w:t>
      </w:r>
      <w:proofErr w:type="spellStart"/>
      <w:r w:rsidR="00791C10">
        <w:rPr>
          <w:szCs w:val="24"/>
        </w:rPr>
        <w:t>Grecos</w:t>
      </w:r>
      <w:proofErr w:type="spellEnd"/>
      <w:r w:rsidR="00791C10">
        <w:rPr>
          <w:szCs w:val="24"/>
        </w:rPr>
        <w:t xml:space="preserve"> had not yet sued the </w:t>
      </w:r>
      <w:proofErr w:type="spellStart"/>
      <w:r w:rsidR="00791C10">
        <w:rPr>
          <w:szCs w:val="24"/>
        </w:rPr>
        <w:t>Hahns</w:t>
      </w:r>
      <w:proofErr w:type="spellEnd"/>
      <w:r w:rsidR="00791C10">
        <w:rPr>
          <w:szCs w:val="24"/>
        </w:rPr>
        <w:t xml:space="preserve"> at the time of the Diner Meeting, the possibility of a</w:t>
      </w:r>
      <w:r w:rsidR="00CA5E5A">
        <w:rPr>
          <w:szCs w:val="24"/>
        </w:rPr>
        <w:t xml:space="preserve"> lawsuit was discussed </w:t>
      </w:r>
      <w:r w:rsidR="00E13E8B">
        <w:rPr>
          <w:szCs w:val="24"/>
        </w:rPr>
        <w:t>then</w:t>
      </w:r>
      <w:r w:rsidR="00CA5E5A">
        <w:rPr>
          <w:szCs w:val="24"/>
        </w:rPr>
        <w:t xml:space="preserve">.  </w:t>
      </w:r>
      <w:r w:rsidR="008C2BF5">
        <w:rPr>
          <w:szCs w:val="24"/>
        </w:rPr>
        <w:t xml:space="preserve">Clearly, Isola should have communicated with Gregory </w:t>
      </w:r>
      <w:r w:rsidR="003F1888">
        <w:rPr>
          <w:szCs w:val="24"/>
        </w:rPr>
        <w:t xml:space="preserve">that the </w:t>
      </w:r>
      <w:proofErr w:type="spellStart"/>
      <w:r w:rsidR="003F1888">
        <w:rPr>
          <w:szCs w:val="24"/>
        </w:rPr>
        <w:t>Grecos</w:t>
      </w:r>
      <w:proofErr w:type="spellEnd"/>
      <w:r w:rsidR="003F1888">
        <w:rPr>
          <w:szCs w:val="24"/>
        </w:rPr>
        <w:t xml:space="preserve"> had sued</w:t>
      </w:r>
      <w:r w:rsidR="00447E9B">
        <w:rPr>
          <w:szCs w:val="24"/>
        </w:rPr>
        <w:t>, as it was a significant development in the case</w:t>
      </w:r>
      <w:r w:rsidR="003F1888">
        <w:rPr>
          <w:szCs w:val="24"/>
        </w:rPr>
        <w:t xml:space="preserve">.  </w:t>
      </w:r>
      <w:r w:rsidR="00447E9B">
        <w:rPr>
          <w:szCs w:val="24"/>
        </w:rPr>
        <w:t xml:space="preserve">However, this </w:t>
      </w:r>
      <w:r w:rsidR="00DC2A92" w:rsidRPr="004F51D8">
        <w:rPr>
          <w:szCs w:val="24"/>
        </w:rPr>
        <w:t xml:space="preserve">failure to inform </w:t>
      </w:r>
      <w:r w:rsidR="00EF392E" w:rsidRPr="004F51D8">
        <w:rPr>
          <w:szCs w:val="24"/>
        </w:rPr>
        <w:t>did</w:t>
      </w:r>
      <w:r w:rsidR="00DC2A92" w:rsidRPr="004F51D8">
        <w:rPr>
          <w:szCs w:val="24"/>
        </w:rPr>
        <w:t xml:space="preserve"> not decrease his authority </w:t>
      </w:r>
      <w:r w:rsidR="00EF392E" w:rsidRPr="004F51D8">
        <w:rPr>
          <w:szCs w:val="24"/>
        </w:rPr>
        <w:t>to work on the environmental remediation matter for which he was hired</w:t>
      </w:r>
      <w:r w:rsidR="00DC2A92" w:rsidRPr="004F51D8">
        <w:rPr>
          <w:szCs w:val="24"/>
        </w:rPr>
        <w:t>.</w:t>
      </w:r>
      <w:r w:rsidR="0060768A">
        <w:rPr>
          <w:szCs w:val="24"/>
        </w:rPr>
        <w:t xml:space="preserve">  We agree with Isola that </w:t>
      </w:r>
      <w:r w:rsidR="00DF337A">
        <w:rPr>
          <w:szCs w:val="24"/>
        </w:rPr>
        <w:t xml:space="preserve">his failure to communicate cannot be conflated with </w:t>
      </w:r>
      <w:r w:rsidR="005B1EB1">
        <w:rPr>
          <w:szCs w:val="24"/>
        </w:rPr>
        <w:t xml:space="preserve">a lack of authority.  He believed in good faith that he had authority </w:t>
      </w:r>
      <w:r w:rsidR="00A86A59">
        <w:rPr>
          <w:szCs w:val="24"/>
        </w:rPr>
        <w:t xml:space="preserve">to act.  (See </w:t>
      </w:r>
      <w:r w:rsidR="00A86A59">
        <w:rPr>
          <w:i/>
          <w:szCs w:val="24"/>
        </w:rPr>
        <w:t>In the Matter of Respondent H</w:t>
      </w:r>
      <w:r w:rsidR="00A86A59">
        <w:rPr>
          <w:szCs w:val="24"/>
        </w:rPr>
        <w:t xml:space="preserve"> (Review Dept. 1992) </w:t>
      </w:r>
    </w:p>
    <w:p w14:paraId="513A30C1" w14:textId="22982A44" w:rsidR="00B36FEE" w:rsidRPr="004F51D8" w:rsidRDefault="00A86A59" w:rsidP="00272613">
      <w:pPr>
        <w:spacing w:line="480" w:lineRule="auto"/>
        <w:rPr>
          <w:szCs w:val="24"/>
        </w:rPr>
      </w:pPr>
      <w:r>
        <w:rPr>
          <w:szCs w:val="24"/>
        </w:rPr>
        <w:t>2</w:t>
      </w:r>
      <w:r w:rsidR="001D5BEE">
        <w:rPr>
          <w:szCs w:val="24"/>
        </w:rPr>
        <w:t> </w:t>
      </w:r>
      <w:r>
        <w:rPr>
          <w:szCs w:val="24"/>
        </w:rPr>
        <w:t xml:space="preserve">Cal. State Bar Ct. </w:t>
      </w:r>
      <w:proofErr w:type="spellStart"/>
      <w:r>
        <w:rPr>
          <w:szCs w:val="24"/>
        </w:rPr>
        <w:t>Rptr</w:t>
      </w:r>
      <w:proofErr w:type="spellEnd"/>
      <w:r>
        <w:rPr>
          <w:szCs w:val="24"/>
        </w:rPr>
        <w:t>. 234, 240</w:t>
      </w:r>
      <w:r w:rsidR="009A7BE6">
        <w:rPr>
          <w:szCs w:val="24"/>
        </w:rPr>
        <w:t>-</w:t>
      </w:r>
      <w:r>
        <w:rPr>
          <w:szCs w:val="24"/>
        </w:rPr>
        <w:t>241</w:t>
      </w:r>
      <w:r w:rsidR="007D5414">
        <w:rPr>
          <w:szCs w:val="24"/>
        </w:rPr>
        <w:t xml:space="preserve">, citing </w:t>
      </w:r>
      <w:r w:rsidR="007D5414">
        <w:rPr>
          <w:i/>
          <w:szCs w:val="24"/>
        </w:rPr>
        <w:t>In the Matter of Lazarus</w:t>
      </w:r>
      <w:r w:rsidR="007D5414">
        <w:rPr>
          <w:szCs w:val="24"/>
        </w:rPr>
        <w:t xml:space="preserve"> (Review Dept. 1991) 1</w:t>
      </w:r>
      <w:r w:rsidR="001D5BEE">
        <w:rPr>
          <w:szCs w:val="24"/>
        </w:rPr>
        <w:t> </w:t>
      </w:r>
      <w:r w:rsidR="007D5414">
        <w:rPr>
          <w:szCs w:val="24"/>
        </w:rPr>
        <w:t xml:space="preserve">Cal. State Bar Ct. </w:t>
      </w:r>
      <w:proofErr w:type="spellStart"/>
      <w:r w:rsidR="007D5414">
        <w:rPr>
          <w:szCs w:val="24"/>
        </w:rPr>
        <w:t>Rptr</w:t>
      </w:r>
      <w:proofErr w:type="spellEnd"/>
      <w:r w:rsidR="007D5414">
        <w:rPr>
          <w:szCs w:val="24"/>
        </w:rPr>
        <w:t>. 387, 397</w:t>
      </w:r>
      <w:r w:rsidR="009A7BE6">
        <w:rPr>
          <w:szCs w:val="24"/>
        </w:rPr>
        <w:t>-</w:t>
      </w:r>
      <w:r w:rsidR="007D5414">
        <w:rPr>
          <w:szCs w:val="24"/>
        </w:rPr>
        <w:t>398</w:t>
      </w:r>
      <w:r w:rsidR="00705480">
        <w:rPr>
          <w:szCs w:val="24"/>
        </w:rPr>
        <w:t>,</w:t>
      </w:r>
      <w:r w:rsidR="00421D65">
        <w:rPr>
          <w:szCs w:val="24"/>
        </w:rPr>
        <w:t xml:space="preserve"> [no moral turpitude </w:t>
      </w:r>
      <w:r w:rsidR="00705480">
        <w:rPr>
          <w:szCs w:val="24"/>
        </w:rPr>
        <w:t>where</w:t>
      </w:r>
      <w:r w:rsidR="00421D65">
        <w:rPr>
          <w:szCs w:val="24"/>
        </w:rPr>
        <w:t xml:space="preserve"> </w:t>
      </w:r>
      <w:r w:rsidR="00705480">
        <w:rPr>
          <w:szCs w:val="24"/>
        </w:rPr>
        <w:t>attorney act</w:t>
      </w:r>
      <w:r w:rsidR="003B117B">
        <w:rPr>
          <w:szCs w:val="24"/>
        </w:rPr>
        <w:t xml:space="preserve">s </w:t>
      </w:r>
      <w:r w:rsidR="00705480">
        <w:rPr>
          <w:szCs w:val="24"/>
        </w:rPr>
        <w:t>with</w:t>
      </w:r>
      <w:r w:rsidR="003B117B">
        <w:rPr>
          <w:szCs w:val="24"/>
        </w:rPr>
        <w:t xml:space="preserve"> apparent authority believed in good faith </w:t>
      </w:r>
      <w:r w:rsidR="005F041E">
        <w:rPr>
          <w:szCs w:val="24"/>
        </w:rPr>
        <w:t>to have obtained].)</w:t>
      </w:r>
      <w:r w:rsidR="00DD79E6">
        <w:rPr>
          <w:szCs w:val="24"/>
        </w:rPr>
        <w:t xml:space="preserve">  Accordingly, we find that the record supports</w:t>
      </w:r>
      <w:r w:rsidR="007E0A93">
        <w:rPr>
          <w:szCs w:val="24"/>
        </w:rPr>
        <w:t xml:space="preserve"> the finding that Isola had full authority to act as attorney for the </w:t>
      </w:r>
      <w:proofErr w:type="spellStart"/>
      <w:r w:rsidR="007E0A93">
        <w:rPr>
          <w:szCs w:val="24"/>
        </w:rPr>
        <w:t>Hahns</w:t>
      </w:r>
      <w:proofErr w:type="spellEnd"/>
      <w:r w:rsidR="007E0A93">
        <w:rPr>
          <w:szCs w:val="24"/>
        </w:rPr>
        <w:t xml:space="preserve"> and Cameo Cleaners of Fair Lawn </w:t>
      </w:r>
      <w:r w:rsidR="004F0514">
        <w:rPr>
          <w:szCs w:val="24"/>
        </w:rPr>
        <w:t xml:space="preserve">in discharging their liability for the contamination.  </w:t>
      </w:r>
    </w:p>
    <w:p w14:paraId="62FE8120" w14:textId="37CF1FFB" w:rsidR="005D070F" w:rsidRDefault="005D070F" w:rsidP="00FC06CE">
      <w:pPr>
        <w:spacing w:line="480" w:lineRule="auto"/>
        <w:ind w:firstLine="720"/>
        <w:rPr>
          <w:szCs w:val="24"/>
        </w:rPr>
      </w:pPr>
      <w:r w:rsidRPr="004F51D8">
        <w:rPr>
          <w:szCs w:val="24"/>
        </w:rPr>
        <w:lastRenderedPageBreak/>
        <w:t xml:space="preserve">OCTC argues on review that no attorney-client relationship </w:t>
      </w:r>
      <w:r w:rsidR="00DF2E3A">
        <w:rPr>
          <w:szCs w:val="24"/>
        </w:rPr>
        <w:t xml:space="preserve">existed </w:t>
      </w:r>
      <w:r w:rsidRPr="004F51D8">
        <w:rPr>
          <w:szCs w:val="24"/>
        </w:rPr>
        <w:t xml:space="preserve">with any of the </w:t>
      </w:r>
      <w:proofErr w:type="spellStart"/>
      <w:r w:rsidRPr="004F51D8">
        <w:rPr>
          <w:szCs w:val="24"/>
        </w:rPr>
        <w:t>Hahns</w:t>
      </w:r>
      <w:proofErr w:type="spellEnd"/>
      <w:r w:rsidRPr="004F51D8">
        <w:rPr>
          <w:szCs w:val="24"/>
        </w:rPr>
        <w:t xml:space="preserve"> and that Isola had no authority after the Diner Meeting to represent any of the Hahn family members.  We disagree and </w:t>
      </w:r>
      <w:r w:rsidR="00237E25">
        <w:rPr>
          <w:szCs w:val="24"/>
        </w:rPr>
        <w:t>we</w:t>
      </w:r>
      <w:r w:rsidRPr="004F51D8">
        <w:rPr>
          <w:szCs w:val="24"/>
        </w:rPr>
        <w:t xml:space="preserve"> find</w:t>
      </w:r>
      <w:r w:rsidR="00522870">
        <w:rPr>
          <w:szCs w:val="24"/>
        </w:rPr>
        <w:t xml:space="preserve"> that</w:t>
      </w:r>
      <w:r w:rsidR="00FC06CE">
        <w:rPr>
          <w:szCs w:val="24"/>
        </w:rPr>
        <w:t xml:space="preserve"> Isola had authority to represent </w:t>
      </w:r>
      <w:r w:rsidR="004B4A34">
        <w:rPr>
          <w:szCs w:val="24"/>
        </w:rPr>
        <w:t xml:space="preserve">the </w:t>
      </w:r>
      <w:proofErr w:type="spellStart"/>
      <w:r w:rsidR="004B4A34">
        <w:rPr>
          <w:szCs w:val="24"/>
        </w:rPr>
        <w:t>Hahns</w:t>
      </w:r>
      <w:proofErr w:type="spellEnd"/>
      <w:r w:rsidR="004B4A34">
        <w:rPr>
          <w:szCs w:val="24"/>
        </w:rPr>
        <w:t xml:space="preserve"> and Cameo Cleaners of Fair Lawn</w:t>
      </w:r>
      <w:r w:rsidR="00FC06CE">
        <w:rPr>
          <w:szCs w:val="24"/>
        </w:rPr>
        <w:t xml:space="preserve"> after the discussion</w:t>
      </w:r>
      <w:r w:rsidR="000046A5">
        <w:rPr>
          <w:szCs w:val="24"/>
        </w:rPr>
        <w:t xml:space="preserve"> between Isola and Gregory</w:t>
      </w:r>
      <w:r w:rsidR="00FC06CE">
        <w:rPr>
          <w:szCs w:val="24"/>
        </w:rPr>
        <w:t xml:space="preserve"> at </w:t>
      </w:r>
      <w:r w:rsidR="00522870">
        <w:rPr>
          <w:szCs w:val="24"/>
        </w:rPr>
        <w:t>the Diner Meeting</w:t>
      </w:r>
      <w:r w:rsidR="0034621C" w:rsidRPr="004F51D8">
        <w:rPr>
          <w:szCs w:val="24"/>
        </w:rPr>
        <w:t>.</w:t>
      </w:r>
      <w:r w:rsidR="0034621C" w:rsidRPr="004F51D8">
        <w:rPr>
          <w:rStyle w:val="FootnoteReference"/>
          <w:szCs w:val="24"/>
        </w:rPr>
        <w:footnoteReference w:id="25"/>
      </w:r>
      <w:r w:rsidR="0034621C" w:rsidRPr="004F51D8">
        <w:rPr>
          <w:szCs w:val="24"/>
        </w:rPr>
        <w:t xml:space="preserve">  In addition, considering</w:t>
      </w:r>
      <w:r w:rsidRPr="004F51D8">
        <w:rPr>
          <w:szCs w:val="24"/>
        </w:rPr>
        <w:t xml:space="preserve"> our principles regarding reasonable inferences</w:t>
      </w:r>
      <w:r w:rsidR="0034621C" w:rsidRPr="004F51D8">
        <w:rPr>
          <w:szCs w:val="24"/>
        </w:rPr>
        <w:t xml:space="preserve"> and resolving reasonable doubts in favor of the respondent</w:t>
      </w:r>
      <w:r w:rsidRPr="004F51D8">
        <w:rPr>
          <w:szCs w:val="24"/>
        </w:rPr>
        <w:t xml:space="preserve">, </w:t>
      </w:r>
      <w:r w:rsidR="0034621C" w:rsidRPr="004F51D8">
        <w:rPr>
          <w:szCs w:val="24"/>
        </w:rPr>
        <w:t>we</w:t>
      </w:r>
      <w:r w:rsidRPr="004F51D8">
        <w:rPr>
          <w:szCs w:val="24"/>
        </w:rPr>
        <w:t xml:space="preserve"> hold that Isola had authority to represent the </w:t>
      </w:r>
      <w:proofErr w:type="spellStart"/>
      <w:r w:rsidRPr="004F51D8">
        <w:rPr>
          <w:szCs w:val="24"/>
        </w:rPr>
        <w:t>Hahns</w:t>
      </w:r>
      <w:proofErr w:type="spellEnd"/>
      <w:r w:rsidRPr="004F51D8">
        <w:rPr>
          <w:szCs w:val="24"/>
        </w:rPr>
        <w:t xml:space="preserve">.  </w:t>
      </w:r>
      <w:r w:rsidR="00306A80">
        <w:rPr>
          <w:szCs w:val="24"/>
        </w:rPr>
        <w:t>At the Diner Meeting</w:t>
      </w:r>
      <w:r w:rsidR="00464562">
        <w:rPr>
          <w:szCs w:val="24"/>
        </w:rPr>
        <w:t xml:space="preserve">, </w:t>
      </w:r>
      <w:r w:rsidRPr="004F51D8">
        <w:rPr>
          <w:szCs w:val="24"/>
        </w:rPr>
        <w:t xml:space="preserve">Isola met Gregory, who had the ability to hire Isola to handle the remediation for him and his family.  The confusion regarding Gregory’s name and the fact that </w:t>
      </w:r>
      <w:r w:rsidR="00AD2751" w:rsidRPr="004F51D8">
        <w:rPr>
          <w:szCs w:val="24"/>
        </w:rPr>
        <w:t>Isola</w:t>
      </w:r>
      <w:r w:rsidRPr="004F51D8">
        <w:rPr>
          <w:szCs w:val="24"/>
        </w:rPr>
        <w:t xml:space="preserve"> had not met Gregory’s mother do</w:t>
      </w:r>
      <w:r w:rsidR="007A118D">
        <w:rPr>
          <w:szCs w:val="24"/>
        </w:rPr>
        <w:t>es</w:t>
      </w:r>
      <w:r w:rsidRPr="004F51D8">
        <w:rPr>
          <w:szCs w:val="24"/>
        </w:rPr>
        <w:t xml:space="preserve"> not </w:t>
      </w:r>
      <w:r w:rsidR="00AF298A">
        <w:rPr>
          <w:szCs w:val="24"/>
        </w:rPr>
        <w:t xml:space="preserve">reduce or eliminate </w:t>
      </w:r>
      <w:r w:rsidRPr="004F51D8">
        <w:rPr>
          <w:szCs w:val="24"/>
        </w:rPr>
        <w:t xml:space="preserve">Isola’s authority as the attorney hired by Gregory to represent the </w:t>
      </w:r>
      <w:proofErr w:type="spellStart"/>
      <w:r w:rsidRPr="004F51D8">
        <w:rPr>
          <w:szCs w:val="24"/>
        </w:rPr>
        <w:t>Hahns</w:t>
      </w:r>
      <w:proofErr w:type="spellEnd"/>
      <w:r w:rsidR="0034621C" w:rsidRPr="004F51D8">
        <w:rPr>
          <w:szCs w:val="24"/>
        </w:rPr>
        <w:t xml:space="preserve"> and </w:t>
      </w:r>
      <w:r w:rsidRPr="004F51D8">
        <w:rPr>
          <w:szCs w:val="24"/>
        </w:rPr>
        <w:t>find coverage for Cameo Cleaners of Fair</w:t>
      </w:r>
      <w:r w:rsidR="00DA30BB">
        <w:rPr>
          <w:szCs w:val="24"/>
        </w:rPr>
        <w:t xml:space="preserve"> L</w:t>
      </w:r>
      <w:r w:rsidRPr="004F51D8">
        <w:rPr>
          <w:szCs w:val="24"/>
        </w:rPr>
        <w:t>awn</w:t>
      </w:r>
      <w:r w:rsidR="0034621C" w:rsidRPr="004F51D8">
        <w:rPr>
          <w:szCs w:val="24"/>
        </w:rPr>
        <w:t xml:space="preserve">. </w:t>
      </w:r>
    </w:p>
    <w:p w14:paraId="5329D655" w14:textId="107F41A0" w:rsidR="00191EFE" w:rsidRPr="004F51D8" w:rsidRDefault="000D2174" w:rsidP="00462E86">
      <w:pPr>
        <w:ind w:left="720" w:hanging="720"/>
        <w:rPr>
          <w:b/>
          <w:bCs/>
          <w:szCs w:val="24"/>
        </w:rPr>
      </w:pPr>
      <w:bookmarkStart w:id="17" w:name="_Hlk97562954"/>
      <w:r w:rsidRPr="004F51D8">
        <w:rPr>
          <w:b/>
          <w:bCs/>
          <w:szCs w:val="24"/>
        </w:rPr>
        <w:t>A.</w:t>
      </w:r>
      <w:r w:rsidR="00462E86" w:rsidRPr="004F51D8">
        <w:rPr>
          <w:b/>
          <w:bCs/>
          <w:szCs w:val="24"/>
        </w:rPr>
        <w:tab/>
      </w:r>
      <w:r w:rsidR="00191EFE" w:rsidRPr="004F51D8">
        <w:rPr>
          <w:b/>
          <w:bCs/>
          <w:szCs w:val="24"/>
        </w:rPr>
        <w:t>Counts One, Three, and Twenty-Five: Moral Turpitude (Bus. &amp; Prof. Code,</w:t>
      </w:r>
      <w:r w:rsidR="00462E86" w:rsidRPr="004F51D8">
        <w:rPr>
          <w:b/>
          <w:bCs/>
          <w:szCs w:val="24"/>
        </w:rPr>
        <w:t xml:space="preserve"> </w:t>
      </w:r>
      <w:r w:rsidR="00191EFE" w:rsidRPr="004F51D8">
        <w:rPr>
          <w:b/>
          <w:bCs/>
          <w:szCs w:val="24"/>
        </w:rPr>
        <w:t>§ 6106)</w:t>
      </w:r>
    </w:p>
    <w:bookmarkEnd w:id="17"/>
    <w:p w14:paraId="7BBEDF22" w14:textId="77777777" w:rsidR="0034335D" w:rsidRPr="004F51D8" w:rsidRDefault="0034335D" w:rsidP="0034335D">
      <w:pPr>
        <w:rPr>
          <w:szCs w:val="24"/>
        </w:rPr>
      </w:pPr>
    </w:p>
    <w:p w14:paraId="50D5B9BB" w14:textId="543B0D6A" w:rsidR="00C27A35" w:rsidRPr="004F51D8" w:rsidRDefault="00191EFE" w:rsidP="00EA0E55">
      <w:pPr>
        <w:spacing w:line="480" w:lineRule="auto"/>
        <w:ind w:right="-144" w:firstLine="720"/>
        <w:rPr>
          <w:szCs w:val="24"/>
        </w:rPr>
      </w:pPr>
      <w:r w:rsidRPr="004F51D8">
        <w:rPr>
          <w:szCs w:val="24"/>
        </w:rPr>
        <w:t xml:space="preserve">Counts one, three, and </w:t>
      </w:r>
      <w:r w:rsidR="001D4A1E">
        <w:rPr>
          <w:szCs w:val="24"/>
        </w:rPr>
        <w:t>twenty-five</w:t>
      </w:r>
      <w:r w:rsidRPr="004F51D8">
        <w:rPr>
          <w:szCs w:val="24"/>
        </w:rPr>
        <w:t xml:space="preserve"> alleged that Isola committed various moral turpitude violations including dishonest and corrupt acts (count one), a scheme to defraud (count three), and habitual disregard of client interests (count </w:t>
      </w:r>
      <w:r w:rsidR="001D4A1E">
        <w:rPr>
          <w:szCs w:val="24"/>
        </w:rPr>
        <w:t>twenty-five</w:t>
      </w:r>
      <w:r w:rsidRPr="004F51D8">
        <w:rPr>
          <w:szCs w:val="24"/>
        </w:rPr>
        <w:t>).  Business and Professions Code section 6106</w:t>
      </w:r>
      <w:r w:rsidRPr="004F51D8">
        <w:rPr>
          <w:rStyle w:val="FootnoteReference"/>
          <w:szCs w:val="24"/>
        </w:rPr>
        <w:footnoteReference w:id="26"/>
      </w:r>
      <w:r w:rsidRPr="004F51D8">
        <w:rPr>
          <w:szCs w:val="24"/>
        </w:rPr>
        <w:t xml:space="preserve"> provides, in part, that the commission of any act involving dishonesty, moral turpitude, or corruption constitutes cause for suspension or disbarment.  The hearing judge dismissed these counts with prejudice after finding OCTC failed to present clear and convincing evidence establishing culpability.  She found that Isola had an honest belief that he was representing the </w:t>
      </w:r>
      <w:proofErr w:type="spellStart"/>
      <w:r w:rsidRPr="004F51D8">
        <w:rPr>
          <w:szCs w:val="24"/>
        </w:rPr>
        <w:t>Hahns</w:t>
      </w:r>
      <w:proofErr w:type="spellEnd"/>
      <w:r w:rsidRPr="004F51D8">
        <w:rPr>
          <w:szCs w:val="24"/>
        </w:rPr>
        <w:t xml:space="preserve">’ best interests, and that he was not spurred by a corrupt, dishonest, or </w:t>
      </w:r>
      <w:r w:rsidRPr="004F51D8">
        <w:rPr>
          <w:szCs w:val="24"/>
        </w:rPr>
        <w:lastRenderedPageBreak/>
        <w:t>fraudulent purpose.</w:t>
      </w:r>
      <w:r w:rsidR="00462E86" w:rsidRPr="004F51D8">
        <w:rPr>
          <w:szCs w:val="24"/>
        </w:rPr>
        <w:t xml:space="preserve">  Neither party challenges the</w:t>
      </w:r>
      <w:r w:rsidR="00EA0E55" w:rsidRPr="004F51D8">
        <w:rPr>
          <w:szCs w:val="24"/>
        </w:rPr>
        <w:t>se</w:t>
      </w:r>
      <w:r w:rsidR="00462E86" w:rsidRPr="004F51D8">
        <w:rPr>
          <w:szCs w:val="24"/>
        </w:rPr>
        <w:t xml:space="preserve"> dismissal</w:t>
      </w:r>
      <w:r w:rsidR="00EA0E55" w:rsidRPr="004F51D8">
        <w:rPr>
          <w:szCs w:val="24"/>
        </w:rPr>
        <w:t>s</w:t>
      </w:r>
      <w:r w:rsidR="00462E86" w:rsidRPr="004F51D8">
        <w:rPr>
          <w:szCs w:val="24"/>
        </w:rPr>
        <w:t xml:space="preserve"> on review.</w:t>
      </w:r>
      <w:r w:rsidR="00EA0E55" w:rsidRPr="004F51D8">
        <w:rPr>
          <w:szCs w:val="24"/>
        </w:rPr>
        <w:t xml:space="preserve">  The record shows that Isola did not engage in moral turpitude in his representation of the </w:t>
      </w:r>
      <w:proofErr w:type="spellStart"/>
      <w:r w:rsidR="00EA0E55" w:rsidRPr="004F51D8">
        <w:rPr>
          <w:szCs w:val="24"/>
        </w:rPr>
        <w:t>Hahns</w:t>
      </w:r>
      <w:proofErr w:type="spellEnd"/>
      <w:r w:rsidR="00EA0E55" w:rsidRPr="004F51D8">
        <w:rPr>
          <w:szCs w:val="24"/>
        </w:rPr>
        <w:t>.  He believed he was advancing the</w:t>
      </w:r>
      <w:r w:rsidR="00481FEC">
        <w:rPr>
          <w:szCs w:val="24"/>
        </w:rPr>
        <w:t>ir</w:t>
      </w:r>
      <w:r w:rsidR="00EA0E55" w:rsidRPr="004F51D8">
        <w:rPr>
          <w:szCs w:val="24"/>
        </w:rPr>
        <w:t xml:space="preserve"> interests by securing insurance coverage and representing them in lawsuits related to the remediation.  Therefore, we affirm the dismissal of counts one, three, and </w:t>
      </w:r>
      <w:r w:rsidR="007D43F4">
        <w:rPr>
          <w:szCs w:val="24"/>
        </w:rPr>
        <w:t>t</w:t>
      </w:r>
      <w:r w:rsidR="001D4A1E">
        <w:rPr>
          <w:szCs w:val="24"/>
        </w:rPr>
        <w:t>wenty-five</w:t>
      </w:r>
      <w:r w:rsidR="00EA0E55" w:rsidRPr="004F51D8">
        <w:rPr>
          <w:szCs w:val="24"/>
        </w:rPr>
        <w:t xml:space="preserve"> with prejudice.  (</w:t>
      </w:r>
      <w:r w:rsidR="00EA0E55" w:rsidRPr="004F51D8">
        <w:rPr>
          <w:i/>
          <w:szCs w:val="24"/>
        </w:rPr>
        <w:t xml:space="preserve">In the Matter of </w:t>
      </w:r>
      <w:proofErr w:type="spellStart"/>
      <w:r w:rsidR="00EA0E55" w:rsidRPr="004F51D8">
        <w:rPr>
          <w:i/>
          <w:szCs w:val="24"/>
        </w:rPr>
        <w:t>Kroff</w:t>
      </w:r>
      <w:proofErr w:type="spellEnd"/>
      <w:r w:rsidR="00EA0E55" w:rsidRPr="004F51D8">
        <w:rPr>
          <w:szCs w:val="24"/>
        </w:rPr>
        <w:t xml:space="preserve"> (Review Dept. 1998) 3</w:t>
      </w:r>
      <w:r w:rsidR="00D24BC7">
        <w:rPr>
          <w:szCs w:val="24"/>
        </w:rPr>
        <w:t> </w:t>
      </w:r>
      <w:r w:rsidR="00EA0E55" w:rsidRPr="004F51D8">
        <w:rPr>
          <w:szCs w:val="24"/>
        </w:rPr>
        <w:t xml:space="preserve">Cal. State Bar Ct. </w:t>
      </w:r>
      <w:proofErr w:type="spellStart"/>
      <w:r w:rsidR="00EA0E55" w:rsidRPr="004F51D8">
        <w:rPr>
          <w:szCs w:val="24"/>
        </w:rPr>
        <w:t>Rptr</w:t>
      </w:r>
      <w:proofErr w:type="spellEnd"/>
      <w:r w:rsidR="00EA0E55" w:rsidRPr="004F51D8">
        <w:rPr>
          <w:szCs w:val="24"/>
        </w:rPr>
        <w:t>. 838, 843 [dismissal of charges for want of proof after trial on merits is with prejudice].)</w:t>
      </w:r>
    </w:p>
    <w:p w14:paraId="275E7E6E" w14:textId="7709815E" w:rsidR="0034335D" w:rsidRPr="004F51D8" w:rsidRDefault="005000CE" w:rsidP="005000CE">
      <w:pPr>
        <w:spacing w:line="480" w:lineRule="auto"/>
        <w:rPr>
          <w:b/>
          <w:bCs/>
          <w:szCs w:val="24"/>
        </w:rPr>
      </w:pPr>
      <w:bookmarkStart w:id="19" w:name="_Hlk97562959"/>
      <w:r w:rsidRPr="004F51D8">
        <w:rPr>
          <w:b/>
          <w:bCs/>
          <w:szCs w:val="24"/>
        </w:rPr>
        <w:t>B</w:t>
      </w:r>
      <w:r w:rsidR="0034335D" w:rsidRPr="004F51D8">
        <w:rPr>
          <w:b/>
          <w:bCs/>
          <w:szCs w:val="24"/>
        </w:rPr>
        <w:t>.</w:t>
      </w:r>
      <w:r w:rsidRPr="004F51D8">
        <w:rPr>
          <w:b/>
          <w:bCs/>
          <w:szCs w:val="24"/>
        </w:rPr>
        <w:tab/>
      </w:r>
      <w:r w:rsidR="0034335D" w:rsidRPr="004F51D8">
        <w:rPr>
          <w:b/>
          <w:bCs/>
          <w:szCs w:val="24"/>
        </w:rPr>
        <w:t>Counts Two, Seven, and Eleven: Moral Turpitude—Misrepresentation (§ 6106)</w:t>
      </w:r>
    </w:p>
    <w:bookmarkEnd w:id="19"/>
    <w:p w14:paraId="1DECD67B" w14:textId="3BDEEEAD" w:rsidR="005D070F" w:rsidRPr="004F51D8" w:rsidRDefault="00191EFE" w:rsidP="00095BCC">
      <w:pPr>
        <w:spacing w:line="480" w:lineRule="auto"/>
        <w:ind w:firstLine="720"/>
        <w:rPr>
          <w:szCs w:val="24"/>
        </w:rPr>
      </w:pPr>
      <w:r w:rsidRPr="004F51D8">
        <w:rPr>
          <w:szCs w:val="24"/>
        </w:rPr>
        <w:t xml:space="preserve">Counts two, seven, and </w:t>
      </w:r>
      <w:r w:rsidR="001D4A1E">
        <w:rPr>
          <w:szCs w:val="24"/>
        </w:rPr>
        <w:t>eleven</w:t>
      </w:r>
      <w:r w:rsidRPr="004F51D8">
        <w:rPr>
          <w:szCs w:val="24"/>
        </w:rPr>
        <w:t xml:space="preserve"> alleged Isola made various false and misleading statements to Travelers.  </w:t>
      </w:r>
      <w:r w:rsidR="005D070F" w:rsidRPr="004F51D8">
        <w:rPr>
          <w:szCs w:val="24"/>
        </w:rPr>
        <w:t xml:space="preserve">The hearing judge found OCTC did not prove these charges by clear and convincing evidence and dismissed counts two, seven, and </w:t>
      </w:r>
      <w:r w:rsidR="001D4A1E">
        <w:rPr>
          <w:szCs w:val="24"/>
        </w:rPr>
        <w:t>eleven</w:t>
      </w:r>
      <w:r w:rsidR="009701C3" w:rsidRPr="004F51D8">
        <w:rPr>
          <w:szCs w:val="24"/>
        </w:rPr>
        <w:t xml:space="preserve"> </w:t>
      </w:r>
      <w:r w:rsidR="005D070F" w:rsidRPr="004F51D8">
        <w:rPr>
          <w:szCs w:val="24"/>
        </w:rPr>
        <w:t>with prejudice.</w:t>
      </w:r>
      <w:r w:rsidR="00207681" w:rsidRPr="004F51D8">
        <w:rPr>
          <w:szCs w:val="24"/>
        </w:rPr>
        <w:t xml:space="preserve">  </w:t>
      </w:r>
    </w:p>
    <w:p w14:paraId="7B4E1331" w14:textId="09D00832" w:rsidR="005D070F" w:rsidRPr="004F51D8" w:rsidRDefault="005D070F" w:rsidP="005D070F">
      <w:pPr>
        <w:spacing w:line="480" w:lineRule="auto"/>
        <w:ind w:firstLine="720"/>
        <w:rPr>
          <w:szCs w:val="24"/>
        </w:rPr>
      </w:pPr>
      <w:r w:rsidRPr="004F51D8">
        <w:rPr>
          <w:szCs w:val="24"/>
        </w:rPr>
        <w:t>Count two alleged that Isola falsely stated in a July</w:t>
      </w:r>
      <w:r w:rsidR="00D24BC7">
        <w:rPr>
          <w:szCs w:val="24"/>
        </w:rPr>
        <w:t> </w:t>
      </w:r>
      <w:r w:rsidRPr="004F51D8">
        <w:rPr>
          <w:szCs w:val="24"/>
        </w:rPr>
        <w:t>18, 2011 letter to Travelers, that he represented Min-Ku, that Min-Ku was female, and that Min-Ku had decided to tender her defense and indemnity to Travelers.  At this time, Isola was unaware that Min-Ku was actually Gregory and not Gregory’s mother.</w:t>
      </w:r>
      <w:r w:rsidR="00E25B60" w:rsidRPr="004F51D8">
        <w:rPr>
          <w:szCs w:val="24"/>
        </w:rPr>
        <w:t xml:space="preserve">  OCTC argues we should reverse the hearing judge on count</w:t>
      </w:r>
      <w:r w:rsidR="00D24BC7">
        <w:rPr>
          <w:szCs w:val="24"/>
        </w:rPr>
        <w:t> </w:t>
      </w:r>
      <w:r w:rsidR="00E25B60" w:rsidRPr="004F51D8">
        <w:rPr>
          <w:szCs w:val="24"/>
        </w:rPr>
        <w:t xml:space="preserve">two because Isola had no authority to represent Min-Ku.  As discussed </w:t>
      </w:r>
      <w:r w:rsidR="00E25B60" w:rsidRPr="004F51D8">
        <w:rPr>
          <w:i/>
          <w:iCs/>
          <w:szCs w:val="24"/>
        </w:rPr>
        <w:t>ante</w:t>
      </w:r>
      <w:r w:rsidR="00E25B60" w:rsidRPr="004F51D8">
        <w:rPr>
          <w:szCs w:val="24"/>
        </w:rPr>
        <w:t xml:space="preserve">, we find that Isola had authority to represent the </w:t>
      </w:r>
      <w:proofErr w:type="spellStart"/>
      <w:r w:rsidR="00E25B60" w:rsidRPr="004F51D8">
        <w:rPr>
          <w:szCs w:val="24"/>
        </w:rPr>
        <w:t>Hahns</w:t>
      </w:r>
      <w:proofErr w:type="spellEnd"/>
      <w:r w:rsidR="00E25B60" w:rsidRPr="004F51D8">
        <w:rPr>
          <w:szCs w:val="24"/>
        </w:rPr>
        <w:t xml:space="preserve"> and to advance their interests concerning the remediation.  Therefore, we affirm the dismissal of count two with prejudice.  (</w:t>
      </w:r>
      <w:r w:rsidR="00E25B60" w:rsidRPr="004F51D8">
        <w:rPr>
          <w:i/>
          <w:szCs w:val="24"/>
        </w:rPr>
        <w:t xml:space="preserve">In the Matter of </w:t>
      </w:r>
      <w:proofErr w:type="spellStart"/>
      <w:r w:rsidR="00E25B60" w:rsidRPr="004F51D8">
        <w:rPr>
          <w:i/>
          <w:szCs w:val="24"/>
        </w:rPr>
        <w:t>Kroff</w:t>
      </w:r>
      <w:proofErr w:type="spellEnd"/>
      <w:r w:rsidR="00E25B60" w:rsidRPr="004F51D8">
        <w:rPr>
          <w:szCs w:val="24"/>
        </w:rPr>
        <w:t xml:space="preserve">, </w:t>
      </w:r>
      <w:r w:rsidR="00E25B60" w:rsidRPr="004F51D8">
        <w:rPr>
          <w:i/>
          <w:iCs/>
          <w:szCs w:val="24"/>
        </w:rPr>
        <w:t>supra</w:t>
      </w:r>
      <w:r w:rsidR="00E25B60" w:rsidRPr="004F51D8">
        <w:rPr>
          <w:szCs w:val="24"/>
        </w:rPr>
        <w:t>, 3</w:t>
      </w:r>
      <w:r w:rsidR="00D24BC7">
        <w:rPr>
          <w:szCs w:val="24"/>
        </w:rPr>
        <w:t> </w:t>
      </w:r>
      <w:r w:rsidR="00E25B60" w:rsidRPr="004F51D8">
        <w:rPr>
          <w:szCs w:val="24"/>
        </w:rPr>
        <w:t xml:space="preserve">Cal. State Bar Ct. </w:t>
      </w:r>
      <w:proofErr w:type="spellStart"/>
      <w:r w:rsidR="00E25B60" w:rsidRPr="004F51D8">
        <w:rPr>
          <w:szCs w:val="24"/>
        </w:rPr>
        <w:t>Rptr</w:t>
      </w:r>
      <w:proofErr w:type="spellEnd"/>
      <w:r w:rsidR="00E25B60" w:rsidRPr="004F51D8">
        <w:rPr>
          <w:szCs w:val="24"/>
        </w:rPr>
        <w:t>. at p.</w:t>
      </w:r>
      <w:r w:rsidR="00D24BC7">
        <w:rPr>
          <w:szCs w:val="24"/>
        </w:rPr>
        <w:t> </w:t>
      </w:r>
      <w:r w:rsidR="00E25B60" w:rsidRPr="004F51D8">
        <w:rPr>
          <w:szCs w:val="24"/>
        </w:rPr>
        <w:t>843.)</w:t>
      </w:r>
    </w:p>
    <w:p w14:paraId="7200E86F" w14:textId="72774992" w:rsidR="003549EA" w:rsidRDefault="00191EFE" w:rsidP="003549EA">
      <w:pPr>
        <w:spacing w:line="480" w:lineRule="auto"/>
        <w:ind w:firstLine="720"/>
        <w:rPr>
          <w:szCs w:val="24"/>
        </w:rPr>
      </w:pPr>
      <w:r w:rsidRPr="004F51D8">
        <w:rPr>
          <w:szCs w:val="24"/>
        </w:rPr>
        <w:t xml:space="preserve">Count seven alleged Isola </w:t>
      </w:r>
      <w:r w:rsidR="004764D3" w:rsidRPr="004F51D8">
        <w:rPr>
          <w:szCs w:val="24"/>
        </w:rPr>
        <w:t xml:space="preserve">made false and misleading statements to Travelers in January 2017 regarding his representation of Min-Ku and his authority to negotiate a settlement </w:t>
      </w:r>
      <w:r w:rsidR="00A04AB3">
        <w:rPr>
          <w:szCs w:val="24"/>
        </w:rPr>
        <w:t xml:space="preserve">of </w:t>
      </w:r>
      <w:r w:rsidR="004764D3" w:rsidRPr="004F51D8">
        <w:rPr>
          <w:szCs w:val="24"/>
        </w:rPr>
        <w:t xml:space="preserve">the </w:t>
      </w:r>
      <w:r w:rsidR="007D388C">
        <w:rPr>
          <w:szCs w:val="24"/>
        </w:rPr>
        <w:t xml:space="preserve">2016 </w:t>
      </w:r>
      <w:r w:rsidR="004764D3" w:rsidRPr="004F51D8">
        <w:rPr>
          <w:szCs w:val="24"/>
        </w:rPr>
        <w:t>environmental lawsuit.  OCTC again argues that we should find culpability because Isola had no authority to represent Min-Ku.  We disagree</w:t>
      </w:r>
      <w:r w:rsidR="003549EA" w:rsidRPr="004F51D8">
        <w:rPr>
          <w:szCs w:val="24"/>
        </w:rPr>
        <w:t xml:space="preserve">.  Isola was the attorney for the </w:t>
      </w:r>
      <w:proofErr w:type="spellStart"/>
      <w:r w:rsidR="003549EA" w:rsidRPr="004F51D8">
        <w:rPr>
          <w:szCs w:val="24"/>
        </w:rPr>
        <w:t>Hahns</w:t>
      </w:r>
      <w:proofErr w:type="spellEnd"/>
      <w:r w:rsidR="003549EA" w:rsidRPr="004F51D8">
        <w:rPr>
          <w:szCs w:val="24"/>
        </w:rPr>
        <w:t xml:space="preserve"> and made no intentional misrepresentation in </w:t>
      </w:r>
      <w:r w:rsidR="00894F25" w:rsidRPr="004F51D8">
        <w:rPr>
          <w:szCs w:val="24"/>
        </w:rPr>
        <w:t>his</w:t>
      </w:r>
      <w:r w:rsidR="00AD2751" w:rsidRPr="004F51D8">
        <w:rPr>
          <w:szCs w:val="24"/>
        </w:rPr>
        <w:t xml:space="preserve"> January 2017 </w:t>
      </w:r>
      <w:r w:rsidR="00894F25" w:rsidRPr="004F51D8">
        <w:rPr>
          <w:szCs w:val="24"/>
        </w:rPr>
        <w:t>discussions with</w:t>
      </w:r>
      <w:r w:rsidR="00AD2751" w:rsidRPr="004F51D8">
        <w:rPr>
          <w:szCs w:val="24"/>
        </w:rPr>
        <w:t xml:space="preserve"> Travelers regarding </w:t>
      </w:r>
      <w:r w:rsidR="00AD2751" w:rsidRPr="004F51D8">
        <w:rPr>
          <w:szCs w:val="24"/>
        </w:rPr>
        <w:lastRenderedPageBreak/>
        <w:t>his representation</w:t>
      </w:r>
      <w:r w:rsidR="003549EA" w:rsidRPr="004F51D8">
        <w:rPr>
          <w:szCs w:val="24"/>
        </w:rPr>
        <w:t>.  Therefore, we affirm the dismissal of count seven with prejudice.  (</w:t>
      </w:r>
      <w:r w:rsidR="003549EA" w:rsidRPr="004F51D8">
        <w:rPr>
          <w:i/>
          <w:szCs w:val="24"/>
        </w:rPr>
        <w:t xml:space="preserve">In the Matter of </w:t>
      </w:r>
      <w:proofErr w:type="spellStart"/>
      <w:r w:rsidR="003549EA" w:rsidRPr="004F51D8">
        <w:rPr>
          <w:i/>
          <w:szCs w:val="24"/>
        </w:rPr>
        <w:t>Kroff</w:t>
      </w:r>
      <w:proofErr w:type="spellEnd"/>
      <w:r w:rsidR="003549EA" w:rsidRPr="004F51D8">
        <w:rPr>
          <w:szCs w:val="24"/>
        </w:rPr>
        <w:t xml:space="preserve">, </w:t>
      </w:r>
      <w:r w:rsidR="003549EA" w:rsidRPr="004F51D8">
        <w:rPr>
          <w:i/>
          <w:iCs/>
          <w:szCs w:val="24"/>
        </w:rPr>
        <w:t>supra</w:t>
      </w:r>
      <w:r w:rsidR="003549EA" w:rsidRPr="004F51D8">
        <w:rPr>
          <w:szCs w:val="24"/>
        </w:rPr>
        <w:t>, 3</w:t>
      </w:r>
      <w:r w:rsidR="00D24BC7">
        <w:rPr>
          <w:szCs w:val="24"/>
        </w:rPr>
        <w:t> </w:t>
      </w:r>
      <w:r w:rsidR="003549EA" w:rsidRPr="004F51D8">
        <w:rPr>
          <w:szCs w:val="24"/>
        </w:rPr>
        <w:t xml:space="preserve">Cal. State Bar Ct. </w:t>
      </w:r>
      <w:proofErr w:type="spellStart"/>
      <w:r w:rsidR="003549EA" w:rsidRPr="004F51D8">
        <w:rPr>
          <w:szCs w:val="24"/>
        </w:rPr>
        <w:t>Rptr</w:t>
      </w:r>
      <w:proofErr w:type="spellEnd"/>
      <w:r w:rsidR="003549EA" w:rsidRPr="004F51D8">
        <w:rPr>
          <w:szCs w:val="24"/>
        </w:rPr>
        <w:t>. at p.</w:t>
      </w:r>
      <w:r w:rsidR="00D24BC7">
        <w:rPr>
          <w:szCs w:val="24"/>
        </w:rPr>
        <w:t> </w:t>
      </w:r>
      <w:r w:rsidR="003549EA" w:rsidRPr="004F51D8">
        <w:rPr>
          <w:szCs w:val="24"/>
        </w:rPr>
        <w:t>843.)</w:t>
      </w:r>
    </w:p>
    <w:p w14:paraId="37164297" w14:textId="78127008" w:rsidR="00095BCC" w:rsidRDefault="00396C25" w:rsidP="00720B28">
      <w:pPr>
        <w:spacing w:line="480" w:lineRule="auto"/>
        <w:ind w:firstLine="720"/>
        <w:rPr>
          <w:szCs w:val="24"/>
        </w:rPr>
      </w:pPr>
      <w:r>
        <w:rPr>
          <w:szCs w:val="24"/>
        </w:rPr>
        <w:t xml:space="preserve">Count </w:t>
      </w:r>
      <w:r w:rsidR="003759F0">
        <w:rPr>
          <w:szCs w:val="24"/>
        </w:rPr>
        <w:t>eleven</w:t>
      </w:r>
      <w:r>
        <w:rPr>
          <w:szCs w:val="24"/>
        </w:rPr>
        <w:t xml:space="preserve"> alleged Isola false</w:t>
      </w:r>
      <w:r w:rsidR="00882F29">
        <w:rPr>
          <w:szCs w:val="24"/>
        </w:rPr>
        <w:t>ly</w:t>
      </w:r>
      <w:r>
        <w:rPr>
          <w:szCs w:val="24"/>
        </w:rPr>
        <w:t xml:space="preserve"> </w:t>
      </w:r>
      <w:r w:rsidR="00B55D8F">
        <w:rPr>
          <w:szCs w:val="24"/>
        </w:rPr>
        <w:t>represented</w:t>
      </w:r>
      <w:r>
        <w:rPr>
          <w:szCs w:val="24"/>
        </w:rPr>
        <w:t xml:space="preserve"> in </w:t>
      </w:r>
      <w:r w:rsidR="00E01CC6">
        <w:rPr>
          <w:szCs w:val="24"/>
        </w:rPr>
        <w:t>a September</w:t>
      </w:r>
      <w:r w:rsidR="00D24BC7">
        <w:rPr>
          <w:szCs w:val="24"/>
        </w:rPr>
        <w:t> </w:t>
      </w:r>
      <w:r w:rsidR="00E01CC6">
        <w:rPr>
          <w:szCs w:val="24"/>
        </w:rPr>
        <w:t>8, 2011 letter to Travelers</w:t>
      </w:r>
      <w:r w:rsidR="00B55D8F">
        <w:rPr>
          <w:szCs w:val="24"/>
        </w:rPr>
        <w:t xml:space="preserve"> that (1)</w:t>
      </w:r>
      <w:r w:rsidR="00D24BC7">
        <w:rPr>
          <w:szCs w:val="24"/>
        </w:rPr>
        <w:t> </w:t>
      </w:r>
      <w:r w:rsidR="00996D65">
        <w:rPr>
          <w:szCs w:val="24"/>
        </w:rPr>
        <w:t>Min-Ku was the insured making the claim and split her time between Korea and the United States; (2)</w:t>
      </w:r>
      <w:r w:rsidR="00D24BC7">
        <w:rPr>
          <w:szCs w:val="24"/>
        </w:rPr>
        <w:t> </w:t>
      </w:r>
      <w:r w:rsidR="00996D65">
        <w:rPr>
          <w:szCs w:val="24"/>
        </w:rPr>
        <w:t>Min-Ku had knowledge of New Jersey claims since 2002; (3)</w:t>
      </w:r>
      <w:r w:rsidR="00D24BC7">
        <w:rPr>
          <w:szCs w:val="24"/>
        </w:rPr>
        <w:t> </w:t>
      </w:r>
      <w:r w:rsidR="00996D65">
        <w:rPr>
          <w:szCs w:val="24"/>
        </w:rPr>
        <w:t>Min-Ku had received</w:t>
      </w:r>
      <w:r w:rsidR="00C25035">
        <w:rPr>
          <w:szCs w:val="24"/>
        </w:rPr>
        <w:t xml:space="preserve"> and was</w:t>
      </w:r>
      <w:r w:rsidR="00996D65">
        <w:rPr>
          <w:szCs w:val="24"/>
        </w:rPr>
        <w:t xml:space="preserve"> </w:t>
      </w:r>
      <w:r w:rsidR="001D53B3">
        <w:rPr>
          <w:szCs w:val="24"/>
        </w:rPr>
        <w:t xml:space="preserve">compiling </w:t>
      </w:r>
      <w:r w:rsidR="00996D65">
        <w:rPr>
          <w:szCs w:val="24"/>
        </w:rPr>
        <w:t>several letters from the NJDEP;</w:t>
      </w:r>
      <w:r w:rsidR="00FF6235">
        <w:rPr>
          <w:rStyle w:val="FootnoteReference"/>
          <w:szCs w:val="24"/>
        </w:rPr>
        <w:footnoteReference w:id="27"/>
      </w:r>
      <w:r w:rsidR="00996D65">
        <w:rPr>
          <w:szCs w:val="24"/>
        </w:rPr>
        <w:t xml:space="preserve"> and (4)</w:t>
      </w:r>
      <w:r w:rsidR="00D24BC7">
        <w:rPr>
          <w:szCs w:val="24"/>
        </w:rPr>
        <w:t> </w:t>
      </w:r>
      <w:r w:rsidR="00996D65">
        <w:rPr>
          <w:szCs w:val="24"/>
        </w:rPr>
        <w:t xml:space="preserve">Min-Ku believed she had purchased insurance exclusively from Travelers during the relevant period and had not corresponded with any other insurers.  </w:t>
      </w:r>
      <w:r w:rsidR="005711C4">
        <w:rPr>
          <w:szCs w:val="24"/>
        </w:rPr>
        <w:t>The hearing judge</w:t>
      </w:r>
      <w:r w:rsidR="00A97F1A">
        <w:rPr>
          <w:szCs w:val="24"/>
        </w:rPr>
        <w:t xml:space="preserve"> dismissed count </w:t>
      </w:r>
      <w:r w:rsidR="003759F0">
        <w:rPr>
          <w:szCs w:val="24"/>
        </w:rPr>
        <w:t>eleven</w:t>
      </w:r>
      <w:r w:rsidR="00A97F1A">
        <w:rPr>
          <w:szCs w:val="24"/>
        </w:rPr>
        <w:t>, finding</w:t>
      </w:r>
      <w:r w:rsidR="00BE13F8">
        <w:rPr>
          <w:szCs w:val="24"/>
        </w:rPr>
        <w:t xml:space="preserve"> no clear and convincing evidence </w:t>
      </w:r>
      <w:r w:rsidR="0052469E">
        <w:rPr>
          <w:szCs w:val="24"/>
        </w:rPr>
        <w:t xml:space="preserve">that the assertions were false or not honestly held.  </w:t>
      </w:r>
      <w:r w:rsidR="0052469E" w:rsidRPr="004F51D8">
        <w:rPr>
          <w:szCs w:val="24"/>
        </w:rPr>
        <w:t xml:space="preserve">Neither party disagrees with the dismissal of count </w:t>
      </w:r>
      <w:r w:rsidR="003759F0">
        <w:rPr>
          <w:szCs w:val="24"/>
        </w:rPr>
        <w:t>eleven</w:t>
      </w:r>
      <w:r w:rsidR="0052469E" w:rsidRPr="004F51D8">
        <w:rPr>
          <w:szCs w:val="24"/>
        </w:rPr>
        <w:t xml:space="preserve"> on review</w:t>
      </w:r>
      <w:r w:rsidR="0052469E">
        <w:rPr>
          <w:szCs w:val="24"/>
        </w:rPr>
        <w:t xml:space="preserve">.  </w:t>
      </w:r>
      <w:r w:rsidR="0052469E" w:rsidRPr="004F51D8">
        <w:rPr>
          <w:szCs w:val="24"/>
        </w:rPr>
        <w:t xml:space="preserve">After review of the record, we </w:t>
      </w:r>
      <w:r w:rsidR="0052469E">
        <w:rPr>
          <w:szCs w:val="24"/>
        </w:rPr>
        <w:t xml:space="preserve">agree with the dismissal because, at the time he wrote the letter, </w:t>
      </w:r>
      <w:r w:rsidR="00181B67">
        <w:rPr>
          <w:szCs w:val="24"/>
        </w:rPr>
        <w:t xml:space="preserve">Isola believed </w:t>
      </w:r>
      <w:r w:rsidR="0052469E">
        <w:rPr>
          <w:szCs w:val="24"/>
        </w:rPr>
        <w:t>he</w:t>
      </w:r>
      <w:r w:rsidR="00181B67">
        <w:rPr>
          <w:szCs w:val="24"/>
        </w:rPr>
        <w:t xml:space="preserve"> was conveying correct information based on </w:t>
      </w:r>
      <w:r w:rsidR="00165570">
        <w:rPr>
          <w:szCs w:val="24"/>
        </w:rPr>
        <w:t xml:space="preserve">his discussion with Gregory at the Diner Meeting.  </w:t>
      </w:r>
      <w:r w:rsidR="00720B28">
        <w:rPr>
          <w:szCs w:val="24"/>
        </w:rPr>
        <w:t xml:space="preserve">Therefore, count </w:t>
      </w:r>
      <w:r w:rsidR="003759F0">
        <w:rPr>
          <w:szCs w:val="24"/>
        </w:rPr>
        <w:t>eleven</w:t>
      </w:r>
      <w:r w:rsidR="00720B28">
        <w:rPr>
          <w:szCs w:val="24"/>
        </w:rPr>
        <w:t xml:space="preserve"> is dismissed with prejudice. </w:t>
      </w:r>
      <w:r w:rsidR="00095BCC" w:rsidRPr="004F51D8">
        <w:rPr>
          <w:szCs w:val="24"/>
        </w:rPr>
        <w:t xml:space="preserve"> (</w:t>
      </w:r>
      <w:r w:rsidR="00095BCC" w:rsidRPr="004F51D8">
        <w:rPr>
          <w:i/>
          <w:szCs w:val="24"/>
        </w:rPr>
        <w:t xml:space="preserve">In the Matter of </w:t>
      </w:r>
      <w:proofErr w:type="spellStart"/>
      <w:r w:rsidR="00095BCC" w:rsidRPr="004F51D8">
        <w:rPr>
          <w:i/>
          <w:szCs w:val="24"/>
        </w:rPr>
        <w:t>Kroff</w:t>
      </w:r>
      <w:proofErr w:type="spellEnd"/>
      <w:r w:rsidR="00095BCC" w:rsidRPr="004F51D8">
        <w:rPr>
          <w:szCs w:val="24"/>
        </w:rPr>
        <w:t xml:space="preserve">, </w:t>
      </w:r>
      <w:r w:rsidR="00095BCC" w:rsidRPr="004F51D8">
        <w:rPr>
          <w:i/>
          <w:iCs/>
          <w:szCs w:val="24"/>
        </w:rPr>
        <w:t>supra</w:t>
      </w:r>
      <w:r w:rsidR="00095BCC" w:rsidRPr="004F51D8">
        <w:rPr>
          <w:szCs w:val="24"/>
        </w:rPr>
        <w:t>, 3</w:t>
      </w:r>
      <w:r w:rsidR="00D24BC7">
        <w:rPr>
          <w:szCs w:val="24"/>
        </w:rPr>
        <w:t> </w:t>
      </w:r>
      <w:r w:rsidR="00095BCC" w:rsidRPr="004F51D8">
        <w:rPr>
          <w:szCs w:val="24"/>
        </w:rPr>
        <w:t xml:space="preserve">Cal. State Bar Ct. </w:t>
      </w:r>
      <w:proofErr w:type="spellStart"/>
      <w:r w:rsidR="00095BCC" w:rsidRPr="004F51D8">
        <w:rPr>
          <w:szCs w:val="24"/>
        </w:rPr>
        <w:t>Rptr</w:t>
      </w:r>
      <w:proofErr w:type="spellEnd"/>
      <w:r w:rsidR="00095BCC" w:rsidRPr="004F51D8">
        <w:rPr>
          <w:szCs w:val="24"/>
        </w:rPr>
        <w:t>. at p.</w:t>
      </w:r>
      <w:r w:rsidR="00D24BC7">
        <w:rPr>
          <w:szCs w:val="24"/>
        </w:rPr>
        <w:t> </w:t>
      </w:r>
      <w:r w:rsidR="00095BCC" w:rsidRPr="004F51D8">
        <w:rPr>
          <w:szCs w:val="24"/>
        </w:rPr>
        <w:t>843.)</w:t>
      </w:r>
    </w:p>
    <w:p w14:paraId="3B5F5D3B" w14:textId="77777777" w:rsidR="005000CE" w:rsidRPr="004F51D8" w:rsidRDefault="005000CE" w:rsidP="005000CE">
      <w:pPr>
        <w:spacing w:line="480" w:lineRule="auto"/>
        <w:rPr>
          <w:b/>
          <w:bCs/>
          <w:szCs w:val="24"/>
        </w:rPr>
      </w:pPr>
      <w:r w:rsidRPr="004F51D8">
        <w:rPr>
          <w:b/>
          <w:bCs/>
          <w:szCs w:val="24"/>
        </w:rPr>
        <w:t>C.</w:t>
      </w:r>
      <w:r w:rsidRPr="004F51D8">
        <w:rPr>
          <w:b/>
          <w:bCs/>
          <w:szCs w:val="24"/>
        </w:rPr>
        <w:tab/>
        <w:t>Count Ten: Moral Turpitude—Misrepresentation (§ 6106)</w:t>
      </w:r>
    </w:p>
    <w:p w14:paraId="7034643D" w14:textId="6C02D647" w:rsidR="00E868AE" w:rsidRDefault="005000CE" w:rsidP="005000CE">
      <w:pPr>
        <w:spacing w:line="480" w:lineRule="auto"/>
        <w:ind w:firstLine="720"/>
        <w:rPr>
          <w:szCs w:val="24"/>
        </w:rPr>
      </w:pPr>
      <w:r w:rsidRPr="004F51D8">
        <w:rPr>
          <w:szCs w:val="24"/>
        </w:rPr>
        <w:t xml:space="preserve">Count </w:t>
      </w:r>
      <w:r w:rsidR="00C07849">
        <w:rPr>
          <w:szCs w:val="24"/>
        </w:rPr>
        <w:t>ten</w:t>
      </w:r>
      <w:r w:rsidRPr="004F51D8">
        <w:rPr>
          <w:szCs w:val="24"/>
        </w:rPr>
        <w:t xml:space="preserve"> alleged Isola made false statements in letters to Travelers, dated July</w:t>
      </w:r>
      <w:r w:rsidR="00D24BC7">
        <w:rPr>
          <w:szCs w:val="24"/>
        </w:rPr>
        <w:t> </w:t>
      </w:r>
      <w:r w:rsidRPr="004F51D8">
        <w:rPr>
          <w:szCs w:val="24"/>
        </w:rPr>
        <w:t>18 and September</w:t>
      </w:r>
      <w:r w:rsidR="00D24BC7">
        <w:rPr>
          <w:szCs w:val="24"/>
        </w:rPr>
        <w:t> </w:t>
      </w:r>
      <w:r w:rsidRPr="004F51D8">
        <w:rPr>
          <w:szCs w:val="24"/>
        </w:rPr>
        <w:t>8, 2011, regarding the existence of a</w:t>
      </w:r>
      <w:r w:rsidR="00894F25" w:rsidRPr="004F51D8">
        <w:rPr>
          <w:szCs w:val="24"/>
        </w:rPr>
        <w:t>n</w:t>
      </w:r>
      <w:r w:rsidRPr="004F51D8">
        <w:rPr>
          <w:szCs w:val="24"/>
        </w:rPr>
        <w:t xml:space="preserve"> NJDEP claim</w:t>
      </w:r>
      <w:r w:rsidR="00B465CD">
        <w:rPr>
          <w:szCs w:val="24"/>
        </w:rPr>
        <w:t xml:space="preserve"> against</w:t>
      </w:r>
      <w:r w:rsidRPr="004F51D8">
        <w:rPr>
          <w:szCs w:val="24"/>
        </w:rPr>
        <w:t xml:space="preserve"> Min-Ku. </w:t>
      </w:r>
      <w:r w:rsidR="00E868AE" w:rsidRPr="004F51D8">
        <w:rPr>
          <w:szCs w:val="24"/>
        </w:rPr>
        <w:t xml:space="preserve"> </w:t>
      </w:r>
      <w:r w:rsidRPr="004F51D8">
        <w:rPr>
          <w:szCs w:val="24"/>
        </w:rPr>
        <w:t>In the July 2011 letter</w:t>
      </w:r>
      <w:r w:rsidR="00E868AE" w:rsidRPr="004F51D8">
        <w:rPr>
          <w:szCs w:val="24"/>
        </w:rPr>
        <w:t xml:space="preserve">, Isola </w:t>
      </w:r>
      <w:r w:rsidRPr="004F51D8">
        <w:rPr>
          <w:szCs w:val="24"/>
        </w:rPr>
        <w:t xml:space="preserve">stated that </w:t>
      </w:r>
      <w:r w:rsidR="00E868AE" w:rsidRPr="004F51D8">
        <w:rPr>
          <w:szCs w:val="24"/>
        </w:rPr>
        <w:t>he represented Min-Ku regarding “claims asserted by the [NJDEP] and demands made by the owner of the real property known as 31-01</w:t>
      </w:r>
      <w:r w:rsidR="00D24BC7">
        <w:rPr>
          <w:szCs w:val="24"/>
        </w:rPr>
        <w:t> </w:t>
      </w:r>
      <w:r w:rsidR="00E868AE" w:rsidRPr="004F51D8">
        <w:rPr>
          <w:szCs w:val="24"/>
        </w:rPr>
        <w:t xml:space="preserve">Broadway.”  </w:t>
      </w:r>
      <w:r w:rsidRPr="004F51D8">
        <w:rPr>
          <w:szCs w:val="24"/>
        </w:rPr>
        <w:t>The hearing judge found it reasonable to infer that Isola did not actually know there was no NJDEP claim against Cameo Cleaners of Fair</w:t>
      </w:r>
      <w:r w:rsidR="00DA30BB">
        <w:rPr>
          <w:szCs w:val="24"/>
        </w:rPr>
        <w:t xml:space="preserve"> L</w:t>
      </w:r>
      <w:r w:rsidRPr="004F51D8">
        <w:rPr>
          <w:szCs w:val="24"/>
        </w:rPr>
        <w:t>awn when writing the July 2011 letter</w:t>
      </w:r>
      <w:r w:rsidR="00E868AE" w:rsidRPr="004F51D8">
        <w:rPr>
          <w:szCs w:val="24"/>
        </w:rPr>
        <w:t xml:space="preserve">, and found his </w:t>
      </w:r>
      <w:r w:rsidR="00E868AE" w:rsidRPr="004F51D8">
        <w:rPr>
          <w:szCs w:val="24"/>
        </w:rPr>
        <w:lastRenderedPageBreak/>
        <w:t>misstatement was not an act of moral turpitude.  Neither party disputes this finding</w:t>
      </w:r>
      <w:r w:rsidR="00B83714" w:rsidRPr="004F51D8">
        <w:rPr>
          <w:szCs w:val="24"/>
        </w:rPr>
        <w:t xml:space="preserve">.  We affirm the dismissal of the portion of count </w:t>
      </w:r>
      <w:r w:rsidR="00C07849">
        <w:rPr>
          <w:szCs w:val="24"/>
        </w:rPr>
        <w:t>ten</w:t>
      </w:r>
      <w:r w:rsidR="00B83714" w:rsidRPr="004F51D8">
        <w:rPr>
          <w:szCs w:val="24"/>
        </w:rPr>
        <w:t xml:space="preserve"> relating to the July</w:t>
      </w:r>
      <w:r w:rsidR="00D24BC7">
        <w:rPr>
          <w:szCs w:val="24"/>
        </w:rPr>
        <w:t> </w:t>
      </w:r>
      <w:r w:rsidR="00B83714" w:rsidRPr="004F51D8">
        <w:rPr>
          <w:szCs w:val="24"/>
        </w:rPr>
        <w:t>18, 2011 letter.</w:t>
      </w:r>
    </w:p>
    <w:p w14:paraId="07051D66" w14:textId="570876B8" w:rsidR="005554FA" w:rsidRDefault="00BA733C" w:rsidP="003D6D0F">
      <w:pPr>
        <w:spacing w:line="480" w:lineRule="auto"/>
        <w:ind w:firstLine="720"/>
        <w:rPr>
          <w:szCs w:val="24"/>
        </w:rPr>
      </w:pPr>
      <w:r>
        <w:rPr>
          <w:szCs w:val="24"/>
        </w:rPr>
        <w:t>Regarding the September</w:t>
      </w:r>
      <w:r w:rsidR="00D24BC7">
        <w:rPr>
          <w:szCs w:val="24"/>
        </w:rPr>
        <w:t> </w:t>
      </w:r>
      <w:r>
        <w:rPr>
          <w:szCs w:val="24"/>
        </w:rPr>
        <w:t xml:space="preserve">8, </w:t>
      </w:r>
      <w:r w:rsidR="001D4A1E">
        <w:rPr>
          <w:szCs w:val="24"/>
        </w:rPr>
        <w:t>2011,</w:t>
      </w:r>
      <w:r>
        <w:rPr>
          <w:szCs w:val="24"/>
        </w:rPr>
        <w:t xml:space="preserve"> letter, the ANDC alleged </w:t>
      </w:r>
      <w:r w:rsidR="00920476">
        <w:rPr>
          <w:szCs w:val="24"/>
        </w:rPr>
        <w:t>the following statement was a misrepresentation: “There are two claimants impl</w:t>
      </w:r>
      <w:r w:rsidR="006163B1">
        <w:rPr>
          <w:szCs w:val="24"/>
        </w:rPr>
        <w:t xml:space="preserve">icated in this matter, the first being the </w:t>
      </w:r>
      <w:r w:rsidR="007D43F4">
        <w:rPr>
          <w:szCs w:val="24"/>
        </w:rPr>
        <w:t>[NJDEP]</w:t>
      </w:r>
      <w:r w:rsidR="006163B1">
        <w:rPr>
          <w:szCs w:val="24"/>
        </w:rPr>
        <w:t>, whic</w:t>
      </w:r>
      <w:r w:rsidR="00D41B82">
        <w:rPr>
          <w:szCs w:val="24"/>
        </w:rPr>
        <w:t>h is compelling Min-Ku Hahn (and others) to undertake an investigation and remediation of dry</w:t>
      </w:r>
      <w:r w:rsidR="002E5CC8">
        <w:rPr>
          <w:szCs w:val="24"/>
        </w:rPr>
        <w:t>-</w:t>
      </w:r>
      <w:r w:rsidR="00D41B82">
        <w:rPr>
          <w:szCs w:val="24"/>
        </w:rPr>
        <w:t xml:space="preserve">cleaning-related solvents at </w:t>
      </w:r>
      <w:r w:rsidR="004F7C18">
        <w:rPr>
          <w:szCs w:val="24"/>
        </w:rPr>
        <w:t>. . . 31-01</w:t>
      </w:r>
      <w:r w:rsidR="00D24BC7">
        <w:rPr>
          <w:szCs w:val="24"/>
        </w:rPr>
        <w:t> </w:t>
      </w:r>
      <w:r w:rsidR="004F7C18">
        <w:rPr>
          <w:szCs w:val="24"/>
        </w:rPr>
        <w:t xml:space="preserve">Broadway </w:t>
      </w:r>
      <w:r w:rsidR="00FE7A22">
        <w:rPr>
          <w:szCs w:val="24"/>
        </w:rPr>
        <w:t>. . . .  The second claimant is the current property owner, 31-01</w:t>
      </w:r>
      <w:r w:rsidR="00D24BC7">
        <w:rPr>
          <w:szCs w:val="24"/>
        </w:rPr>
        <w:t> </w:t>
      </w:r>
      <w:r w:rsidR="00FE7A22">
        <w:rPr>
          <w:szCs w:val="24"/>
        </w:rPr>
        <w:t xml:space="preserve">Broadway Associates, and </w:t>
      </w:r>
      <w:r w:rsidR="00F7566F">
        <w:rPr>
          <w:szCs w:val="24"/>
        </w:rPr>
        <w:t>[</w:t>
      </w:r>
      <w:r w:rsidR="00FE7A22">
        <w:rPr>
          <w:szCs w:val="24"/>
        </w:rPr>
        <w:t>its</w:t>
      </w:r>
      <w:r w:rsidR="00F7566F">
        <w:rPr>
          <w:szCs w:val="24"/>
        </w:rPr>
        <w:t>]</w:t>
      </w:r>
      <w:r w:rsidR="00FE7A22">
        <w:rPr>
          <w:szCs w:val="24"/>
        </w:rPr>
        <w:t xml:space="preserve"> representative, Richard Greco.”</w:t>
      </w:r>
      <w:r w:rsidR="00942007">
        <w:rPr>
          <w:szCs w:val="24"/>
        </w:rPr>
        <w:t xml:space="preserve">  The hearing judge found this statement was grossly negligent and amounted to moral turpitude because an NJDEP claim </w:t>
      </w:r>
      <w:r w:rsidR="00942007" w:rsidRPr="004F51D8">
        <w:rPr>
          <w:szCs w:val="24"/>
        </w:rPr>
        <w:t>had not been made against Min-Ku or Cameo Dry Cleaners of Fair</w:t>
      </w:r>
      <w:r w:rsidR="00451194">
        <w:rPr>
          <w:szCs w:val="24"/>
        </w:rPr>
        <w:t xml:space="preserve"> L</w:t>
      </w:r>
      <w:r w:rsidR="00942007" w:rsidRPr="004F51D8">
        <w:rPr>
          <w:szCs w:val="24"/>
        </w:rPr>
        <w:t>awn.</w:t>
      </w:r>
      <w:r w:rsidR="005554FA">
        <w:rPr>
          <w:szCs w:val="24"/>
        </w:rPr>
        <w:t xml:space="preserve">  </w:t>
      </w:r>
      <w:r w:rsidR="00B83714" w:rsidRPr="004F51D8">
        <w:rPr>
          <w:szCs w:val="24"/>
        </w:rPr>
        <w:t xml:space="preserve">The judge found that Isola made this representation in order to trigger Travelers’ duty to defend and had not verified that </w:t>
      </w:r>
      <w:r w:rsidR="009A197E" w:rsidRPr="004F51D8">
        <w:rPr>
          <w:szCs w:val="24"/>
        </w:rPr>
        <w:t>an NJDEP claim had been made.</w:t>
      </w:r>
      <w:r w:rsidR="009A197E" w:rsidRPr="004F51D8">
        <w:rPr>
          <w:rStyle w:val="FootnoteReference"/>
          <w:szCs w:val="24"/>
        </w:rPr>
        <w:footnoteReference w:id="28"/>
      </w:r>
      <w:r w:rsidR="00FD7BB9" w:rsidRPr="004F51D8">
        <w:rPr>
          <w:szCs w:val="24"/>
        </w:rPr>
        <w:t xml:space="preserve">  </w:t>
      </w:r>
    </w:p>
    <w:p w14:paraId="1B57EEEB" w14:textId="1775675E" w:rsidR="00272613" w:rsidRDefault="00FD7BB9" w:rsidP="002F3745">
      <w:pPr>
        <w:spacing w:line="480" w:lineRule="auto"/>
        <w:ind w:firstLine="720"/>
        <w:rPr>
          <w:szCs w:val="24"/>
        </w:rPr>
      </w:pPr>
      <w:r w:rsidRPr="004F51D8">
        <w:rPr>
          <w:szCs w:val="24"/>
        </w:rPr>
        <w:t xml:space="preserve">We disagree that Isola’s statement amounted to moral turpitude.  Isola’s letter </w:t>
      </w:r>
      <w:r w:rsidR="00622580" w:rsidRPr="004F51D8">
        <w:rPr>
          <w:szCs w:val="24"/>
        </w:rPr>
        <w:t>discussed</w:t>
      </w:r>
      <w:r w:rsidRPr="004F51D8">
        <w:rPr>
          <w:szCs w:val="24"/>
        </w:rPr>
        <w:t xml:space="preserve"> coverage and remediation of the site as it relate</w:t>
      </w:r>
      <w:r w:rsidR="00622580" w:rsidRPr="004F51D8">
        <w:rPr>
          <w:szCs w:val="24"/>
        </w:rPr>
        <w:t>d</w:t>
      </w:r>
      <w:r w:rsidRPr="004F51D8">
        <w:rPr>
          <w:szCs w:val="24"/>
        </w:rPr>
        <w:t xml:space="preserve"> to the </w:t>
      </w:r>
      <w:proofErr w:type="spellStart"/>
      <w:r w:rsidRPr="004F51D8">
        <w:rPr>
          <w:szCs w:val="24"/>
        </w:rPr>
        <w:t>Hahns</w:t>
      </w:r>
      <w:proofErr w:type="spellEnd"/>
      <w:r w:rsidRPr="004F51D8">
        <w:rPr>
          <w:szCs w:val="24"/>
        </w:rPr>
        <w:t xml:space="preserve">.  He stated that the NJDEP </w:t>
      </w:r>
      <w:r w:rsidR="00D71A49">
        <w:rPr>
          <w:szCs w:val="24"/>
        </w:rPr>
        <w:t>was</w:t>
      </w:r>
      <w:r w:rsidRPr="004F51D8">
        <w:rPr>
          <w:szCs w:val="24"/>
        </w:rPr>
        <w:t xml:space="preserve"> “implicated in this matter,”</w:t>
      </w:r>
      <w:r w:rsidR="00C93E53">
        <w:rPr>
          <w:szCs w:val="24"/>
        </w:rPr>
        <w:t xml:space="preserve"> and was compelling Min-Ku and others to remediate 31-1</w:t>
      </w:r>
      <w:r w:rsidR="00D24BC7">
        <w:rPr>
          <w:szCs w:val="24"/>
        </w:rPr>
        <w:t> </w:t>
      </w:r>
      <w:r w:rsidR="00C93E53">
        <w:rPr>
          <w:szCs w:val="24"/>
        </w:rPr>
        <w:t xml:space="preserve">Broadway.  </w:t>
      </w:r>
      <w:r w:rsidR="00EF7046">
        <w:rPr>
          <w:szCs w:val="24"/>
        </w:rPr>
        <w:t xml:space="preserve">Isola asserts that it was not false to say that the NJDEP was implicated as claims had been made related to the site and the </w:t>
      </w:r>
      <w:proofErr w:type="spellStart"/>
      <w:r w:rsidR="00EF7046">
        <w:rPr>
          <w:szCs w:val="24"/>
        </w:rPr>
        <w:t>Hahns</w:t>
      </w:r>
      <w:proofErr w:type="spellEnd"/>
      <w:r w:rsidR="00EF7046">
        <w:rPr>
          <w:szCs w:val="24"/>
        </w:rPr>
        <w:t xml:space="preserve"> had some liability as the prior tenants of </w:t>
      </w:r>
    </w:p>
    <w:p w14:paraId="6CAEEB8F" w14:textId="33DC0927" w:rsidR="00F44819" w:rsidRDefault="00EF7046" w:rsidP="00272613">
      <w:pPr>
        <w:spacing w:line="480" w:lineRule="auto"/>
        <w:rPr>
          <w:szCs w:val="24"/>
        </w:rPr>
      </w:pPr>
      <w:r>
        <w:rPr>
          <w:szCs w:val="24"/>
        </w:rPr>
        <w:t>31-01</w:t>
      </w:r>
      <w:r w:rsidR="00D24BC7">
        <w:rPr>
          <w:szCs w:val="24"/>
        </w:rPr>
        <w:t> </w:t>
      </w:r>
      <w:r>
        <w:rPr>
          <w:szCs w:val="24"/>
        </w:rPr>
        <w:t xml:space="preserve">Broadway.  In March 2011, the </w:t>
      </w:r>
      <w:proofErr w:type="spellStart"/>
      <w:r>
        <w:rPr>
          <w:szCs w:val="24"/>
        </w:rPr>
        <w:t>Grecos</w:t>
      </w:r>
      <w:proofErr w:type="spellEnd"/>
      <w:r>
        <w:rPr>
          <w:szCs w:val="24"/>
        </w:rPr>
        <w:t xml:space="preserve"> submitted an NJDEP form identifying the </w:t>
      </w:r>
      <w:proofErr w:type="spellStart"/>
      <w:r>
        <w:rPr>
          <w:szCs w:val="24"/>
        </w:rPr>
        <w:t>Hahns</w:t>
      </w:r>
      <w:proofErr w:type="spellEnd"/>
      <w:r>
        <w:rPr>
          <w:szCs w:val="24"/>
        </w:rPr>
        <w:t xml:space="preserve"> and stating that the </w:t>
      </w:r>
      <w:proofErr w:type="spellStart"/>
      <w:r>
        <w:rPr>
          <w:szCs w:val="24"/>
        </w:rPr>
        <w:t>Hahns</w:t>
      </w:r>
      <w:proofErr w:type="spellEnd"/>
      <w:r>
        <w:rPr>
          <w:szCs w:val="24"/>
        </w:rPr>
        <w:t xml:space="preserve">’ insurance could be used to obtain additional coverage.  Additionally, </w:t>
      </w:r>
      <w:r w:rsidR="000B7A33">
        <w:rPr>
          <w:szCs w:val="24"/>
        </w:rPr>
        <w:t xml:space="preserve">Isola’s </w:t>
      </w:r>
      <w:r w:rsidR="006779C0">
        <w:rPr>
          <w:szCs w:val="24"/>
        </w:rPr>
        <w:t>letter was</w:t>
      </w:r>
      <w:r w:rsidR="000841A9">
        <w:rPr>
          <w:szCs w:val="24"/>
        </w:rPr>
        <w:t xml:space="preserve"> </w:t>
      </w:r>
      <w:r w:rsidR="00700CF1">
        <w:rPr>
          <w:szCs w:val="24"/>
        </w:rPr>
        <w:t xml:space="preserve">sent </w:t>
      </w:r>
      <w:r w:rsidR="000841A9">
        <w:rPr>
          <w:szCs w:val="24"/>
        </w:rPr>
        <w:t>early</w:t>
      </w:r>
      <w:r>
        <w:rPr>
          <w:szCs w:val="24"/>
        </w:rPr>
        <w:t xml:space="preserve"> </w:t>
      </w:r>
      <w:r w:rsidR="00A57284">
        <w:rPr>
          <w:szCs w:val="24"/>
        </w:rPr>
        <w:t>in the case,</w:t>
      </w:r>
      <w:r w:rsidR="00CA0478">
        <w:rPr>
          <w:szCs w:val="24"/>
        </w:rPr>
        <w:t xml:space="preserve"> </w:t>
      </w:r>
      <w:r w:rsidR="000841A9">
        <w:rPr>
          <w:szCs w:val="24"/>
        </w:rPr>
        <w:t>and</w:t>
      </w:r>
      <w:r w:rsidR="00700CF1">
        <w:rPr>
          <w:szCs w:val="24"/>
        </w:rPr>
        <w:t xml:space="preserve"> </w:t>
      </w:r>
      <w:r w:rsidR="000B7A33">
        <w:rPr>
          <w:szCs w:val="24"/>
        </w:rPr>
        <w:t xml:space="preserve">he </w:t>
      </w:r>
      <w:r w:rsidR="006B6757">
        <w:rPr>
          <w:szCs w:val="24"/>
        </w:rPr>
        <w:t>was confused about</w:t>
      </w:r>
      <w:r w:rsidR="00BB2ABD" w:rsidRPr="004F51D8">
        <w:rPr>
          <w:szCs w:val="24"/>
        </w:rPr>
        <w:t xml:space="preserve"> Cameo Cleaners of Fair</w:t>
      </w:r>
      <w:r w:rsidR="00FC3F0A">
        <w:rPr>
          <w:szCs w:val="24"/>
        </w:rPr>
        <w:t xml:space="preserve"> L</w:t>
      </w:r>
      <w:r w:rsidR="00BB2ABD" w:rsidRPr="004F51D8">
        <w:rPr>
          <w:szCs w:val="24"/>
        </w:rPr>
        <w:t>awn and Cameo Cleaner</w:t>
      </w:r>
      <w:r w:rsidR="0068299E">
        <w:rPr>
          <w:szCs w:val="24"/>
        </w:rPr>
        <w:t>s</w:t>
      </w:r>
      <w:r w:rsidR="006B6757">
        <w:rPr>
          <w:szCs w:val="24"/>
        </w:rPr>
        <w:t>.</w:t>
      </w:r>
      <w:r w:rsidR="00CE2F7F">
        <w:rPr>
          <w:szCs w:val="24"/>
        </w:rPr>
        <w:t xml:space="preserve">  He </w:t>
      </w:r>
      <w:r w:rsidR="0068299E">
        <w:rPr>
          <w:szCs w:val="24"/>
        </w:rPr>
        <w:t xml:space="preserve">believed an NJDEP claim had been made against the </w:t>
      </w:r>
      <w:proofErr w:type="spellStart"/>
      <w:r w:rsidR="0068299E">
        <w:rPr>
          <w:szCs w:val="24"/>
        </w:rPr>
        <w:t>Hahns</w:t>
      </w:r>
      <w:proofErr w:type="spellEnd"/>
      <w:r w:rsidR="0068299E">
        <w:rPr>
          <w:szCs w:val="24"/>
        </w:rPr>
        <w:t>.</w:t>
      </w:r>
      <w:r w:rsidR="00B22F04">
        <w:rPr>
          <w:szCs w:val="24"/>
        </w:rPr>
        <w:t xml:space="preserve">  Therefore, we find </w:t>
      </w:r>
      <w:r w:rsidR="00FD7BB9" w:rsidRPr="004F51D8">
        <w:rPr>
          <w:szCs w:val="24"/>
        </w:rPr>
        <w:t xml:space="preserve">no clear and convincing evidence </w:t>
      </w:r>
      <w:r w:rsidR="00CE2F7F">
        <w:rPr>
          <w:szCs w:val="24"/>
        </w:rPr>
        <w:t>to</w:t>
      </w:r>
      <w:r w:rsidR="00FD7BB9" w:rsidRPr="004F51D8">
        <w:rPr>
          <w:szCs w:val="24"/>
        </w:rPr>
        <w:t xml:space="preserve"> support</w:t>
      </w:r>
      <w:r w:rsidR="00BD3C42">
        <w:rPr>
          <w:szCs w:val="24"/>
        </w:rPr>
        <w:t xml:space="preserve"> the</w:t>
      </w:r>
      <w:r w:rsidR="00FD7BB9" w:rsidRPr="004F51D8">
        <w:rPr>
          <w:szCs w:val="24"/>
        </w:rPr>
        <w:t xml:space="preserve"> conclusion that Isola made a material misrepresentation</w:t>
      </w:r>
      <w:r w:rsidR="002F3745">
        <w:rPr>
          <w:szCs w:val="24"/>
        </w:rPr>
        <w:t xml:space="preserve"> amounting </w:t>
      </w:r>
      <w:r w:rsidR="00186360" w:rsidRPr="004F51D8">
        <w:rPr>
          <w:szCs w:val="24"/>
        </w:rPr>
        <w:t xml:space="preserve">to either grossly negligent or intentional moral turpitude.  </w:t>
      </w:r>
    </w:p>
    <w:p w14:paraId="2E99A011" w14:textId="05D2189C" w:rsidR="00B83714" w:rsidRDefault="00733736" w:rsidP="003D6D0F">
      <w:pPr>
        <w:spacing w:line="480" w:lineRule="auto"/>
        <w:ind w:firstLine="720"/>
        <w:rPr>
          <w:szCs w:val="24"/>
        </w:rPr>
      </w:pPr>
      <w:r w:rsidRPr="004F51D8">
        <w:rPr>
          <w:szCs w:val="24"/>
        </w:rPr>
        <w:lastRenderedPageBreak/>
        <w:t>OCTC argues</w:t>
      </w:r>
      <w:r w:rsidR="00186360" w:rsidRPr="004F51D8">
        <w:rPr>
          <w:szCs w:val="24"/>
        </w:rPr>
        <w:t xml:space="preserve"> on review</w:t>
      </w:r>
      <w:r w:rsidRPr="004F51D8">
        <w:rPr>
          <w:szCs w:val="24"/>
        </w:rPr>
        <w:t xml:space="preserve"> t</w:t>
      </w:r>
      <w:r w:rsidR="00EC085A" w:rsidRPr="004F51D8">
        <w:rPr>
          <w:szCs w:val="24"/>
        </w:rPr>
        <w:t xml:space="preserve">hat Isola intentionally made this statement in order to “create an adversarial situation in which Travelers would provide coverage.”  </w:t>
      </w:r>
      <w:r w:rsidRPr="004F51D8">
        <w:rPr>
          <w:szCs w:val="24"/>
        </w:rPr>
        <w:t>That argument is</w:t>
      </w:r>
      <w:r w:rsidR="00E77AA5">
        <w:rPr>
          <w:szCs w:val="24"/>
        </w:rPr>
        <w:t xml:space="preserve"> not </w:t>
      </w:r>
      <w:r w:rsidRPr="004F51D8">
        <w:rPr>
          <w:szCs w:val="24"/>
        </w:rPr>
        <w:t>based on</w:t>
      </w:r>
      <w:r w:rsidR="007C5D77">
        <w:rPr>
          <w:szCs w:val="24"/>
        </w:rPr>
        <w:t xml:space="preserve"> </w:t>
      </w:r>
      <w:r w:rsidRPr="004F51D8">
        <w:rPr>
          <w:szCs w:val="24"/>
        </w:rPr>
        <w:t>the record</w:t>
      </w:r>
      <w:r w:rsidR="005A28DF">
        <w:rPr>
          <w:szCs w:val="24"/>
        </w:rPr>
        <w:t xml:space="preserve">. </w:t>
      </w:r>
      <w:r w:rsidRPr="004F51D8">
        <w:rPr>
          <w:szCs w:val="24"/>
        </w:rPr>
        <w:t xml:space="preserve"> </w:t>
      </w:r>
      <w:r w:rsidR="005A28DF">
        <w:rPr>
          <w:szCs w:val="24"/>
        </w:rPr>
        <w:t>It</w:t>
      </w:r>
      <w:r w:rsidRPr="004F51D8">
        <w:rPr>
          <w:szCs w:val="24"/>
        </w:rPr>
        <w:t xml:space="preserve"> ignores the fact that Travelers did not rely on the statement and, further, that Travelers did not get involved until the </w:t>
      </w:r>
      <w:proofErr w:type="spellStart"/>
      <w:r w:rsidRPr="004F51D8">
        <w:rPr>
          <w:szCs w:val="24"/>
        </w:rPr>
        <w:t>Grecos</w:t>
      </w:r>
      <w:proofErr w:type="spellEnd"/>
      <w:r w:rsidRPr="004F51D8">
        <w:rPr>
          <w:szCs w:val="24"/>
        </w:rPr>
        <w:t xml:space="preserve"> sued the </w:t>
      </w:r>
      <w:proofErr w:type="spellStart"/>
      <w:r w:rsidRPr="004F51D8">
        <w:rPr>
          <w:szCs w:val="24"/>
        </w:rPr>
        <w:t>Hahns</w:t>
      </w:r>
      <w:proofErr w:type="spellEnd"/>
      <w:r w:rsidRPr="004F51D8">
        <w:rPr>
          <w:szCs w:val="24"/>
        </w:rPr>
        <w:t>, which had nothing to d</w:t>
      </w:r>
      <w:r w:rsidR="009E485A">
        <w:rPr>
          <w:szCs w:val="24"/>
        </w:rPr>
        <w:t xml:space="preserve">o </w:t>
      </w:r>
      <w:r w:rsidRPr="004F51D8">
        <w:rPr>
          <w:szCs w:val="24"/>
        </w:rPr>
        <w:t xml:space="preserve">with the existence of an NJDEP claim against the </w:t>
      </w:r>
      <w:proofErr w:type="spellStart"/>
      <w:r w:rsidRPr="004F51D8">
        <w:rPr>
          <w:szCs w:val="24"/>
        </w:rPr>
        <w:t>Hahns</w:t>
      </w:r>
      <w:proofErr w:type="spellEnd"/>
      <w:r w:rsidRPr="004F51D8">
        <w:rPr>
          <w:szCs w:val="24"/>
        </w:rPr>
        <w:t>.</w:t>
      </w:r>
      <w:r w:rsidR="006924C9">
        <w:rPr>
          <w:rStyle w:val="FootnoteReference"/>
          <w:szCs w:val="24"/>
        </w:rPr>
        <w:footnoteReference w:id="29"/>
      </w:r>
      <w:r w:rsidR="00FE7BA4" w:rsidRPr="004F51D8">
        <w:rPr>
          <w:szCs w:val="24"/>
        </w:rPr>
        <w:t xml:space="preserve">  From the evidence, it is reasonable to believe that Isola was simply mistaken regarding the existence of an NJDEP claim against the </w:t>
      </w:r>
      <w:proofErr w:type="spellStart"/>
      <w:r w:rsidR="00FE7BA4" w:rsidRPr="004F51D8">
        <w:rPr>
          <w:szCs w:val="24"/>
        </w:rPr>
        <w:t>Hahns</w:t>
      </w:r>
      <w:proofErr w:type="spellEnd"/>
      <w:r w:rsidR="00FE7BA4" w:rsidRPr="004F51D8">
        <w:rPr>
          <w:szCs w:val="24"/>
        </w:rPr>
        <w:t>.</w:t>
      </w:r>
      <w:r w:rsidR="00064ED8">
        <w:rPr>
          <w:szCs w:val="24"/>
        </w:rPr>
        <w:t xml:space="preserve">  He believed that an NJDEP </w:t>
      </w:r>
      <w:r w:rsidR="00C84053">
        <w:rPr>
          <w:szCs w:val="24"/>
        </w:rPr>
        <w:t xml:space="preserve">claim had been issued targeting the </w:t>
      </w:r>
      <w:proofErr w:type="spellStart"/>
      <w:r w:rsidR="00BF35A0">
        <w:rPr>
          <w:szCs w:val="24"/>
        </w:rPr>
        <w:t>Hahns</w:t>
      </w:r>
      <w:proofErr w:type="spellEnd"/>
      <w:r w:rsidR="00BF35A0">
        <w:rPr>
          <w:szCs w:val="24"/>
        </w:rPr>
        <w:t xml:space="preserve"> when</w:t>
      </w:r>
      <w:r w:rsidR="00C84053">
        <w:rPr>
          <w:szCs w:val="24"/>
        </w:rPr>
        <w:t xml:space="preserve"> it was actually against Cameo Cleaners.  </w:t>
      </w:r>
      <w:r w:rsidR="00CB7229">
        <w:rPr>
          <w:szCs w:val="24"/>
        </w:rPr>
        <w:t xml:space="preserve">However, he also believed that even if the </w:t>
      </w:r>
      <w:proofErr w:type="spellStart"/>
      <w:r w:rsidR="00CB7229">
        <w:rPr>
          <w:szCs w:val="24"/>
        </w:rPr>
        <w:t>Hahns</w:t>
      </w:r>
      <w:proofErr w:type="spellEnd"/>
      <w:r w:rsidR="00CB7229">
        <w:rPr>
          <w:szCs w:val="24"/>
        </w:rPr>
        <w:t xml:space="preserve"> had not already been targeted by the NJDEP, they would be soon </w:t>
      </w:r>
      <w:r w:rsidR="003550CE">
        <w:rPr>
          <w:szCs w:val="24"/>
        </w:rPr>
        <w:t>since</w:t>
      </w:r>
      <w:r w:rsidR="00CB7229">
        <w:rPr>
          <w:szCs w:val="24"/>
        </w:rPr>
        <w:t xml:space="preserve"> they were</w:t>
      </w:r>
      <w:r w:rsidR="00147AD0">
        <w:rPr>
          <w:szCs w:val="24"/>
        </w:rPr>
        <w:t xml:space="preserve"> a tenant and a</w:t>
      </w:r>
      <w:r w:rsidR="00F864BE">
        <w:rPr>
          <w:szCs w:val="24"/>
        </w:rPr>
        <w:t>n additional</w:t>
      </w:r>
      <w:r w:rsidR="001537BE">
        <w:rPr>
          <w:szCs w:val="24"/>
        </w:rPr>
        <w:t>ly</w:t>
      </w:r>
      <w:r w:rsidR="00F864BE">
        <w:rPr>
          <w:szCs w:val="24"/>
        </w:rPr>
        <w:t xml:space="preserve"> </w:t>
      </w:r>
      <w:r w:rsidR="00147AD0">
        <w:rPr>
          <w:szCs w:val="24"/>
        </w:rPr>
        <w:t xml:space="preserve">responsible party.  </w:t>
      </w:r>
      <w:r w:rsidR="00FE7BA4" w:rsidRPr="004F51D8">
        <w:rPr>
          <w:szCs w:val="24"/>
        </w:rPr>
        <w:t>For these reasons</w:t>
      </w:r>
      <w:r w:rsidRPr="004F51D8">
        <w:rPr>
          <w:szCs w:val="24"/>
        </w:rPr>
        <w:t>, we find that OCTC did not prove by clear and convincing evidence that Isola’s statement in the September</w:t>
      </w:r>
      <w:r w:rsidR="009B27E1">
        <w:rPr>
          <w:szCs w:val="24"/>
        </w:rPr>
        <w:t> </w:t>
      </w:r>
      <w:r w:rsidRPr="004F51D8">
        <w:rPr>
          <w:szCs w:val="24"/>
        </w:rPr>
        <w:t>8, 2011</w:t>
      </w:r>
      <w:r w:rsidR="007C5D77">
        <w:rPr>
          <w:szCs w:val="24"/>
        </w:rPr>
        <w:t>,</w:t>
      </w:r>
      <w:r w:rsidRPr="004F51D8">
        <w:rPr>
          <w:szCs w:val="24"/>
        </w:rPr>
        <w:t xml:space="preserve"> letter amount</w:t>
      </w:r>
      <w:r w:rsidR="001F5220">
        <w:rPr>
          <w:szCs w:val="24"/>
        </w:rPr>
        <w:t>ed</w:t>
      </w:r>
      <w:r w:rsidRPr="004F51D8">
        <w:rPr>
          <w:szCs w:val="24"/>
        </w:rPr>
        <w:t xml:space="preserve"> to a misrepresentation</w:t>
      </w:r>
      <w:r w:rsidR="009F0E9C">
        <w:rPr>
          <w:szCs w:val="24"/>
        </w:rPr>
        <w:t xml:space="preserve"> involving moral turpitude</w:t>
      </w:r>
      <w:r w:rsidRPr="004F51D8">
        <w:rPr>
          <w:szCs w:val="24"/>
        </w:rPr>
        <w:t xml:space="preserve">.  </w:t>
      </w:r>
      <w:r w:rsidR="003D6D0F">
        <w:rPr>
          <w:szCs w:val="24"/>
        </w:rPr>
        <w:t>Therefore</w:t>
      </w:r>
      <w:r w:rsidR="003D6D0F" w:rsidRPr="004F51D8">
        <w:rPr>
          <w:szCs w:val="24"/>
        </w:rPr>
        <w:t xml:space="preserve">, we </w:t>
      </w:r>
      <w:r w:rsidR="003D6D0F">
        <w:rPr>
          <w:szCs w:val="24"/>
        </w:rPr>
        <w:t xml:space="preserve">dismiss count </w:t>
      </w:r>
      <w:r w:rsidR="00A5160E">
        <w:rPr>
          <w:szCs w:val="24"/>
        </w:rPr>
        <w:t>ten</w:t>
      </w:r>
      <w:r w:rsidR="003D6D0F" w:rsidRPr="004F51D8">
        <w:rPr>
          <w:szCs w:val="24"/>
        </w:rPr>
        <w:t xml:space="preserve"> with prejudice.  (</w:t>
      </w:r>
      <w:r w:rsidR="003D6D0F" w:rsidRPr="004F51D8">
        <w:rPr>
          <w:i/>
          <w:szCs w:val="24"/>
        </w:rPr>
        <w:t xml:space="preserve">In the Matter of </w:t>
      </w:r>
      <w:proofErr w:type="spellStart"/>
      <w:r w:rsidR="003D6D0F" w:rsidRPr="004F51D8">
        <w:rPr>
          <w:i/>
          <w:szCs w:val="24"/>
        </w:rPr>
        <w:t>Kroff</w:t>
      </w:r>
      <w:proofErr w:type="spellEnd"/>
      <w:r w:rsidR="003D6D0F" w:rsidRPr="004F51D8">
        <w:rPr>
          <w:szCs w:val="24"/>
        </w:rPr>
        <w:t xml:space="preserve">, </w:t>
      </w:r>
      <w:r w:rsidR="003D6D0F" w:rsidRPr="004F51D8">
        <w:rPr>
          <w:i/>
          <w:iCs/>
          <w:szCs w:val="24"/>
        </w:rPr>
        <w:t>supra</w:t>
      </w:r>
      <w:r w:rsidR="003D6D0F" w:rsidRPr="004F51D8">
        <w:rPr>
          <w:szCs w:val="24"/>
        </w:rPr>
        <w:t>, 3</w:t>
      </w:r>
      <w:r w:rsidR="00D24BC7">
        <w:rPr>
          <w:szCs w:val="24"/>
        </w:rPr>
        <w:t> </w:t>
      </w:r>
      <w:r w:rsidR="003D6D0F" w:rsidRPr="004F51D8">
        <w:rPr>
          <w:szCs w:val="24"/>
        </w:rPr>
        <w:t xml:space="preserve">Cal. State Bar Ct. </w:t>
      </w:r>
      <w:proofErr w:type="spellStart"/>
      <w:r w:rsidR="003D6D0F" w:rsidRPr="004F51D8">
        <w:rPr>
          <w:szCs w:val="24"/>
        </w:rPr>
        <w:t>Rptr</w:t>
      </w:r>
      <w:proofErr w:type="spellEnd"/>
      <w:r w:rsidR="003D6D0F" w:rsidRPr="004F51D8">
        <w:rPr>
          <w:szCs w:val="24"/>
        </w:rPr>
        <w:t>. at p.</w:t>
      </w:r>
      <w:r w:rsidR="00D24BC7">
        <w:rPr>
          <w:szCs w:val="24"/>
        </w:rPr>
        <w:t> </w:t>
      </w:r>
      <w:r w:rsidR="003D6D0F" w:rsidRPr="004F51D8">
        <w:rPr>
          <w:szCs w:val="24"/>
        </w:rPr>
        <w:t>843.)</w:t>
      </w:r>
    </w:p>
    <w:p w14:paraId="250FE8D9" w14:textId="77777777" w:rsidR="00883439" w:rsidRPr="004F51D8" w:rsidRDefault="008C3DF9" w:rsidP="00883439">
      <w:pPr>
        <w:spacing w:line="480" w:lineRule="auto"/>
        <w:rPr>
          <w:b/>
          <w:bCs/>
          <w:szCs w:val="24"/>
        </w:rPr>
      </w:pPr>
      <w:r w:rsidRPr="004F51D8">
        <w:rPr>
          <w:b/>
          <w:bCs/>
          <w:szCs w:val="24"/>
        </w:rPr>
        <w:t>D.</w:t>
      </w:r>
      <w:r w:rsidR="00883439" w:rsidRPr="004F51D8">
        <w:rPr>
          <w:b/>
          <w:bCs/>
          <w:szCs w:val="24"/>
        </w:rPr>
        <w:tab/>
        <w:t>Count Four: Appearing for a Party without Authority (§ 6104)</w:t>
      </w:r>
    </w:p>
    <w:p w14:paraId="5AE2CBE7" w14:textId="6BA62E01" w:rsidR="00681477" w:rsidRPr="004F51D8" w:rsidRDefault="00332210" w:rsidP="00332210">
      <w:pPr>
        <w:spacing w:line="480" w:lineRule="auto"/>
        <w:ind w:firstLine="720"/>
        <w:rPr>
          <w:szCs w:val="24"/>
        </w:rPr>
      </w:pPr>
      <w:r w:rsidRPr="004F51D8">
        <w:rPr>
          <w:szCs w:val="24"/>
        </w:rPr>
        <w:t xml:space="preserve">Count four alleged Isola appeared for Min-Ku in the </w:t>
      </w:r>
      <w:r w:rsidR="009F0E9C">
        <w:rPr>
          <w:szCs w:val="24"/>
        </w:rPr>
        <w:t xml:space="preserve">2012 </w:t>
      </w:r>
      <w:r w:rsidRPr="004F51D8">
        <w:rPr>
          <w:szCs w:val="24"/>
        </w:rPr>
        <w:t xml:space="preserve">environmental lawsuit without authority by filing pleadings, accepting service, </w:t>
      </w:r>
      <w:r w:rsidR="00DA38AA">
        <w:rPr>
          <w:szCs w:val="24"/>
        </w:rPr>
        <w:t>claiming</w:t>
      </w:r>
      <w:r w:rsidRPr="004F51D8">
        <w:rPr>
          <w:szCs w:val="24"/>
        </w:rPr>
        <w:t xml:space="preserve"> he had settlement authority, and appearing for Min-Ku in court.  Section</w:t>
      </w:r>
      <w:r w:rsidR="00D24BC7">
        <w:rPr>
          <w:szCs w:val="24"/>
        </w:rPr>
        <w:t> </w:t>
      </w:r>
      <w:r w:rsidRPr="004F51D8">
        <w:rPr>
          <w:szCs w:val="24"/>
        </w:rPr>
        <w:t xml:space="preserve">6104 states, “Corruptly or willfully and without authority appearing as attorney for a party to an action or proceeding constitutes a cause for disbarment or suspension.”  </w:t>
      </w:r>
    </w:p>
    <w:p w14:paraId="0E8DF316" w14:textId="03DDA696" w:rsidR="00332210" w:rsidRPr="004F51D8" w:rsidRDefault="00332210" w:rsidP="00332210">
      <w:pPr>
        <w:spacing w:line="480" w:lineRule="auto"/>
        <w:ind w:firstLine="720"/>
        <w:rPr>
          <w:szCs w:val="24"/>
        </w:rPr>
      </w:pPr>
      <w:r w:rsidRPr="004F51D8">
        <w:rPr>
          <w:szCs w:val="24"/>
        </w:rPr>
        <w:t>The hearing judge found that Isola’s discussions with Travelers regarding settlement did not amount to a court appearance that would violat</w:t>
      </w:r>
      <w:r w:rsidR="0006369A">
        <w:rPr>
          <w:szCs w:val="24"/>
        </w:rPr>
        <w:t>e</w:t>
      </w:r>
      <w:r w:rsidRPr="004F51D8">
        <w:rPr>
          <w:szCs w:val="24"/>
        </w:rPr>
        <w:t xml:space="preserve"> section</w:t>
      </w:r>
      <w:r w:rsidR="00D24BC7">
        <w:rPr>
          <w:szCs w:val="24"/>
        </w:rPr>
        <w:t> </w:t>
      </w:r>
      <w:r w:rsidRPr="004F51D8">
        <w:rPr>
          <w:szCs w:val="24"/>
        </w:rPr>
        <w:t>6104.  However, the judge found culpability under section</w:t>
      </w:r>
      <w:r w:rsidR="00D24BC7">
        <w:rPr>
          <w:szCs w:val="24"/>
        </w:rPr>
        <w:t> </w:t>
      </w:r>
      <w:r w:rsidRPr="004F51D8">
        <w:rPr>
          <w:szCs w:val="24"/>
        </w:rPr>
        <w:t xml:space="preserve">6104 </w:t>
      </w:r>
      <w:r w:rsidR="00401B43" w:rsidRPr="004F51D8">
        <w:rPr>
          <w:szCs w:val="24"/>
        </w:rPr>
        <w:t>for</w:t>
      </w:r>
      <w:r w:rsidRPr="004F51D8">
        <w:rPr>
          <w:szCs w:val="24"/>
        </w:rPr>
        <w:t xml:space="preserve"> Isola’s appearances in court and pleadings filed in the 2012 </w:t>
      </w:r>
      <w:r w:rsidRPr="004F51D8">
        <w:rPr>
          <w:szCs w:val="24"/>
        </w:rPr>
        <w:lastRenderedPageBreak/>
        <w:t xml:space="preserve">environmental </w:t>
      </w:r>
      <w:r w:rsidR="00401B43" w:rsidRPr="004F51D8">
        <w:rPr>
          <w:szCs w:val="24"/>
        </w:rPr>
        <w:t xml:space="preserve">lawsuit.  The judge determined that Isola had no authority to appear on behalf of Min-Ku in the lawsuit by the </w:t>
      </w:r>
      <w:proofErr w:type="spellStart"/>
      <w:r w:rsidR="00401B43" w:rsidRPr="004F51D8">
        <w:rPr>
          <w:szCs w:val="24"/>
        </w:rPr>
        <w:t>Grecos</w:t>
      </w:r>
      <w:proofErr w:type="spellEnd"/>
      <w:r w:rsidR="00401B43" w:rsidRPr="004F51D8">
        <w:rPr>
          <w:szCs w:val="24"/>
        </w:rPr>
        <w:t xml:space="preserve"> “as it was not reasonably contemplated or discussed at the only client meeting.”</w:t>
      </w:r>
    </w:p>
    <w:p w14:paraId="6A0F17DC" w14:textId="4FD5FE9E" w:rsidR="008D0EB2" w:rsidRPr="004F51D8" w:rsidRDefault="00681477" w:rsidP="006E6CED">
      <w:pPr>
        <w:spacing w:line="480" w:lineRule="auto"/>
        <w:ind w:firstLine="720"/>
        <w:rPr>
          <w:szCs w:val="24"/>
        </w:rPr>
      </w:pPr>
      <w:r w:rsidRPr="004F51D8">
        <w:rPr>
          <w:szCs w:val="24"/>
        </w:rPr>
        <w:t>We disagree that Isola lacked authority to appear in the 2012 environmental lawsuit</w:t>
      </w:r>
      <w:r w:rsidR="00DB5495">
        <w:rPr>
          <w:szCs w:val="24"/>
        </w:rPr>
        <w:t xml:space="preserve">, as discussed </w:t>
      </w:r>
      <w:r w:rsidR="00DB5495">
        <w:rPr>
          <w:i/>
          <w:iCs/>
          <w:szCs w:val="24"/>
        </w:rPr>
        <w:t>ante</w:t>
      </w:r>
      <w:r w:rsidRPr="004F51D8">
        <w:rPr>
          <w:szCs w:val="24"/>
        </w:rPr>
        <w:t>.</w:t>
      </w:r>
      <w:r w:rsidR="008236B6" w:rsidRPr="004F51D8">
        <w:rPr>
          <w:szCs w:val="24"/>
        </w:rPr>
        <w:t xml:space="preserve">  Isola</w:t>
      </w:r>
      <w:r w:rsidR="009D2E41" w:rsidRPr="004F51D8">
        <w:rPr>
          <w:szCs w:val="24"/>
        </w:rPr>
        <w:t xml:space="preserve"> credibly</w:t>
      </w:r>
      <w:r w:rsidR="008236B6" w:rsidRPr="004F51D8">
        <w:rPr>
          <w:szCs w:val="24"/>
        </w:rPr>
        <w:t xml:space="preserve"> </w:t>
      </w:r>
      <w:r w:rsidRPr="004F51D8">
        <w:rPr>
          <w:szCs w:val="24"/>
        </w:rPr>
        <w:t>testified that possible litigation was discussed at the Diner Meeting.</w:t>
      </w:r>
      <w:r w:rsidR="008236B6" w:rsidRPr="004F51D8">
        <w:rPr>
          <w:szCs w:val="24"/>
        </w:rPr>
        <w:t xml:space="preserve">  </w:t>
      </w:r>
      <w:r w:rsidR="00CB6D24">
        <w:rPr>
          <w:szCs w:val="24"/>
        </w:rPr>
        <w:t xml:space="preserve">At that meeting, </w:t>
      </w:r>
      <w:r w:rsidR="008236B6" w:rsidRPr="004F51D8">
        <w:rPr>
          <w:szCs w:val="24"/>
        </w:rPr>
        <w:t>Gregory retained Isola to represent him</w:t>
      </w:r>
      <w:r w:rsidR="00EA2158">
        <w:rPr>
          <w:szCs w:val="24"/>
        </w:rPr>
        <w:t xml:space="preserve"> and his family</w:t>
      </w:r>
      <w:r w:rsidR="008236B6" w:rsidRPr="004F51D8">
        <w:rPr>
          <w:szCs w:val="24"/>
        </w:rPr>
        <w:t xml:space="preserve"> in matters related to the environmental remediation.  The </w:t>
      </w:r>
      <w:proofErr w:type="spellStart"/>
      <w:r w:rsidR="008236B6" w:rsidRPr="004F51D8">
        <w:rPr>
          <w:szCs w:val="24"/>
        </w:rPr>
        <w:t>Grecos</w:t>
      </w:r>
      <w:proofErr w:type="spellEnd"/>
      <w:r w:rsidR="008236B6" w:rsidRPr="004F51D8">
        <w:rPr>
          <w:szCs w:val="24"/>
        </w:rPr>
        <w:t xml:space="preserve"> sued the </w:t>
      </w:r>
      <w:proofErr w:type="spellStart"/>
      <w:r w:rsidR="008236B6" w:rsidRPr="004F51D8">
        <w:rPr>
          <w:szCs w:val="24"/>
        </w:rPr>
        <w:t>Hahns</w:t>
      </w:r>
      <w:proofErr w:type="spellEnd"/>
      <w:r w:rsidR="009D2E41" w:rsidRPr="004F51D8">
        <w:rPr>
          <w:szCs w:val="24"/>
        </w:rPr>
        <w:t xml:space="preserve"> </w:t>
      </w:r>
      <w:r w:rsidR="00A70CC2">
        <w:rPr>
          <w:szCs w:val="24"/>
        </w:rPr>
        <w:t>for</w:t>
      </w:r>
      <w:r w:rsidR="009D2E41" w:rsidRPr="004F51D8">
        <w:rPr>
          <w:szCs w:val="24"/>
        </w:rPr>
        <w:t xml:space="preserve"> remediation </w:t>
      </w:r>
      <w:r w:rsidR="00973D44">
        <w:rPr>
          <w:szCs w:val="24"/>
        </w:rPr>
        <w:t>liability</w:t>
      </w:r>
      <w:r w:rsidR="008236B6" w:rsidRPr="004F51D8">
        <w:rPr>
          <w:szCs w:val="24"/>
        </w:rPr>
        <w:t xml:space="preserve">.  Therefore, </w:t>
      </w:r>
      <w:r w:rsidR="00551FE6" w:rsidRPr="004F51D8">
        <w:rPr>
          <w:szCs w:val="24"/>
        </w:rPr>
        <w:t xml:space="preserve">it </w:t>
      </w:r>
      <w:r w:rsidR="00973D44">
        <w:rPr>
          <w:szCs w:val="24"/>
        </w:rPr>
        <w:t>follows</w:t>
      </w:r>
      <w:r w:rsidR="00551FE6" w:rsidRPr="004F51D8">
        <w:rPr>
          <w:szCs w:val="24"/>
        </w:rPr>
        <w:t xml:space="preserve"> that Isola</w:t>
      </w:r>
      <w:r w:rsidR="009D2E41" w:rsidRPr="004F51D8">
        <w:rPr>
          <w:szCs w:val="24"/>
        </w:rPr>
        <w:t xml:space="preserve"> believed he </w:t>
      </w:r>
      <w:r w:rsidR="00973D44">
        <w:rPr>
          <w:szCs w:val="24"/>
        </w:rPr>
        <w:t>had authority to</w:t>
      </w:r>
      <w:r w:rsidR="00973D44" w:rsidRPr="004F51D8">
        <w:rPr>
          <w:szCs w:val="24"/>
        </w:rPr>
        <w:t xml:space="preserve"> </w:t>
      </w:r>
      <w:r w:rsidR="00551FE6" w:rsidRPr="004F51D8">
        <w:rPr>
          <w:szCs w:val="24"/>
        </w:rPr>
        <w:t xml:space="preserve">act as Min-Ku’s attorney in </w:t>
      </w:r>
      <w:r w:rsidR="009D2E41" w:rsidRPr="004F51D8">
        <w:rPr>
          <w:szCs w:val="24"/>
        </w:rPr>
        <w:t>the</w:t>
      </w:r>
      <w:r w:rsidR="00551FE6" w:rsidRPr="004F51D8">
        <w:rPr>
          <w:szCs w:val="24"/>
        </w:rPr>
        <w:t xml:space="preserve"> litigation.  While we agree that Isola should have updated Gregory on the </w:t>
      </w:r>
      <w:r w:rsidR="00D33218">
        <w:rPr>
          <w:szCs w:val="24"/>
        </w:rPr>
        <w:t xml:space="preserve">case </w:t>
      </w:r>
      <w:r w:rsidR="00551FE6" w:rsidRPr="004F51D8">
        <w:rPr>
          <w:szCs w:val="24"/>
        </w:rPr>
        <w:t>status, this is not evidence of a lack of authority.</w:t>
      </w:r>
      <w:r w:rsidR="000D2622">
        <w:rPr>
          <w:szCs w:val="24"/>
        </w:rPr>
        <w:t xml:space="preserve">  His failure to communicate does not limit </w:t>
      </w:r>
      <w:r w:rsidR="009B21A8">
        <w:rPr>
          <w:szCs w:val="24"/>
        </w:rPr>
        <w:t xml:space="preserve">the authority he believed in good faith he had obtained from Gregory to act </w:t>
      </w:r>
      <w:r w:rsidR="00692872">
        <w:rPr>
          <w:szCs w:val="24"/>
        </w:rPr>
        <w:t xml:space="preserve">as the </w:t>
      </w:r>
      <w:proofErr w:type="spellStart"/>
      <w:r w:rsidR="00692872">
        <w:rPr>
          <w:szCs w:val="24"/>
        </w:rPr>
        <w:t>Hahns</w:t>
      </w:r>
      <w:proofErr w:type="spellEnd"/>
      <w:r w:rsidR="00692872">
        <w:rPr>
          <w:szCs w:val="24"/>
        </w:rPr>
        <w:t xml:space="preserve">’ attorney.  </w:t>
      </w:r>
      <w:r w:rsidR="009D2E41" w:rsidRPr="004F51D8">
        <w:rPr>
          <w:szCs w:val="24"/>
        </w:rPr>
        <w:t>OCTC failed to prove that Isola corruptly or willfully appeared without authority in violation of section</w:t>
      </w:r>
      <w:r w:rsidR="00BB57AF">
        <w:rPr>
          <w:szCs w:val="24"/>
        </w:rPr>
        <w:t> </w:t>
      </w:r>
      <w:r w:rsidR="009D2E41" w:rsidRPr="004F51D8">
        <w:rPr>
          <w:szCs w:val="24"/>
        </w:rPr>
        <w:t xml:space="preserve">6104.  </w:t>
      </w:r>
      <w:r w:rsidR="00604425">
        <w:rPr>
          <w:szCs w:val="24"/>
        </w:rPr>
        <w:t xml:space="preserve">(See </w:t>
      </w:r>
      <w:r w:rsidR="00604425">
        <w:rPr>
          <w:i/>
          <w:szCs w:val="24"/>
        </w:rPr>
        <w:t xml:space="preserve">In the Matter of </w:t>
      </w:r>
      <w:proofErr w:type="spellStart"/>
      <w:r w:rsidR="00604425">
        <w:rPr>
          <w:i/>
          <w:szCs w:val="24"/>
        </w:rPr>
        <w:t>Lais</w:t>
      </w:r>
      <w:proofErr w:type="spellEnd"/>
      <w:r w:rsidR="00604425">
        <w:rPr>
          <w:szCs w:val="24"/>
        </w:rPr>
        <w:t xml:space="preserve"> (Review Dept. 1998) 3</w:t>
      </w:r>
      <w:r w:rsidR="00D24BC7">
        <w:rPr>
          <w:szCs w:val="24"/>
        </w:rPr>
        <w:t> </w:t>
      </w:r>
      <w:r w:rsidR="00604425">
        <w:rPr>
          <w:szCs w:val="24"/>
        </w:rPr>
        <w:t xml:space="preserve">Cal. State Bar Ct. </w:t>
      </w:r>
      <w:proofErr w:type="spellStart"/>
      <w:r w:rsidR="00604425">
        <w:rPr>
          <w:szCs w:val="24"/>
        </w:rPr>
        <w:t>Rptr</w:t>
      </w:r>
      <w:proofErr w:type="spellEnd"/>
      <w:r w:rsidR="00604425">
        <w:rPr>
          <w:szCs w:val="24"/>
        </w:rPr>
        <w:t>. 907, 91</w:t>
      </w:r>
      <w:r w:rsidR="00683888">
        <w:rPr>
          <w:szCs w:val="24"/>
        </w:rPr>
        <w:t>6</w:t>
      </w:r>
      <w:r w:rsidR="000B1CA1">
        <w:rPr>
          <w:szCs w:val="24"/>
        </w:rPr>
        <w:t xml:space="preserve"> [</w:t>
      </w:r>
      <w:r w:rsidR="009C0C59">
        <w:rPr>
          <w:szCs w:val="24"/>
        </w:rPr>
        <w:t>§</w:t>
      </w:r>
      <w:r w:rsidR="00D24BC7">
        <w:rPr>
          <w:szCs w:val="24"/>
        </w:rPr>
        <w:t> </w:t>
      </w:r>
      <w:r w:rsidR="009C0C59">
        <w:rPr>
          <w:szCs w:val="24"/>
        </w:rPr>
        <w:t xml:space="preserve">6104 prohibits actual appearance which is willful </w:t>
      </w:r>
      <w:r w:rsidR="00683888">
        <w:rPr>
          <w:szCs w:val="24"/>
        </w:rPr>
        <w:t>or corrupt and without authority].)</w:t>
      </w:r>
      <w:r w:rsidR="009C0C59">
        <w:rPr>
          <w:szCs w:val="24"/>
        </w:rPr>
        <w:t xml:space="preserve"> </w:t>
      </w:r>
      <w:r w:rsidR="00604425">
        <w:rPr>
          <w:szCs w:val="24"/>
        </w:rPr>
        <w:t xml:space="preserve"> </w:t>
      </w:r>
      <w:r w:rsidR="009D2E41" w:rsidRPr="004F51D8">
        <w:rPr>
          <w:szCs w:val="24"/>
        </w:rPr>
        <w:t xml:space="preserve">Rather, the evidence shows that Isola was retained at the Diner Meeting to represent the </w:t>
      </w:r>
      <w:proofErr w:type="spellStart"/>
      <w:r w:rsidR="009D2E41" w:rsidRPr="004F51D8">
        <w:rPr>
          <w:szCs w:val="24"/>
        </w:rPr>
        <w:t>Hahns</w:t>
      </w:r>
      <w:proofErr w:type="spellEnd"/>
      <w:r w:rsidR="009D2E41" w:rsidRPr="004F51D8">
        <w:rPr>
          <w:szCs w:val="24"/>
        </w:rPr>
        <w:t xml:space="preserve"> and that he believed he had authority to appear in litigation related to the environmental remediation.</w:t>
      </w:r>
      <w:r w:rsidR="00594C41">
        <w:rPr>
          <w:rStyle w:val="FootnoteReference"/>
          <w:szCs w:val="24"/>
        </w:rPr>
        <w:footnoteReference w:id="30"/>
      </w:r>
      <w:r w:rsidR="00594C41">
        <w:rPr>
          <w:szCs w:val="24"/>
        </w:rPr>
        <w:t xml:space="preserve">  </w:t>
      </w:r>
      <w:r w:rsidR="009D2E41" w:rsidRPr="004F51D8">
        <w:rPr>
          <w:szCs w:val="24"/>
        </w:rPr>
        <w:t>Therefore, we dismiss count four with prejudice.  (</w:t>
      </w:r>
      <w:r w:rsidR="009D2E41" w:rsidRPr="004F51D8">
        <w:rPr>
          <w:i/>
          <w:szCs w:val="24"/>
        </w:rPr>
        <w:t xml:space="preserve">In the Matter of </w:t>
      </w:r>
      <w:proofErr w:type="spellStart"/>
      <w:r w:rsidR="009D2E41" w:rsidRPr="004F51D8">
        <w:rPr>
          <w:i/>
          <w:szCs w:val="24"/>
        </w:rPr>
        <w:t>Kroff</w:t>
      </w:r>
      <w:proofErr w:type="spellEnd"/>
      <w:r w:rsidR="009D2E41" w:rsidRPr="004F51D8">
        <w:rPr>
          <w:szCs w:val="24"/>
        </w:rPr>
        <w:t xml:space="preserve">, </w:t>
      </w:r>
      <w:r w:rsidR="009D2E41" w:rsidRPr="004F51D8">
        <w:rPr>
          <w:i/>
          <w:iCs/>
          <w:szCs w:val="24"/>
        </w:rPr>
        <w:t>supra</w:t>
      </w:r>
      <w:r w:rsidR="009D2E41" w:rsidRPr="004F51D8">
        <w:rPr>
          <w:szCs w:val="24"/>
        </w:rPr>
        <w:t>, 3</w:t>
      </w:r>
      <w:r w:rsidR="00D24BC7">
        <w:rPr>
          <w:szCs w:val="24"/>
        </w:rPr>
        <w:t> </w:t>
      </w:r>
      <w:r w:rsidR="009D2E41" w:rsidRPr="004F51D8">
        <w:rPr>
          <w:szCs w:val="24"/>
        </w:rPr>
        <w:t xml:space="preserve">Cal. State Bar Ct. </w:t>
      </w:r>
      <w:proofErr w:type="spellStart"/>
      <w:r w:rsidR="009D2E41" w:rsidRPr="004F51D8">
        <w:rPr>
          <w:szCs w:val="24"/>
        </w:rPr>
        <w:t>Rptr</w:t>
      </w:r>
      <w:proofErr w:type="spellEnd"/>
      <w:r w:rsidR="009D2E41" w:rsidRPr="004F51D8">
        <w:rPr>
          <w:szCs w:val="24"/>
        </w:rPr>
        <w:t>. at p.</w:t>
      </w:r>
      <w:r w:rsidR="00D24BC7">
        <w:rPr>
          <w:szCs w:val="24"/>
        </w:rPr>
        <w:t> </w:t>
      </w:r>
      <w:r w:rsidR="009D2E41" w:rsidRPr="004F51D8">
        <w:rPr>
          <w:szCs w:val="24"/>
        </w:rPr>
        <w:t>843.)</w:t>
      </w:r>
    </w:p>
    <w:p w14:paraId="1987C5AB" w14:textId="77777777" w:rsidR="009B2377" w:rsidRPr="004F51D8" w:rsidRDefault="009B2377" w:rsidP="009B2377">
      <w:pPr>
        <w:spacing w:line="480" w:lineRule="auto"/>
        <w:rPr>
          <w:szCs w:val="24"/>
        </w:rPr>
      </w:pPr>
      <w:r w:rsidRPr="004F51D8">
        <w:rPr>
          <w:b/>
          <w:bCs/>
          <w:szCs w:val="24"/>
        </w:rPr>
        <w:t>E.</w:t>
      </w:r>
      <w:r w:rsidRPr="004F51D8">
        <w:rPr>
          <w:szCs w:val="24"/>
        </w:rPr>
        <w:tab/>
      </w:r>
      <w:r w:rsidRPr="004F51D8">
        <w:rPr>
          <w:b/>
          <w:bCs/>
          <w:szCs w:val="24"/>
        </w:rPr>
        <w:t>Count Five:</w:t>
      </w:r>
      <w:r w:rsidRPr="004F51D8">
        <w:rPr>
          <w:szCs w:val="24"/>
        </w:rPr>
        <w:t xml:space="preserve"> </w:t>
      </w:r>
      <w:r w:rsidRPr="004F51D8">
        <w:rPr>
          <w:b/>
          <w:bCs/>
          <w:szCs w:val="24"/>
        </w:rPr>
        <w:t>Moral Turpitude—Misrepresentation to the Court (§ 6106)</w:t>
      </w:r>
    </w:p>
    <w:p w14:paraId="7455905E" w14:textId="6CCA2A4D" w:rsidR="009B2377" w:rsidRDefault="009B2377" w:rsidP="009B2377">
      <w:pPr>
        <w:spacing w:line="480" w:lineRule="auto"/>
        <w:ind w:firstLine="720"/>
        <w:rPr>
          <w:szCs w:val="24"/>
        </w:rPr>
      </w:pPr>
      <w:r w:rsidRPr="004F51D8">
        <w:rPr>
          <w:szCs w:val="24"/>
        </w:rPr>
        <w:t xml:space="preserve">Count five alleged Isola falsely claimed he represented Min-Ku on four separate occasions in the 2012 and 2016 </w:t>
      </w:r>
      <w:r w:rsidR="0011213C" w:rsidRPr="004F51D8">
        <w:rPr>
          <w:szCs w:val="24"/>
        </w:rPr>
        <w:t xml:space="preserve">environmental </w:t>
      </w:r>
      <w:r w:rsidRPr="004F51D8">
        <w:rPr>
          <w:szCs w:val="24"/>
        </w:rPr>
        <w:t>lawsuits.  Isola filed an amended answer</w:t>
      </w:r>
      <w:r w:rsidR="00651761">
        <w:rPr>
          <w:szCs w:val="24"/>
        </w:rPr>
        <w:t xml:space="preserve"> and</w:t>
      </w:r>
      <w:r w:rsidR="00D9198B">
        <w:rPr>
          <w:szCs w:val="24"/>
        </w:rPr>
        <w:t xml:space="preserve"> </w:t>
      </w:r>
      <w:r w:rsidRPr="004F51D8">
        <w:rPr>
          <w:szCs w:val="24"/>
        </w:rPr>
        <w:lastRenderedPageBreak/>
        <w:t>third-party complaint, and executed the tolling agreement in the</w:t>
      </w:r>
      <w:r w:rsidR="0011213C" w:rsidRPr="004F51D8">
        <w:rPr>
          <w:szCs w:val="24"/>
        </w:rPr>
        <w:t xml:space="preserve"> 201</w:t>
      </w:r>
      <w:r w:rsidR="004242C6">
        <w:rPr>
          <w:szCs w:val="24"/>
        </w:rPr>
        <w:t>2</w:t>
      </w:r>
      <w:r w:rsidRPr="004F51D8">
        <w:rPr>
          <w:szCs w:val="24"/>
        </w:rPr>
        <w:t xml:space="preserve"> </w:t>
      </w:r>
      <w:r w:rsidR="003063A9">
        <w:rPr>
          <w:szCs w:val="24"/>
        </w:rPr>
        <w:t xml:space="preserve">environmental </w:t>
      </w:r>
      <w:r w:rsidRPr="004F51D8">
        <w:rPr>
          <w:szCs w:val="24"/>
        </w:rPr>
        <w:t xml:space="preserve">lawsuit.  </w:t>
      </w:r>
      <w:r w:rsidR="0011213C" w:rsidRPr="004F51D8">
        <w:rPr>
          <w:szCs w:val="24"/>
        </w:rPr>
        <w:t>He filed an answer in</w:t>
      </w:r>
      <w:r w:rsidRPr="004F51D8">
        <w:rPr>
          <w:szCs w:val="24"/>
        </w:rPr>
        <w:t xml:space="preserve"> the 2016 </w:t>
      </w:r>
      <w:r w:rsidR="0011213C" w:rsidRPr="004F51D8">
        <w:rPr>
          <w:szCs w:val="24"/>
        </w:rPr>
        <w:t xml:space="preserve">environmental </w:t>
      </w:r>
      <w:r w:rsidRPr="004F51D8">
        <w:rPr>
          <w:szCs w:val="24"/>
        </w:rPr>
        <w:t>lawsuit.  The hearing judge found that Isola unreasonably believed he had authority to represent Min-Ku in the litigation and committed a misrepresentation to the court through gross negligence by appearing on Min-Ku’s behalf.  Therefore, she found culpability under count five, but did not assign additional disciplinary weight because the conduct was duplicative of the conduct charged in count four.</w:t>
      </w:r>
      <w:r w:rsidR="009906A2">
        <w:rPr>
          <w:szCs w:val="24"/>
        </w:rPr>
        <w:t xml:space="preserve">  OCTC support</w:t>
      </w:r>
      <w:r w:rsidR="005A10F1">
        <w:rPr>
          <w:szCs w:val="24"/>
        </w:rPr>
        <w:t xml:space="preserve">s the judge’s culpability determination, but argues that the judge should have found that </w:t>
      </w:r>
      <w:r w:rsidR="007B4F0D">
        <w:rPr>
          <w:szCs w:val="24"/>
        </w:rPr>
        <w:t xml:space="preserve">his misrepresentations were intentional.  </w:t>
      </w:r>
      <w:r w:rsidR="00BC7779">
        <w:rPr>
          <w:szCs w:val="24"/>
        </w:rPr>
        <w:t xml:space="preserve">Isola asserts he had authority </w:t>
      </w:r>
      <w:r w:rsidR="00A721C5">
        <w:rPr>
          <w:szCs w:val="24"/>
        </w:rPr>
        <w:t xml:space="preserve">from the Diner Meeting to engage in the litigation.  </w:t>
      </w:r>
      <w:r w:rsidRPr="004F51D8">
        <w:rPr>
          <w:szCs w:val="24"/>
        </w:rPr>
        <w:t xml:space="preserve">    </w:t>
      </w:r>
    </w:p>
    <w:p w14:paraId="6252C8BD" w14:textId="77777777" w:rsidR="00272613" w:rsidRDefault="002F015E" w:rsidP="00B235CB">
      <w:pPr>
        <w:spacing w:line="480" w:lineRule="auto"/>
        <w:ind w:firstLine="720"/>
        <w:rPr>
          <w:szCs w:val="24"/>
        </w:rPr>
      </w:pPr>
      <w:r>
        <w:rPr>
          <w:szCs w:val="24"/>
        </w:rPr>
        <w:t>W</w:t>
      </w:r>
      <w:r w:rsidR="00C44CAE">
        <w:rPr>
          <w:szCs w:val="24"/>
        </w:rPr>
        <w:t xml:space="preserve">e disagree with the hearing judge that Isola operated </w:t>
      </w:r>
      <w:r w:rsidR="00C94AEF">
        <w:rPr>
          <w:szCs w:val="24"/>
        </w:rPr>
        <w:t>from</w:t>
      </w:r>
      <w:r w:rsidR="00C44CAE">
        <w:rPr>
          <w:szCs w:val="24"/>
        </w:rPr>
        <w:t xml:space="preserve"> a “mistaken and unreasonable belief</w:t>
      </w:r>
      <w:r w:rsidR="00C9684B">
        <w:rPr>
          <w:szCs w:val="24"/>
        </w:rPr>
        <w:t xml:space="preserve">” </w:t>
      </w:r>
      <w:r w:rsidR="00C94AEF">
        <w:rPr>
          <w:szCs w:val="24"/>
        </w:rPr>
        <w:t>as to</w:t>
      </w:r>
      <w:r w:rsidR="00C9684B">
        <w:rPr>
          <w:szCs w:val="24"/>
        </w:rPr>
        <w:t xml:space="preserve"> his authority to </w:t>
      </w:r>
      <w:r>
        <w:rPr>
          <w:szCs w:val="24"/>
        </w:rPr>
        <w:t xml:space="preserve">represent Min-Ku.  </w:t>
      </w:r>
      <w:r w:rsidRPr="004F51D8">
        <w:rPr>
          <w:szCs w:val="24"/>
        </w:rPr>
        <w:t xml:space="preserve">As discussed </w:t>
      </w:r>
      <w:r w:rsidRPr="004F51D8">
        <w:rPr>
          <w:i/>
          <w:iCs/>
          <w:szCs w:val="24"/>
        </w:rPr>
        <w:t>ante</w:t>
      </w:r>
      <w:r w:rsidRPr="004F51D8">
        <w:rPr>
          <w:szCs w:val="24"/>
        </w:rPr>
        <w:t xml:space="preserve">, we find that Isola reasonably believed he had authority to represent Min-Ku </w:t>
      </w:r>
      <w:r w:rsidR="004F6D6F">
        <w:rPr>
          <w:szCs w:val="24"/>
        </w:rPr>
        <w:t xml:space="preserve">in </w:t>
      </w:r>
      <w:r w:rsidRPr="004F51D8">
        <w:rPr>
          <w:szCs w:val="24"/>
        </w:rPr>
        <w:t>the environmental remediation.</w:t>
      </w:r>
      <w:r>
        <w:rPr>
          <w:szCs w:val="24"/>
        </w:rPr>
        <w:t xml:space="preserve">  </w:t>
      </w:r>
      <w:r w:rsidR="00714D08">
        <w:rPr>
          <w:szCs w:val="24"/>
        </w:rPr>
        <w:t xml:space="preserve">Isola understood from the Diner Meeting that he was authorized to </w:t>
      </w:r>
      <w:r w:rsidR="00285E4C">
        <w:rPr>
          <w:szCs w:val="24"/>
        </w:rPr>
        <w:t>try</w:t>
      </w:r>
      <w:r w:rsidR="00714D08">
        <w:rPr>
          <w:szCs w:val="24"/>
        </w:rPr>
        <w:t xml:space="preserve"> to ensure that the remediation was paid for without cost to the </w:t>
      </w:r>
      <w:proofErr w:type="spellStart"/>
      <w:r w:rsidR="00714D08">
        <w:rPr>
          <w:szCs w:val="24"/>
        </w:rPr>
        <w:t>Hahns</w:t>
      </w:r>
      <w:proofErr w:type="spellEnd"/>
      <w:r w:rsidR="00714D08">
        <w:rPr>
          <w:szCs w:val="24"/>
        </w:rPr>
        <w:t xml:space="preserve">.  </w:t>
      </w:r>
      <w:r w:rsidR="00476D51">
        <w:rPr>
          <w:szCs w:val="24"/>
        </w:rPr>
        <w:t>A</w:t>
      </w:r>
      <w:r w:rsidR="000735DC">
        <w:rPr>
          <w:szCs w:val="24"/>
        </w:rPr>
        <w:t xml:space="preserve"> suit by the </w:t>
      </w:r>
      <w:proofErr w:type="spellStart"/>
      <w:r w:rsidR="000735DC">
        <w:rPr>
          <w:szCs w:val="24"/>
        </w:rPr>
        <w:t>Grecos</w:t>
      </w:r>
      <w:proofErr w:type="spellEnd"/>
      <w:r w:rsidR="000735DC">
        <w:rPr>
          <w:szCs w:val="24"/>
        </w:rPr>
        <w:t xml:space="preserve"> to trigger coverage from Travelers was a probable outcome </w:t>
      </w:r>
      <w:r w:rsidR="00476D51">
        <w:rPr>
          <w:szCs w:val="24"/>
        </w:rPr>
        <w:t>discussed at the meeting.  T</w:t>
      </w:r>
      <w:r w:rsidR="00B11AD0">
        <w:rPr>
          <w:szCs w:val="24"/>
        </w:rPr>
        <w:t xml:space="preserve">herefore, </w:t>
      </w:r>
      <w:r w:rsidR="0084261C">
        <w:rPr>
          <w:szCs w:val="24"/>
        </w:rPr>
        <w:t>we cannot find that Isola committed an act involving moral turpitude, dishonesty, or corruption within the meaning of section</w:t>
      </w:r>
      <w:r w:rsidR="00E25A14">
        <w:rPr>
          <w:szCs w:val="24"/>
        </w:rPr>
        <w:t> </w:t>
      </w:r>
      <w:r w:rsidR="0084261C">
        <w:rPr>
          <w:szCs w:val="24"/>
        </w:rPr>
        <w:t xml:space="preserve">6106.  </w:t>
      </w:r>
      <w:r w:rsidR="00306AEE">
        <w:rPr>
          <w:szCs w:val="24"/>
        </w:rPr>
        <w:t xml:space="preserve">(See </w:t>
      </w:r>
      <w:r w:rsidR="00306AEE">
        <w:rPr>
          <w:i/>
          <w:szCs w:val="24"/>
        </w:rPr>
        <w:t>In the Matter of Klein</w:t>
      </w:r>
      <w:r w:rsidR="00306AEE">
        <w:rPr>
          <w:szCs w:val="24"/>
        </w:rPr>
        <w:t xml:space="preserve"> (Review Dept. 1994) </w:t>
      </w:r>
    </w:p>
    <w:p w14:paraId="2168DFF6" w14:textId="77777777" w:rsidR="00272613" w:rsidRDefault="00306AEE" w:rsidP="00272613">
      <w:pPr>
        <w:spacing w:line="480" w:lineRule="auto"/>
        <w:rPr>
          <w:szCs w:val="24"/>
        </w:rPr>
      </w:pPr>
      <w:r>
        <w:rPr>
          <w:szCs w:val="24"/>
        </w:rPr>
        <w:t>3</w:t>
      </w:r>
      <w:r w:rsidR="00E25A14">
        <w:rPr>
          <w:szCs w:val="24"/>
        </w:rPr>
        <w:t> </w:t>
      </w:r>
      <w:r>
        <w:rPr>
          <w:szCs w:val="24"/>
        </w:rPr>
        <w:t xml:space="preserve">Cal. State Bar Ct. </w:t>
      </w:r>
      <w:proofErr w:type="spellStart"/>
      <w:r>
        <w:rPr>
          <w:szCs w:val="24"/>
        </w:rPr>
        <w:t>Rptr</w:t>
      </w:r>
      <w:proofErr w:type="spellEnd"/>
      <w:r>
        <w:rPr>
          <w:szCs w:val="24"/>
        </w:rPr>
        <w:t>. 1</w:t>
      </w:r>
      <w:r w:rsidR="00397AE1">
        <w:rPr>
          <w:szCs w:val="24"/>
        </w:rPr>
        <w:t>, 9</w:t>
      </w:r>
      <w:r w:rsidR="009A7BE6">
        <w:rPr>
          <w:szCs w:val="24"/>
        </w:rPr>
        <w:t>-</w:t>
      </w:r>
      <w:r w:rsidR="00397AE1">
        <w:rPr>
          <w:szCs w:val="24"/>
        </w:rPr>
        <w:t>11 [</w:t>
      </w:r>
      <w:r w:rsidR="00BA193B">
        <w:rPr>
          <w:szCs w:val="24"/>
        </w:rPr>
        <w:t xml:space="preserve">no moral turpitude found where attorney </w:t>
      </w:r>
      <w:r w:rsidR="00151A54">
        <w:rPr>
          <w:szCs w:val="24"/>
        </w:rPr>
        <w:t xml:space="preserve">honestly </w:t>
      </w:r>
      <w:r w:rsidR="00BA193B">
        <w:rPr>
          <w:szCs w:val="24"/>
        </w:rPr>
        <w:t>believed</w:t>
      </w:r>
      <w:r w:rsidR="00151A54">
        <w:rPr>
          <w:szCs w:val="24"/>
        </w:rPr>
        <w:t xml:space="preserve"> in justifiability of actions</w:t>
      </w:r>
      <w:r w:rsidR="0063477D">
        <w:rPr>
          <w:szCs w:val="24"/>
        </w:rPr>
        <w:t xml:space="preserve">].)  Even if Isola was mistaken about his authority to act, which we do not find, his actions would not rise to grossly negligent moral turpitude as </w:t>
      </w:r>
      <w:r w:rsidR="00DD181B">
        <w:rPr>
          <w:szCs w:val="24"/>
        </w:rPr>
        <w:t xml:space="preserve">he sincerely believed </w:t>
      </w:r>
      <w:r w:rsidR="00D16526">
        <w:rPr>
          <w:szCs w:val="24"/>
        </w:rPr>
        <w:t>that his conduct was justified.  (</w:t>
      </w:r>
      <w:r w:rsidR="00D16526" w:rsidRPr="00750E5F">
        <w:rPr>
          <w:i/>
          <w:iCs/>
          <w:szCs w:val="24"/>
        </w:rPr>
        <w:t>Id</w:t>
      </w:r>
      <w:r w:rsidR="00D16526">
        <w:rPr>
          <w:szCs w:val="24"/>
        </w:rPr>
        <w:t>. at fn.</w:t>
      </w:r>
      <w:r w:rsidR="00E25A14">
        <w:rPr>
          <w:szCs w:val="24"/>
        </w:rPr>
        <w:t> </w:t>
      </w:r>
      <w:r w:rsidR="00D16526">
        <w:rPr>
          <w:szCs w:val="24"/>
        </w:rPr>
        <w:t>5</w:t>
      </w:r>
      <w:r w:rsidR="00601271">
        <w:rPr>
          <w:szCs w:val="24"/>
        </w:rPr>
        <w:t xml:space="preserve">, citing </w:t>
      </w:r>
      <w:r w:rsidR="00601271">
        <w:rPr>
          <w:i/>
          <w:szCs w:val="24"/>
        </w:rPr>
        <w:t>In the Matter of Wyrick</w:t>
      </w:r>
      <w:r w:rsidR="00601271">
        <w:rPr>
          <w:szCs w:val="24"/>
        </w:rPr>
        <w:t xml:space="preserve"> (Review Dept. 1992) </w:t>
      </w:r>
    </w:p>
    <w:p w14:paraId="230B2C2D" w14:textId="1CEBE97B" w:rsidR="00B235CB" w:rsidRDefault="00601271" w:rsidP="00272613">
      <w:pPr>
        <w:spacing w:line="480" w:lineRule="auto"/>
        <w:rPr>
          <w:szCs w:val="24"/>
        </w:rPr>
      </w:pPr>
      <w:r>
        <w:rPr>
          <w:szCs w:val="24"/>
        </w:rPr>
        <w:t>2</w:t>
      </w:r>
      <w:r w:rsidR="00E25A14">
        <w:rPr>
          <w:szCs w:val="24"/>
        </w:rPr>
        <w:t> </w:t>
      </w:r>
      <w:r>
        <w:rPr>
          <w:szCs w:val="24"/>
        </w:rPr>
        <w:t xml:space="preserve">Cal. State Bar Ct. </w:t>
      </w:r>
      <w:proofErr w:type="spellStart"/>
      <w:r>
        <w:rPr>
          <w:szCs w:val="24"/>
        </w:rPr>
        <w:t>Rptr</w:t>
      </w:r>
      <w:proofErr w:type="spellEnd"/>
      <w:r>
        <w:rPr>
          <w:szCs w:val="24"/>
        </w:rPr>
        <w:t>. 83</w:t>
      </w:r>
      <w:r w:rsidR="00750E5F">
        <w:rPr>
          <w:szCs w:val="24"/>
        </w:rPr>
        <w:t xml:space="preserve"> &amp; </w:t>
      </w:r>
      <w:r w:rsidR="00750E5F">
        <w:rPr>
          <w:i/>
          <w:szCs w:val="24"/>
        </w:rPr>
        <w:t xml:space="preserve">In the Matter of </w:t>
      </w:r>
      <w:proofErr w:type="spellStart"/>
      <w:r w:rsidR="00750E5F">
        <w:rPr>
          <w:i/>
          <w:szCs w:val="24"/>
        </w:rPr>
        <w:t>Bouyer</w:t>
      </w:r>
      <w:proofErr w:type="spellEnd"/>
      <w:r w:rsidR="00750E5F">
        <w:rPr>
          <w:szCs w:val="24"/>
        </w:rPr>
        <w:t xml:space="preserve"> (Review Dept. 1991) 1</w:t>
      </w:r>
      <w:r w:rsidR="00E25A14">
        <w:rPr>
          <w:szCs w:val="24"/>
        </w:rPr>
        <w:t> </w:t>
      </w:r>
      <w:r w:rsidR="00750E5F">
        <w:rPr>
          <w:szCs w:val="24"/>
        </w:rPr>
        <w:t xml:space="preserve">Cal. State Bar Ct. </w:t>
      </w:r>
      <w:proofErr w:type="spellStart"/>
      <w:r w:rsidR="00750E5F">
        <w:rPr>
          <w:szCs w:val="24"/>
        </w:rPr>
        <w:t>Rptr</w:t>
      </w:r>
      <w:proofErr w:type="spellEnd"/>
      <w:r w:rsidR="00750E5F">
        <w:rPr>
          <w:szCs w:val="24"/>
        </w:rPr>
        <w:t xml:space="preserve">. 404 </w:t>
      </w:r>
      <w:r w:rsidR="008663B1">
        <w:rPr>
          <w:szCs w:val="24"/>
        </w:rPr>
        <w:t xml:space="preserve">[gross negligence </w:t>
      </w:r>
      <w:r>
        <w:rPr>
          <w:szCs w:val="24"/>
        </w:rPr>
        <w:t>found</w:t>
      </w:r>
      <w:r w:rsidR="007C5D77">
        <w:rPr>
          <w:szCs w:val="24"/>
        </w:rPr>
        <w:t>,</w:t>
      </w:r>
      <w:r w:rsidR="002D4A6E">
        <w:rPr>
          <w:szCs w:val="24"/>
        </w:rPr>
        <w:t xml:space="preserve"> and</w:t>
      </w:r>
      <w:r>
        <w:rPr>
          <w:szCs w:val="24"/>
        </w:rPr>
        <w:t xml:space="preserve"> no evidence belief was sincere and honestly held</w:t>
      </w:r>
      <w:r w:rsidR="002D4A6E">
        <w:rPr>
          <w:szCs w:val="24"/>
        </w:rPr>
        <w:t>].)</w:t>
      </w:r>
      <w:r w:rsidR="00381EAF">
        <w:rPr>
          <w:szCs w:val="24"/>
        </w:rPr>
        <w:t xml:space="preserve">  </w:t>
      </w:r>
      <w:r w:rsidR="00381EAF">
        <w:rPr>
          <w:szCs w:val="24"/>
        </w:rPr>
        <w:lastRenderedPageBreak/>
        <w:t>A</w:t>
      </w:r>
      <w:r w:rsidR="00B235CB" w:rsidRPr="004F51D8">
        <w:rPr>
          <w:szCs w:val="24"/>
        </w:rPr>
        <w:t>ccordingly, we dismiss count five with prejudice.  (</w:t>
      </w:r>
      <w:r w:rsidR="00B235CB" w:rsidRPr="004F51D8">
        <w:rPr>
          <w:i/>
          <w:szCs w:val="24"/>
        </w:rPr>
        <w:t xml:space="preserve">In the Matter of </w:t>
      </w:r>
      <w:proofErr w:type="spellStart"/>
      <w:r w:rsidR="00B235CB" w:rsidRPr="004F51D8">
        <w:rPr>
          <w:i/>
          <w:szCs w:val="24"/>
        </w:rPr>
        <w:t>Kroff</w:t>
      </w:r>
      <w:proofErr w:type="spellEnd"/>
      <w:r w:rsidR="00B235CB" w:rsidRPr="004F51D8">
        <w:rPr>
          <w:szCs w:val="24"/>
        </w:rPr>
        <w:t xml:space="preserve">, </w:t>
      </w:r>
      <w:r w:rsidR="00B235CB" w:rsidRPr="004F51D8">
        <w:rPr>
          <w:i/>
          <w:iCs/>
          <w:szCs w:val="24"/>
        </w:rPr>
        <w:t>supra</w:t>
      </w:r>
      <w:r w:rsidR="00B235CB" w:rsidRPr="004F51D8">
        <w:rPr>
          <w:szCs w:val="24"/>
        </w:rPr>
        <w:t>, 3</w:t>
      </w:r>
      <w:r w:rsidR="00E25A14">
        <w:rPr>
          <w:szCs w:val="24"/>
        </w:rPr>
        <w:t> </w:t>
      </w:r>
      <w:r w:rsidR="00B235CB" w:rsidRPr="004F51D8">
        <w:rPr>
          <w:szCs w:val="24"/>
        </w:rPr>
        <w:t xml:space="preserve">Cal. State Bar Ct. </w:t>
      </w:r>
      <w:proofErr w:type="spellStart"/>
      <w:r w:rsidR="00B235CB" w:rsidRPr="004F51D8">
        <w:rPr>
          <w:szCs w:val="24"/>
        </w:rPr>
        <w:t>Rptr</w:t>
      </w:r>
      <w:proofErr w:type="spellEnd"/>
      <w:r w:rsidR="00B235CB" w:rsidRPr="004F51D8">
        <w:rPr>
          <w:szCs w:val="24"/>
        </w:rPr>
        <w:t>. at p.</w:t>
      </w:r>
      <w:r w:rsidR="00E25A14">
        <w:rPr>
          <w:szCs w:val="24"/>
        </w:rPr>
        <w:t> </w:t>
      </w:r>
      <w:r w:rsidR="00B235CB" w:rsidRPr="004F51D8">
        <w:rPr>
          <w:szCs w:val="24"/>
        </w:rPr>
        <w:t>843.)</w:t>
      </w:r>
    </w:p>
    <w:p w14:paraId="19872290" w14:textId="77777777" w:rsidR="00232193" w:rsidRPr="004F51D8" w:rsidRDefault="00232193" w:rsidP="00232193">
      <w:pPr>
        <w:spacing w:line="480" w:lineRule="auto"/>
        <w:rPr>
          <w:szCs w:val="24"/>
        </w:rPr>
      </w:pPr>
      <w:r w:rsidRPr="004F51D8">
        <w:rPr>
          <w:b/>
          <w:bCs/>
          <w:szCs w:val="24"/>
        </w:rPr>
        <w:t>F.</w:t>
      </w:r>
      <w:r w:rsidRPr="004F51D8">
        <w:rPr>
          <w:szCs w:val="24"/>
        </w:rPr>
        <w:tab/>
      </w:r>
      <w:r w:rsidRPr="004F51D8">
        <w:rPr>
          <w:b/>
          <w:bCs/>
          <w:szCs w:val="24"/>
        </w:rPr>
        <w:t>Counts Six and Twenty:</w:t>
      </w:r>
      <w:r w:rsidRPr="004F51D8">
        <w:rPr>
          <w:szCs w:val="24"/>
        </w:rPr>
        <w:t xml:space="preserve"> </w:t>
      </w:r>
      <w:r w:rsidRPr="004F51D8">
        <w:rPr>
          <w:b/>
          <w:bCs/>
          <w:szCs w:val="24"/>
        </w:rPr>
        <w:t>Moral Turpitude—Settling Without Authority (§ 6106)</w:t>
      </w:r>
    </w:p>
    <w:p w14:paraId="79B4AE79" w14:textId="7BA3E730" w:rsidR="00E16C65" w:rsidRPr="004F51D8" w:rsidRDefault="00232193" w:rsidP="00E45FF7">
      <w:pPr>
        <w:spacing w:line="480" w:lineRule="auto"/>
        <w:ind w:firstLine="720"/>
        <w:rPr>
          <w:szCs w:val="24"/>
        </w:rPr>
      </w:pPr>
      <w:r w:rsidRPr="004F51D8">
        <w:rPr>
          <w:szCs w:val="24"/>
        </w:rPr>
        <w:t xml:space="preserve">Counts six and </w:t>
      </w:r>
      <w:r w:rsidR="00C27A35">
        <w:rPr>
          <w:szCs w:val="24"/>
        </w:rPr>
        <w:t>twenty</w:t>
      </w:r>
      <w:r w:rsidRPr="004F51D8">
        <w:rPr>
          <w:szCs w:val="24"/>
        </w:rPr>
        <w:t xml:space="preserve"> set forth alternative theories of culpability regarding Isola’s settlement of the third-party complaint in the </w:t>
      </w:r>
      <w:r w:rsidR="007068C1">
        <w:rPr>
          <w:szCs w:val="24"/>
        </w:rPr>
        <w:t xml:space="preserve">2012 </w:t>
      </w:r>
      <w:r w:rsidRPr="004F51D8">
        <w:rPr>
          <w:szCs w:val="24"/>
        </w:rPr>
        <w:t xml:space="preserve">environmental lawsuit.  Count six alleged that Isola had no authority to represent Min-Ku and could not settle the third-party complaint.  Count </w:t>
      </w:r>
      <w:r w:rsidR="00440699">
        <w:rPr>
          <w:szCs w:val="24"/>
        </w:rPr>
        <w:t>twenty</w:t>
      </w:r>
      <w:r w:rsidRPr="004F51D8">
        <w:rPr>
          <w:szCs w:val="24"/>
        </w:rPr>
        <w:t xml:space="preserve"> alleged that Isola had authority to represent Min-Ku, </w:t>
      </w:r>
      <w:r w:rsidR="00905AC2">
        <w:rPr>
          <w:szCs w:val="24"/>
        </w:rPr>
        <w:t>but</w:t>
      </w:r>
      <w:r w:rsidRPr="004F51D8">
        <w:rPr>
          <w:szCs w:val="24"/>
        </w:rPr>
        <w:t xml:space="preserve"> he settled the third-party complaint without discussing it with Min-Ku.  The hearing judge found that Isola had “limited authority to act as counsel for Min-Ku,” and therefore dismissed count six with prejudice.</w:t>
      </w:r>
      <w:r w:rsidR="00E45FF7" w:rsidRPr="004F51D8">
        <w:rPr>
          <w:szCs w:val="24"/>
        </w:rPr>
        <w:t xml:space="preserve">  The judge found culpability under count </w:t>
      </w:r>
      <w:r w:rsidR="00C27A35">
        <w:rPr>
          <w:szCs w:val="24"/>
        </w:rPr>
        <w:t>twenty</w:t>
      </w:r>
      <w:r w:rsidR="00E45FF7" w:rsidRPr="004F51D8">
        <w:rPr>
          <w:szCs w:val="24"/>
        </w:rPr>
        <w:t xml:space="preserve"> because Isola filed and settled the third-party complaint without client knowledge or consent.  The judge determined Isola’s actions amounted to overreaching and constituted moral turpitude.</w:t>
      </w:r>
      <w:r w:rsidR="00E16C65" w:rsidRPr="004F51D8">
        <w:rPr>
          <w:szCs w:val="24"/>
        </w:rPr>
        <w:t xml:space="preserve">  On review, OCTC argues that the judge should have found culpability under count six instead of count </w:t>
      </w:r>
      <w:r w:rsidR="00C27A35">
        <w:rPr>
          <w:szCs w:val="24"/>
        </w:rPr>
        <w:t>twenty</w:t>
      </w:r>
      <w:r w:rsidR="00E16C65" w:rsidRPr="004F51D8">
        <w:rPr>
          <w:szCs w:val="24"/>
        </w:rPr>
        <w:t xml:space="preserve"> because Isola had no authority to represent Min-Ku.</w:t>
      </w:r>
      <w:r w:rsidR="002A5E61">
        <w:rPr>
          <w:szCs w:val="24"/>
        </w:rPr>
        <w:t xml:space="preserve">  As discussed </w:t>
      </w:r>
      <w:r w:rsidR="002A5E61" w:rsidRPr="001421E7">
        <w:rPr>
          <w:i/>
          <w:iCs/>
          <w:szCs w:val="24"/>
        </w:rPr>
        <w:t>ante</w:t>
      </w:r>
      <w:r w:rsidR="002A5E61">
        <w:rPr>
          <w:szCs w:val="24"/>
        </w:rPr>
        <w:t xml:space="preserve">, we find that </w:t>
      </w:r>
      <w:r w:rsidR="002353B6">
        <w:rPr>
          <w:szCs w:val="24"/>
        </w:rPr>
        <w:t xml:space="preserve">Isola did have authority to represent Min-Ku in the environmental lawsuits and therefore, we reject OCTC’s </w:t>
      </w:r>
      <w:r w:rsidR="00165E25">
        <w:rPr>
          <w:szCs w:val="24"/>
        </w:rPr>
        <w:t>argument for culpability under count</w:t>
      </w:r>
      <w:r w:rsidR="007A088F">
        <w:rPr>
          <w:szCs w:val="24"/>
        </w:rPr>
        <w:t> </w:t>
      </w:r>
      <w:r w:rsidR="00165E25">
        <w:rPr>
          <w:szCs w:val="24"/>
        </w:rPr>
        <w:t xml:space="preserve">six.  </w:t>
      </w:r>
    </w:p>
    <w:p w14:paraId="25830B46" w14:textId="32388AD8" w:rsidR="00E16C65" w:rsidRDefault="008D77AE" w:rsidP="00E16C65">
      <w:pPr>
        <w:spacing w:line="480" w:lineRule="auto"/>
        <w:ind w:firstLine="720"/>
        <w:rPr>
          <w:szCs w:val="24"/>
        </w:rPr>
      </w:pPr>
      <w:bookmarkStart w:id="20" w:name="_Hlk97718808"/>
      <w:r w:rsidRPr="004F51D8">
        <w:rPr>
          <w:szCs w:val="24"/>
        </w:rPr>
        <w:t xml:space="preserve">The third-party complaint involved claims relating to Travelers’ duty to pay the defense costs.  Isola had informed Gregory </w:t>
      </w:r>
      <w:r w:rsidR="009E1775" w:rsidRPr="004F51D8">
        <w:rPr>
          <w:szCs w:val="24"/>
        </w:rPr>
        <w:t xml:space="preserve">at the Diner Meeting </w:t>
      </w:r>
      <w:r w:rsidRPr="004F51D8">
        <w:rPr>
          <w:szCs w:val="24"/>
        </w:rPr>
        <w:t xml:space="preserve">that Isola would be compensated for his work solely from compensation he would receive from Travelers pursuant to </w:t>
      </w:r>
      <w:r w:rsidR="0091506C">
        <w:rPr>
          <w:szCs w:val="24"/>
        </w:rPr>
        <w:t>its</w:t>
      </w:r>
      <w:r w:rsidRPr="004F51D8">
        <w:rPr>
          <w:szCs w:val="24"/>
        </w:rPr>
        <w:t xml:space="preserve"> duty to defend.  Travelers </w:t>
      </w:r>
      <w:r w:rsidR="0044026C">
        <w:rPr>
          <w:szCs w:val="24"/>
        </w:rPr>
        <w:t xml:space="preserve">initially </w:t>
      </w:r>
      <w:r w:rsidRPr="004F51D8">
        <w:rPr>
          <w:szCs w:val="24"/>
        </w:rPr>
        <w:t>proposed</w:t>
      </w:r>
      <w:r w:rsidR="004504CB">
        <w:rPr>
          <w:szCs w:val="24"/>
        </w:rPr>
        <w:t xml:space="preserve"> to pay</w:t>
      </w:r>
      <w:r w:rsidRPr="004F51D8">
        <w:rPr>
          <w:szCs w:val="24"/>
        </w:rPr>
        <w:t xml:space="preserve"> only six percent of the defense costs.  To pressure </w:t>
      </w:r>
      <w:r w:rsidR="004504CB">
        <w:rPr>
          <w:szCs w:val="24"/>
        </w:rPr>
        <w:t>it</w:t>
      </w:r>
      <w:r w:rsidRPr="004F51D8">
        <w:rPr>
          <w:szCs w:val="24"/>
        </w:rPr>
        <w:t xml:space="preserve"> into paying a larger percentage, Isola filed the third-party complaint.</w:t>
      </w:r>
      <w:r w:rsidR="009E1775" w:rsidRPr="004F51D8">
        <w:rPr>
          <w:szCs w:val="24"/>
        </w:rPr>
        <w:t xml:space="preserve">  Travelers then proposed to pay </w:t>
      </w:r>
      <w:r w:rsidR="002E24D4">
        <w:rPr>
          <w:szCs w:val="24"/>
        </w:rPr>
        <w:t xml:space="preserve">approximately </w:t>
      </w:r>
      <w:r w:rsidR="009E1775" w:rsidRPr="004F51D8">
        <w:rPr>
          <w:szCs w:val="24"/>
        </w:rPr>
        <w:t xml:space="preserve">36 percent of the defense costs.  Isola believed </w:t>
      </w:r>
      <w:r w:rsidR="001D4A1E">
        <w:rPr>
          <w:szCs w:val="24"/>
        </w:rPr>
        <w:t xml:space="preserve">that </w:t>
      </w:r>
      <w:r w:rsidR="009E1775" w:rsidRPr="004F51D8">
        <w:rPr>
          <w:szCs w:val="24"/>
        </w:rPr>
        <w:t xml:space="preserve">this was consistent with Travelers’ obligation under the </w:t>
      </w:r>
      <w:r w:rsidR="001D4A1E" w:rsidRPr="004F51D8">
        <w:rPr>
          <w:szCs w:val="24"/>
        </w:rPr>
        <w:t>law and</w:t>
      </w:r>
      <w:r w:rsidR="009E1775" w:rsidRPr="004F51D8">
        <w:rPr>
          <w:szCs w:val="24"/>
        </w:rPr>
        <w:t xml:space="preserve"> decided to dismiss the third-party complaint without prejudice.  He argues that this was not a settlement agreement and did not bind the parties.  </w:t>
      </w:r>
      <w:r w:rsidR="009E1775" w:rsidRPr="004F51D8">
        <w:rPr>
          <w:szCs w:val="24"/>
        </w:rPr>
        <w:lastRenderedPageBreak/>
        <w:t xml:space="preserve">Rather, it was an interim agreement regarding payment of attorney fees </w:t>
      </w:r>
      <w:r w:rsidR="004504CB">
        <w:rPr>
          <w:szCs w:val="24"/>
        </w:rPr>
        <w:t>that</w:t>
      </w:r>
      <w:r w:rsidR="009E1775" w:rsidRPr="004F51D8">
        <w:rPr>
          <w:szCs w:val="24"/>
        </w:rPr>
        <w:t xml:space="preserve"> could be further negotiated and finalized later.  We agree</w:t>
      </w:r>
      <w:r w:rsidR="008B3CFE" w:rsidRPr="004F51D8">
        <w:rPr>
          <w:szCs w:val="24"/>
        </w:rPr>
        <w:t>.  T</w:t>
      </w:r>
      <w:r w:rsidR="009E1775" w:rsidRPr="004F51D8">
        <w:rPr>
          <w:szCs w:val="24"/>
        </w:rPr>
        <w:t xml:space="preserve">here was no enforceable settlement agreement affecting the </w:t>
      </w:r>
      <w:proofErr w:type="spellStart"/>
      <w:r w:rsidR="009E1775" w:rsidRPr="004F51D8">
        <w:rPr>
          <w:szCs w:val="24"/>
        </w:rPr>
        <w:t>Hahns</w:t>
      </w:r>
      <w:proofErr w:type="spellEnd"/>
      <w:r w:rsidR="008B3CFE" w:rsidRPr="004F51D8">
        <w:rPr>
          <w:szCs w:val="24"/>
        </w:rPr>
        <w:t>,</w:t>
      </w:r>
      <w:r w:rsidR="00E16C65" w:rsidRPr="004F51D8">
        <w:rPr>
          <w:szCs w:val="24"/>
        </w:rPr>
        <w:t xml:space="preserve"> and an ultimate agreement regarding Travelers’ liability had not been reached.  Isola’s actions show that he was furthering the </w:t>
      </w:r>
      <w:proofErr w:type="spellStart"/>
      <w:r w:rsidR="00E16C65" w:rsidRPr="004F51D8">
        <w:rPr>
          <w:szCs w:val="24"/>
        </w:rPr>
        <w:t>Hahns</w:t>
      </w:r>
      <w:proofErr w:type="spellEnd"/>
      <w:r w:rsidR="00E16C65" w:rsidRPr="004F51D8">
        <w:rPr>
          <w:szCs w:val="24"/>
        </w:rPr>
        <w:t>’ interests by trying to find the money to fund his representation.  Therefore, OCTC failed to show that Isola’s actions regarding the third-party complaint amounted to settlement of a claim without authority</w:t>
      </w:r>
      <w:r w:rsidR="00BE442A">
        <w:rPr>
          <w:szCs w:val="24"/>
        </w:rPr>
        <w:t>,</w:t>
      </w:r>
      <w:r w:rsidR="00E16C65" w:rsidRPr="004F51D8">
        <w:rPr>
          <w:szCs w:val="24"/>
        </w:rPr>
        <w:t xml:space="preserve"> involving moral turpitude.  Accordingly, we dismiss both counts six and </w:t>
      </w:r>
      <w:r w:rsidR="00C212F4">
        <w:rPr>
          <w:szCs w:val="24"/>
        </w:rPr>
        <w:t>twenty</w:t>
      </w:r>
      <w:r w:rsidR="00E16C65" w:rsidRPr="004F51D8">
        <w:rPr>
          <w:szCs w:val="24"/>
        </w:rPr>
        <w:t xml:space="preserve"> with prejudice.  (</w:t>
      </w:r>
      <w:r w:rsidR="00E16C65" w:rsidRPr="004F51D8">
        <w:rPr>
          <w:i/>
          <w:szCs w:val="24"/>
        </w:rPr>
        <w:t xml:space="preserve">In the Matter of </w:t>
      </w:r>
      <w:proofErr w:type="spellStart"/>
      <w:r w:rsidR="00E16C65" w:rsidRPr="004F51D8">
        <w:rPr>
          <w:i/>
          <w:szCs w:val="24"/>
        </w:rPr>
        <w:t>Kroff</w:t>
      </w:r>
      <w:proofErr w:type="spellEnd"/>
      <w:r w:rsidR="00E16C65" w:rsidRPr="004F51D8">
        <w:rPr>
          <w:szCs w:val="24"/>
        </w:rPr>
        <w:t xml:space="preserve">, </w:t>
      </w:r>
      <w:r w:rsidR="00E16C65" w:rsidRPr="004F51D8">
        <w:rPr>
          <w:i/>
          <w:iCs/>
          <w:szCs w:val="24"/>
        </w:rPr>
        <w:t>supra</w:t>
      </w:r>
      <w:r w:rsidR="00E16C65" w:rsidRPr="004F51D8">
        <w:rPr>
          <w:szCs w:val="24"/>
        </w:rPr>
        <w:t>, 3</w:t>
      </w:r>
      <w:r w:rsidR="00E25A14">
        <w:rPr>
          <w:szCs w:val="24"/>
        </w:rPr>
        <w:t> </w:t>
      </w:r>
      <w:r w:rsidR="00E16C65" w:rsidRPr="004F51D8">
        <w:rPr>
          <w:szCs w:val="24"/>
        </w:rPr>
        <w:t xml:space="preserve">Cal. State Bar Ct. </w:t>
      </w:r>
      <w:proofErr w:type="spellStart"/>
      <w:r w:rsidR="00E16C65" w:rsidRPr="004F51D8">
        <w:rPr>
          <w:szCs w:val="24"/>
        </w:rPr>
        <w:t>Rptr</w:t>
      </w:r>
      <w:proofErr w:type="spellEnd"/>
      <w:r w:rsidR="00E16C65" w:rsidRPr="004F51D8">
        <w:rPr>
          <w:szCs w:val="24"/>
        </w:rPr>
        <w:t>. at p.</w:t>
      </w:r>
      <w:r w:rsidR="00E25A14">
        <w:rPr>
          <w:szCs w:val="24"/>
        </w:rPr>
        <w:t> </w:t>
      </w:r>
      <w:r w:rsidR="00E16C65" w:rsidRPr="004F51D8">
        <w:rPr>
          <w:szCs w:val="24"/>
        </w:rPr>
        <w:t xml:space="preserve"> 843)</w:t>
      </w:r>
    </w:p>
    <w:bookmarkEnd w:id="20"/>
    <w:p w14:paraId="6102BE9A" w14:textId="329251EE" w:rsidR="008F091E" w:rsidRPr="004F51D8" w:rsidRDefault="008F091E" w:rsidP="008F091E">
      <w:pPr>
        <w:spacing w:line="480" w:lineRule="auto"/>
        <w:rPr>
          <w:b/>
          <w:bCs/>
          <w:szCs w:val="24"/>
        </w:rPr>
      </w:pPr>
      <w:r w:rsidRPr="004F51D8">
        <w:rPr>
          <w:b/>
          <w:bCs/>
          <w:szCs w:val="24"/>
        </w:rPr>
        <w:t xml:space="preserve">G.  </w:t>
      </w:r>
      <w:r w:rsidRPr="004F51D8">
        <w:rPr>
          <w:b/>
          <w:bCs/>
          <w:szCs w:val="24"/>
        </w:rPr>
        <w:tab/>
        <w:t>Counts Eight and Twenty-Four: Moral Turpitude—Misappropriation (§</w:t>
      </w:r>
      <w:r w:rsidR="00091E39" w:rsidRPr="004F51D8">
        <w:rPr>
          <w:b/>
          <w:bCs/>
          <w:szCs w:val="24"/>
        </w:rPr>
        <w:t xml:space="preserve"> </w:t>
      </w:r>
      <w:r w:rsidRPr="004F51D8">
        <w:rPr>
          <w:b/>
          <w:bCs/>
          <w:szCs w:val="24"/>
        </w:rPr>
        <w:t>6106)</w:t>
      </w:r>
      <w:r w:rsidRPr="004F51D8">
        <w:rPr>
          <w:b/>
          <w:bCs/>
          <w:szCs w:val="24"/>
        </w:rPr>
        <w:tab/>
      </w:r>
    </w:p>
    <w:p w14:paraId="1D5E89DD" w14:textId="4E033318" w:rsidR="00091E39" w:rsidRPr="004F51D8" w:rsidRDefault="008F091E" w:rsidP="00091E39">
      <w:pPr>
        <w:spacing w:line="480" w:lineRule="auto"/>
        <w:ind w:firstLine="720"/>
        <w:rPr>
          <w:szCs w:val="24"/>
        </w:rPr>
      </w:pPr>
      <w:r w:rsidRPr="004F51D8">
        <w:rPr>
          <w:szCs w:val="24"/>
        </w:rPr>
        <w:t xml:space="preserve">Counts eight and </w:t>
      </w:r>
      <w:r w:rsidR="00407B9D">
        <w:rPr>
          <w:szCs w:val="24"/>
        </w:rPr>
        <w:t>twenty-four</w:t>
      </w:r>
      <w:r w:rsidRPr="004F51D8">
        <w:rPr>
          <w:szCs w:val="24"/>
        </w:rPr>
        <w:t xml:space="preserve"> alleged Isola</w:t>
      </w:r>
      <w:r w:rsidR="00091E39" w:rsidRPr="004F51D8">
        <w:rPr>
          <w:szCs w:val="24"/>
        </w:rPr>
        <w:t xml:space="preserve"> misappropriated the $26,085.69 in attorney fees he received from Travelers.  Travelers was obligated to pay defense costs.  The fees </w:t>
      </w:r>
      <w:r w:rsidR="00A863D2">
        <w:rPr>
          <w:szCs w:val="24"/>
        </w:rPr>
        <w:t>paid to Isola</w:t>
      </w:r>
      <w:r w:rsidR="00091E39" w:rsidRPr="004F51D8">
        <w:rPr>
          <w:szCs w:val="24"/>
        </w:rPr>
        <w:t xml:space="preserve"> were not paid from funds </w:t>
      </w:r>
      <w:r w:rsidR="00AF298A">
        <w:rPr>
          <w:szCs w:val="24"/>
        </w:rPr>
        <w:t>owed or attributable</w:t>
      </w:r>
      <w:r w:rsidR="00091E39" w:rsidRPr="004F51D8">
        <w:rPr>
          <w:szCs w:val="24"/>
        </w:rPr>
        <w:t xml:space="preserve"> to the </w:t>
      </w:r>
      <w:proofErr w:type="spellStart"/>
      <w:r w:rsidR="00091E39" w:rsidRPr="004F51D8">
        <w:rPr>
          <w:szCs w:val="24"/>
        </w:rPr>
        <w:t>Hahns</w:t>
      </w:r>
      <w:proofErr w:type="spellEnd"/>
      <w:r w:rsidR="00091E39" w:rsidRPr="004F51D8">
        <w:rPr>
          <w:szCs w:val="24"/>
        </w:rPr>
        <w:t xml:space="preserve"> and did not affect their liability coverage.  As Isola had explained at the Diner Meeting, there would be no out-of-pocket expenses for the </w:t>
      </w:r>
      <w:proofErr w:type="spellStart"/>
      <w:r w:rsidR="00091E39" w:rsidRPr="004F51D8">
        <w:rPr>
          <w:szCs w:val="24"/>
        </w:rPr>
        <w:t>Hahns</w:t>
      </w:r>
      <w:proofErr w:type="spellEnd"/>
      <w:r w:rsidR="009B0A6B">
        <w:rPr>
          <w:szCs w:val="24"/>
        </w:rPr>
        <w:t>’</w:t>
      </w:r>
      <w:r w:rsidR="00091E39" w:rsidRPr="004F51D8">
        <w:rPr>
          <w:szCs w:val="24"/>
        </w:rPr>
        <w:t xml:space="preserve"> attorney fees.  Therefore, the hearing judge found no evidence of misappropriation and dismissed counts eight and </w:t>
      </w:r>
      <w:r w:rsidR="00C27A35">
        <w:rPr>
          <w:szCs w:val="24"/>
        </w:rPr>
        <w:t>twenty-four</w:t>
      </w:r>
      <w:r w:rsidR="00091E39" w:rsidRPr="004F51D8">
        <w:rPr>
          <w:szCs w:val="24"/>
        </w:rPr>
        <w:t xml:space="preserve"> with prejudice.  Neither party challenges these dismissals on review.  We agree that OCTC did not establish that Isola misappropriated any client </w:t>
      </w:r>
      <w:r w:rsidR="007C5D77" w:rsidRPr="004F51D8">
        <w:rPr>
          <w:szCs w:val="24"/>
        </w:rPr>
        <w:t>funds,</w:t>
      </w:r>
      <w:r w:rsidR="00091E39" w:rsidRPr="004F51D8">
        <w:rPr>
          <w:szCs w:val="24"/>
        </w:rPr>
        <w:t xml:space="preserve"> and </w:t>
      </w:r>
      <w:r w:rsidR="005A71CA">
        <w:rPr>
          <w:szCs w:val="24"/>
        </w:rPr>
        <w:t xml:space="preserve">we </w:t>
      </w:r>
      <w:r w:rsidR="00091E39" w:rsidRPr="004F51D8">
        <w:rPr>
          <w:szCs w:val="24"/>
        </w:rPr>
        <w:t>affirm the dismissals with prejudice.  (</w:t>
      </w:r>
      <w:r w:rsidR="00091E39" w:rsidRPr="004F51D8">
        <w:rPr>
          <w:i/>
          <w:szCs w:val="24"/>
        </w:rPr>
        <w:t xml:space="preserve">In the Matter of </w:t>
      </w:r>
      <w:proofErr w:type="spellStart"/>
      <w:r w:rsidR="00091E39" w:rsidRPr="004F51D8">
        <w:rPr>
          <w:i/>
          <w:szCs w:val="24"/>
        </w:rPr>
        <w:t>Kroff</w:t>
      </w:r>
      <w:proofErr w:type="spellEnd"/>
      <w:r w:rsidR="00091E39" w:rsidRPr="004F51D8">
        <w:rPr>
          <w:szCs w:val="24"/>
        </w:rPr>
        <w:t xml:space="preserve">, </w:t>
      </w:r>
      <w:r w:rsidR="00091E39" w:rsidRPr="004F51D8">
        <w:rPr>
          <w:i/>
          <w:iCs/>
          <w:szCs w:val="24"/>
        </w:rPr>
        <w:t>supra</w:t>
      </w:r>
      <w:r w:rsidR="00091E39" w:rsidRPr="004F51D8">
        <w:rPr>
          <w:szCs w:val="24"/>
        </w:rPr>
        <w:t>, 3</w:t>
      </w:r>
      <w:r w:rsidR="00E25A14">
        <w:rPr>
          <w:szCs w:val="24"/>
        </w:rPr>
        <w:t> </w:t>
      </w:r>
      <w:r w:rsidR="00091E39" w:rsidRPr="004F51D8">
        <w:rPr>
          <w:szCs w:val="24"/>
        </w:rPr>
        <w:t xml:space="preserve">Cal. State Bar Ct. </w:t>
      </w:r>
      <w:proofErr w:type="spellStart"/>
      <w:r w:rsidR="00091E39" w:rsidRPr="004F51D8">
        <w:rPr>
          <w:szCs w:val="24"/>
        </w:rPr>
        <w:t>Rptr</w:t>
      </w:r>
      <w:proofErr w:type="spellEnd"/>
      <w:r w:rsidR="00091E39" w:rsidRPr="004F51D8">
        <w:rPr>
          <w:szCs w:val="24"/>
        </w:rPr>
        <w:t>. at p.</w:t>
      </w:r>
      <w:r w:rsidR="00E25A14">
        <w:rPr>
          <w:szCs w:val="24"/>
        </w:rPr>
        <w:t> </w:t>
      </w:r>
      <w:r w:rsidR="00091E39" w:rsidRPr="004F51D8">
        <w:rPr>
          <w:szCs w:val="24"/>
        </w:rPr>
        <w:t>843.)</w:t>
      </w:r>
    </w:p>
    <w:p w14:paraId="2A4611D6" w14:textId="1D5D207B" w:rsidR="008F6CE4" w:rsidRPr="004F51D8" w:rsidRDefault="00472BC8" w:rsidP="00B21094">
      <w:pPr>
        <w:ind w:left="720" w:hanging="720"/>
        <w:rPr>
          <w:b/>
          <w:bCs/>
          <w:szCs w:val="24"/>
        </w:rPr>
      </w:pPr>
      <w:r w:rsidRPr="004F51D8">
        <w:rPr>
          <w:b/>
          <w:bCs/>
          <w:szCs w:val="24"/>
        </w:rPr>
        <w:t xml:space="preserve">H.  </w:t>
      </w:r>
      <w:r w:rsidRPr="004F51D8">
        <w:rPr>
          <w:b/>
          <w:bCs/>
          <w:szCs w:val="24"/>
        </w:rPr>
        <w:tab/>
        <w:t xml:space="preserve">Count Nine: Failure to Return Unearned </w:t>
      </w:r>
      <w:r w:rsidR="00897B0B">
        <w:rPr>
          <w:b/>
          <w:bCs/>
          <w:szCs w:val="24"/>
        </w:rPr>
        <w:t>F</w:t>
      </w:r>
      <w:r w:rsidRPr="004F51D8">
        <w:rPr>
          <w:b/>
          <w:bCs/>
          <w:szCs w:val="24"/>
        </w:rPr>
        <w:t>ees</w:t>
      </w:r>
      <w:r w:rsidR="006E3F7A" w:rsidRPr="004F51D8">
        <w:rPr>
          <w:b/>
          <w:bCs/>
          <w:szCs w:val="24"/>
        </w:rPr>
        <w:t xml:space="preserve"> (</w:t>
      </w:r>
      <w:r w:rsidR="00B21094" w:rsidRPr="004F51D8">
        <w:rPr>
          <w:b/>
          <w:bCs/>
          <w:szCs w:val="24"/>
        </w:rPr>
        <w:t xml:space="preserve">Rules Prof. Conduct, </w:t>
      </w:r>
    </w:p>
    <w:p w14:paraId="6551E90C" w14:textId="2D081623" w:rsidR="00472BC8" w:rsidRPr="004F51D8" w:rsidRDefault="00B21094" w:rsidP="008F6CE4">
      <w:pPr>
        <w:ind w:left="720"/>
        <w:rPr>
          <w:b/>
          <w:bCs/>
          <w:szCs w:val="24"/>
        </w:rPr>
      </w:pPr>
      <w:r w:rsidRPr="004F51D8">
        <w:rPr>
          <w:b/>
          <w:bCs/>
          <w:szCs w:val="24"/>
        </w:rPr>
        <w:t>r</w:t>
      </w:r>
      <w:r w:rsidR="00472BC8" w:rsidRPr="004F51D8">
        <w:rPr>
          <w:b/>
          <w:bCs/>
          <w:szCs w:val="24"/>
        </w:rPr>
        <w:t>ule 3-700(D)(2)</w:t>
      </w:r>
      <w:r w:rsidRPr="004F51D8">
        <w:rPr>
          <w:b/>
          <w:bCs/>
          <w:szCs w:val="24"/>
        </w:rPr>
        <w:t>)</w:t>
      </w:r>
    </w:p>
    <w:p w14:paraId="200CB66A" w14:textId="77777777" w:rsidR="00B21094" w:rsidRPr="004F51D8" w:rsidRDefault="00B21094" w:rsidP="00B21094">
      <w:pPr>
        <w:ind w:left="720" w:hanging="720"/>
        <w:rPr>
          <w:szCs w:val="24"/>
        </w:rPr>
      </w:pPr>
    </w:p>
    <w:p w14:paraId="724DC5F0" w14:textId="3FD3983F" w:rsidR="006D4C61" w:rsidRDefault="00472BC8" w:rsidP="006D4C61">
      <w:pPr>
        <w:spacing w:line="480" w:lineRule="auto"/>
        <w:ind w:firstLine="720"/>
        <w:rPr>
          <w:szCs w:val="24"/>
        </w:rPr>
      </w:pPr>
      <w:r w:rsidRPr="004F51D8">
        <w:rPr>
          <w:szCs w:val="24"/>
        </w:rPr>
        <w:t>Count nine alleged Isola failed to earn the $26,085.69 in fees received from Travelers</w:t>
      </w:r>
      <w:r w:rsidR="006D4C61" w:rsidRPr="004F51D8">
        <w:rPr>
          <w:szCs w:val="24"/>
        </w:rPr>
        <w:t xml:space="preserve"> in violation of rule</w:t>
      </w:r>
      <w:r w:rsidR="00E25A14">
        <w:rPr>
          <w:szCs w:val="24"/>
        </w:rPr>
        <w:t> </w:t>
      </w:r>
      <w:r w:rsidR="006D4C61" w:rsidRPr="004F51D8">
        <w:rPr>
          <w:szCs w:val="24"/>
        </w:rPr>
        <w:t xml:space="preserve">3-700(D)(2) of the </w:t>
      </w:r>
      <w:r w:rsidR="00E25A14">
        <w:rPr>
          <w:szCs w:val="24"/>
        </w:rPr>
        <w:t>R</w:t>
      </w:r>
      <w:r w:rsidR="006D4C61" w:rsidRPr="004F51D8">
        <w:rPr>
          <w:szCs w:val="24"/>
        </w:rPr>
        <w:t>ules of Professional Conduct.</w:t>
      </w:r>
      <w:r w:rsidR="006D4C61" w:rsidRPr="004F51D8">
        <w:rPr>
          <w:rStyle w:val="FootnoteReference"/>
          <w:szCs w:val="24"/>
        </w:rPr>
        <w:footnoteReference w:id="31"/>
      </w:r>
      <w:r w:rsidR="006D4C61" w:rsidRPr="004F51D8">
        <w:rPr>
          <w:szCs w:val="24"/>
        </w:rPr>
        <w:t xml:space="preserve">  </w:t>
      </w:r>
      <w:r w:rsidRPr="004F51D8">
        <w:rPr>
          <w:szCs w:val="24"/>
        </w:rPr>
        <w:t>Rule</w:t>
      </w:r>
      <w:r w:rsidR="00E25A14">
        <w:rPr>
          <w:szCs w:val="24"/>
        </w:rPr>
        <w:t> </w:t>
      </w:r>
      <w:r w:rsidRPr="004F51D8">
        <w:rPr>
          <w:szCs w:val="24"/>
        </w:rPr>
        <w:t xml:space="preserve">3-700(D)(2) provides </w:t>
      </w:r>
      <w:r w:rsidRPr="004F51D8">
        <w:rPr>
          <w:szCs w:val="24"/>
        </w:rPr>
        <w:lastRenderedPageBreak/>
        <w:t xml:space="preserve">that upon termination, an attorney shall “promptly refund any part of a fee paid in advance that has not been earned.”  The hearing judge </w:t>
      </w:r>
      <w:r w:rsidR="006E3F7A" w:rsidRPr="004F51D8">
        <w:rPr>
          <w:szCs w:val="24"/>
        </w:rPr>
        <w:t>found Isola performed the work for which he billed and, therefore, no culpability was established for a violation of rule</w:t>
      </w:r>
      <w:r w:rsidR="00E25A14">
        <w:rPr>
          <w:szCs w:val="24"/>
        </w:rPr>
        <w:t> </w:t>
      </w:r>
      <w:r w:rsidR="006E3F7A" w:rsidRPr="004F51D8">
        <w:rPr>
          <w:szCs w:val="24"/>
        </w:rPr>
        <w:t>3-700(D)(2).</w:t>
      </w:r>
      <w:r w:rsidR="006D4C61" w:rsidRPr="004F51D8">
        <w:rPr>
          <w:szCs w:val="24"/>
        </w:rPr>
        <w:t xml:space="preserve">  The judge dismissed count nine with prejudice.  Neither party challenges the dismissal on </w:t>
      </w:r>
      <w:r w:rsidR="007C5D77" w:rsidRPr="004F51D8">
        <w:rPr>
          <w:szCs w:val="24"/>
        </w:rPr>
        <w:t>review,</w:t>
      </w:r>
      <w:r w:rsidR="006D4C61" w:rsidRPr="004F51D8">
        <w:rPr>
          <w:szCs w:val="24"/>
        </w:rPr>
        <w:t xml:space="preserve"> and we affirm</w:t>
      </w:r>
      <w:r w:rsidR="00B451AA">
        <w:rPr>
          <w:szCs w:val="24"/>
        </w:rPr>
        <w:t xml:space="preserve"> it</w:t>
      </w:r>
      <w:r w:rsidR="006D4C61" w:rsidRPr="004F51D8">
        <w:rPr>
          <w:szCs w:val="24"/>
        </w:rPr>
        <w:t xml:space="preserve"> with prejudice.  (</w:t>
      </w:r>
      <w:r w:rsidR="006D4C61" w:rsidRPr="004F51D8">
        <w:rPr>
          <w:i/>
          <w:szCs w:val="24"/>
        </w:rPr>
        <w:t xml:space="preserve">In the Matter of </w:t>
      </w:r>
      <w:proofErr w:type="spellStart"/>
      <w:r w:rsidR="006D4C61" w:rsidRPr="004F51D8">
        <w:rPr>
          <w:i/>
          <w:szCs w:val="24"/>
        </w:rPr>
        <w:t>Kroff</w:t>
      </w:r>
      <w:proofErr w:type="spellEnd"/>
      <w:r w:rsidR="006D4C61" w:rsidRPr="004F51D8">
        <w:rPr>
          <w:szCs w:val="24"/>
        </w:rPr>
        <w:t xml:space="preserve">, </w:t>
      </w:r>
      <w:r w:rsidR="006D4C61" w:rsidRPr="004F51D8">
        <w:rPr>
          <w:i/>
          <w:iCs/>
          <w:szCs w:val="24"/>
        </w:rPr>
        <w:t>supra</w:t>
      </w:r>
      <w:r w:rsidR="006D4C61" w:rsidRPr="004F51D8">
        <w:rPr>
          <w:szCs w:val="24"/>
        </w:rPr>
        <w:t>, 3</w:t>
      </w:r>
      <w:r w:rsidR="00E25A14">
        <w:rPr>
          <w:szCs w:val="24"/>
        </w:rPr>
        <w:t> </w:t>
      </w:r>
      <w:r w:rsidR="006D4C61" w:rsidRPr="004F51D8">
        <w:rPr>
          <w:szCs w:val="24"/>
        </w:rPr>
        <w:t xml:space="preserve">Cal. State Bar Ct. </w:t>
      </w:r>
      <w:proofErr w:type="spellStart"/>
      <w:r w:rsidR="006D4C61" w:rsidRPr="004F51D8">
        <w:rPr>
          <w:szCs w:val="24"/>
        </w:rPr>
        <w:t>Rptr</w:t>
      </w:r>
      <w:proofErr w:type="spellEnd"/>
      <w:r w:rsidR="006D4C61" w:rsidRPr="004F51D8">
        <w:rPr>
          <w:szCs w:val="24"/>
        </w:rPr>
        <w:t>. at p.</w:t>
      </w:r>
      <w:r w:rsidR="00E25A14">
        <w:rPr>
          <w:szCs w:val="24"/>
        </w:rPr>
        <w:t> </w:t>
      </w:r>
      <w:r w:rsidR="006D4C61" w:rsidRPr="004F51D8">
        <w:rPr>
          <w:szCs w:val="24"/>
        </w:rPr>
        <w:t>843.)</w:t>
      </w:r>
    </w:p>
    <w:p w14:paraId="25C680B9" w14:textId="2AC273CE" w:rsidR="006D4C61" w:rsidRPr="004F51D8" w:rsidRDefault="006D4C61" w:rsidP="006D4C61">
      <w:pPr>
        <w:spacing w:line="480" w:lineRule="auto"/>
        <w:rPr>
          <w:szCs w:val="24"/>
        </w:rPr>
      </w:pPr>
      <w:r w:rsidRPr="004F51D8">
        <w:rPr>
          <w:b/>
          <w:bCs/>
          <w:szCs w:val="24"/>
        </w:rPr>
        <w:t xml:space="preserve">I. </w:t>
      </w:r>
      <w:r w:rsidRPr="004F51D8">
        <w:rPr>
          <w:b/>
          <w:bCs/>
          <w:szCs w:val="24"/>
        </w:rPr>
        <w:tab/>
        <w:t>Count Twelve: Moral Turpitude—Misrepresentation (§ 6106)</w:t>
      </w:r>
    </w:p>
    <w:p w14:paraId="5B96285B" w14:textId="2D2238BF" w:rsidR="00D7079B" w:rsidRDefault="006D4C61" w:rsidP="00A86844">
      <w:pPr>
        <w:spacing w:line="480" w:lineRule="auto"/>
        <w:ind w:right="-144" w:firstLine="720"/>
        <w:rPr>
          <w:szCs w:val="24"/>
        </w:rPr>
      </w:pPr>
      <w:bookmarkStart w:id="21" w:name="_Hlk97718278"/>
      <w:r w:rsidRPr="004F51D8">
        <w:rPr>
          <w:szCs w:val="24"/>
        </w:rPr>
        <w:t xml:space="preserve">Count </w:t>
      </w:r>
      <w:r w:rsidR="00407B9D">
        <w:rPr>
          <w:szCs w:val="24"/>
        </w:rPr>
        <w:t>twelve</w:t>
      </w:r>
      <w:r w:rsidRPr="004F51D8">
        <w:rPr>
          <w:szCs w:val="24"/>
        </w:rPr>
        <w:t xml:space="preserve"> alleged Isola made false and misleading statements in the LSRP form, which he signed as “counsel for” Min-Ku.  The hearing judge found Isola committed moral turpitude through gross negligence because he signed without consulting his client.</w:t>
      </w:r>
      <w:r w:rsidR="002521FC" w:rsidRPr="004F51D8">
        <w:rPr>
          <w:szCs w:val="24"/>
        </w:rPr>
        <w:t xml:space="preserve">  The judge found that Isola’s signature on the form represented that Min-Ku was familiar with the information</w:t>
      </w:r>
      <w:r w:rsidR="00955056">
        <w:rPr>
          <w:szCs w:val="24"/>
        </w:rPr>
        <w:t xml:space="preserve"> contained</w:t>
      </w:r>
      <w:r w:rsidR="002521FC" w:rsidRPr="004F51D8">
        <w:rPr>
          <w:szCs w:val="24"/>
        </w:rPr>
        <w:t xml:space="preserve"> in the form.  We disagree.  </w:t>
      </w:r>
      <w:bookmarkStart w:id="22" w:name="_Hlk97714539"/>
      <w:r w:rsidR="002521FC" w:rsidRPr="004F51D8">
        <w:rPr>
          <w:szCs w:val="24"/>
        </w:rPr>
        <w:t xml:space="preserve">Isola signed the LSRP form as counsel for Min-Ku.  The attestation on the form provided that he was certifying to the best of </w:t>
      </w:r>
      <w:r w:rsidR="002521FC" w:rsidRPr="004F51D8">
        <w:rPr>
          <w:i/>
          <w:iCs/>
          <w:szCs w:val="24"/>
        </w:rPr>
        <w:t>his</w:t>
      </w:r>
      <w:r w:rsidR="002521FC" w:rsidRPr="004F51D8">
        <w:rPr>
          <w:szCs w:val="24"/>
        </w:rPr>
        <w:t xml:space="preserve"> knowledge that the information submitted in the form was “true, accurate, and complete.”  </w:t>
      </w:r>
      <w:bookmarkStart w:id="23" w:name="_Hlk104286645"/>
      <w:r w:rsidR="002521FC" w:rsidRPr="004F51D8">
        <w:rPr>
          <w:szCs w:val="24"/>
        </w:rPr>
        <w:t xml:space="preserve">The record supports his argument that the statements were </w:t>
      </w:r>
      <w:r w:rsidR="00143AD3">
        <w:rPr>
          <w:szCs w:val="24"/>
        </w:rPr>
        <w:t>facts</w:t>
      </w:r>
      <w:r w:rsidR="00B605FE">
        <w:rPr>
          <w:szCs w:val="24"/>
        </w:rPr>
        <w:t xml:space="preserve"> that</w:t>
      </w:r>
      <w:r w:rsidR="002521FC" w:rsidRPr="004F51D8">
        <w:rPr>
          <w:szCs w:val="24"/>
        </w:rPr>
        <w:t xml:space="preserve"> he believed to be true.  OCTC failed to establish that Isola’s signature amounted to a misrepresentation involving moral turpitude.</w:t>
      </w:r>
      <w:r w:rsidR="003F53C7" w:rsidRPr="004F51D8">
        <w:rPr>
          <w:rStyle w:val="FootnoteReference"/>
          <w:szCs w:val="24"/>
        </w:rPr>
        <w:footnoteReference w:id="32"/>
      </w:r>
      <w:r w:rsidR="002521FC" w:rsidRPr="004F51D8">
        <w:rPr>
          <w:szCs w:val="24"/>
        </w:rPr>
        <w:t xml:space="preserve">  </w:t>
      </w:r>
      <w:bookmarkEnd w:id="23"/>
      <w:r w:rsidR="002521FC" w:rsidRPr="004F51D8">
        <w:rPr>
          <w:szCs w:val="24"/>
        </w:rPr>
        <w:t>Isola believe</w:t>
      </w:r>
      <w:r w:rsidR="002854A8" w:rsidRPr="004F51D8">
        <w:rPr>
          <w:szCs w:val="24"/>
        </w:rPr>
        <w:t>d</w:t>
      </w:r>
      <w:r w:rsidR="002521FC" w:rsidRPr="004F51D8">
        <w:rPr>
          <w:szCs w:val="24"/>
        </w:rPr>
        <w:t xml:space="preserve"> he had authority as Min-Ku’s attorney to sign and submit this document.  </w:t>
      </w:r>
      <w:r w:rsidR="002A365F" w:rsidRPr="004F51D8">
        <w:rPr>
          <w:szCs w:val="24"/>
        </w:rPr>
        <w:t xml:space="preserve">Also, the statements </w:t>
      </w:r>
      <w:bookmarkEnd w:id="21"/>
      <w:r w:rsidR="002A365F" w:rsidRPr="004F51D8">
        <w:rPr>
          <w:szCs w:val="24"/>
        </w:rPr>
        <w:t>depict Isola’s understanding of the situation at the time.  For these reasons</w:t>
      </w:r>
      <w:r w:rsidR="002521FC" w:rsidRPr="004F51D8">
        <w:rPr>
          <w:szCs w:val="24"/>
        </w:rPr>
        <w:t xml:space="preserve">, we dismiss count </w:t>
      </w:r>
      <w:r w:rsidR="00181B22">
        <w:rPr>
          <w:szCs w:val="24"/>
        </w:rPr>
        <w:t>twelve</w:t>
      </w:r>
      <w:r w:rsidR="002521FC" w:rsidRPr="004F51D8">
        <w:rPr>
          <w:szCs w:val="24"/>
        </w:rPr>
        <w:t xml:space="preserve"> with prejudice.  </w:t>
      </w:r>
      <w:bookmarkEnd w:id="22"/>
      <w:r w:rsidR="002521FC" w:rsidRPr="004F51D8">
        <w:rPr>
          <w:szCs w:val="24"/>
        </w:rPr>
        <w:t>(</w:t>
      </w:r>
      <w:r w:rsidR="002521FC" w:rsidRPr="004F51D8">
        <w:rPr>
          <w:i/>
          <w:szCs w:val="24"/>
        </w:rPr>
        <w:t xml:space="preserve">In the Matter of </w:t>
      </w:r>
      <w:proofErr w:type="spellStart"/>
      <w:r w:rsidR="002521FC" w:rsidRPr="004F51D8">
        <w:rPr>
          <w:i/>
          <w:szCs w:val="24"/>
        </w:rPr>
        <w:t>Kroff</w:t>
      </w:r>
      <w:proofErr w:type="spellEnd"/>
      <w:r w:rsidR="002521FC" w:rsidRPr="004F51D8">
        <w:rPr>
          <w:szCs w:val="24"/>
        </w:rPr>
        <w:t xml:space="preserve">, </w:t>
      </w:r>
      <w:r w:rsidR="002521FC" w:rsidRPr="004F51D8">
        <w:rPr>
          <w:i/>
          <w:iCs/>
          <w:szCs w:val="24"/>
        </w:rPr>
        <w:t>supra</w:t>
      </w:r>
      <w:r w:rsidR="002521FC" w:rsidRPr="004F51D8">
        <w:rPr>
          <w:szCs w:val="24"/>
        </w:rPr>
        <w:t>, 3</w:t>
      </w:r>
      <w:r w:rsidR="00E25A14">
        <w:rPr>
          <w:szCs w:val="24"/>
        </w:rPr>
        <w:t> </w:t>
      </w:r>
      <w:r w:rsidR="002521FC" w:rsidRPr="004F51D8">
        <w:rPr>
          <w:szCs w:val="24"/>
        </w:rPr>
        <w:t xml:space="preserve">Cal. State Bar Ct. </w:t>
      </w:r>
      <w:proofErr w:type="spellStart"/>
      <w:r w:rsidR="002521FC" w:rsidRPr="004F51D8">
        <w:rPr>
          <w:szCs w:val="24"/>
        </w:rPr>
        <w:t>Rptr</w:t>
      </w:r>
      <w:proofErr w:type="spellEnd"/>
      <w:r w:rsidR="002521FC" w:rsidRPr="004F51D8">
        <w:rPr>
          <w:szCs w:val="24"/>
        </w:rPr>
        <w:t>. at p.</w:t>
      </w:r>
      <w:r w:rsidR="00E25A14">
        <w:rPr>
          <w:szCs w:val="24"/>
        </w:rPr>
        <w:t> </w:t>
      </w:r>
      <w:r w:rsidR="002521FC" w:rsidRPr="004F51D8">
        <w:rPr>
          <w:szCs w:val="24"/>
        </w:rPr>
        <w:t>843.)</w:t>
      </w:r>
    </w:p>
    <w:p w14:paraId="14E7C278" w14:textId="77777777" w:rsidR="00F175B0" w:rsidRPr="004F51D8" w:rsidRDefault="00F175B0" w:rsidP="00A86844">
      <w:pPr>
        <w:spacing w:line="480" w:lineRule="auto"/>
        <w:ind w:right="-144" w:firstLine="720"/>
        <w:rPr>
          <w:szCs w:val="24"/>
        </w:rPr>
      </w:pPr>
    </w:p>
    <w:p w14:paraId="39974994" w14:textId="07A90259" w:rsidR="00D8249D" w:rsidRPr="004F51D8" w:rsidRDefault="00D8249D" w:rsidP="00D8249D">
      <w:pPr>
        <w:spacing w:line="480" w:lineRule="auto"/>
        <w:rPr>
          <w:b/>
          <w:bCs/>
          <w:szCs w:val="24"/>
        </w:rPr>
      </w:pPr>
      <w:r w:rsidRPr="004F51D8">
        <w:rPr>
          <w:b/>
          <w:bCs/>
          <w:szCs w:val="24"/>
        </w:rPr>
        <w:lastRenderedPageBreak/>
        <w:t xml:space="preserve">J.  </w:t>
      </w:r>
      <w:r w:rsidRPr="004F51D8">
        <w:rPr>
          <w:b/>
          <w:bCs/>
          <w:szCs w:val="24"/>
        </w:rPr>
        <w:tab/>
        <w:t>Count Thirteen: Seeking to Mislead a Judge (§</w:t>
      </w:r>
      <w:r w:rsidR="00C13DF6">
        <w:rPr>
          <w:b/>
          <w:bCs/>
          <w:szCs w:val="24"/>
        </w:rPr>
        <w:t> </w:t>
      </w:r>
      <w:r w:rsidRPr="004F51D8">
        <w:rPr>
          <w:b/>
          <w:bCs/>
          <w:szCs w:val="24"/>
        </w:rPr>
        <w:t xml:space="preserve">6068, </w:t>
      </w:r>
      <w:proofErr w:type="spellStart"/>
      <w:r w:rsidRPr="004F51D8">
        <w:rPr>
          <w:b/>
          <w:bCs/>
          <w:szCs w:val="24"/>
        </w:rPr>
        <w:t>subd</w:t>
      </w:r>
      <w:proofErr w:type="spellEnd"/>
      <w:r w:rsidRPr="004F51D8">
        <w:rPr>
          <w:b/>
          <w:bCs/>
          <w:szCs w:val="24"/>
        </w:rPr>
        <w:t>.</w:t>
      </w:r>
      <w:r w:rsidR="00C13DF6">
        <w:rPr>
          <w:b/>
          <w:bCs/>
          <w:szCs w:val="24"/>
        </w:rPr>
        <w:t xml:space="preserve"> </w:t>
      </w:r>
      <w:r w:rsidRPr="004F51D8">
        <w:rPr>
          <w:b/>
          <w:bCs/>
          <w:szCs w:val="24"/>
        </w:rPr>
        <w:t>(d))</w:t>
      </w:r>
    </w:p>
    <w:p w14:paraId="0D80D25C" w14:textId="678B9A3F" w:rsidR="00A7141E" w:rsidRPr="004F51D8" w:rsidRDefault="00D8249D" w:rsidP="00A86844">
      <w:pPr>
        <w:spacing w:line="480" w:lineRule="auto"/>
        <w:rPr>
          <w:szCs w:val="24"/>
        </w:rPr>
      </w:pPr>
      <w:r w:rsidRPr="004F51D8">
        <w:rPr>
          <w:szCs w:val="24"/>
        </w:rPr>
        <w:tab/>
        <w:t xml:space="preserve">Count </w:t>
      </w:r>
      <w:r w:rsidR="002D6111">
        <w:rPr>
          <w:szCs w:val="24"/>
        </w:rPr>
        <w:t>thirteen</w:t>
      </w:r>
      <w:r w:rsidRPr="004F51D8">
        <w:rPr>
          <w:szCs w:val="24"/>
        </w:rPr>
        <w:t xml:space="preserve"> alleged Isola sought to mislead a judge when he stated in the third-party complaint that Min-Ku demanded judgment against Travelers</w:t>
      </w:r>
      <w:r w:rsidR="00A90BF1">
        <w:rPr>
          <w:szCs w:val="24"/>
        </w:rPr>
        <w:t xml:space="preserve"> because I</w:t>
      </w:r>
      <w:r w:rsidRPr="004F51D8">
        <w:rPr>
          <w:szCs w:val="24"/>
        </w:rPr>
        <w:t>sola had not communicated with Min-Ku and, therefore, did not actually know what Min-Ku would demand. Section</w:t>
      </w:r>
      <w:r w:rsidR="00E25A14">
        <w:rPr>
          <w:szCs w:val="24"/>
        </w:rPr>
        <w:t> </w:t>
      </w:r>
      <w:r w:rsidRPr="004F51D8">
        <w:rPr>
          <w:szCs w:val="24"/>
        </w:rPr>
        <w:t>6068, subdivision</w:t>
      </w:r>
      <w:r w:rsidR="00C2568C">
        <w:rPr>
          <w:szCs w:val="24"/>
        </w:rPr>
        <w:t> </w:t>
      </w:r>
      <w:r w:rsidRPr="004F51D8">
        <w:rPr>
          <w:szCs w:val="24"/>
        </w:rPr>
        <w:t>(d)</w:t>
      </w:r>
      <w:r w:rsidR="00C2568C">
        <w:rPr>
          <w:szCs w:val="24"/>
        </w:rPr>
        <w:t>,</w:t>
      </w:r>
      <w:r w:rsidRPr="004F51D8">
        <w:rPr>
          <w:szCs w:val="24"/>
        </w:rPr>
        <w:t xml:space="preserve"> prohibits an attorney from misleading a judge or judicial officer by a false statement of law or fact.  The hearing judge found that Isola did not intend the third-party complaint to be misleading.  Instead, Isola believed he had authority to file the complaint against Travelers to secure payment of the defense costs.  Therefore, the judge dismissed count</w:t>
      </w:r>
      <w:r w:rsidR="000C1B14">
        <w:rPr>
          <w:szCs w:val="24"/>
        </w:rPr>
        <w:t> </w:t>
      </w:r>
      <w:r w:rsidR="002D6111">
        <w:rPr>
          <w:szCs w:val="24"/>
        </w:rPr>
        <w:t>thirteen</w:t>
      </w:r>
      <w:r w:rsidRPr="004F51D8">
        <w:rPr>
          <w:szCs w:val="24"/>
        </w:rPr>
        <w:t xml:space="preserve"> with prejudice.  </w:t>
      </w:r>
    </w:p>
    <w:p w14:paraId="362A45A2" w14:textId="0DEC5695" w:rsidR="00C1236A" w:rsidRDefault="00293AD1" w:rsidP="00A7141E">
      <w:pPr>
        <w:spacing w:line="480" w:lineRule="auto"/>
        <w:ind w:firstLine="720"/>
        <w:rPr>
          <w:szCs w:val="24"/>
        </w:rPr>
      </w:pPr>
      <w:r w:rsidRPr="004F51D8">
        <w:rPr>
          <w:szCs w:val="24"/>
        </w:rPr>
        <w:t xml:space="preserve">OCTC argues on review </w:t>
      </w:r>
      <w:r w:rsidR="00C1236A" w:rsidRPr="004F51D8">
        <w:rPr>
          <w:szCs w:val="24"/>
        </w:rPr>
        <w:t xml:space="preserve">that the hearing judge should have found culpability because Isola intentionally sought to mislead by filing the third-party complaint.  This argument is again premised on OCTC’s belief that Isola did not have authority to act as Min-Ku’s attorney, which we have rejected </w:t>
      </w:r>
      <w:r w:rsidR="00C1236A" w:rsidRPr="004F51D8">
        <w:rPr>
          <w:i/>
          <w:iCs/>
          <w:szCs w:val="24"/>
        </w:rPr>
        <w:t>ante</w:t>
      </w:r>
      <w:r w:rsidR="00C1236A" w:rsidRPr="004F51D8">
        <w:rPr>
          <w:szCs w:val="24"/>
        </w:rPr>
        <w:t xml:space="preserve">.  We agree with the judge that Isola did not intentionally seek to mislead a judge when he filed the third-party complaint.  Accordingly, we affirm the dismissal of count </w:t>
      </w:r>
      <w:r w:rsidR="002D6111">
        <w:rPr>
          <w:szCs w:val="24"/>
        </w:rPr>
        <w:t>thirteen</w:t>
      </w:r>
      <w:r w:rsidR="00C1236A" w:rsidRPr="004F51D8">
        <w:rPr>
          <w:szCs w:val="24"/>
        </w:rPr>
        <w:t xml:space="preserve"> with prejudice.  (</w:t>
      </w:r>
      <w:r w:rsidR="00C1236A" w:rsidRPr="004F51D8">
        <w:rPr>
          <w:i/>
          <w:szCs w:val="24"/>
        </w:rPr>
        <w:t xml:space="preserve">In the Matter of </w:t>
      </w:r>
      <w:proofErr w:type="spellStart"/>
      <w:r w:rsidR="00C1236A" w:rsidRPr="004F51D8">
        <w:rPr>
          <w:i/>
          <w:szCs w:val="24"/>
        </w:rPr>
        <w:t>Kroff</w:t>
      </w:r>
      <w:proofErr w:type="spellEnd"/>
      <w:r w:rsidR="00C1236A" w:rsidRPr="004F51D8">
        <w:rPr>
          <w:szCs w:val="24"/>
        </w:rPr>
        <w:t xml:space="preserve">, </w:t>
      </w:r>
      <w:r w:rsidR="00C1236A" w:rsidRPr="004F51D8">
        <w:rPr>
          <w:i/>
          <w:iCs/>
          <w:szCs w:val="24"/>
        </w:rPr>
        <w:t>supra</w:t>
      </w:r>
      <w:r w:rsidR="00C1236A" w:rsidRPr="004F51D8">
        <w:rPr>
          <w:szCs w:val="24"/>
        </w:rPr>
        <w:t>, 3</w:t>
      </w:r>
      <w:r w:rsidR="00E25A14">
        <w:rPr>
          <w:szCs w:val="24"/>
        </w:rPr>
        <w:t> </w:t>
      </w:r>
      <w:r w:rsidR="00C1236A" w:rsidRPr="004F51D8">
        <w:rPr>
          <w:szCs w:val="24"/>
        </w:rPr>
        <w:t xml:space="preserve">Cal. State Bar Ct. </w:t>
      </w:r>
      <w:proofErr w:type="spellStart"/>
      <w:r w:rsidR="00C1236A" w:rsidRPr="004F51D8">
        <w:rPr>
          <w:szCs w:val="24"/>
        </w:rPr>
        <w:t>Rptr</w:t>
      </w:r>
      <w:proofErr w:type="spellEnd"/>
      <w:r w:rsidR="00C1236A" w:rsidRPr="004F51D8">
        <w:rPr>
          <w:szCs w:val="24"/>
        </w:rPr>
        <w:t>. at p.</w:t>
      </w:r>
      <w:r w:rsidR="00E25A14">
        <w:rPr>
          <w:szCs w:val="24"/>
        </w:rPr>
        <w:t> </w:t>
      </w:r>
      <w:r w:rsidR="00C1236A" w:rsidRPr="004F51D8">
        <w:rPr>
          <w:szCs w:val="24"/>
        </w:rPr>
        <w:t>843.)</w:t>
      </w:r>
    </w:p>
    <w:p w14:paraId="7594219C" w14:textId="04E2C61C" w:rsidR="00C1236A" w:rsidRPr="004F51D8" w:rsidRDefault="00C1236A" w:rsidP="00C1236A">
      <w:pPr>
        <w:spacing w:line="480" w:lineRule="auto"/>
        <w:rPr>
          <w:b/>
          <w:bCs/>
          <w:szCs w:val="24"/>
        </w:rPr>
      </w:pPr>
      <w:r w:rsidRPr="004F51D8">
        <w:rPr>
          <w:b/>
          <w:bCs/>
          <w:szCs w:val="24"/>
        </w:rPr>
        <w:t xml:space="preserve">K.  </w:t>
      </w:r>
      <w:r w:rsidRPr="004F51D8">
        <w:rPr>
          <w:b/>
          <w:bCs/>
          <w:szCs w:val="24"/>
        </w:rPr>
        <w:tab/>
        <w:t>Counts Fourteen and Fifteen: Moral Turpitude—Misrepresentation (§ 6106)</w:t>
      </w:r>
    </w:p>
    <w:p w14:paraId="55285992" w14:textId="4F64B6C2" w:rsidR="003079AD" w:rsidRPr="004F51D8" w:rsidRDefault="00C1236A" w:rsidP="003079AD">
      <w:pPr>
        <w:spacing w:line="480" w:lineRule="auto"/>
        <w:ind w:firstLine="720"/>
        <w:rPr>
          <w:szCs w:val="24"/>
        </w:rPr>
      </w:pPr>
      <w:r w:rsidRPr="004F51D8">
        <w:rPr>
          <w:szCs w:val="24"/>
        </w:rPr>
        <w:t xml:space="preserve">Counts </w:t>
      </w:r>
      <w:r w:rsidR="002D6111">
        <w:rPr>
          <w:szCs w:val="24"/>
        </w:rPr>
        <w:t>fourteen</w:t>
      </w:r>
      <w:r w:rsidRPr="004F51D8">
        <w:rPr>
          <w:szCs w:val="24"/>
        </w:rPr>
        <w:t xml:space="preserve"> and </w:t>
      </w:r>
      <w:r w:rsidR="002D6111">
        <w:rPr>
          <w:szCs w:val="24"/>
        </w:rPr>
        <w:t>fifteen</w:t>
      </w:r>
      <w:r w:rsidRPr="004F51D8">
        <w:rPr>
          <w:szCs w:val="24"/>
        </w:rPr>
        <w:t xml:space="preserve"> </w:t>
      </w:r>
      <w:r w:rsidR="00756748" w:rsidRPr="004F51D8">
        <w:rPr>
          <w:szCs w:val="24"/>
        </w:rPr>
        <w:t>allege</w:t>
      </w:r>
      <w:r w:rsidR="00272613">
        <w:rPr>
          <w:szCs w:val="24"/>
        </w:rPr>
        <w:t>d</w:t>
      </w:r>
      <w:r w:rsidR="00756748" w:rsidRPr="004F51D8">
        <w:rPr>
          <w:szCs w:val="24"/>
        </w:rPr>
        <w:t xml:space="preserve"> that Isola made misrepresentations in a June</w:t>
      </w:r>
      <w:r w:rsidR="00E25A14">
        <w:rPr>
          <w:szCs w:val="24"/>
        </w:rPr>
        <w:t> </w:t>
      </w:r>
      <w:r w:rsidR="00756748" w:rsidRPr="004F51D8">
        <w:rPr>
          <w:szCs w:val="24"/>
        </w:rPr>
        <w:t>7, 2018</w:t>
      </w:r>
      <w:r w:rsidR="007C5D77">
        <w:rPr>
          <w:szCs w:val="24"/>
        </w:rPr>
        <w:t>,</w:t>
      </w:r>
      <w:r w:rsidR="00756748" w:rsidRPr="004F51D8">
        <w:rPr>
          <w:szCs w:val="24"/>
        </w:rPr>
        <w:t xml:space="preserve"> deposition related to a lawsuit where the </w:t>
      </w:r>
      <w:proofErr w:type="spellStart"/>
      <w:r w:rsidR="00756748" w:rsidRPr="004F51D8">
        <w:rPr>
          <w:szCs w:val="24"/>
        </w:rPr>
        <w:t>Grecos</w:t>
      </w:r>
      <w:proofErr w:type="spellEnd"/>
      <w:r w:rsidR="00756748" w:rsidRPr="004F51D8">
        <w:rPr>
          <w:szCs w:val="24"/>
        </w:rPr>
        <w:t xml:space="preserve"> sued Travelers (</w:t>
      </w:r>
      <w:r w:rsidR="00756748" w:rsidRPr="004F51D8">
        <w:rPr>
          <w:i/>
          <w:iCs/>
          <w:szCs w:val="24"/>
        </w:rPr>
        <w:t>Greco v. Travelers</w:t>
      </w:r>
      <w:r w:rsidR="00756748" w:rsidRPr="004F51D8">
        <w:rPr>
          <w:szCs w:val="24"/>
        </w:rPr>
        <w:t xml:space="preserve">).  Count </w:t>
      </w:r>
      <w:r w:rsidR="002D6111">
        <w:rPr>
          <w:szCs w:val="24"/>
        </w:rPr>
        <w:t>fourteen</w:t>
      </w:r>
      <w:r w:rsidR="00756748" w:rsidRPr="004F51D8">
        <w:rPr>
          <w:szCs w:val="24"/>
        </w:rPr>
        <w:t xml:space="preserve"> alleged Isola falsely stated in th</w:t>
      </w:r>
      <w:r w:rsidR="0053264D">
        <w:rPr>
          <w:szCs w:val="24"/>
        </w:rPr>
        <w:t>at</w:t>
      </w:r>
      <w:r w:rsidR="00756748" w:rsidRPr="004F51D8">
        <w:rPr>
          <w:szCs w:val="24"/>
        </w:rPr>
        <w:t xml:space="preserve"> deposition that he had never represented the </w:t>
      </w:r>
      <w:proofErr w:type="spellStart"/>
      <w:r w:rsidR="00756748" w:rsidRPr="004F51D8">
        <w:rPr>
          <w:szCs w:val="24"/>
        </w:rPr>
        <w:t>Grecos</w:t>
      </w:r>
      <w:proofErr w:type="spellEnd"/>
      <w:r w:rsidR="00756748" w:rsidRPr="004F51D8">
        <w:rPr>
          <w:szCs w:val="24"/>
        </w:rPr>
        <w:t>.  The hearing judge found OCTC failed to establish that Isola’s statement was false</w:t>
      </w:r>
      <w:r w:rsidR="00A83133">
        <w:rPr>
          <w:szCs w:val="24"/>
        </w:rPr>
        <w:t xml:space="preserve">.  </w:t>
      </w:r>
      <w:r w:rsidR="00756748" w:rsidRPr="004F51D8">
        <w:rPr>
          <w:szCs w:val="24"/>
        </w:rPr>
        <w:t xml:space="preserve">Isola maintained he never represented the </w:t>
      </w:r>
      <w:proofErr w:type="spellStart"/>
      <w:r w:rsidR="00756748" w:rsidRPr="004F51D8">
        <w:rPr>
          <w:szCs w:val="24"/>
        </w:rPr>
        <w:t>Grecos</w:t>
      </w:r>
      <w:proofErr w:type="spellEnd"/>
      <w:r w:rsidR="00966D99">
        <w:rPr>
          <w:szCs w:val="24"/>
        </w:rPr>
        <w:t>, who</w:t>
      </w:r>
      <w:r w:rsidR="00756748" w:rsidRPr="004F51D8">
        <w:rPr>
          <w:szCs w:val="24"/>
        </w:rPr>
        <w:t xml:space="preserve"> </w:t>
      </w:r>
      <w:r w:rsidR="00A90BF1">
        <w:rPr>
          <w:szCs w:val="24"/>
        </w:rPr>
        <w:t xml:space="preserve">had </w:t>
      </w:r>
      <w:r w:rsidR="00756748" w:rsidRPr="004F51D8">
        <w:rPr>
          <w:szCs w:val="24"/>
        </w:rPr>
        <w:t>their own counsel at all relevant times.</w:t>
      </w:r>
      <w:r w:rsidR="00D24081" w:rsidRPr="004F51D8">
        <w:rPr>
          <w:szCs w:val="24"/>
        </w:rPr>
        <w:t xml:space="preserve">  OCTC maintains on review that Isola’s statement was </w:t>
      </w:r>
      <w:r w:rsidR="00407B9D" w:rsidRPr="004F51D8">
        <w:rPr>
          <w:szCs w:val="24"/>
        </w:rPr>
        <w:t>false but</w:t>
      </w:r>
      <w:r w:rsidR="00D24081" w:rsidRPr="004F51D8">
        <w:rPr>
          <w:szCs w:val="24"/>
        </w:rPr>
        <w:t xml:space="preserve"> offers no support for its argument.  We agree with the hearing judge that the record does not support culpability for </w:t>
      </w:r>
      <w:r w:rsidR="00D24081" w:rsidRPr="004F51D8">
        <w:rPr>
          <w:szCs w:val="24"/>
        </w:rPr>
        <w:lastRenderedPageBreak/>
        <w:t>count</w:t>
      </w:r>
      <w:r w:rsidR="004E7D22">
        <w:rPr>
          <w:szCs w:val="24"/>
        </w:rPr>
        <w:t> </w:t>
      </w:r>
      <w:r w:rsidR="002D6111">
        <w:rPr>
          <w:szCs w:val="24"/>
        </w:rPr>
        <w:t xml:space="preserve">fourteen </w:t>
      </w:r>
      <w:r w:rsidR="00D24081" w:rsidRPr="004F51D8">
        <w:rPr>
          <w:szCs w:val="24"/>
        </w:rPr>
        <w:t xml:space="preserve">and </w:t>
      </w:r>
      <w:r w:rsidR="004E7D22">
        <w:rPr>
          <w:szCs w:val="24"/>
        </w:rPr>
        <w:t xml:space="preserve">we </w:t>
      </w:r>
      <w:r w:rsidR="00D24081" w:rsidRPr="004F51D8">
        <w:rPr>
          <w:szCs w:val="24"/>
        </w:rPr>
        <w:t>dismiss it with prejudice.  (</w:t>
      </w:r>
      <w:r w:rsidR="00D24081" w:rsidRPr="004F51D8">
        <w:rPr>
          <w:i/>
          <w:szCs w:val="24"/>
        </w:rPr>
        <w:t xml:space="preserve">In the Matter of </w:t>
      </w:r>
      <w:proofErr w:type="spellStart"/>
      <w:r w:rsidR="00D24081" w:rsidRPr="004F51D8">
        <w:rPr>
          <w:i/>
          <w:szCs w:val="24"/>
        </w:rPr>
        <w:t>Kroff</w:t>
      </w:r>
      <w:proofErr w:type="spellEnd"/>
      <w:r w:rsidR="00D24081" w:rsidRPr="004F51D8">
        <w:rPr>
          <w:szCs w:val="24"/>
        </w:rPr>
        <w:t xml:space="preserve">, </w:t>
      </w:r>
      <w:r w:rsidR="00D24081" w:rsidRPr="004F51D8">
        <w:rPr>
          <w:i/>
          <w:iCs/>
          <w:szCs w:val="24"/>
        </w:rPr>
        <w:t>supra</w:t>
      </w:r>
      <w:r w:rsidR="00D24081" w:rsidRPr="004F51D8">
        <w:rPr>
          <w:szCs w:val="24"/>
        </w:rPr>
        <w:t>, 3</w:t>
      </w:r>
      <w:r w:rsidR="00E25A14">
        <w:rPr>
          <w:szCs w:val="24"/>
        </w:rPr>
        <w:t> </w:t>
      </w:r>
      <w:r w:rsidR="00D24081" w:rsidRPr="004F51D8">
        <w:rPr>
          <w:szCs w:val="24"/>
        </w:rPr>
        <w:t xml:space="preserve">Cal. State Bar Ct. </w:t>
      </w:r>
      <w:proofErr w:type="spellStart"/>
      <w:r w:rsidR="00D24081" w:rsidRPr="004F51D8">
        <w:rPr>
          <w:szCs w:val="24"/>
        </w:rPr>
        <w:t>Rptr</w:t>
      </w:r>
      <w:proofErr w:type="spellEnd"/>
      <w:r w:rsidR="00D24081" w:rsidRPr="004F51D8">
        <w:rPr>
          <w:szCs w:val="24"/>
        </w:rPr>
        <w:t>. at p.</w:t>
      </w:r>
      <w:r w:rsidR="00E25A14">
        <w:rPr>
          <w:szCs w:val="24"/>
        </w:rPr>
        <w:t> </w:t>
      </w:r>
      <w:r w:rsidR="00D24081" w:rsidRPr="004F51D8">
        <w:rPr>
          <w:szCs w:val="24"/>
        </w:rPr>
        <w:t>843.)</w:t>
      </w:r>
    </w:p>
    <w:p w14:paraId="2D8893D5" w14:textId="746709D0" w:rsidR="003079AD" w:rsidRPr="004F51D8" w:rsidRDefault="00D24081" w:rsidP="003079AD">
      <w:pPr>
        <w:spacing w:line="480" w:lineRule="auto"/>
        <w:ind w:firstLine="720"/>
        <w:rPr>
          <w:szCs w:val="24"/>
        </w:rPr>
      </w:pPr>
      <w:r w:rsidRPr="004F51D8">
        <w:rPr>
          <w:szCs w:val="24"/>
        </w:rPr>
        <w:t xml:space="preserve">Count </w:t>
      </w:r>
      <w:r w:rsidR="002D6111">
        <w:rPr>
          <w:szCs w:val="24"/>
        </w:rPr>
        <w:t>fifteen</w:t>
      </w:r>
      <w:r w:rsidRPr="004F51D8">
        <w:rPr>
          <w:szCs w:val="24"/>
        </w:rPr>
        <w:t xml:space="preserve"> alleged</w:t>
      </w:r>
      <w:r w:rsidR="00EB7520">
        <w:rPr>
          <w:szCs w:val="24"/>
        </w:rPr>
        <w:t xml:space="preserve"> that</w:t>
      </w:r>
      <w:r w:rsidRPr="004F51D8">
        <w:rPr>
          <w:szCs w:val="24"/>
        </w:rPr>
        <w:t xml:space="preserve"> Isola falsely stated in the deposition that he estimated that he had “five to ten” telephone conversations with Gregory after the Diner Meeting.  </w:t>
      </w:r>
      <w:r w:rsidR="00407B9D">
        <w:rPr>
          <w:szCs w:val="24"/>
        </w:rPr>
        <w:t>Actually,</w:t>
      </w:r>
      <w:r w:rsidR="006B33E2">
        <w:rPr>
          <w:szCs w:val="24"/>
        </w:rPr>
        <w:t xml:space="preserve"> </w:t>
      </w:r>
      <w:r w:rsidR="003117EF" w:rsidRPr="004F51D8">
        <w:rPr>
          <w:szCs w:val="24"/>
        </w:rPr>
        <w:t xml:space="preserve">Isola had not communicated with Gregory at all during the relevant period.  Isola later admitted in the </w:t>
      </w:r>
      <w:r w:rsidR="00F02137">
        <w:rPr>
          <w:szCs w:val="24"/>
        </w:rPr>
        <w:t xml:space="preserve">disciplinary </w:t>
      </w:r>
      <w:r w:rsidR="003117EF" w:rsidRPr="004F51D8">
        <w:rPr>
          <w:szCs w:val="24"/>
        </w:rPr>
        <w:t>trial and in an interview with the New Jersey Office of Attorney Ethics that his statement in the deposition was incorrect.  The hearing judge found the statement in the deposition to be a grossly negligent misrepresentation in violation of section 6106.  We find, however, that OCTC has failed to carry its burden of proof that Isola’s statement amounted to moral turpitude.  Isola had not reviewed his file for the Hahn case before appearing at the deposition.  He asserts that his testimony was based on his experience with these cases generally, not a specific memory of speaking with Gregory.</w:t>
      </w:r>
      <w:r w:rsidR="00530FF3">
        <w:rPr>
          <w:szCs w:val="24"/>
        </w:rPr>
        <w:t xml:space="preserve">  At trial in this case, he characterized t</w:t>
      </w:r>
      <w:r w:rsidR="004319E7">
        <w:rPr>
          <w:szCs w:val="24"/>
        </w:rPr>
        <w:t xml:space="preserve">he “five to ten” statement as a </w:t>
      </w:r>
      <w:r w:rsidR="00D53839">
        <w:rPr>
          <w:szCs w:val="24"/>
        </w:rPr>
        <w:t xml:space="preserve">“guess” at the time of the deposition, which he later corrected in his interview with the </w:t>
      </w:r>
      <w:r w:rsidR="00D53839" w:rsidRPr="004F51D8">
        <w:rPr>
          <w:szCs w:val="24"/>
        </w:rPr>
        <w:t>New Jersey Office of Attorney Ethics</w:t>
      </w:r>
      <w:r w:rsidR="001E5618">
        <w:rPr>
          <w:szCs w:val="24"/>
        </w:rPr>
        <w:t xml:space="preserve">.  </w:t>
      </w:r>
      <w:r w:rsidR="003117EF" w:rsidRPr="004F51D8">
        <w:rPr>
          <w:szCs w:val="24"/>
        </w:rPr>
        <w:t>The record supports a reasonable inference that Isola was simply mistaken when he testified and that his testimony reflected his recollection of the case at the time</w:t>
      </w:r>
      <w:r w:rsidR="003079AD" w:rsidRPr="004F51D8">
        <w:rPr>
          <w:szCs w:val="24"/>
        </w:rPr>
        <w:t>.  OCTC argues on review that Isola’s statement was an intentional lie to cover up the fact that he had acted without authority and failed to communicate.  However, this is based on OCTC’s conjecture and not substantial evidence.  Further, a reasonable inference exists that Isola was simply mistaken.  Therefore, we reject OCTC’s claim</w:t>
      </w:r>
      <w:r w:rsidR="001537BE">
        <w:rPr>
          <w:szCs w:val="24"/>
        </w:rPr>
        <w:t xml:space="preserve">, and </w:t>
      </w:r>
      <w:r w:rsidR="003079AD" w:rsidRPr="004F51D8">
        <w:rPr>
          <w:szCs w:val="24"/>
        </w:rPr>
        <w:t xml:space="preserve">dismiss count </w:t>
      </w:r>
      <w:r w:rsidR="002D6111">
        <w:rPr>
          <w:szCs w:val="24"/>
        </w:rPr>
        <w:t>fifteen</w:t>
      </w:r>
      <w:r w:rsidR="003079AD" w:rsidRPr="004F51D8">
        <w:rPr>
          <w:szCs w:val="24"/>
        </w:rPr>
        <w:t xml:space="preserve"> with prejudice.  (</w:t>
      </w:r>
      <w:r w:rsidR="003079AD" w:rsidRPr="004F51D8">
        <w:rPr>
          <w:i/>
          <w:szCs w:val="24"/>
        </w:rPr>
        <w:t xml:space="preserve">In the Matter of </w:t>
      </w:r>
      <w:proofErr w:type="spellStart"/>
      <w:r w:rsidR="003079AD" w:rsidRPr="004F51D8">
        <w:rPr>
          <w:i/>
          <w:szCs w:val="24"/>
        </w:rPr>
        <w:t>Kroff</w:t>
      </w:r>
      <w:proofErr w:type="spellEnd"/>
      <w:r w:rsidR="003079AD" w:rsidRPr="004F51D8">
        <w:rPr>
          <w:szCs w:val="24"/>
        </w:rPr>
        <w:t xml:space="preserve">, </w:t>
      </w:r>
      <w:r w:rsidR="003079AD" w:rsidRPr="004F51D8">
        <w:rPr>
          <w:i/>
          <w:iCs/>
          <w:szCs w:val="24"/>
        </w:rPr>
        <w:t>supra</w:t>
      </w:r>
      <w:r w:rsidR="003079AD" w:rsidRPr="004F51D8">
        <w:rPr>
          <w:szCs w:val="24"/>
        </w:rPr>
        <w:t>, 3</w:t>
      </w:r>
      <w:r w:rsidR="00E25A14">
        <w:rPr>
          <w:szCs w:val="24"/>
        </w:rPr>
        <w:t> </w:t>
      </w:r>
      <w:r w:rsidR="003079AD" w:rsidRPr="004F51D8">
        <w:rPr>
          <w:szCs w:val="24"/>
        </w:rPr>
        <w:t xml:space="preserve">Cal. State Bar Ct. </w:t>
      </w:r>
      <w:proofErr w:type="spellStart"/>
      <w:r w:rsidR="003079AD" w:rsidRPr="004F51D8">
        <w:rPr>
          <w:szCs w:val="24"/>
        </w:rPr>
        <w:t>Rptr</w:t>
      </w:r>
      <w:proofErr w:type="spellEnd"/>
      <w:r w:rsidR="003079AD" w:rsidRPr="004F51D8">
        <w:rPr>
          <w:szCs w:val="24"/>
        </w:rPr>
        <w:t>. at p.</w:t>
      </w:r>
      <w:r w:rsidR="00E25A14">
        <w:rPr>
          <w:szCs w:val="24"/>
        </w:rPr>
        <w:t> </w:t>
      </w:r>
      <w:r w:rsidR="003079AD" w:rsidRPr="004F51D8">
        <w:rPr>
          <w:szCs w:val="24"/>
        </w:rPr>
        <w:t>843.)</w:t>
      </w:r>
    </w:p>
    <w:p w14:paraId="4ECD26F0" w14:textId="663EAE3A" w:rsidR="00293AD1" w:rsidRPr="004F51D8" w:rsidRDefault="00664913" w:rsidP="00664913">
      <w:pPr>
        <w:spacing w:line="480" w:lineRule="auto"/>
        <w:rPr>
          <w:b/>
          <w:bCs/>
          <w:szCs w:val="24"/>
        </w:rPr>
      </w:pPr>
      <w:r w:rsidRPr="004F51D8">
        <w:rPr>
          <w:b/>
          <w:bCs/>
          <w:szCs w:val="24"/>
        </w:rPr>
        <w:t>L.</w:t>
      </w:r>
      <w:r w:rsidRPr="004F51D8">
        <w:rPr>
          <w:b/>
          <w:bCs/>
          <w:szCs w:val="24"/>
        </w:rPr>
        <w:tab/>
        <w:t>Counts Sixteen and Seventeen:</w:t>
      </w:r>
      <w:r w:rsidR="00151604" w:rsidRPr="004F51D8">
        <w:rPr>
          <w:b/>
          <w:bCs/>
          <w:szCs w:val="24"/>
        </w:rPr>
        <w:t xml:space="preserve"> </w:t>
      </w:r>
      <w:r w:rsidRPr="004F51D8">
        <w:rPr>
          <w:b/>
          <w:bCs/>
          <w:szCs w:val="24"/>
        </w:rPr>
        <w:t>Conflicts (Rule 3-310(C)(1) &amp; (C)(2))</w:t>
      </w:r>
    </w:p>
    <w:p w14:paraId="1A74048E" w14:textId="03C1E75D" w:rsidR="00151604" w:rsidRPr="004F51D8" w:rsidRDefault="00664913" w:rsidP="00151604">
      <w:pPr>
        <w:spacing w:line="480" w:lineRule="auto"/>
        <w:ind w:firstLine="720"/>
        <w:rPr>
          <w:szCs w:val="24"/>
        </w:rPr>
      </w:pPr>
      <w:r w:rsidRPr="004F51D8">
        <w:rPr>
          <w:szCs w:val="24"/>
        </w:rPr>
        <w:t xml:space="preserve">Counts </w:t>
      </w:r>
      <w:r w:rsidR="002D6111">
        <w:rPr>
          <w:szCs w:val="24"/>
        </w:rPr>
        <w:t>sixteen</w:t>
      </w:r>
      <w:r w:rsidRPr="004F51D8">
        <w:rPr>
          <w:szCs w:val="24"/>
        </w:rPr>
        <w:t xml:space="preserve"> and </w:t>
      </w:r>
      <w:r w:rsidR="002D6111">
        <w:rPr>
          <w:szCs w:val="24"/>
        </w:rPr>
        <w:t>seventeen</w:t>
      </w:r>
      <w:r w:rsidRPr="004F51D8">
        <w:rPr>
          <w:szCs w:val="24"/>
        </w:rPr>
        <w:t xml:space="preserve"> alleged </w:t>
      </w:r>
      <w:r w:rsidR="00D93D44" w:rsidRPr="004F51D8">
        <w:rPr>
          <w:szCs w:val="24"/>
        </w:rPr>
        <w:t>violations of rule</w:t>
      </w:r>
      <w:r w:rsidR="00E25A14">
        <w:rPr>
          <w:szCs w:val="24"/>
        </w:rPr>
        <w:t> </w:t>
      </w:r>
      <w:r w:rsidR="00D93D44" w:rsidRPr="004F51D8">
        <w:rPr>
          <w:szCs w:val="24"/>
        </w:rPr>
        <w:t>3-310(C), w</w:t>
      </w:r>
      <w:r w:rsidR="00151604" w:rsidRPr="004F51D8">
        <w:rPr>
          <w:szCs w:val="24"/>
        </w:rPr>
        <w:t xml:space="preserve">hich requires informed written consent </w:t>
      </w:r>
      <w:r w:rsidR="008E6D88">
        <w:rPr>
          <w:szCs w:val="24"/>
        </w:rPr>
        <w:t>from</w:t>
      </w:r>
      <w:r w:rsidR="00151604" w:rsidRPr="004F51D8">
        <w:rPr>
          <w:szCs w:val="24"/>
        </w:rPr>
        <w:t xml:space="preserve"> each client if an attorney represents more than one client in a </w:t>
      </w:r>
      <w:r w:rsidR="00151604" w:rsidRPr="004F51D8">
        <w:rPr>
          <w:szCs w:val="24"/>
        </w:rPr>
        <w:lastRenderedPageBreak/>
        <w:t xml:space="preserve">matter in which the interests of the clients potentially or actually conflict.  These counts were premised on the allegation that Isola had an attorney-client relationship with the </w:t>
      </w:r>
      <w:proofErr w:type="spellStart"/>
      <w:r w:rsidR="00151604" w:rsidRPr="004F51D8">
        <w:rPr>
          <w:szCs w:val="24"/>
        </w:rPr>
        <w:t>Grecos</w:t>
      </w:r>
      <w:proofErr w:type="spellEnd"/>
      <w:r w:rsidR="00151604" w:rsidRPr="004F51D8">
        <w:rPr>
          <w:szCs w:val="24"/>
        </w:rPr>
        <w:t>, which was not established at trial.  Accordingly, the hearing judge dismissed counts</w:t>
      </w:r>
      <w:r w:rsidR="008E6D88">
        <w:rPr>
          <w:szCs w:val="24"/>
        </w:rPr>
        <w:t> </w:t>
      </w:r>
      <w:r w:rsidR="002D6111">
        <w:rPr>
          <w:szCs w:val="24"/>
        </w:rPr>
        <w:t xml:space="preserve">sixteen </w:t>
      </w:r>
      <w:r w:rsidR="00151604" w:rsidRPr="004F51D8">
        <w:rPr>
          <w:szCs w:val="24"/>
        </w:rPr>
        <w:t>and</w:t>
      </w:r>
      <w:r w:rsidR="000F17D1">
        <w:rPr>
          <w:szCs w:val="24"/>
        </w:rPr>
        <w:t xml:space="preserve"> </w:t>
      </w:r>
      <w:r w:rsidR="002D6111">
        <w:rPr>
          <w:szCs w:val="24"/>
        </w:rPr>
        <w:t>seventeen</w:t>
      </w:r>
      <w:r w:rsidR="00151604" w:rsidRPr="004F51D8">
        <w:rPr>
          <w:szCs w:val="24"/>
        </w:rPr>
        <w:t xml:space="preserve"> with prejudice.  </w:t>
      </w:r>
      <w:r w:rsidR="00151604" w:rsidRPr="003B69FC">
        <w:rPr>
          <w:szCs w:val="24"/>
        </w:rPr>
        <w:t xml:space="preserve">Neither party challenges these dismissals on </w:t>
      </w:r>
      <w:r w:rsidR="00B42CF6" w:rsidRPr="003B69FC">
        <w:rPr>
          <w:szCs w:val="24"/>
        </w:rPr>
        <w:t>review,</w:t>
      </w:r>
      <w:r w:rsidR="00151604" w:rsidRPr="003B69FC">
        <w:rPr>
          <w:szCs w:val="24"/>
        </w:rPr>
        <w:t xml:space="preserve"> and we affirm the</w:t>
      </w:r>
      <w:r w:rsidR="00A87560">
        <w:rPr>
          <w:szCs w:val="24"/>
        </w:rPr>
        <w:t>m</w:t>
      </w:r>
      <w:r w:rsidR="00151604" w:rsidRPr="003B69FC">
        <w:rPr>
          <w:szCs w:val="24"/>
        </w:rPr>
        <w:t xml:space="preserve"> with prejudice.</w:t>
      </w:r>
      <w:r w:rsidR="001D0F11" w:rsidRPr="003B69FC">
        <w:rPr>
          <w:rStyle w:val="FootnoteReference"/>
          <w:szCs w:val="24"/>
        </w:rPr>
        <w:footnoteReference w:id="33"/>
      </w:r>
      <w:r w:rsidR="00151604" w:rsidRPr="004F51D8">
        <w:rPr>
          <w:szCs w:val="24"/>
        </w:rPr>
        <w:t xml:space="preserve">  (</w:t>
      </w:r>
      <w:r w:rsidR="00151604" w:rsidRPr="004F51D8">
        <w:rPr>
          <w:i/>
          <w:szCs w:val="24"/>
        </w:rPr>
        <w:t xml:space="preserve">In the Matter of </w:t>
      </w:r>
      <w:proofErr w:type="spellStart"/>
      <w:r w:rsidR="00151604" w:rsidRPr="004F51D8">
        <w:rPr>
          <w:i/>
          <w:szCs w:val="24"/>
        </w:rPr>
        <w:t>Kroff</w:t>
      </w:r>
      <w:proofErr w:type="spellEnd"/>
      <w:r w:rsidR="00151604" w:rsidRPr="004F51D8">
        <w:rPr>
          <w:szCs w:val="24"/>
        </w:rPr>
        <w:t xml:space="preserve">, </w:t>
      </w:r>
      <w:r w:rsidR="00151604" w:rsidRPr="004F51D8">
        <w:rPr>
          <w:i/>
          <w:iCs/>
          <w:szCs w:val="24"/>
        </w:rPr>
        <w:t>supra</w:t>
      </w:r>
      <w:r w:rsidR="00151604" w:rsidRPr="004F51D8">
        <w:rPr>
          <w:szCs w:val="24"/>
        </w:rPr>
        <w:t>, 3</w:t>
      </w:r>
      <w:r w:rsidR="00E25A14">
        <w:rPr>
          <w:szCs w:val="24"/>
        </w:rPr>
        <w:t> </w:t>
      </w:r>
      <w:r w:rsidR="00151604" w:rsidRPr="004F51D8">
        <w:rPr>
          <w:szCs w:val="24"/>
        </w:rPr>
        <w:t xml:space="preserve">Cal. State Bar Ct. </w:t>
      </w:r>
      <w:proofErr w:type="spellStart"/>
      <w:r w:rsidR="00151604" w:rsidRPr="004F51D8">
        <w:rPr>
          <w:szCs w:val="24"/>
        </w:rPr>
        <w:t>Rptr</w:t>
      </w:r>
      <w:proofErr w:type="spellEnd"/>
      <w:r w:rsidR="00151604" w:rsidRPr="004F51D8">
        <w:rPr>
          <w:szCs w:val="24"/>
        </w:rPr>
        <w:t>. at p.</w:t>
      </w:r>
      <w:r w:rsidR="00E25A14">
        <w:rPr>
          <w:szCs w:val="24"/>
        </w:rPr>
        <w:t> </w:t>
      </w:r>
      <w:r w:rsidR="00151604" w:rsidRPr="004F51D8">
        <w:rPr>
          <w:szCs w:val="24"/>
        </w:rPr>
        <w:t>843.)</w:t>
      </w:r>
    </w:p>
    <w:p w14:paraId="792B5490" w14:textId="0630200A" w:rsidR="00B859B3" w:rsidRPr="004F51D8" w:rsidRDefault="00B859B3" w:rsidP="00B859B3">
      <w:pPr>
        <w:spacing w:line="480" w:lineRule="auto"/>
        <w:rPr>
          <w:szCs w:val="24"/>
        </w:rPr>
      </w:pPr>
      <w:r w:rsidRPr="004F51D8">
        <w:rPr>
          <w:b/>
          <w:bCs/>
          <w:szCs w:val="24"/>
        </w:rPr>
        <w:t>M.</w:t>
      </w:r>
      <w:r w:rsidRPr="004F51D8">
        <w:rPr>
          <w:b/>
          <w:bCs/>
          <w:szCs w:val="24"/>
        </w:rPr>
        <w:tab/>
        <w:t>Count Eighteen: Failure to Perform with Competence (Rule 3-110(A)</w:t>
      </w:r>
      <w:r w:rsidR="004F51D8" w:rsidRPr="004F51D8">
        <w:rPr>
          <w:b/>
          <w:bCs/>
          <w:szCs w:val="24"/>
        </w:rPr>
        <w:t>)</w:t>
      </w:r>
    </w:p>
    <w:p w14:paraId="00C21D62" w14:textId="4C5BC3B2" w:rsidR="00AE3B1C" w:rsidRDefault="00B859B3" w:rsidP="00AE3B1C">
      <w:pPr>
        <w:spacing w:line="480" w:lineRule="auto"/>
        <w:ind w:firstLine="720"/>
        <w:rPr>
          <w:szCs w:val="24"/>
        </w:rPr>
      </w:pPr>
      <w:bookmarkStart w:id="25" w:name="_Hlk97641308"/>
      <w:r w:rsidRPr="004F51D8">
        <w:rPr>
          <w:szCs w:val="24"/>
        </w:rPr>
        <w:t xml:space="preserve">Count </w:t>
      </w:r>
      <w:r w:rsidR="00B42CF6">
        <w:rPr>
          <w:szCs w:val="24"/>
        </w:rPr>
        <w:t>eighteen</w:t>
      </w:r>
      <w:r w:rsidRPr="004F51D8">
        <w:rPr>
          <w:szCs w:val="24"/>
        </w:rPr>
        <w:t xml:space="preserve"> alleged Isola failed to perform with competence </w:t>
      </w:r>
      <w:r w:rsidR="004F51D8" w:rsidRPr="004F51D8">
        <w:rPr>
          <w:szCs w:val="24"/>
        </w:rPr>
        <w:t xml:space="preserve">in his representation of Min-Ku </w:t>
      </w:r>
      <w:r w:rsidR="00AE3B1C">
        <w:rPr>
          <w:szCs w:val="24"/>
        </w:rPr>
        <w:t>in violation of rule</w:t>
      </w:r>
      <w:r w:rsidR="00E25A14">
        <w:rPr>
          <w:szCs w:val="24"/>
        </w:rPr>
        <w:t> </w:t>
      </w:r>
      <w:r w:rsidR="00AE3B1C">
        <w:rPr>
          <w:szCs w:val="24"/>
        </w:rPr>
        <w:t>3-110(A).</w:t>
      </w:r>
      <w:bookmarkEnd w:id="25"/>
      <w:r w:rsidR="00AE3B1C">
        <w:rPr>
          <w:szCs w:val="24"/>
        </w:rPr>
        <w:t xml:space="preserve">  </w:t>
      </w:r>
      <w:r w:rsidR="004F51D8" w:rsidRPr="004F51D8">
        <w:rPr>
          <w:szCs w:val="24"/>
        </w:rPr>
        <w:t>R</w:t>
      </w:r>
      <w:r w:rsidRPr="004F51D8">
        <w:rPr>
          <w:szCs w:val="24"/>
        </w:rPr>
        <w:t>ule</w:t>
      </w:r>
      <w:r w:rsidR="00E25A14">
        <w:rPr>
          <w:szCs w:val="24"/>
        </w:rPr>
        <w:t> </w:t>
      </w:r>
      <w:r w:rsidRPr="004F51D8">
        <w:rPr>
          <w:szCs w:val="24"/>
        </w:rPr>
        <w:t xml:space="preserve">3-110(A) provides that an attorney must not intentionally, recklessly, or repeatedly fail to perform legal services with competence. </w:t>
      </w:r>
      <w:r w:rsidR="004F51D8" w:rsidRPr="004F51D8">
        <w:rPr>
          <w:szCs w:val="24"/>
        </w:rPr>
        <w:t xml:space="preserve"> </w:t>
      </w:r>
      <w:r w:rsidRPr="004F51D8">
        <w:rPr>
          <w:szCs w:val="24"/>
        </w:rPr>
        <w:t xml:space="preserve">The hearing judge found OCTC </w:t>
      </w:r>
      <w:r w:rsidR="000F6B90">
        <w:rPr>
          <w:szCs w:val="24"/>
        </w:rPr>
        <w:t>was unable</w:t>
      </w:r>
      <w:r w:rsidRPr="004F51D8">
        <w:rPr>
          <w:szCs w:val="24"/>
        </w:rPr>
        <w:t xml:space="preserve"> to establish by clear and convincing evidence that Isola failed to perform with competence</w:t>
      </w:r>
      <w:r w:rsidR="00D2043E">
        <w:rPr>
          <w:szCs w:val="24"/>
        </w:rPr>
        <w:t>;</w:t>
      </w:r>
      <w:r w:rsidR="000265E7">
        <w:rPr>
          <w:szCs w:val="24"/>
        </w:rPr>
        <w:t xml:space="preserve"> the judge</w:t>
      </w:r>
      <w:r w:rsidRPr="004F51D8">
        <w:rPr>
          <w:szCs w:val="24"/>
        </w:rPr>
        <w:t xml:space="preserve"> dismissed count </w:t>
      </w:r>
      <w:r w:rsidR="002D6111">
        <w:rPr>
          <w:szCs w:val="24"/>
        </w:rPr>
        <w:t>eighteen</w:t>
      </w:r>
      <w:r w:rsidRPr="004F51D8">
        <w:rPr>
          <w:szCs w:val="24"/>
        </w:rPr>
        <w:t xml:space="preserve"> with prejudice.</w:t>
      </w:r>
      <w:r w:rsidR="00AE3B1C">
        <w:rPr>
          <w:szCs w:val="24"/>
        </w:rPr>
        <w:t xml:space="preserve">  </w:t>
      </w:r>
      <w:r w:rsidR="00AE3B1C" w:rsidRPr="004F51D8">
        <w:rPr>
          <w:szCs w:val="24"/>
        </w:rPr>
        <w:t xml:space="preserve">Neither party challenges </w:t>
      </w:r>
      <w:r w:rsidR="00AE3B1C">
        <w:rPr>
          <w:szCs w:val="24"/>
        </w:rPr>
        <w:t>this</w:t>
      </w:r>
      <w:r w:rsidR="00AE3B1C" w:rsidRPr="004F51D8">
        <w:rPr>
          <w:szCs w:val="24"/>
        </w:rPr>
        <w:t xml:space="preserve"> dismissal on </w:t>
      </w:r>
      <w:r w:rsidR="00B42CF6" w:rsidRPr="004F51D8">
        <w:rPr>
          <w:szCs w:val="24"/>
        </w:rPr>
        <w:t>review,</w:t>
      </w:r>
      <w:r w:rsidR="00AE3B1C" w:rsidRPr="004F51D8">
        <w:rPr>
          <w:szCs w:val="24"/>
        </w:rPr>
        <w:t xml:space="preserve"> and we affirm </w:t>
      </w:r>
      <w:r w:rsidR="000265E7">
        <w:rPr>
          <w:szCs w:val="24"/>
        </w:rPr>
        <w:t>it</w:t>
      </w:r>
      <w:r w:rsidR="00AE3B1C" w:rsidRPr="004F51D8">
        <w:rPr>
          <w:szCs w:val="24"/>
        </w:rPr>
        <w:t xml:space="preserve"> with prejudice.  (</w:t>
      </w:r>
      <w:r w:rsidR="00AE3B1C" w:rsidRPr="004F51D8">
        <w:rPr>
          <w:i/>
          <w:szCs w:val="24"/>
        </w:rPr>
        <w:t xml:space="preserve">In the Matter of </w:t>
      </w:r>
      <w:proofErr w:type="spellStart"/>
      <w:r w:rsidR="00AE3B1C" w:rsidRPr="004F51D8">
        <w:rPr>
          <w:i/>
          <w:szCs w:val="24"/>
        </w:rPr>
        <w:t>Kroff</w:t>
      </w:r>
      <w:proofErr w:type="spellEnd"/>
      <w:r w:rsidR="00AE3B1C" w:rsidRPr="004F51D8">
        <w:rPr>
          <w:szCs w:val="24"/>
        </w:rPr>
        <w:t xml:space="preserve">, </w:t>
      </w:r>
      <w:r w:rsidR="00AE3B1C" w:rsidRPr="004F51D8">
        <w:rPr>
          <w:i/>
          <w:iCs/>
          <w:szCs w:val="24"/>
        </w:rPr>
        <w:t>supra</w:t>
      </w:r>
      <w:r w:rsidR="00AE3B1C" w:rsidRPr="004F51D8">
        <w:rPr>
          <w:szCs w:val="24"/>
        </w:rPr>
        <w:t>, 3</w:t>
      </w:r>
      <w:r w:rsidR="00E25A14">
        <w:rPr>
          <w:szCs w:val="24"/>
        </w:rPr>
        <w:t> </w:t>
      </w:r>
      <w:r w:rsidR="00AE3B1C" w:rsidRPr="004F51D8">
        <w:rPr>
          <w:szCs w:val="24"/>
        </w:rPr>
        <w:t xml:space="preserve">Cal. State Bar Ct. </w:t>
      </w:r>
      <w:proofErr w:type="spellStart"/>
      <w:r w:rsidR="00AE3B1C" w:rsidRPr="004F51D8">
        <w:rPr>
          <w:szCs w:val="24"/>
        </w:rPr>
        <w:t>Rptr</w:t>
      </w:r>
      <w:proofErr w:type="spellEnd"/>
      <w:r w:rsidR="00AE3B1C" w:rsidRPr="004F51D8">
        <w:rPr>
          <w:szCs w:val="24"/>
        </w:rPr>
        <w:t>. at p.</w:t>
      </w:r>
      <w:r w:rsidR="00E25A14">
        <w:rPr>
          <w:szCs w:val="24"/>
        </w:rPr>
        <w:t> </w:t>
      </w:r>
      <w:r w:rsidR="00AE3B1C" w:rsidRPr="004F51D8">
        <w:rPr>
          <w:szCs w:val="24"/>
        </w:rPr>
        <w:t>843.)</w:t>
      </w:r>
    </w:p>
    <w:p w14:paraId="4A09B1EF" w14:textId="4E859534" w:rsidR="002316F5" w:rsidRDefault="003D1E85" w:rsidP="002316F5">
      <w:pPr>
        <w:rPr>
          <w:b/>
          <w:bCs/>
          <w:szCs w:val="24"/>
        </w:rPr>
      </w:pPr>
      <w:r w:rsidRPr="00600236">
        <w:rPr>
          <w:b/>
          <w:bCs/>
          <w:szCs w:val="24"/>
        </w:rPr>
        <w:t xml:space="preserve">N.  </w:t>
      </w:r>
      <w:r w:rsidRPr="00600236">
        <w:rPr>
          <w:b/>
          <w:bCs/>
          <w:szCs w:val="24"/>
        </w:rPr>
        <w:tab/>
        <w:t xml:space="preserve">Count Twenty-One: Failure to </w:t>
      </w:r>
      <w:r w:rsidR="002316F5">
        <w:rPr>
          <w:b/>
          <w:bCs/>
          <w:szCs w:val="24"/>
        </w:rPr>
        <w:t>Inform Client of Significant Developments</w:t>
      </w:r>
      <w:r>
        <w:rPr>
          <w:b/>
          <w:bCs/>
          <w:szCs w:val="24"/>
        </w:rPr>
        <w:t xml:space="preserve"> </w:t>
      </w:r>
    </w:p>
    <w:p w14:paraId="7858A800" w14:textId="08CA50A1" w:rsidR="003D1E85" w:rsidRDefault="003D1E85" w:rsidP="002316F5">
      <w:pPr>
        <w:ind w:firstLine="720"/>
        <w:rPr>
          <w:b/>
          <w:bCs/>
          <w:szCs w:val="24"/>
        </w:rPr>
      </w:pPr>
      <w:r w:rsidRPr="00600236">
        <w:rPr>
          <w:b/>
          <w:bCs/>
          <w:szCs w:val="24"/>
        </w:rPr>
        <w:t>(§</w:t>
      </w:r>
      <w:r>
        <w:rPr>
          <w:b/>
          <w:bCs/>
          <w:szCs w:val="24"/>
        </w:rPr>
        <w:t xml:space="preserve"> </w:t>
      </w:r>
      <w:r w:rsidRPr="00600236">
        <w:rPr>
          <w:b/>
          <w:bCs/>
          <w:szCs w:val="24"/>
        </w:rPr>
        <w:t xml:space="preserve">6068, </w:t>
      </w:r>
      <w:proofErr w:type="spellStart"/>
      <w:r w:rsidRPr="00600236">
        <w:rPr>
          <w:b/>
          <w:bCs/>
          <w:szCs w:val="24"/>
        </w:rPr>
        <w:t>subd</w:t>
      </w:r>
      <w:proofErr w:type="spellEnd"/>
      <w:r w:rsidRPr="00600236">
        <w:rPr>
          <w:b/>
          <w:bCs/>
          <w:szCs w:val="24"/>
        </w:rPr>
        <w:t xml:space="preserve">. (m)) </w:t>
      </w:r>
    </w:p>
    <w:p w14:paraId="5483DCB2" w14:textId="77777777" w:rsidR="002316F5" w:rsidRPr="00600236" w:rsidRDefault="002316F5" w:rsidP="002316F5">
      <w:pPr>
        <w:ind w:firstLine="720"/>
        <w:rPr>
          <w:szCs w:val="24"/>
        </w:rPr>
      </w:pPr>
    </w:p>
    <w:p w14:paraId="41A700EF" w14:textId="363BD736" w:rsidR="00E30113" w:rsidRDefault="003D1E85" w:rsidP="00FF2546">
      <w:pPr>
        <w:spacing w:line="480" w:lineRule="auto"/>
        <w:rPr>
          <w:szCs w:val="24"/>
        </w:rPr>
      </w:pPr>
      <w:r w:rsidRPr="00600236">
        <w:rPr>
          <w:szCs w:val="24"/>
        </w:rPr>
        <w:tab/>
        <w:t xml:space="preserve">Count </w:t>
      </w:r>
      <w:r w:rsidR="00EB7520">
        <w:rPr>
          <w:szCs w:val="24"/>
        </w:rPr>
        <w:t>twenty-one</w:t>
      </w:r>
      <w:r w:rsidRPr="00600236">
        <w:rPr>
          <w:szCs w:val="24"/>
        </w:rPr>
        <w:t xml:space="preserve"> alleged that Isola </w:t>
      </w:r>
      <w:r w:rsidR="00013662">
        <w:rPr>
          <w:szCs w:val="24"/>
        </w:rPr>
        <w:t>violated section</w:t>
      </w:r>
      <w:r w:rsidR="00E25A14">
        <w:rPr>
          <w:szCs w:val="24"/>
        </w:rPr>
        <w:t> </w:t>
      </w:r>
      <w:r w:rsidR="00013662">
        <w:rPr>
          <w:szCs w:val="24"/>
        </w:rPr>
        <w:t>6068, sub</w:t>
      </w:r>
      <w:r w:rsidR="00C13DF6">
        <w:rPr>
          <w:szCs w:val="24"/>
        </w:rPr>
        <w:t>d</w:t>
      </w:r>
      <w:r w:rsidR="00013662">
        <w:rPr>
          <w:szCs w:val="24"/>
        </w:rPr>
        <w:t>ivision</w:t>
      </w:r>
      <w:r w:rsidR="00E25A14">
        <w:rPr>
          <w:szCs w:val="24"/>
        </w:rPr>
        <w:t> </w:t>
      </w:r>
      <w:r w:rsidR="00013662">
        <w:rPr>
          <w:szCs w:val="24"/>
        </w:rPr>
        <w:t>(m), which requires an attorney to “keep clients reasonably informed of significant developments in matters with regard to which the attorney has agreed to provide legal services.”</w:t>
      </w:r>
      <w:r w:rsidR="00244DA1">
        <w:rPr>
          <w:szCs w:val="24"/>
        </w:rPr>
        <w:t xml:space="preserve">  Count </w:t>
      </w:r>
      <w:r w:rsidR="002D6111">
        <w:rPr>
          <w:szCs w:val="24"/>
        </w:rPr>
        <w:t>twenty-one</w:t>
      </w:r>
      <w:r w:rsidR="00244DA1">
        <w:rPr>
          <w:szCs w:val="24"/>
        </w:rPr>
        <w:t xml:space="preserve"> alleged that Isola should have informed Min-Ku of the following events: (1)</w:t>
      </w:r>
      <w:r w:rsidR="00E25A14">
        <w:rPr>
          <w:szCs w:val="24"/>
        </w:rPr>
        <w:t> </w:t>
      </w:r>
      <w:r w:rsidR="00244DA1">
        <w:rPr>
          <w:szCs w:val="24"/>
        </w:rPr>
        <w:t>that on or about October</w:t>
      </w:r>
      <w:r w:rsidR="00E25A14">
        <w:rPr>
          <w:szCs w:val="24"/>
        </w:rPr>
        <w:t> </w:t>
      </w:r>
      <w:r w:rsidR="00244DA1">
        <w:rPr>
          <w:szCs w:val="24"/>
        </w:rPr>
        <w:t>21, 2011, Travelers stated it would not provid</w:t>
      </w:r>
      <w:r w:rsidR="00E31D23">
        <w:rPr>
          <w:szCs w:val="24"/>
        </w:rPr>
        <w:t>e</w:t>
      </w:r>
      <w:r w:rsidR="00244DA1">
        <w:rPr>
          <w:szCs w:val="24"/>
        </w:rPr>
        <w:t xml:space="preserve"> coverage in the absence of litigation; (2)</w:t>
      </w:r>
      <w:r w:rsidR="00E25A14">
        <w:rPr>
          <w:szCs w:val="24"/>
        </w:rPr>
        <w:t> </w:t>
      </w:r>
      <w:r w:rsidR="00244DA1">
        <w:rPr>
          <w:szCs w:val="24"/>
        </w:rPr>
        <w:t xml:space="preserve">that the 2012 environmental lawsuit was filed against Min-Ku and </w:t>
      </w:r>
      <w:r w:rsidR="00244DA1" w:rsidRPr="004F51D8">
        <w:rPr>
          <w:szCs w:val="24"/>
        </w:rPr>
        <w:t>Cameo Cleaners of Fair Lawn</w:t>
      </w:r>
      <w:r w:rsidR="00244DA1">
        <w:rPr>
          <w:szCs w:val="24"/>
        </w:rPr>
        <w:t>; (3)</w:t>
      </w:r>
      <w:r w:rsidR="00E25A14">
        <w:rPr>
          <w:szCs w:val="24"/>
        </w:rPr>
        <w:t> </w:t>
      </w:r>
      <w:r w:rsidR="00244DA1">
        <w:rPr>
          <w:szCs w:val="24"/>
        </w:rPr>
        <w:t xml:space="preserve">that Isola agreed to accept service on behalf of Min-Ku in the 2012 environmental </w:t>
      </w:r>
      <w:r w:rsidR="00244DA1">
        <w:rPr>
          <w:szCs w:val="24"/>
        </w:rPr>
        <w:lastRenderedPageBreak/>
        <w:t>lawsuit; (4) that Isola filed an answer in the 2012 environmental lawsuit; (5) that Isola filed a third-party complaint against Travelers; (6)</w:t>
      </w:r>
      <w:r w:rsidR="00E25A14">
        <w:rPr>
          <w:szCs w:val="24"/>
        </w:rPr>
        <w:t> </w:t>
      </w:r>
      <w:r w:rsidR="00244DA1">
        <w:rPr>
          <w:szCs w:val="24"/>
        </w:rPr>
        <w:t xml:space="preserve">that Isola </w:t>
      </w:r>
      <w:r w:rsidR="00523A7B">
        <w:rPr>
          <w:szCs w:val="24"/>
        </w:rPr>
        <w:t>dismissed</w:t>
      </w:r>
      <w:r w:rsidR="00244DA1">
        <w:rPr>
          <w:szCs w:val="24"/>
        </w:rPr>
        <w:t xml:space="preserve"> the third-party complaint; (7) that Isola executed a tolling agreement; and (8) that from December 2016 through April 2017, Isola engaged in settlement negotiations on behalf of Min-Ku.</w:t>
      </w:r>
      <w:r w:rsidR="00612775">
        <w:rPr>
          <w:szCs w:val="24"/>
        </w:rPr>
        <w:t xml:space="preserve">  The hearing judge found that Isola should have informed his client regarding Travelers’ denial of coverage in October 2011</w:t>
      </w:r>
      <w:r w:rsidR="00E30113">
        <w:rPr>
          <w:szCs w:val="24"/>
        </w:rPr>
        <w:t xml:space="preserve">, </w:t>
      </w:r>
      <w:r w:rsidR="00612775">
        <w:rPr>
          <w:szCs w:val="24"/>
        </w:rPr>
        <w:t xml:space="preserve">that </w:t>
      </w:r>
      <w:r w:rsidR="00523A7B">
        <w:rPr>
          <w:szCs w:val="24"/>
        </w:rPr>
        <w:t>the 2012 environmental lawsuit was filed</w:t>
      </w:r>
      <w:r w:rsidR="00E30113">
        <w:rPr>
          <w:szCs w:val="24"/>
        </w:rPr>
        <w:t>,</w:t>
      </w:r>
      <w:r w:rsidR="00523A7B">
        <w:rPr>
          <w:szCs w:val="24"/>
        </w:rPr>
        <w:t xml:space="preserve"> and </w:t>
      </w:r>
      <w:r w:rsidR="00FF2546">
        <w:rPr>
          <w:szCs w:val="24"/>
        </w:rPr>
        <w:t xml:space="preserve">that </w:t>
      </w:r>
      <w:r w:rsidR="00523A7B">
        <w:rPr>
          <w:szCs w:val="24"/>
        </w:rPr>
        <w:t>Isola filed an answer and a third-party complaint, which he also dismissed.</w:t>
      </w:r>
      <w:r w:rsidR="00FF2546">
        <w:rPr>
          <w:szCs w:val="24"/>
        </w:rPr>
        <w:t xml:space="preserve">  Neither party challenges this finding on review.  Rather, </w:t>
      </w:r>
      <w:r w:rsidR="00E30113">
        <w:rPr>
          <w:szCs w:val="24"/>
        </w:rPr>
        <w:t>Isola admits that he failed to communicate significant developments</w:t>
      </w:r>
      <w:r w:rsidR="00FF2546">
        <w:rPr>
          <w:szCs w:val="24"/>
        </w:rPr>
        <w:t xml:space="preserve"> and acknowledges culpability.  </w:t>
      </w:r>
      <w:r w:rsidR="00F92692">
        <w:rPr>
          <w:szCs w:val="24"/>
        </w:rPr>
        <w:t>Thus, w</w:t>
      </w:r>
      <w:r w:rsidR="00FF2546">
        <w:rPr>
          <w:szCs w:val="24"/>
        </w:rPr>
        <w:t xml:space="preserve">e affirm culpability under count </w:t>
      </w:r>
      <w:r w:rsidR="00B42CF6">
        <w:rPr>
          <w:szCs w:val="24"/>
        </w:rPr>
        <w:t>twenty-one</w:t>
      </w:r>
      <w:r w:rsidR="00FF2546">
        <w:rPr>
          <w:szCs w:val="24"/>
        </w:rPr>
        <w:t>.</w:t>
      </w:r>
    </w:p>
    <w:p w14:paraId="2574FEFC" w14:textId="46D64530" w:rsidR="00BB72AA" w:rsidRPr="00600236" w:rsidRDefault="00BB72AA" w:rsidP="00BB72AA">
      <w:pPr>
        <w:spacing w:line="480" w:lineRule="auto"/>
        <w:rPr>
          <w:szCs w:val="24"/>
        </w:rPr>
      </w:pPr>
      <w:r w:rsidRPr="00600236">
        <w:rPr>
          <w:b/>
          <w:bCs/>
          <w:szCs w:val="24"/>
        </w:rPr>
        <w:t xml:space="preserve">O. </w:t>
      </w:r>
      <w:r w:rsidRPr="00600236">
        <w:rPr>
          <w:b/>
          <w:bCs/>
          <w:szCs w:val="24"/>
        </w:rPr>
        <w:tab/>
        <w:t xml:space="preserve"> Counts Nineteen and Twenty-Three:  Breach of Fiduciary Duty</w:t>
      </w:r>
      <w:r>
        <w:rPr>
          <w:b/>
          <w:bCs/>
          <w:szCs w:val="24"/>
        </w:rPr>
        <w:t xml:space="preserve"> </w:t>
      </w:r>
      <w:r w:rsidRPr="00600236">
        <w:rPr>
          <w:b/>
          <w:bCs/>
          <w:szCs w:val="24"/>
        </w:rPr>
        <w:t>(§</w:t>
      </w:r>
      <w:r>
        <w:rPr>
          <w:b/>
          <w:bCs/>
          <w:szCs w:val="24"/>
        </w:rPr>
        <w:t xml:space="preserve"> </w:t>
      </w:r>
      <w:r w:rsidRPr="00600236">
        <w:rPr>
          <w:b/>
          <w:bCs/>
          <w:szCs w:val="24"/>
        </w:rPr>
        <w:t xml:space="preserve">6068, </w:t>
      </w:r>
      <w:proofErr w:type="spellStart"/>
      <w:r w:rsidRPr="00600236">
        <w:rPr>
          <w:b/>
          <w:bCs/>
          <w:szCs w:val="24"/>
        </w:rPr>
        <w:t>subd</w:t>
      </w:r>
      <w:proofErr w:type="spellEnd"/>
      <w:r w:rsidRPr="00600236">
        <w:rPr>
          <w:b/>
          <w:bCs/>
          <w:szCs w:val="24"/>
        </w:rPr>
        <w:t>.</w:t>
      </w:r>
      <w:r w:rsidR="00030075">
        <w:rPr>
          <w:b/>
          <w:bCs/>
          <w:szCs w:val="24"/>
        </w:rPr>
        <w:t xml:space="preserve"> </w:t>
      </w:r>
      <w:r w:rsidRPr="00600236">
        <w:rPr>
          <w:b/>
          <w:bCs/>
          <w:szCs w:val="24"/>
        </w:rPr>
        <w:t>(a))</w:t>
      </w:r>
      <w:r w:rsidRPr="00600236">
        <w:rPr>
          <w:szCs w:val="24"/>
        </w:rPr>
        <w:t xml:space="preserve"> </w:t>
      </w:r>
    </w:p>
    <w:p w14:paraId="128A2163" w14:textId="7E6880DC" w:rsidR="005D6658" w:rsidRDefault="00BB72AA" w:rsidP="00BB72AA">
      <w:pPr>
        <w:spacing w:line="480" w:lineRule="auto"/>
        <w:ind w:firstLine="720"/>
        <w:rPr>
          <w:szCs w:val="24"/>
        </w:rPr>
      </w:pPr>
      <w:r w:rsidRPr="00600236">
        <w:rPr>
          <w:szCs w:val="24"/>
        </w:rPr>
        <w:t xml:space="preserve">Counts </w:t>
      </w:r>
      <w:r w:rsidR="002D6111">
        <w:rPr>
          <w:szCs w:val="24"/>
        </w:rPr>
        <w:t>nineteen</w:t>
      </w:r>
      <w:r w:rsidRPr="00600236">
        <w:rPr>
          <w:szCs w:val="24"/>
        </w:rPr>
        <w:t xml:space="preserve"> and </w:t>
      </w:r>
      <w:r w:rsidR="002D6111">
        <w:rPr>
          <w:szCs w:val="24"/>
        </w:rPr>
        <w:t>twenty-three</w:t>
      </w:r>
      <w:r w:rsidRPr="00600236">
        <w:rPr>
          <w:szCs w:val="24"/>
        </w:rPr>
        <w:t xml:space="preserve"> alleged Isola breached his </w:t>
      </w:r>
      <w:r w:rsidR="005D6658">
        <w:rPr>
          <w:szCs w:val="24"/>
        </w:rPr>
        <w:t xml:space="preserve">common law </w:t>
      </w:r>
      <w:r w:rsidRPr="00600236">
        <w:rPr>
          <w:szCs w:val="24"/>
        </w:rPr>
        <w:t xml:space="preserve">fiduciary duties to Min-Ku.  </w:t>
      </w:r>
      <w:r w:rsidR="005D6658" w:rsidRPr="00600236">
        <w:rPr>
          <w:szCs w:val="24"/>
        </w:rPr>
        <w:t>Section</w:t>
      </w:r>
      <w:r w:rsidR="00E25A14">
        <w:rPr>
          <w:szCs w:val="24"/>
        </w:rPr>
        <w:t> </w:t>
      </w:r>
      <w:r w:rsidR="005D6658" w:rsidRPr="00600236">
        <w:rPr>
          <w:szCs w:val="24"/>
        </w:rPr>
        <w:t>6068, subdivision</w:t>
      </w:r>
      <w:r w:rsidR="00E25A14">
        <w:rPr>
          <w:szCs w:val="24"/>
        </w:rPr>
        <w:t> </w:t>
      </w:r>
      <w:r w:rsidR="005D6658" w:rsidRPr="00600236">
        <w:rPr>
          <w:szCs w:val="24"/>
        </w:rPr>
        <w:t xml:space="preserve">(a), provides that an attorney has a duty to support the Constitution and laws of the United States and California.  </w:t>
      </w:r>
      <w:r w:rsidR="00A40CDD">
        <w:rPr>
          <w:szCs w:val="24"/>
        </w:rPr>
        <w:t xml:space="preserve">An attorney’s duties to his client are governed by the Rules of Professional Conduct and </w:t>
      </w:r>
      <w:r w:rsidR="00531563">
        <w:rPr>
          <w:szCs w:val="24"/>
        </w:rPr>
        <w:t>other law relating to fiduciary relationships.  (</w:t>
      </w:r>
      <w:r w:rsidR="00531563">
        <w:rPr>
          <w:i/>
          <w:iCs/>
          <w:szCs w:val="24"/>
        </w:rPr>
        <w:t>Day v. Rosenthal</w:t>
      </w:r>
      <w:r w:rsidR="00531563">
        <w:rPr>
          <w:szCs w:val="24"/>
        </w:rPr>
        <w:t xml:space="preserve"> (1985) 170</w:t>
      </w:r>
      <w:r w:rsidR="00E25A14">
        <w:rPr>
          <w:szCs w:val="24"/>
        </w:rPr>
        <w:t> </w:t>
      </w:r>
      <w:r w:rsidR="00531563">
        <w:rPr>
          <w:szCs w:val="24"/>
        </w:rPr>
        <w:t xml:space="preserve">Cal.App.3d 1125, 1147; </w:t>
      </w:r>
      <w:r w:rsidR="00531563">
        <w:rPr>
          <w:i/>
          <w:iCs/>
          <w:szCs w:val="24"/>
        </w:rPr>
        <w:t xml:space="preserve">David Welch Co. v. Erskine &amp; </w:t>
      </w:r>
      <w:proofErr w:type="spellStart"/>
      <w:r w:rsidR="00531563">
        <w:rPr>
          <w:i/>
          <w:iCs/>
          <w:szCs w:val="24"/>
        </w:rPr>
        <w:t>Tulley</w:t>
      </w:r>
      <w:proofErr w:type="spellEnd"/>
      <w:r w:rsidR="00531563">
        <w:rPr>
          <w:szCs w:val="24"/>
        </w:rPr>
        <w:t xml:space="preserve"> (1988) 203</w:t>
      </w:r>
      <w:r w:rsidR="00E25A14">
        <w:rPr>
          <w:szCs w:val="24"/>
        </w:rPr>
        <w:t> </w:t>
      </w:r>
      <w:r w:rsidR="00531563">
        <w:rPr>
          <w:szCs w:val="24"/>
        </w:rPr>
        <w:t>Cal.App.3d 884, 890.)</w:t>
      </w:r>
    </w:p>
    <w:p w14:paraId="668C0C24" w14:textId="6DE96E05" w:rsidR="005E0150" w:rsidRPr="00EB7520" w:rsidRDefault="005E0150" w:rsidP="00BB72AA">
      <w:pPr>
        <w:spacing w:line="480" w:lineRule="auto"/>
        <w:ind w:firstLine="720"/>
        <w:rPr>
          <w:b/>
          <w:bCs/>
          <w:szCs w:val="24"/>
        </w:rPr>
      </w:pPr>
      <w:r w:rsidRPr="00EB7520">
        <w:rPr>
          <w:b/>
          <w:bCs/>
          <w:szCs w:val="24"/>
        </w:rPr>
        <w:t xml:space="preserve">1.  </w:t>
      </w:r>
      <w:r w:rsidR="00D000DD" w:rsidRPr="00EB7520">
        <w:rPr>
          <w:b/>
          <w:bCs/>
          <w:szCs w:val="24"/>
        </w:rPr>
        <w:t>Count Nineteen</w:t>
      </w:r>
    </w:p>
    <w:p w14:paraId="4AEF7160" w14:textId="27CEF20C" w:rsidR="008D1C21" w:rsidRDefault="00BB72AA" w:rsidP="00BB72AA">
      <w:pPr>
        <w:spacing w:line="480" w:lineRule="auto"/>
        <w:ind w:firstLine="720"/>
        <w:rPr>
          <w:szCs w:val="24"/>
        </w:rPr>
      </w:pPr>
      <w:r w:rsidRPr="00600236">
        <w:rPr>
          <w:szCs w:val="24"/>
        </w:rPr>
        <w:t xml:space="preserve">Count </w:t>
      </w:r>
      <w:r w:rsidR="00B42CF6">
        <w:rPr>
          <w:szCs w:val="24"/>
        </w:rPr>
        <w:t>nineteen</w:t>
      </w:r>
      <w:r w:rsidR="005D6658">
        <w:rPr>
          <w:szCs w:val="24"/>
        </w:rPr>
        <w:t xml:space="preserve"> alleged that Isola breached his fiduciary duties to Min-Ku by writing on the LSRP form that Min-Ku was responsible for the remediation at 31-01 Broadway.</w:t>
      </w:r>
      <w:r w:rsidR="005225D3">
        <w:rPr>
          <w:szCs w:val="24"/>
        </w:rPr>
        <w:t xml:space="preserve">  </w:t>
      </w:r>
      <w:r w:rsidR="005D6658">
        <w:rPr>
          <w:szCs w:val="24"/>
        </w:rPr>
        <w:t xml:space="preserve">OCTC alleged this was an admission of liability or responsibility and occurred without Min-Ku’s permission.  The hearing judge held that Isola’s actions in placing Min-Ku before the NJDEP and signing the LSRP form without client knowledge or consent was a breach of fiduciary duties.  </w:t>
      </w:r>
      <w:r w:rsidR="005D6658">
        <w:rPr>
          <w:szCs w:val="24"/>
        </w:rPr>
        <w:lastRenderedPageBreak/>
        <w:t>However, the judge did not assign additional weight in discipline</w:t>
      </w:r>
      <w:r w:rsidR="00A97888">
        <w:rPr>
          <w:szCs w:val="24"/>
        </w:rPr>
        <w:t xml:space="preserve"> because she found the facts underlying count </w:t>
      </w:r>
      <w:r w:rsidR="002D6111">
        <w:rPr>
          <w:szCs w:val="24"/>
        </w:rPr>
        <w:t>nineteen</w:t>
      </w:r>
      <w:r w:rsidR="00A97888">
        <w:rPr>
          <w:szCs w:val="24"/>
        </w:rPr>
        <w:t xml:space="preserve"> were the same as those underlying count </w:t>
      </w:r>
      <w:r w:rsidR="002D6111">
        <w:rPr>
          <w:szCs w:val="24"/>
        </w:rPr>
        <w:t>twelve</w:t>
      </w:r>
      <w:r w:rsidR="00DC3E2F">
        <w:rPr>
          <w:szCs w:val="24"/>
        </w:rPr>
        <w:t>.</w:t>
      </w:r>
      <w:r w:rsidR="00DC3E2F">
        <w:rPr>
          <w:rStyle w:val="FootnoteReference"/>
          <w:szCs w:val="24"/>
        </w:rPr>
        <w:footnoteReference w:id="34"/>
      </w:r>
    </w:p>
    <w:p w14:paraId="0E1A92BD" w14:textId="556B72E5" w:rsidR="008D1C21" w:rsidRDefault="005225D3" w:rsidP="008D1C21">
      <w:pPr>
        <w:spacing w:line="480" w:lineRule="auto"/>
        <w:ind w:firstLine="720"/>
        <w:rPr>
          <w:szCs w:val="24"/>
        </w:rPr>
      </w:pPr>
      <w:r>
        <w:rPr>
          <w:szCs w:val="24"/>
        </w:rPr>
        <w:t xml:space="preserve">On review, we find that OCTC failed to establish that Isola’s actions related to the LSRP form amounted to a breach of fiduciary duties.  The record shows that the </w:t>
      </w:r>
      <w:proofErr w:type="spellStart"/>
      <w:r>
        <w:rPr>
          <w:szCs w:val="24"/>
        </w:rPr>
        <w:t>Hahns</w:t>
      </w:r>
      <w:proofErr w:type="spellEnd"/>
      <w:r>
        <w:rPr>
          <w:szCs w:val="24"/>
        </w:rPr>
        <w:t xml:space="preserve"> did have some responsibility for remediation at 31-01</w:t>
      </w:r>
      <w:r w:rsidR="00E25A14">
        <w:rPr>
          <w:szCs w:val="24"/>
        </w:rPr>
        <w:t> </w:t>
      </w:r>
      <w:r>
        <w:rPr>
          <w:szCs w:val="24"/>
        </w:rPr>
        <w:t xml:space="preserve">Broadway.  </w:t>
      </w:r>
      <w:r w:rsidR="008D1C21">
        <w:rPr>
          <w:szCs w:val="24"/>
        </w:rPr>
        <w:t xml:space="preserve">Isola’s representation strategy was to engage the NJDEP, involve Travelers, and obtain insurance coverage for the remediation.  Isola asserts that the form does not admit sole responsibility because the </w:t>
      </w:r>
      <w:proofErr w:type="spellStart"/>
      <w:r w:rsidR="008D1C21">
        <w:rPr>
          <w:szCs w:val="24"/>
        </w:rPr>
        <w:t>Grecos</w:t>
      </w:r>
      <w:proofErr w:type="spellEnd"/>
      <w:r w:rsidR="008D1C21">
        <w:rPr>
          <w:szCs w:val="24"/>
        </w:rPr>
        <w:t xml:space="preserve">, as owners of the site, also had responsibility.  </w:t>
      </w:r>
      <w:r w:rsidR="00353CD4">
        <w:rPr>
          <w:szCs w:val="24"/>
        </w:rPr>
        <w:t xml:space="preserve">The form simply indicates who is taking charge of conducting the remediation, </w:t>
      </w:r>
      <w:r w:rsidR="003A6437">
        <w:rPr>
          <w:szCs w:val="24"/>
        </w:rPr>
        <w:t xml:space="preserve">which is not an indication of sole liability.  </w:t>
      </w:r>
      <w:r w:rsidR="00F878B7">
        <w:rPr>
          <w:szCs w:val="24"/>
        </w:rPr>
        <w:t xml:space="preserve">Further, the NJDEP </w:t>
      </w:r>
      <w:r w:rsidR="0083658D">
        <w:rPr>
          <w:szCs w:val="24"/>
        </w:rPr>
        <w:t xml:space="preserve">was already aware of the </w:t>
      </w:r>
      <w:proofErr w:type="spellStart"/>
      <w:r w:rsidR="0083658D">
        <w:rPr>
          <w:szCs w:val="24"/>
        </w:rPr>
        <w:t>Hahns</w:t>
      </w:r>
      <w:proofErr w:type="spellEnd"/>
      <w:r w:rsidR="00F864BE">
        <w:rPr>
          <w:szCs w:val="24"/>
        </w:rPr>
        <w:t xml:space="preserve"> as the </w:t>
      </w:r>
      <w:proofErr w:type="spellStart"/>
      <w:r w:rsidR="00F864BE">
        <w:rPr>
          <w:szCs w:val="24"/>
        </w:rPr>
        <w:t>Grecos</w:t>
      </w:r>
      <w:proofErr w:type="spellEnd"/>
      <w:r w:rsidR="00F864BE">
        <w:rPr>
          <w:szCs w:val="24"/>
        </w:rPr>
        <w:t xml:space="preserve"> </w:t>
      </w:r>
      <w:r w:rsidR="00BE3CE3">
        <w:rPr>
          <w:szCs w:val="24"/>
        </w:rPr>
        <w:t>stated</w:t>
      </w:r>
      <w:r w:rsidR="006C4DC5">
        <w:rPr>
          <w:szCs w:val="24"/>
        </w:rPr>
        <w:t xml:space="preserve"> </w:t>
      </w:r>
      <w:r w:rsidR="0019111B">
        <w:rPr>
          <w:szCs w:val="24"/>
        </w:rPr>
        <w:t xml:space="preserve">in a remediation timeframe extension request that they were </w:t>
      </w:r>
      <w:r w:rsidR="001D3C08">
        <w:rPr>
          <w:szCs w:val="24"/>
        </w:rPr>
        <w:t xml:space="preserve">working to find insurance coverage from the </w:t>
      </w:r>
      <w:proofErr w:type="spellStart"/>
      <w:r w:rsidR="001D3C08">
        <w:rPr>
          <w:szCs w:val="24"/>
        </w:rPr>
        <w:t>Hahns</w:t>
      </w:r>
      <w:proofErr w:type="spellEnd"/>
      <w:r w:rsidR="001D3C08">
        <w:rPr>
          <w:szCs w:val="24"/>
        </w:rPr>
        <w:t xml:space="preserve"> as they were a previous tenant and also responsible for remediation.  </w:t>
      </w:r>
      <w:r w:rsidR="006B7FC2">
        <w:rPr>
          <w:szCs w:val="24"/>
        </w:rPr>
        <w:t xml:space="preserve">Additionally, </w:t>
      </w:r>
      <w:r w:rsidR="008D1C21">
        <w:rPr>
          <w:szCs w:val="24"/>
        </w:rPr>
        <w:t>OCTC</w:t>
      </w:r>
      <w:r w:rsidR="000E1EBE">
        <w:rPr>
          <w:szCs w:val="24"/>
        </w:rPr>
        <w:t xml:space="preserve"> </w:t>
      </w:r>
      <w:r w:rsidR="00DC3E2F">
        <w:rPr>
          <w:szCs w:val="24"/>
        </w:rPr>
        <w:t>argues</w:t>
      </w:r>
      <w:r w:rsidR="008D1C21">
        <w:rPr>
          <w:szCs w:val="24"/>
        </w:rPr>
        <w:t xml:space="preserve"> on review that Isola breached a duty of loyalty to Min-Ku.  Our review of the record, however, points to a reasonable inference that Isola was acting in the best interests of Min-Ku and the </w:t>
      </w:r>
      <w:proofErr w:type="spellStart"/>
      <w:r w:rsidR="008D1C21">
        <w:rPr>
          <w:szCs w:val="24"/>
        </w:rPr>
        <w:t>Hahns</w:t>
      </w:r>
      <w:proofErr w:type="spellEnd"/>
      <w:r w:rsidR="00DC3E2F">
        <w:rPr>
          <w:szCs w:val="24"/>
        </w:rPr>
        <w:t xml:space="preserve"> and </w:t>
      </w:r>
      <w:r w:rsidR="006E6708">
        <w:rPr>
          <w:szCs w:val="24"/>
        </w:rPr>
        <w:t xml:space="preserve">that </w:t>
      </w:r>
      <w:r w:rsidR="009F03D9">
        <w:rPr>
          <w:szCs w:val="24"/>
        </w:rPr>
        <w:t>he</w:t>
      </w:r>
      <w:r w:rsidR="006E6708">
        <w:rPr>
          <w:szCs w:val="24"/>
        </w:rPr>
        <w:t xml:space="preserve"> was </w:t>
      </w:r>
      <w:r w:rsidR="00DC3E2F">
        <w:rPr>
          <w:szCs w:val="24"/>
        </w:rPr>
        <w:t>following the representation strategy discussed at the Diner Meeting</w:t>
      </w:r>
      <w:r w:rsidR="008D1C21">
        <w:rPr>
          <w:szCs w:val="24"/>
        </w:rPr>
        <w:t xml:space="preserve">.  Therefore, we dismiss count </w:t>
      </w:r>
      <w:r w:rsidR="002D6111">
        <w:rPr>
          <w:szCs w:val="24"/>
        </w:rPr>
        <w:t>nineteen</w:t>
      </w:r>
      <w:r w:rsidR="008D1C21">
        <w:rPr>
          <w:szCs w:val="24"/>
        </w:rPr>
        <w:t xml:space="preserve"> with prejudice.  </w:t>
      </w:r>
      <w:r w:rsidR="008D1C21" w:rsidRPr="004F51D8">
        <w:rPr>
          <w:szCs w:val="24"/>
        </w:rPr>
        <w:t>(</w:t>
      </w:r>
      <w:r w:rsidR="008D1C21" w:rsidRPr="004F51D8">
        <w:rPr>
          <w:i/>
          <w:szCs w:val="24"/>
        </w:rPr>
        <w:t xml:space="preserve">In the Matter of </w:t>
      </w:r>
      <w:proofErr w:type="spellStart"/>
      <w:r w:rsidR="008D1C21" w:rsidRPr="004F51D8">
        <w:rPr>
          <w:i/>
          <w:szCs w:val="24"/>
        </w:rPr>
        <w:t>Kroff</w:t>
      </w:r>
      <w:proofErr w:type="spellEnd"/>
      <w:r w:rsidR="008D1C21" w:rsidRPr="004F51D8">
        <w:rPr>
          <w:szCs w:val="24"/>
        </w:rPr>
        <w:t xml:space="preserve">, </w:t>
      </w:r>
      <w:r w:rsidR="008D1C21" w:rsidRPr="004F51D8">
        <w:rPr>
          <w:i/>
          <w:iCs/>
          <w:szCs w:val="24"/>
        </w:rPr>
        <w:t>supra</w:t>
      </w:r>
      <w:r w:rsidR="008D1C21" w:rsidRPr="004F51D8">
        <w:rPr>
          <w:szCs w:val="24"/>
        </w:rPr>
        <w:t>, 3</w:t>
      </w:r>
      <w:r w:rsidR="00E25A14">
        <w:rPr>
          <w:szCs w:val="24"/>
        </w:rPr>
        <w:t> </w:t>
      </w:r>
      <w:r w:rsidR="008D1C21" w:rsidRPr="004F51D8">
        <w:rPr>
          <w:szCs w:val="24"/>
        </w:rPr>
        <w:t xml:space="preserve">Cal. State Bar Ct. </w:t>
      </w:r>
      <w:proofErr w:type="spellStart"/>
      <w:r w:rsidR="008D1C21" w:rsidRPr="004F51D8">
        <w:rPr>
          <w:szCs w:val="24"/>
        </w:rPr>
        <w:t>Rptr</w:t>
      </w:r>
      <w:proofErr w:type="spellEnd"/>
      <w:r w:rsidR="008D1C21" w:rsidRPr="004F51D8">
        <w:rPr>
          <w:szCs w:val="24"/>
        </w:rPr>
        <w:t>. at p.</w:t>
      </w:r>
      <w:r w:rsidR="00E25A14">
        <w:rPr>
          <w:szCs w:val="24"/>
        </w:rPr>
        <w:t> </w:t>
      </w:r>
      <w:r w:rsidR="008D1C21" w:rsidRPr="004F51D8">
        <w:rPr>
          <w:szCs w:val="24"/>
        </w:rPr>
        <w:t>843.)</w:t>
      </w:r>
    </w:p>
    <w:p w14:paraId="2C26C54B" w14:textId="2A0A911A" w:rsidR="00D000DD" w:rsidRPr="00EB7520" w:rsidRDefault="00D000DD" w:rsidP="008D1C21">
      <w:pPr>
        <w:spacing w:line="480" w:lineRule="auto"/>
        <w:ind w:firstLine="720"/>
        <w:rPr>
          <w:b/>
          <w:bCs/>
          <w:szCs w:val="24"/>
        </w:rPr>
      </w:pPr>
      <w:r w:rsidRPr="00EB7520">
        <w:rPr>
          <w:b/>
          <w:bCs/>
          <w:szCs w:val="24"/>
        </w:rPr>
        <w:t>2.  Count Twenty-Three</w:t>
      </w:r>
    </w:p>
    <w:p w14:paraId="2545BD4B" w14:textId="1F4618F6" w:rsidR="00FB0138" w:rsidRPr="00FB0138" w:rsidRDefault="00DC3E2F" w:rsidP="00FB0138">
      <w:pPr>
        <w:spacing w:line="480" w:lineRule="auto"/>
        <w:ind w:firstLine="720"/>
        <w:rPr>
          <w:szCs w:val="24"/>
        </w:rPr>
      </w:pPr>
      <w:r>
        <w:rPr>
          <w:szCs w:val="24"/>
        </w:rPr>
        <w:t xml:space="preserve">Count </w:t>
      </w:r>
      <w:r w:rsidR="002D6111">
        <w:rPr>
          <w:szCs w:val="24"/>
        </w:rPr>
        <w:t>twenty-three</w:t>
      </w:r>
      <w:r>
        <w:rPr>
          <w:szCs w:val="24"/>
        </w:rPr>
        <w:t xml:space="preserve"> alleged that Isola committed several acts that amounted to overreaching and a breach of fiduciary duties</w:t>
      </w:r>
      <w:r w:rsidR="00823782">
        <w:rPr>
          <w:szCs w:val="24"/>
        </w:rPr>
        <w:t xml:space="preserve"> in violation of section</w:t>
      </w:r>
      <w:r w:rsidR="00E25A14">
        <w:rPr>
          <w:szCs w:val="24"/>
        </w:rPr>
        <w:t> </w:t>
      </w:r>
      <w:r w:rsidR="00823782">
        <w:rPr>
          <w:szCs w:val="24"/>
        </w:rPr>
        <w:t>6068, subdivision</w:t>
      </w:r>
      <w:r w:rsidR="00E25A14">
        <w:rPr>
          <w:szCs w:val="24"/>
        </w:rPr>
        <w:t> </w:t>
      </w:r>
      <w:r w:rsidR="00823782">
        <w:rPr>
          <w:szCs w:val="24"/>
        </w:rPr>
        <w:t>(a)</w:t>
      </w:r>
      <w:r>
        <w:rPr>
          <w:szCs w:val="24"/>
        </w:rPr>
        <w:t>.</w:t>
      </w:r>
      <w:r w:rsidR="002B785F">
        <w:rPr>
          <w:szCs w:val="24"/>
        </w:rPr>
        <w:t xml:space="preserve">  </w:t>
      </w:r>
      <w:r w:rsidR="00FB0138" w:rsidRPr="00FB0138">
        <w:rPr>
          <w:szCs w:val="24"/>
        </w:rPr>
        <w:t>The following actions were alleged under count</w:t>
      </w:r>
      <w:r w:rsidR="002D6111">
        <w:rPr>
          <w:szCs w:val="24"/>
        </w:rPr>
        <w:t xml:space="preserve"> twenty-three</w:t>
      </w:r>
      <w:r w:rsidR="00FB0138" w:rsidRPr="00FB0138">
        <w:rPr>
          <w:szCs w:val="24"/>
        </w:rPr>
        <w:t>: failing to represent the interests of Min</w:t>
      </w:r>
      <w:r w:rsidR="003B1CCE">
        <w:rPr>
          <w:szCs w:val="24"/>
        </w:rPr>
        <w:t>-</w:t>
      </w:r>
      <w:r w:rsidR="00FB0138" w:rsidRPr="00FB0138">
        <w:rPr>
          <w:szCs w:val="24"/>
        </w:rPr>
        <w:t xml:space="preserve">Ku rather than the interests of the </w:t>
      </w:r>
      <w:proofErr w:type="spellStart"/>
      <w:r w:rsidR="00FB0138" w:rsidRPr="00FB0138">
        <w:rPr>
          <w:szCs w:val="24"/>
        </w:rPr>
        <w:t>Grecos</w:t>
      </w:r>
      <w:proofErr w:type="spellEnd"/>
      <w:r w:rsidR="00FB0138" w:rsidRPr="00FB0138">
        <w:rPr>
          <w:szCs w:val="24"/>
        </w:rPr>
        <w:t>, causing Min</w:t>
      </w:r>
      <w:r w:rsidR="003B1CCE">
        <w:rPr>
          <w:szCs w:val="24"/>
        </w:rPr>
        <w:t>-</w:t>
      </w:r>
      <w:r w:rsidR="00FB0138" w:rsidRPr="00FB0138">
        <w:rPr>
          <w:szCs w:val="24"/>
        </w:rPr>
        <w:t xml:space="preserve">Ku and the </w:t>
      </w:r>
      <w:proofErr w:type="spellStart"/>
      <w:r w:rsidR="00FB0138" w:rsidRPr="00FB0138">
        <w:rPr>
          <w:szCs w:val="24"/>
        </w:rPr>
        <w:t>Hahns</w:t>
      </w:r>
      <w:proofErr w:type="spellEnd"/>
      <w:r w:rsidR="00FB0138" w:rsidRPr="00FB0138">
        <w:rPr>
          <w:szCs w:val="24"/>
        </w:rPr>
        <w:t xml:space="preserve"> to admit to the NJDEP responsibility for environmental contamination, settling a third-party complaint without </w:t>
      </w:r>
      <w:r w:rsidR="00FB0138" w:rsidRPr="00FB0138">
        <w:rPr>
          <w:szCs w:val="24"/>
        </w:rPr>
        <w:lastRenderedPageBreak/>
        <w:t>communicating with Min</w:t>
      </w:r>
      <w:r w:rsidR="003B1CCE">
        <w:rPr>
          <w:szCs w:val="24"/>
        </w:rPr>
        <w:t>-</w:t>
      </w:r>
      <w:r w:rsidR="00FB0138" w:rsidRPr="00FB0138">
        <w:rPr>
          <w:szCs w:val="24"/>
        </w:rPr>
        <w:t xml:space="preserve">Ku, </w:t>
      </w:r>
      <w:r w:rsidR="00A062CF">
        <w:rPr>
          <w:szCs w:val="24"/>
        </w:rPr>
        <w:t>prompting</w:t>
      </w:r>
      <w:r w:rsidR="00FB0138" w:rsidRPr="00FB0138">
        <w:rPr>
          <w:szCs w:val="24"/>
        </w:rPr>
        <w:t xml:space="preserve"> Min</w:t>
      </w:r>
      <w:r w:rsidR="003B1CCE">
        <w:rPr>
          <w:szCs w:val="24"/>
        </w:rPr>
        <w:t>-</w:t>
      </w:r>
      <w:r w:rsidR="00FB0138" w:rsidRPr="00FB0138">
        <w:rPr>
          <w:szCs w:val="24"/>
        </w:rPr>
        <w:t xml:space="preserve">Ku and the </w:t>
      </w:r>
      <w:proofErr w:type="spellStart"/>
      <w:r w:rsidR="00FB0138" w:rsidRPr="00FB0138">
        <w:rPr>
          <w:szCs w:val="24"/>
        </w:rPr>
        <w:t>Hahns</w:t>
      </w:r>
      <w:proofErr w:type="spellEnd"/>
      <w:r w:rsidR="00FB0138" w:rsidRPr="00FB0138">
        <w:rPr>
          <w:szCs w:val="24"/>
        </w:rPr>
        <w:t xml:space="preserve"> to agree to liability of $1.5 million to the </w:t>
      </w:r>
      <w:proofErr w:type="spellStart"/>
      <w:r w:rsidR="00FB0138" w:rsidRPr="00FB0138">
        <w:rPr>
          <w:szCs w:val="24"/>
        </w:rPr>
        <w:t>Grecos</w:t>
      </w:r>
      <w:proofErr w:type="spellEnd"/>
      <w:r w:rsidR="00FB0138" w:rsidRPr="00FB0138">
        <w:rPr>
          <w:szCs w:val="24"/>
        </w:rPr>
        <w:t>, causing Min</w:t>
      </w:r>
      <w:r w:rsidR="003B1CCE">
        <w:rPr>
          <w:szCs w:val="24"/>
        </w:rPr>
        <w:t>-</w:t>
      </w:r>
      <w:r w:rsidR="00FB0138" w:rsidRPr="00FB0138">
        <w:rPr>
          <w:szCs w:val="24"/>
        </w:rPr>
        <w:t xml:space="preserve">Ku and the </w:t>
      </w:r>
      <w:proofErr w:type="spellStart"/>
      <w:r w:rsidR="00FB0138" w:rsidRPr="00FB0138">
        <w:rPr>
          <w:szCs w:val="24"/>
        </w:rPr>
        <w:t>Hahns</w:t>
      </w:r>
      <w:proofErr w:type="spellEnd"/>
      <w:r w:rsidR="00FB0138" w:rsidRPr="00FB0138">
        <w:rPr>
          <w:szCs w:val="24"/>
        </w:rPr>
        <w:t xml:space="preserve"> to lose their insurance policy asset, providing legal advice to the </w:t>
      </w:r>
      <w:proofErr w:type="spellStart"/>
      <w:r w:rsidR="00FB0138" w:rsidRPr="00FB0138">
        <w:rPr>
          <w:szCs w:val="24"/>
        </w:rPr>
        <w:t>Grecos</w:t>
      </w:r>
      <w:proofErr w:type="spellEnd"/>
      <w:r w:rsidR="00FB0138" w:rsidRPr="00FB0138">
        <w:rPr>
          <w:szCs w:val="24"/>
        </w:rPr>
        <w:t xml:space="preserve"> that was not in Min</w:t>
      </w:r>
      <w:r w:rsidR="003B1CCE">
        <w:rPr>
          <w:szCs w:val="24"/>
        </w:rPr>
        <w:t>-</w:t>
      </w:r>
      <w:r w:rsidR="00FB0138" w:rsidRPr="00FB0138">
        <w:rPr>
          <w:szCs w:val="24"/>
        </w:rPr>
        <w:t>Ku’s interest, and failing to communicate with Min</w:t>
      </w:r>
      <w:r w:rsidR="003B1CCE">
        <w:rPr>
          <w:szCs w:val="24"/>
        </w:rPr>
        <w:t>-</w:t>
      </w:r>
      <w:r w:rsidR="00FB0138" w:rsidRPr="00FB0138">
        <w:rPr>
          <w:szCs w:val="24"/>
        </w:rPr>
        <w:t xml:space="preserve">Ku for over six years.  </w:t>
      </w:r>
    </w:p>
    <w:p w14:paraId="1AC8886C" w14:textId="520EBC93" w:rsidR="00BF50EE" w:rsidRPr="00C60CF0" w:rsidRDefault="008B0EC9" w:rsidP="00617D2D">
      <w:pPr>
        <w:spacing w:line="480" w:lineRule="auto"/>
        <w:ind w:firstLine="720"/>
        <w:rPr>
          <w:szCs w:val="24"/>
        </w:rPr>
      </w:pPr>
      <w:r>
        <w:rPr>
          <w:szCs w:val="24"/>
        </w:rPr>
        <w:t>“The relationship between an attorney and client is a fiduciary relationship of the very highest character.”  (</w:t>
      </w:r>
      <w:r>
        <w:rPr>
          <w:i/>
          <w:szCs w:val="24"/>
        </w:rPr>
        <w:t>Clancy v. State Bar</w:t>
      </w:r>
      <w:r>
        <w:rPr>
          <w:szCs w:val="24"/>
        </w:rPr>
        <w:t xml:space="preserve"> (1969) 71</w:t>
      </w:r>
      <w:r w:rsidR="00EF6031">
        <w:rPr>
          <w:szCs w:val="24"/>
        </w:rPr>
        <w:t> </w:t>
      </w:r>
      <w:r>
        <w:rPr>
          <w:szCs w:val="24"/>
        </w:rPr>
        <w:t>Cal.2d 140, 146.)</w:t>
      </w:r>
      <w:r w:rsidR="00DC3E2F">
        <w:rPr>
          <w:szCs w:val="24"/>
        </w:rPr>
        <w:t xml:space="preserve">  </w:t>
      </w:r>
      <w:r w:rsidR="002D1B01">
        <w:rPr>
          <w:szCs w:val="24"/>
        </w:rPr>
        <w:t xml:space="preserve">Typical discipline cases </w:t>
      </w:r>
      <w:r w:rsidR="00A66A5B">
        <w:rPr>
          <w:szCs w:val="24"/>
        </w:rPr>
        <w:t xml:space="preserve">for overreaching and breach of fiduciary duties </w:t>
      </w:r>
      <w:r w:rsidR="002D1B01">
        <w:rPr>
          <w:szCs w:val="24"/>
        </w:rPr>
        <w:t>involve business transactions w</w:t>
      </w:r>
      <w:r w:rsidR="00556158">
        <w:rPr>
          <w:szCs w:val="24"/>
        </w:rPr>
        <w:t xml:space="preserve">here the attorney uses his position to </w:t>
      </w:r>
      <w:r w:rsidR="00A66A5B">
        <w:rPr>
          <w:szCs w:val="24"/>
        </w:rPr>
        <w:t xml:space="preserve">unfairly </w:t>
      </w:r>
      <w:r w:rsidR="00556158">
        <w:rPr>
          <w:szCs w:val="24"/>
        </w:rPr>
        <w:t>exert influence over a client</w:t>
      </w:r>
      <w:r w:rsidR="005B1BAC">
        <w:rPr>
          <w:szCs w:val="24"/>
        </w:rPr>
        <w:t xml:space="preserve">.  (See, e.g., </w:t>
      </w:r>
      <w:r w:rsidR="005B1BAC">
        <w:rPr>
          <w:i/>
          <w:szCs w:val="24"/>
        </w:rPr>
        <w:t>Beery v. State Bar</w:t>
      </w:r>
      <w:r w:rsidR="005B1BAC">
        <w:rPr>
          <w:szCs w:val="24"/>
        </w:rPr>
        <w:t xml:space="preserve"> (1987) 43</w:t>
      </w:r>
      <w:r w:rsidR="00EF6031">
        <w:rPr>
          <w:szCs w:val="24"/>
        </w:rPr>
        <w:t> </w:t>
      </w:r>
      <w:r w:rsidR="005B1BAC">
        <w:rPr>
          <w:szCs w:val="24"/>
        </w:rPr>
        <w:t>Cal.3d 802</w:t>
      </w:r>
      <w:r w:rsidR="003971CB">
        <w:rPr>
          <w:szCs w:val="24"/>
        </w:rPr>
        <w:t>, 812</w:t>
      </w:r>
      <w:r w:rsidR="009A7BE6">
        <w:rPr>
          <w:szCs w:val="24"/>
        </w:rPr>
        <w:t>-</w:t>
      </w:r>
      <w:r w:rsidR="009E1D3F">
        <w:rPr>
          <w:szCs w:val="24"/>
        </w:rPr>
        <w:t>815</w:t>
      </w:r>
      <w:r w:rsidR="004F761B">
        <w:rPr>
          <w:szCs w:val="24"/>
        </w:rPr>
        <w:t xml:space="preserve"> [discussion of cases involving breach of fiduciary duty]</w:t>
      </w:r>
      <w:r w:rsidR="00CF7D77">
        <w:rPr>
          <w:szCs w:val="24"/>
        </w:rPr>
        <w:t xml:space="preserve">; see also </w:t>
      </w:r>
      <w:r w:rsidR="00110769">
        <w:rPr>
          <w:i/>
          <w:szCs w:val="24"/>
        </w:rPr>
        <w:t>Rodgers v. State Bar</w:t>
      </w:r>
      <w:r w:rsidR="00110769">
        <w:rPr>
          <w:szCs w:val="24"/>
        </w:rPr>
        <w:t xml:space="preserve"> (1989) 48</w:t>
      </w:r>
      <w:r w:rsidR="00EF6031">
        <w:rPr>
          <w:szCs w:val="24"/>
        </w:rPr>
        <w:t> </w:t>
      </w:r>
      <w:r w:rsidR="00110769">
        <w:rPr>
          <w:szCs w:val="24"/>
        </w:rPr>
        <w:t>Cal.3d 300, 317 [repeated evasions and deceit surrounding attorney’s business transaction with client are inconsistent with high degree of fidelity owed by attorney to profession and public].</w:t>
      </w:r>
      <w:r w:rsidR="00A44623">
        <w:rPr>
          <w:szCs w:val="24"/>
        </w:rPr>
        <w:t xml:space="preserve">  </w:t>
      </w:r>
      <w:r w:rsidR="00043C26">
        <w:rPr>
          <w:szCs w:val="24"/>
        </w:rPr>
        <w:t>Overreaching is often found where an attorney exploits a vulnerable client.</w:t>
      </w:r>
      <w:r w:rsidR="00E30142">
        <w:rPr>
          <w:szCs w:val="24"/>
        </w:rPr>
        <w:t xml:space="preserve">  (See, e.g., </w:t>
      </w:r>
      <w:r w:rsidR="00C60CF0">
        <w:rPr>
          <w:i/>
          <w:szCs w:val="24"/>
        </w:rPr>
        <w:t>In the Matter of Brockway</w:t>
      </w:r>
      <w:r w:rsidR="00C60CF0">
        <w:rPr>
          <w:szCs w:val="24"/>
        </w:rPr>
        <w:t xml:space="preserve"> (Review Dept. 2006) 4</w:t>
      </w:r>
      <w:r w:rsidR="00EF6031">
        <w:rPr>
          <w:szCs w:val="24"/>
        </w:rPr>
        <w:t> </w:t>
      </w:r>
      <w:r w:rsidR="00C60CF0">
        <w:rPr>
          <w:szCs w:val="24"/>
        </w:rPr>
        <w:t xml:space="preserve">Cal. State Bar Ct. </w:t>
      </w:r>
      <w:proofErr w:type="spellStart"/>
      <w:r w:rsidR="00C60CF0">
        <w:rPr>
          <w:szCs w:val="24"/>
        </w:rPr>
        <w:t>Rptr</w:t>
      </w:r>
      <w:proofErr w:type="spellEnd"/>
      <w:r w:rsidR="00C60CF0">
        <w:rPr>
          <w:szCs w:val="24"/>
        </w:rPr>
        <w:t>. 944, 959</w:t>
      </w:r>
      <w:r w:rsidR="005A201C">
        <w:rPr>
          <w:szCs w:val="24"/>
        </w:rPr>
        <w:t xml:space="preserve"> </w:t>
      </w:r>
      <w:r w:rsidR="00614451">
        <w:rPr>
          <w:szCs w:val="24"/>
        </w:rPr>
        <w:t>[attorney used technical legalese in fee agreement to disadvantage of clients who spoke limited English]</w:t>
      </w:r>
      <w:r w:rsidR="00C60CF0">
        <w:rPr>
          <w:szCs w:val="24"/>
        </w:rPr>
        <w:t>.)</w:t>
      </w:r>
    </w:p>
    <w:p w14:paraId="0349168F" w14:textId="1D728395" w:rsidR="00617D2D" w:rsidRPr="00110769" w:rsidRDefault="00ED723D" w:rsidP="00617D2D">
      <w:pPr>
        <w:spacing w:line="480" w:lineRule="auto"/>
        <w:ind w:firstLine="720"/>
        <w:rPr>
          <w:szCs w:val="24"/>
        </w:rPr>
      </w:pPr>
      <w:r>
        <w:rPr>
          <w:szCs w:val="24"/>
        </w:rPr>
        <w:t xml:space="preserve">Here, </w:t>
      </w:r>
      <w:r w:rsidR="000578E5">
        <w:rPr>
          <w:szCs w:val="24"/>
        </w:rPr>
        <w:t>the ANDC made several allegations that were not proven at trial</w:t>
      </w:r>
      <w:r w:rsidR="00BB23E4">
        <w:rPr>
          <w:szCs w:val="24"/>
        </w:rPr>
        <w:t xml:space="preserve">, including that Isola represented the interests of the </w:t>
      </w:r>
      <w:proofErr w:type="spellStart"/>
      <w:r w:rsidR="00BB23E4">
        <w:rPr>
          <w:szCs w:val="24"/>
        </w:rPr>
        <w:t>Grecos</w:t>
      </w:r>
      <w:proofErr w:type="spellEnd"/>
      <w:r w:rsidR="00F5182E">
        <w:rPr>
          <w:szCs w:val="24"/>
        </w:rPr>
        <w:t xml:space="preserve">, that he gave legal advice </w:t>
      </w:r>
      <w:r w:rsidR="00D318DE">
        <w:rPr>
          <w:szCs w:val="24"/>
        </w:rPr>
        <w:t xml:space="preserve">to the </w:t>
      </w:r>
      <w:proofErr w:type="spellStart"/>
      <w:r w:rsidR="00D318DE">
        <w:rPr>
          <w:szCs w:val="24"/>
        </w:rPr>
        <w:t>Grecos</w:t>
      </w:r>
      <w:proofErr w:type="spellEnd"/>
      <w:r w:rsidR="00D318DE">
        <w:rPr>
          <w:szCs w:val="24"/>
        </w:rPr>
        <w:t xml:space="preserve">, </w:t>
      </w:r>
      <w:r w:rsidR="00F5182E">
        <w:rPr>
          <w:szCs w:val="24"/>
        </w:rPr>
        <w:t xml:space="preserve">and that he caused the </w:t>
      </w:r>
      <w:proofErr w:type="spellStart"/>
      <w:r w:rsidR="00F5182E">
        <w:rPr>
          <w:szCs w:val="24"/>
        </w:rPr>
        <w:t>Hahns</w:t>
      </w:r>
      <w:proofErr w:type="spellEnd"/>
      <w:r w:rsidR="00F5182E">
        <w:rPr>
          <w:szCs w:val="24"/>
        </w:rPr>
        <w:t xml:space="preserve"> to admit to liability to the </w:t>
      </w:r>
      <w:proofErr w:type="spellStart"/>
      <w:r w:rsidR="00F5182E">
        <w:rPr>
          <w:szCs w:val="24"/>
        </w:rPr>
        <w:t>Grecos</w:t>
      </w:r>
      <w:proofErr w:type="spellEnd"/>
      <w:r w:rsidR="00F5182E">
        <w:rPr>
          <w:szCs w:val="24"/>
        </w:rPr>
        <w:t xml:space="preserve"> and </w:t>
      </w:r>
      <w:r w:rsidR="00D318DE">
        <w:rPr>
          <w:szCs w:val="24"/>
        </w:rPr>
        <w:t xml:space="preserve">lose their insurance policy asset.  </w:t>
      </w:r>
      <w:r w:rsidR="004C58DE">
        <w:rPr>
          <w:szCs w:val="24"/>
        </w:rPr>
        <w:t xml:space="preserve">Instead, </w:t>
      </w:r>
      <w:r w:rsidR="00806EA6">
        <w:rPr>
          <w:szCs w:val="24"/>
        </w:rPr>
        <w:t xml:space="preserve">the </w:t>
      </w:r>
      <w:r w:rsidR="004C58DE">
        <w:rPr>
          <w:szCs w:val="24"/>
        </w:rPr>
        <w:t>trial</w:t>
      </w:r>
      <w:r w:rsidR="000730CE">
        <w:rPr>
          <w:szCs w:val="24"/>
        </w:rPr>
        <w:t xml:space="preserve"> showed that</w:t>
      </w:r>
      <w:r w:rsidR="004C58DE">
        <w:rPr>
          <w:szCs w:val="24"/>
        </w:rPr>
        <w:t xml:space="preserve"> </w:t>
      </w:r>
      <w:r w:rsidR="00C13A4A">
        <w:rPr>
          <w:szCs w:val="24"/>
        </w:rPr>
        <w:t xml:space="preserve">Isola acted in the best interests of the </w:t>
      </w:r>
      <w:proofErr w:type="spellStart"/>
      <w:r w:rsidR="00C13A4A">
        <w:rPr>
          <w:szCs w:val="24"/>
        </w:rPr>
        <w:t>Hahns</w:t>
      </w:r>
      <w:proofErr w:type="spellEnd"/>
      <w:r w:rsidR="00C13A4A">
        <w:rPr>
          <w:szCs w:val="24"/>
        </w:rPr>
        <w:t xml:space="preserve"> by </w:t>
      </w:r>
      <w:r w:rsidR="00CA3E46">
        <w:rPr>
          <w:szCs w:val="24"/>
        </w:rPr>
        <w:t>obtaining</w:t>
      </w:r>
      <w:r w:rsidR="00C13A4A">
        <w:rPr>
          <w:szCs w:val="24"/>
        </w:rPr>
        <w:t xml:space="preserve"> a release of </w:t>
      </w:r>
      <w:r w:rsidR="00CA3E46">
        <w:rPr>
          <w:szCs w:val="24"/>
        </w:rPr>
        <w:t xml:space="preserve">liability to the </w:t>
      </w:r>
      <w:proofErr w:type="spellStart"/>
      <w:r w:rsidR="00CA3E46">
        <w:rPr>
          <w:szCs w:val="24"/>
        </w:rPr>
        <w:t>Grecos</w:t>
      </w:r>
      <w:proofErr w:type="spellEnd"/>
      <w:r w:rsidR="00CA3E46">
        <w:rPr>
          <w:szCs w:val="24"/>
        </w:rPr>
        <w:t xml:space="preserve"> and </w:t>
      </w:r>
      <w:r w:rsidR="00EA4ECD">
        <w:rPr>
          <w:szCs w:val="24"/>
        </w:rPr>
        <w:t xml:space="preserve">finding coverage for the remediation.  </w:t>
      </w:r>
      <w:r w:rsidR="00617D2D">
        <w:rPr>
          <w:szCs w:val="24"/>
        </w:rPr>
        <w:t xml:space="preserve">Isola’s actions </w:t>
      </w:r>
      <w:r w:rsidR="00FD45DC">
        <w:rPr>
          <w:szCs w:val="24"/>
        </w:rPr>
        <w:t>aligned with his presentation at the Diner Meeting</w:t>
      </w:r>
      <w:r w:rsidR="00EA5CC6">
        <w:rPr>
          <w:szCs w:val="24"/>
        </w:rPr>
        <w:t xml:space="preserve">.  </w:t>
      </w:r>
      <w:r w:rsidR="006A7F87">
        <w:rPr>
          <w:szCs w:val="24"/>
        </w:rPr>
        <w:t xml:space="preserve">No evidence demonstrates that Isola overstepped the bounds of his representation or overreached in a way that </w:t>
      </w:r>
      <w:r w:rsidR="001F0C9B">
        <w:rPr>
          <w:szCs w:val="24"/>
        </w:rPr>
        <w:t>was unfair to</w:t>
      </w:r>
      <w:r w:rsidR="006A7F87">
        <w:rPr>
          <w:szCs w:val="24"/>
        </w:rPr>
        <w:t xml:space="preserve"> </w:t>
      </w:r>
      <w:r w:rsidR="003F3624">
        <w:rPr>
          <w:szCs w:val="24"/>
        </w:rPr>
        <w:t xml:space="preserve">the </w:t>
      </w:r>
      <w:proofErr w:type="spellStart"/>
      <w:r w:rsidR="003F3624">
        <w:rPr>
          <w:szCs w:val="24"/>
        </w:rPr>
        <w:t>Hahns</w:t>
      </w:r>
      <w:proofErr w:type="spellEnd"/>
      <w:r w:rsidR="006A7F87">
        <w:rPr>
          <w:szCs w:val="24"/>
        </w:rPr>
        <w:t xml:space="preserve">.  He negotiated the settlement and then </w:t>
      </w:r>
      <w:r w:rsidR="00374EA5">
        <w:rPr>
          <w:szCs w:val="24"/>
        </w:rPr>
        <w:t>handed the matter to</w:t>
      </w:r>
      <w:r w:rsidR="006A7F87">
        <w:rPr>
          <w:szCs w:val="24"/>
        </w:rPr>
        <w:t xml:space="preserve"> Kim to discuss with Gregory, who approved the settlement agreement.  (Cf., </w:t>
      </w:r>
      <w:r w:rsidR="006A7F87">
        <w:rPr>
          <w:i/>
          <w:szCs w:val="24"/>
        </w:rPr>
        <w:t>In the Matter of Guzman</w:t>
      </w:r>
      <w:r w:rsidR="006A7F87">
        <w:rPr>
          <w:szCs w:val="24"/>
        </w:rPr>
        <w:t xml:space="preserve"> (Review Dept. 2014) 5</w:t>
      </w:r>
      <w:r w:rsidR="00EF6031">
        <w:rPr>
          <w:szCs w:val="24"/>
        </w:rPr>
        <w:t> </w:t>
      </w:r>
      <w:r w:rsidR="006A7F87">
        <w:rPr>
          <w:szCs w:val="24"/>
        </w:rPr>
        <w:t xml:space="preserve">Cal. State Bar Ct. </w:t>
      </w:r>
      <w:proofErr w:type="spellStart"/>
      <w:r w:rsidR="006A7F87">
        <w:rPr>
          <w:szCs w:val="24"/>
        </w:rPr>
        <w:lastRenderedPageBreak/>
        <w:t>Rptr</w:t>
      </w:r>
      <w:proofErr w:type="spellEnd"/>
      <w:r w:rsidR="006A7F87">
        <w:rPr>
          <w:szCs w:val="24"/>
        </w:rPr>
        <w:t xml:space="preserve">. 308, 314 [overreaching when attorney signed releases for clients without their knowledge or consent].)  </w:t>
      </w:r>
    </w:p>
    <w:p w14:paraId="5901B5D3" w14:textId="0A245B6B" w:rsidR="00837661" w:rsidRDefault="00D35022">
      <w:pPr>
        <w:spacing w:line="480" w:lineRule="auto"/>
        <w:ind w:firstLine="720"/>
        <w:rPr>
          <w:szCs w:val="24"/>
        </w:rPr>
      </w:pPr>
      <w:r>
        <w:rPr>
          <w:szCs w:val="24"/>
        </w:rPr>
        <w:t xml:space="preserve">The hearing judge </w:t>
      </w:r>
      <w:r w:rsidR="00116EEA">
        <w:rPr>
          <w:szCs w:val="24"/>
        </w:rPr>
        <w:t xml:space="preserve">found culpability was established under count </w:t>
      </w:r>
      <w:r w:rsidR="002D6111">
        <w:rPr>
          <w:szCs w:val="24"/>
        </w:rPr>
        <w:t>twenty-three</w:t>
      </w:r>
      <w:r w:rsidR="000153E9">
        <w:rPr>
          <w:szCs w:val="24"/>
        </w:rPr>
        <w:t xml:space="preserve"> because Isola dismissed the third-party complaint.  The judge did not assign additional weight in </w:t>
      </w:r>
      <w:r w:rsidR="00835457">
        <w:rPr>
          <w:szCs w:val="24"/>
        </w:rPr>
        <w:t xml:space="preserve">discipline because these facts also underlie count </w:t>
      </w:r>
      <w:r w:rsidR="002D6111">
        <w:rPr>
          <w:szCs w:val="24"/>
        </w:rPr>
        <w:t>twenty</w:t>
      </w:r>
      <w:r w:rsidR="00835457">
        <w:rPr>
          <w:szCs w:val="24"/>
        </w:rPr>
        <w:t xml:space="preserve">.  As discussed </w:t>
      </w:r>
      <w:r w:rsidR="00835457">
        <w:rPr>
          <w:i/>
          <w:iCs/>
          <w:szCs w:val="24"/>
        </w:rPr>
        <w:t>ante</w:t>
      </w:r>
      <w:r w:rsidR="00835457">
        <w:rPr>
          <w:szCs w:val="24"/>
        </w:rPr>
        <w:t>, we disagree that Isola committed misconduct by dismissing the third-party complaint.</w:t>
      </w:r>
      <w:r w:rsidR="00116EEA">
        <w:rPr>
          <w:szCs w:val="24"/>
        </w:rPr>
        <w:t xml:space="preserve"> </w:t>
      </w:r>
    </w:p>
    <w:p w14:paraId="1F624BA8" w14:textId="787E8049" w:rsidR="00552C6F" w:rsidRDefault="0078686E" w:rsidP="006A0362">
      <w:pPr>
        <w:spacing w:line="480" w:lineRule="auto"/>
        <w:ind w:firstLine="720"/>
        <w:rPr>
          <w:b/>
          <w:bCs/>
          <w:szCs w:val="24"/>
        </w:rPr>
      </w:pPr>
      <w:r>
        <w:rPr>
          <w:szCs w:val="24"/>
        </w:rPr>
        <w:t>T</w:t>
      </w:r>
      <w:r w:rsidR="00A40CDD">
        <w:rPr>
          <w:szCs w:val="24"/>
        </w:rPr>
        <w:t xml:space="preserve">he </w:t>
      </w:r>
      <w:r>
        <w:rPr>
          <w:szCs w:val="24"/>
        </w:rPr>
        <w:t xml:space="preserve">hearing </w:t>
      </w:r>
      <w:r w:rsidR="00A40CDD">
        <w:rPr>
          <w:szCs w:val="24"/>
        </w:rPr>
        <w:t xml:space="preserve">judge </w:t>
      </w:r>
      <w:r w:rsidR="00837661">
        <w:rPr>
          <w:szCs w:val="24"/>
        </w:rPr>
        <w:t xml:space="preserve">also </w:t>
      </w:r>
      <w:r w:rsidR="00A40CDD">
        <w:rPr>
          <w:szCs w:val="24"/>
        </w:rPr>
        <w:t xml:space="preserve">determined that Isola’s “failure to communicate </w:t>
      </w:r>
      <w:r w:rsidR="00A40CDD" w:rsidRPr="00A40CDD">
        <w:rPr>
          <w:i/>
          <w:iCs/>
          <w:szCs w:val="24"/>
        </w:rPr>
        <w:t>at all</w:t>
      </w:r>
      <w:r w:rsidR="00A40CDD">
        <w:rPr>
          <w:szCs w:val="24"/>
        </w:rPr>
        <w:t xml:space="preserve"> with his client over six years while pursuing litigation on the client’s behalf constitute[d] an egregious breach of fiduciary duties, amounting to overreaching.</w:t>
      </w:r>
      <w:r w:rsidR="00531563">
        <w:rPr>
          <w:szCs w:val="24"/>
        </w:rPr>
        <w:t>”</w:t>
      </w:r>
      <w:r w:rsidR="006C55B2">
        <w:rPr>
          <w:szCs w:val="24"/>
        </w:rPr>
        <w:t xml:space="preserve">  We find no evidence of overreaching here</w:t>
      </w:r>
      <w:r w:rsidR="00442B7B">
        <w:rPr>
          <w:szCs w:val="24"/>
        </w:rPr>
        <w:t xml:space="preserve">.  There is no evidence of deceit or that Isola negotiated terms of the settlement agreement to the detriment of the </w:t>
      </w:r>
      <w:proofErr w:type="spellStart"/>
      <w:r w:rsidR="00442B7B">
        <w:rPr>
          <w:szCs w:val="24"/>
        </w:rPr>
        <w:t>Hahns</w:t>
      </w:r>
      <w:proofErr w:type="spellEnd"/>
      <w:r w:rsidR="00442B7B">
        <w:rPr>
          <w:szCs w:val="24"/>
        </w:rPr>
        <w:t>.</w:t>
      </w:r>
      <w:r w:rsidR="00531563">
        <w:rPr>
          <w:szCs w:val="24"/>
        </w:rPr>
        <w:t xml:space="preserve">  </w:t>
      </w:r>
      <w:r>
        <w:rPr>
          <w:szCs w:val="24"/>
        </w:rPr>
        <w:t>While it is true that Isola did violate his ethical obligations by failing to inform his client of significant developments, this failure</w:t>
      </w:r>
      <w:r w:rsidR="00BD5A7C">
        <w:rPr>
          <w:szCs w:val="24"/>
        </w:rPr>
        <w:t xml:space="preserve"> alone does not</w:t>
      </w:r>
      <w:r>
        <w:rPr>
          <w:szCs w:val="24"/>
        </w:rPr>
        <w:t xml:space="preserve"> equate to overreaching</w:t>
      </w:r>
      <w:r w:rsidR="001D3FFA">
        <w:rPr>
          <w:szCs w:val="24"/>
        </w:rPr>
        <w:t>.</w:t>
      </w:r>
      <w:r w:rsidR="00CC5282">
        <w:rPr>
          <w:rStyle w:val="FootnoteReference"/>
          <w:szCs w:val="24"/>
        </w:rPr>
        <w:footnoteReference w:id="35"/>
      </w:r>
      <w:r w:rsidR="007D3FCA">
        <w:rPr>
          <w:szCs w:val="24"/>
        </w:rPr>
        <w:t xml:space="preserve">  </w:t>
      </w:r>
      <w:r w:rsidR="00BE7996">
        <w:rPr>
          <w:szCs w:val="24"/>
        </w:rPr>
        <w:t xml:space="preserve">He </w:t>
      </w:r>
      <w:r w:rsidR="0035091A">
        <w:rPr>
          <w:szCs w:val="24"/>
        </w:rPr>
        <w:t>did not stop work</w:t>
      </w:r>
      <w:r w:rsidR="00DA32CE">
        <w:rPr>
          <w:szCs w:val="24"/>
        </w:rPr>
        <w:t>ing</w:t>
      </w:r>
      <w:r w:rsidR="0035091A">
        <w:rPr>
          <w:szCs w:val="24"/>
        </w:rPr>
        <w:t xml:space="preserve"> on the cas</w:t>
      </w:r>
      <w:r w:rsidR="002162CF">
        <w:rPr>
          <w:szCs w:val="24"/>
        </w:rPr>
        <w:t xml:space="preserve">e </w:t>
      </w:r>
      <w:r w:rsidR="00DA32CE">
        <w:rPr>
          <w:szCs w:val="24"/>
        </w:rPr>
        <w:t>n</w:t>
      </w:r>
      <w:r w:rsidR="002162CF">
        <w:rPr>
          <w:szCs w:val="24"/>
        </w:rPr>
        <w:t xml:space="preserve">or </w:t>
      </w:r>
      <w:r w:rsidR="00DA32CE">
        <w:rPr>
          <w:szCs w:val="24"/>
        </w:rPr>
        <w:t xml:space="preserve">did he </w:t>
      </w:r>
      <w:r w:rsidR="002162CF">
        <w:rPr>
          <w:szCs w:val="24"/>
        </w:rPr>
        <w:t xml:space="preserve">abandon the </w:t>
      </w:r>
      <w:proofErr w:type="spellStart"/>
      <w:r w:rsidR="002162CF">
        <w:rPr>
          <w:szCs w:val="24"/>
        </w:rPr>
        <w:t>Hahns</w:t>
      </w:r>
      <w:proofErr w:type="spellEnd"/>
      <w:r w:rsidR="002162CF">
        <w:rPr>
          <w:szCs w:val="24"/>
        </w:rPr>
        <w:t xml:space="preserve">; instead, he </w:t>
      </w:r>
      <w:r w:rsidR="00BE7996">
        <w:rPr>
          <w:szCs w:val="24"/>
        </w:rPr>
        <w:t>competently completed the representation</w:t>
      </w:r>
      <w:r w:rsidR="002162CF">
        <w:rPr>
          <w:szCs w:val="24"/>
        </w:rPr>
        <w:t xml:space="preserve">.  (See </w:t>
      </w:r>
      <w:r w:rsidR="002162CF">
        <w:rPr>
          <w:i/>
          <w:szCs w:val="24"/>
        </w:rPr>
        <w:t xml:space="preserve">In the Matter of </w:t>
      </w:r>
      <w:proofErr w:type="spellStart"/>
      <w:r w:rsidR="002162CF">
        <w:rPr>
          <w:i/>
          <w:szCs w:val="24"/>
        </w:rPr>
        <w:t>Hindin</w:t>
      </w:r>
      <w:proofErr w:type="spellEnd"/>
      <w:r w:rsidR="002162CF">
        <w:rPr>
          <w:szCs w:val="24"/>
        </w:rPr>
        <w:t xml:space="preserve"> (Review Dept. 1997) 3</w:t>
      </w:r>
      <w:r w:rsidR="00EF6031">
        <w:rPr>
          <w:szCs w:val="24"/>
        </w:rPr>
        <w:t> </w:t>
      </w:r>
      <w:r w:rsidR="002162CF">
        <w:rPr>
          <w:szCs w:val="24"/>
        </w:rPr>
        <w:t xml:space="preserve">Cal. State Bar Ct. </w:t>
      </w:r>
      <w:proofErr w:type="spellStart"/>
      <w:r w:rsidR="002162CF">
        <w:rPr>
          <w:szCs w:val="24"/>
        </w:rPr>
        <w:t>Rptr</w:t>
      </w:r>
      <w:proofErr w:type="spellEnd"/>
      <w:r w:rsidR="002162CF">
        <w:rPr>
          <w:szCs w:val="24"/>
        </w:rPr>
        <w:t>. 657, 68</w:t>
      </w:r>
      <w:r w:rsidR="00D12FE9">
        <w:rPr>
          <w:szCs w:val="24"/>
        </w:rPr>
        <w:t>0</w:t>
      </w:r>
      <w:r w:rsidR="002162CF">
        <w:rPr>
          <w:szCs w:val="24"/>
        </w:rPr>
        <w:t xml:space="preserve"> [inadequate communication may be element in </w:t>
      </w:r>
      <w:r w:rsidR="00B87E9C">
        <w:rPr>
          <w:szCs w:val="24"/>
        </w:rPr>
        <w:t xml:space="preserve">violations of other attorney duties].)  </w:t>
      </w:r>
      <w:r w:rsidR="00066194">
        <w:rPr>
          <w:szCs w:val="24"/>
        </w:rPr>
        <w:t>Further, th</w:t>
      </w:r>
      <w:r w:rsidR="008557E8">
        <w:rPr>
          <w:szCs w:val="24"/>
        </w:rPr>
        <w:t xml:space="preserve">e </w:t>
      </w:r>
      <w:r w:rsidR="006733F9">
        <w:rPr>
          <w:szCs w:val="24"/>
        </w:rPr>
        <w:t xml:space="preserve">ANDC was charged </w:t>
      </w:r>
      <w:r w:rsidR="00BD7324">
        <w:rPr>
          <w:szCs w:val="24"/>
        </w:rPr>
        <w:t>as an assortment of actions that</w:t>
      </w:r>
      <w:r w:rsidR="00F022CE">
        <w:rPr>
          <w:szCs w:val="24"/>
        </w:rPr>
        <w:t>,</w:t>
      </w:r>
      <w:r w:rsidR="007C48CE">
        <w:rPr>
          <w:szCs w:val="24"/>
        </w:rPr>
        <w:t xml:space="preserve"> </w:t>
      </w:r>
      <w:r w:rsidR="00BD7324">
        <w:rPr>
          <w:szCs w:val="24"/>
        </w:rPr>
        <w:t>taken together</w:t>
      </w:r>
      <w:r w:rsidR="00F022CE">
        <w:rPr>
          <w:szCs w:val="24"/>
        </w:rPr>
        <w:t>,</w:t>
      </w:r>
      <w:r w:rsidR="00BD7324">
        <w:rPr>
          <w:szCs w:val="24"/>
        </w:rPr>
        <w:t xml:space="preserve"> </w:t>
      </w:r>
      <w:r w:rsidR="008640B9">
        <w:rPr>
          <w:szCs w:val="24"/>
        </w:rPr>
        <w:t xml:space="preserve">alleged overreaching and </w:t>
      </w:r>
      <w:r w:rsidR="0026523E">
        <w:rPr>
          <w:szCs w:val="24"/>
        </w:rPr>
        <w:t xml:space="preserve">a breach of </w:t>
      </w:r>
      <w:r w:rsidR="008640B9">
        <w:rPr>
          <w:szCs w:val="24"/>
        </w:rPr>
        <w:t>fiduciary du</w:t>
      </w:r>
      <w:r w:rsidR="007203B0">
        <w:rPr>
          <w:szCs w:val="24"/>
        </w:rPr>
        <w:t>ties</w:t>
      </w:r>
      <w:r w:rsidR="008640B9">
        <w:rPr>
          <w:szCs w:val="24"/>
        </w:rPr>
        <w:t xml:space="preserve">; the failure to </w:t>
      </w:r>
      <w:r w:rsidR="00BC1AD5">
        <w:rPr>
          <w:szCs w:val="24"/>
        </w:rPr>
        <w:t xml:space="preserve">communicate </w:t>
      </w:r>
      <w:r w:rsidR="003D61DE">
        <w:rPr>
          <w:szCs w:val="24"/>
        </w:rPr>
        <w:t>allegations were already alleged under the more sp</w:t>
      </w:r>
      <w:r w:rsidR="00890E30">
        <w:rPr>
          <w:szCs w:val="24"/>
        </w:rPr>
        <w:t>ecific subsection—section</w:t>
      </w:r>
      <w:r w:rsidR="00F022CE">
        <w:rPr>
          <w:szCs w:val="24"/>
        </w:rPr>
        <w:t> </w:t>
      </w:r>
      <w:r w:rsidR="00890E30">
        <w:rPr>
          <w:szCs w:val="24"/>
        </w:rPr>
        <w:t xml:space="preserve">6068, subdivision </w:t>
      </w:r>
      <w:r w:rsidR="00890E30">
        <w:rPr>
          <w:szCs w:val="24"/>
        </w:rPr>
        <w:lastRenderedPageBreak/>
        <w:t xml:space="preserve">(m)—in count </w:t>
      </w:r>
      <w:r w:rsidR="002D6111">
        <w:rPr>
          <w:szCs w:val="24"/>
        </w:rPr>
        <w:t>twenty-one</w:t>
      </w:r>
      <w:r w:rsidR="00890E30">
        <w:rPr>
          <w:szCs w:val="24"/>
        </w:rPr>
        <w:t>.</w:t>
      </w:r>
      <w:r w:rsidR="007203B0">
        <w:rPr>
          <w:rStyle w:val="FootnoteReference"/>
          <w:szCs w:val="24"/>
        </w:rPr>
        <w:footnoteReference w:id="36"/>
      </w:r>
      <w:r w:rsidR="00890E30">
        <w:rPr>
          <w:szCs w:val="24"/>
        </w:rPr>
        <w:t xml:space="preserve"> </w:t>
      </w:r>
      <w:r w:rsidR="00030075">
        <w:rPr>
          <w:szCs w:val="24"/>
        </w:rPr>
        <w:t xml:space="preserve"> </w:t>
      </w:r>
      <w:r w:rsidR="007413E6">
        <w:rPr>
          <w:szCs w:val="24"/>
        </w:rPr>
        <w:t xml:space="preserve">No additional facts in the record support </w:t>
      </w:r>
      <w:r w:rsidR="001F6DF1">
        <w:rPr>
          <w:szCs w:val="24"/>
        </w:rPr>
        <w:t xml:space="preserve">culpability for overreaching or a breach of fiduciary duties.  </w:t>
      </w:r>
      <w:r>
        <w:rPr>
          <w:szCs w:val="24"/>
        </w:rPr>
        <w:t xml:space="preserve">Therefore, we dismiss count </w:t>
      </w:r>
      <w:r w:rsidR="002D6111">
        <w:rPr>
          <w:szCs w:val="24"/>
        </w:rPr>
        <w:t>twenty-three</w:t>
      </w:r>
      <w:r>
        <w:rPr>
          <w:szCs w:val="24"/>
        </w:rPr>
        <w:t xml:space="preserve"> with prejudice.  </w:t>
      </w:r>
      <w:r w:rsidRPr="004F51D8">
        <w:rPr>
          <w:szCs w:val="24"/>
        </w:rPr>
        <w:t>(</w:t>
      </w:r>
      <w:r w:rsidRPr="004F51D8">
        <w:rPr>
          <w:i/>
          <w:szCs w:val="24"/>
        </w:rPr>
        <w:t xml:space="preserve">In the Matter of </w:t>
      </w:r>
      <w:proofErr w:type="spellStart"/>
      <w:r w:rsidRPr="004F51D8">
        <w:rPr>
          <w:i/>
          <w:szCs w:val="24"/>
        </w:rPr>
        <w:t>Kroff</w:t>
      </w:r>
      <w:proofErr w:type="spellEnd"/>
      <w:r w:rsidRPr="004F51D8">
        <w:rPr>
          <w:szCs w:val="24"/>
        </w:rPr>
        <w:t xml:space="preserve">, </w:t>
      </w:r>
      <w:r w:rsidRPr="004F51D8">
        <w:rPr>
          <w:i/>
          <w:iCs/>
          <w:szCs w:val="24"/>
        </w:rPr>
        <w:t>supra</w:t>
      </w:r>
      <w:r w:rsidRPr="004F51D8">
        <w:rPr>
          <w:szCs w:val="24"/>
        </w:rPr>
        <w:t>, 3</w:t>
      </w:r>
      <w:r w:rsidR="00EF6031">
        <w:rPr>
          <w:szCs w:val="24"/>
        </w:rPr>
        <w:t> </w:t>
      </w:r>
      <w:r w:rsidRPr="004F51D8">
        <w:rPr>
          <w:szCs w:val="24"/>
        </w:rPr>
        <w:t xml:space="preserve">Cal. State Bar Ct. </w:t>
      </w:r>
      <w:proofErr w:type="spellStart"/>
      <w:r w:rsidRPr="004F51D8">
        <w:rPr>
          <w:szCs w:val="24"/>
        </w:rPr>
        <w:t>Rptr</w:t>
      </w:r>
      <w:proofErr w:type="spellEnd"/>
      <w:r w:rsidRPr="004F51D8">
        <w:rPr>
          <w:szCs w:val="24"/>
        </w:rPr>
        <w:t>. at p.</w:t>
      </w:r>
      <w:r w:rsidR="00EF6031">
        <w:rPr>
          <w:szCs w:val="24"/>
        </w:rPr>
        <w:t> </w:t>
      </w:r>
      <w:r w:rsidRPr="004F51D8">
        <w:rPr>
          <w:szCs w:val="24"/>
        </w:rPr>
        <w:t>843.)</w:t>
      </w:r>
    </w:p>
    <w:p w14:paraId="27A6DF4F" w14:textId="093DB556" w:rsidR="0036100B" w:rsidRPr="00600236" w:rsidRDefault="0036100B" w:rsidP="0036100B">
      <w:pPr>
        <w:rPr>
          <w:b/>
          <w:bCs/>
          <w:szCs w:val="24"/>
        </w:rPr>
      </w:pPr>
      <w:r w:rsidRPr="00600236">
        <w:rPr>
          <w:b/>
          <w:bCs/>
          <w:szCs w:val="24"/>
        </w:rPr>
        <w:t xml:space="preserve">P. </w:t>
      </w:r>
      <w:r w:rsidRPr="00600236">
        <w:rPr>
          <w:b/>
          <w:bCs/>
          <w:szCs w:val="24"/>
        </w:rPr>
        <w:tab/>
        <w:t xml:space="preserve">Count </w:t>
      </w:r>
      <w:r>
        <w:rPr>
          <w:b/>
          <w:bCs/>
          <w:szCs w:val="24"/>
        </w:rPr>
        <w:t>T</w:t>
      </w:r>
      <w:r w:rsidRPr="00600236">
        <w:rPr>
          <w:b/>
          <w:bCs/>
          <w:szCs w:val="24"/>
        </w:rPr>
        <w:t>wenty-Two: Failure to Communicate Settlement Offer</w:t>
      </w:r>
      <w:r>
        <w:rPr>
          <w:b/>
          <w:bCs/>
          <w:szCs w:val="24"/>
        </w:rPr>
        <w:t xml:space="preserve"> </w:t>
      </w:r>
      <w:r w:rsidRPr="00600236">
        <w:rPr>
          <w:b/>
          <w:bCs/>
          <w:szCs w:val="24"/>
        </w:rPr>
        <w:t>(Rule 3-510)</w:t>
      </w:r>
    </w:p>
    <w:p w14:paraId="47D191D2" w14:textId="77777777" w:rsidR="0036100B" w:rsidRPr="00600236" w:rsidRDefault="0036100B" w:rsidP="0036100B">
      <w:pPr>
        <w:rPr>
          <w:szCs w:val="24"/>
        </w:rPr>
      </w:pPr>
    </w:p>
    <w:p w14:paraId="4DD40100" w14:textId="55E622A8" w:rsidR="0036100B" w:rsidRDefault="0036100B" w:rsidP="0036100B">
      <w:pPr>
        <w:spacing w:line="480" w:lineRule="auto"/>
        <w:rPr>
          <w:szCs w:val="24"/>
        </w:rPr>
      </w:pPr>
      <w:r w:rsidRPr="00600236">
        <w:rPr>
          <w:szCs w:val="24"/>
        </w:rPr>
        <w:tab/>
        <w:t xml:space="preserve">Count </w:t>
      </w:r>
      <w:r w:rsidR="002D6111">
        <w:rPr>
          <w:szCs w:val="24"/>
        </w:rPr>
        <w:t>twenty-two</w:t>
      </w:r>
      <w:r w:rsidRPr="00600236">
        <w:rPr>
          <w:szCs w:val="24"/>
        </w:rPr>
        <w:t xml:space="preserve"> alleged</w:t>
      </w:r>
      <w:r>
        <w:rPr>
          <w:szCs w:val="24"/>
        </w:rPr>
        <w:t xml:space="preserve"> that </w:t>
      </w:r>
      <w:r w:rsidRPr="00600236">
        <w:rPr>
          <w:szCs w:val="24"/>
        </w:rPr>
        <w:t>Isola learned of written settlement</w:t>
      </w:r>
      <w:r w:rsidR="001C6B95">
        <w:rPr>
          <w:szCs w:val="24"/>
        </w:rPr>
        <w:t xml:space="preserve"> offers </w:t>
      </w:r>
      <w:r w:rsidRPr="00600236">
        <w:rPr>
          <w:szCs w:val="24"/>
        </w:rPr>
        <w:t xml:space="preserve">in the 2016 environmental lawsuit </w:t>
      </w:r>
      <w:r w:rsidR="004A6B3D">
        <w:rPr>
          <w:szCs w:val="24"/>
        </w:rPr>
        <w:t xml:space="preserve">around January to March </w:t>
      </w:r>
      <w:r w:rsidR="00B42CF6">
        <w:rPr>
          <w:szCs w:val="24"/>
        </w:rPr>
        <w:t>2017 and</w:t>
      </w:r>
      <w:r w:rsidRPr="00600236">
        <w:rPr>
          <w:szCs w:val="24"/>
        </w:rPr>
        <w:t xml:space="preserve"> failed to promptly communicate the</w:t>
      </w:r>
      <w:r w:rsidR="004A6B3D">
        <w:rPr>
          <w:szCs w:val="24"/>
        </w:rPr>
        <w:t>m</w:t>
      </w:r>
      <w:r w:rsidRPr="00600236">
        <w:rPr>
          <w:szCs w:val="24"/>
        </w:rPr>
        <w:t xml:space="preserve"> to Min-Ku.  </w:t>
      </w:r>
      <w:r>
        <w:rPr>
          <w:szCs w:val="24"/>
        </w:rPr>
        <w:t>R</w:t>
      </w:r>
      <w:r w:rsidRPr="00600236">
        <w:rPr>
          <w:szCs w:val="24"/>
        </w:rPr>
        <w:t>ule 3-510 requires an attorney to promptly communicate to a client all written offers of settlement</w:t>
      </w:r>
      <w:r w:rsidR="004A6B3D">
        <w:rPr>
          <w:szCs w:val="24"/>
        </w:rPr>
        <w:t>,</w:t>
      </w:r>
      <w:r w:rsidRPr="00600236">
        <w:rPr>
          <w:szCs w:val="24"/>
        </w:rPr>
        <w:t xml:space="preserve"> regardless of their significance or whether </w:t>
      </w:r>
      <w:r w:rsidR="004A6B3D">
        <w:rPr>
          <w:szCs w:val="24"/>
        </w:rPr>
        <w:t>they are</w:t>
      </w:r>
      <w:r w:rsidRPr="00600236">
        <w:rPr>
          <w:szCs w:val="24"/>
        </w:rPr>
        <w:t xml:space="preserve"> binding under contract law.  </w:t>
      </w:r>
      <w:r w:rsidR="00446120">
        <w:rPr>
          <w:szCs w:val="24"/>
        </w:rPr>
        <w:t>(</w:t>
      </w:r>
      <w:r w:rsidR="00446120">
        <w:rPr>
          <w:i/>
          <w:szCs w:val="24"/>
        </w:rPr>
        <w:t xml:space="preserve">In the Matter of </w:t>
      </w:r>
      <w:r w:rsidR="00446120" w:rsidRPr="001421E7">
        <w:rPr>
          <w:i/>
          <w:iCs/>
          <w:szCs w:val="24"/>
        </w:rPr>
        <w:t>Yagman</w:t>
      </w:r>
      <w:r w:rsidR="00446120">
        <w:rPr>
          <w:szCs w:val="24"/>
        </w:rPr>
        <w:t xml:space="preserve"> (Review Dept. 1997) 3</w:t>
      </w:r>
      <w:r w:rsidR="00EF6031">
        <w:rPr>
          <w:szCs w:val="24"/>
        </w:rPr>
        <w:t> </w:t>
      </w:r>
      <w:r w:rsidR="00446120">
        <w:rPr>
          <w:szCs w:val="24"/>
        </w:rPr>
        <w:t xml:space="preserve">Cal. State Bar Ct. </w:t>
      </w:r>
      <w:proofErr w:type="spellStart"/>
      <w:r w:rsidR="00446120">
        <w:rPr>
          <w:szCs w:val="24"/>
        </w:rPr>
        <w:t>Rptr</w:t>
      </w:r>
      <w:proofErr w:type="spellEnd"/>
      <w:r w:rsidR="00446120">
        <w:rPr>
          <w:szCs w:val="24"/>
        </w:rPr>
        <w:t>. 788</w:t>
      </w:r>
      <w:r w:rsidR="00AC3483">
        <w:rPr>
          <w:szCs w:val="24"/>
        </w:rPr>
        <w:t xml:space="preserve">, 795.)  </w:t>
      </w:r>
      <w:r w:rsidR="00CC09A0">
        <w:rPr>
          <w:szCs w:val="24"/>
        </w:rPr>
        <w:t xml:space="preserve">Isola did not </w:t>
      </w:r>
      <w:r w:rsidR="005506C2">
        <w:rPr>
          <w:szCs w:val="24"/>
        </w:rPr>
        <w:t>communicate the offer</w:t>
      </w:r>
      <w:r w:rsidR="00C56B57">
        <w:rPr>
          <w:szCs w:val="24"/>
        </w:rPr>
        <w:t>s</w:t>
      </w:r>
      <w:r w:rsidR="00B3516C">
        <w:rPr>
          <w:szCs w:val="24"/>
        </w:rPr>
        <w:t xml:space="preserve"> to Gregory or Kim</w:t>
      </w:r>
      <w:r w:rsidR="005506C2">
        <w:rPr>
          <w:szCs w:val="24"/>
        </w:rPr>
        <w:t xml:space="preserve">.  Instead, he waited until </w:t>
      </w:r>
      <w:r w:rsidR="00B3516C">
        <w:rPr>
          <w:szCs w:val="24"/>
        </w:rPr>
        <w:t>the</w:t>
      </w:r>
      <w:r w:rsidR="005506C2">
        <w:rPr>
          <w:szCs w:val="24"/>
        </w:rPr>
        <w:t xml:space="preserve"> settlement agreement was drafted in April 201</w:t>
      </w:r>
      <w:r w:rsidR="00B3516C">
        <w:rPr>
          <w:szCs w:val="24"/>
        </w:rPr>
        <w:t>7 and sent a copy to Kim.</w:t>
      </w:r>
      <w:r w:rsidRPr="00600236">
        <w:rPr>
          <w:szCs w:val="24"/>
        </w:rPr>
        <w:t xml:space="preserve">  </w:t>
      </w:r>
      <w:r>
        <w:rPr>
          <w:szCs w:val="24"/>
        </w:rPr>
        <w:t xml:space="preserve">The hearing judge found that Isola should have communicated these offers to </w:t>
      </w:r>
      <w:r w:rsidR="00F57693">
        <w:rPr>
          <w:szCs w:val="24"/>
        </w:rPr>
        <w:t>his client</w:t>
      </w:r>
      <w:r>
        <w:rPr>
          <w:szCs w:val="24"/>
        </w:rPr>
        <w:t xml:space="preserve"> and found Isola culpable under count </w:t>
      </w:r>
      <w:r w:rsidR="002D6111">
        <w:rPr>
          <w:szCs w:val="24"/>
        </w:rPr>
        <w:t>twenty-two</w:t>
      </w:r>
      <w:r>
        <w:rPr>
          <w:szCs w:val="24"/>
        </w:rPr>
        <w:t xml:space="preserve">.  </w:t>
      </w:r>
    </w:p>
    <w:p w14:paraId="7C50C8C9" w14:textId="456628F4" w:rsidR="006A0362" w:rsidRPr="00F175B0" w:rsidRDefault="0036100B" w:rsidP="00F175B0">
      <w:pPr>
        <w:spacing w:line="480" w:lineRule="auto"/>
        <w:ind w:right="-144" w:firstLine="720"/>
        <w:rPr>
          <w:szCs w:val="24"/>
        </w:rPr>
      </w:pPr>
      <w:r>
        <w:rPr>
          <w:szCs w:val="24"/>
        </w:rPr>
        <w:t xml:space="preserve">On review, Isola argues that </w:t>
      </w:r>
      <w:r w:rsidR="00D85469">
        <w:rPr>
          <w:szCs w:val="24"/>
        </w:rPr>
        <w:t xml:space="preserve">the hearing judge </w:t>
      </w:r>
      <w:r w:rsidR="00793D83">
        <w:rPr>
          <w:szCs w:val="24"/>
        </w:rPr>
        <w:t>discounted</w:t>
      </w:r>
      <w:r w:rsidR="00D85469">
        <w:rPr>
          <w:szCs w:val="24"/>
        </w:rPr>
        <w:t xml:space="preserve"> </w:t>
      </w:r>
      <w:r w:rsidR="00793D83">
        <w:rPr>
          <w:szCs w:val="24"/>
        </w:rPr>
        <w:t xml:space="preserve">the fact that he reported significant </w:t>
      </w:r>
      <w:r w:rsidR="00DA6884">
        <w:rPr>
          <w:szCs w:val="24"/>
        </w:rPr>
        <w:t>settlement</w:t>
      </w:r>
      <w:r w:rsidR="005E33D2">
        <w:rPr>
          <w:szCs w:val="24"/>
        </w:rPr>
        <w:t xml:space="preserve"> </w:t>
      </w:r>
      <w:r w:rsidR="00793D83">
        <w:rPr>
          <w:szCs w:val="24"/>
        </w:rPr>
        <w:t>development</w:t>
      </w:r>
      <w:r w:rsidR="006F4BD6">
        <w:rPr>
          <w:szCs w:val="24"/>
        </w:rPr>
        <w:t>s to</w:t>
      </w:r>
      <w:r w:rsidR="00A344DD">
        <w:rPr>
          <w:szCs w:val="24"/>
        </w:rPr>
        <w:t xml:space="preserve"> </w:t>
      </w:r>
      <w:r>
        <w:rPr>
          <w:szCs w:val="24"/>
        </w:rPr>
        <w:t>Travelers</w:t>
      </w:r>
      <w:r w:rsidR="006F4BD6">
        <w:rPr>
          <w:szCs w:val="24"/>
        </w:rPr>
        <w:t xml:space="preserve">.  We agree with the judge that this fact is irrelevant </w:t>
      </w:r>
      <w:r w:rsidR="00A344DD">
        <w:rPr>
          <w:szCs w:val="24"/>
        </w:rPr>
        <w:t xml:space="preserve">to the charge under count </w:t>
      </w:r>
      <w:r w:rsidR="002D6111">
        <w:rPr>
          <w:szCs w:val="24"/>
        </w:rPr>
        <w:t>twenty-two</w:t>
      </w:r>
      <w:r w:rsidR="00A344DD">
        <w:rPr>
          <w:szCs w:val="24"/>
        </w:rPr>
        <w:t xml:space="preserve"> as Travelers was not his clien</w:t>
      </w:r>
      <w:r w:rsidR="00D7569A">
        <w:rPr>
          <w:szCs w:val="24"/>
        </w:rPr>
        <w:t>t</w:t>
      </w:r>
      <w:r w:rsidR="00A344DD">
        <w:rPr>
          <w:szCs w:val="24"/>
        </w:rPr>
        <w:t xml:space="preserve">.  </w:t>
      </w:r>
      <w:r w:rsidR="00F86DCC">
        <w:rPr>
          <w:szCs w:val="24"/>
        </w:rPr>
        <w:t xml:space="preserve">Further, </w:t>
      </w:r>
      <w:r w:rsidR="000C01B7">
        <w:rPr>
          <w:szCs w:val="24"/>
        </w:rPr>
        <w:t>Isola’s argument under count</w:t>
      </w:r>
      <w:r w:rsidR="002D6111">
        <w:rPr>
          <w:szCs w:val="24"/>
        </w:rPr>
        <w:t xml:space="preserve"> twenty-two</w:t>
      </w:r>
      <w:r w:rsidR="000C01B7">
        <w:rPr>
          <w:szCs w:val="24"/>
        </w:rPr>
        <w:t xml:space="preserve"> conflicts </w:t>
      </w:r>
      <w:r w:rsidR="009A7B53">
        <w:rPr>
          <w:szCs w:val="24"/>
        </w:rPr>
        <w:t xml:space="preserve">with his </w:t>
      </w:r>
      <w:r w:rsidR="007D10A3">
        <w:rPr>
          <w:szCs w:val="24"/>
        </w:rPr>
        <w:t>assertion</w:t>
      </w:r>
      <w:r w:rsidR="009A7B53">
        <w:rPr>
          <w:szCs w:val="24"/>
        </w:rPr>
        <w:t xml:space="preserve"> that </w:t>
      </w:r>
      <w:r w:rsidR="00EF2F00">
        <w:rPr>
          <w:szCs w:val="24"/>
        </w:rPr>
        <w:t>Travelers’ objection was not material</w:t>
      </w:r>
      <w:r w:rsidR="009A7B53">
        <w:rPr>
          <w:szCs w:val="24"/>
        </w:rPr>
        <w:t xml:space="preserve"> to the settlement agreement.</w:t>
      </w:r>
      <w:r w:rsidR="00A00C01">
        <w:rPr>
          <w:szCs w:val="24"/>
        </w:rPr>
        <w:t xml:space="preserve">  Isola’s duties are clear under the Rules of Professional Conduct; he was required to inform his client of </w:t>
      </w:r>
      <w:r w:rsidR="00E7328F">
        <w:rPr>
          <w:szCs w:val="24"/>
        </w:rPr>
        <w:t xml:space="preserve">a </w:t>
      </w:r>
      <w:r w:rsidR="00A00C01">
        <w:rPr>
          <w:szCs w:val="24"/>
        </w:rPr>
        <w:t>written offer</w:t>
      </w:r>
      <w:r w:rsidR="00E7328F">
        <w:rPr>
          <w:szCs w:val="24"/>
        </w:rPr>
        <w:t xml:space="preserve"> regardless of whether </w:t>
      </w:r>
      <w:r w:rsidR="00C7783D">
        <w:rPr>
          <w:szCs w:val="24"/>
        </w:rPr>
        <w:t>it</w:t>
      </w:r>
      <w:r w:rsidR="00E7328F">
        <w:rPr>
          <w:szCs w:val="24"/>
        </w:rPr>
        <w:t xml:space="preserve"> was </w:t>
      </w:r>
      <w:r w:rsidR="00E7328F">
        <w:rPr>
          <w:szCs w:val="24"/>
        </w:rPr>
        <w:lastRenderedPageBreak/>
        <w:t>significant or likely to be accepted</w:t>
      </w:r>
      <w:r w:rsidR="00A00C01">
        <w:rPr>
          <w:szCs w:val="24"/>
        </w:rPr>
        <w:t xml:space="preserve">.  He did not do </w:t>
      </w:r>
      <w:r w:rsidR="00E7328F">
        <w:rPr>
          <w:szCs w:val="24"/>
        </w:rPr>
        <w:t>so.</w:t>
      </w:r>
      <w:r w:rsidR="00835E65">
        <w:rPr>
          <w:szCs w:val="24"/>
        </w:rPr>
        <w:t xml:space="preserve">  </w:t>
      </w:r>
      <w:r w:rsidR="00206DC6">
        <w:rPr>
          <w:szCs w:val="24"/>
        </w:rPr>
        <w:t xml:space="preserve">His emails show that he was discussing proposals for the settlements for months.  He waited until the settlement agreement was ready for signature before sending </w:t>
      </w:r>
      <w:r w:rsidR="00025F8D">
        <w:rPr>
          <w:szCs w:val="24"/>
        </w:rPr>
        <w:t>it</w:t>
      </w:r>
      <w:r w:rsidR="00206DC6">
        <w:rPr>
          <w:szCs w:val="24"/>
        </w:rPr>
        <w:t xml:space="preserve"> to Kim to share with Gregory.  We reject Isola’s argument that the earlier </w:t>
      </w:r>
      <w:r w:rsidR="00C63AA8">
        <w:rPr>
          <w:szCs w:val="24"/>
        </w:rPr>
        <w:t xml:space="preserve">written offers </w:t>
      </w:r>
      <w:r w:rsidR="00206DC6">
        <w:rPr>
          <w:szCs w:val="24"/>
        </w:rPr>
        <w:t>did not have to be communicated.  Therefore, we affirm culpability under count</w:t>
      </w:r>
      <w:r w:rsidR="007527A4">
        <w:rPr>
          <w:szCs w:val="24"/>
        </w:rPr>
        <w:t> </w:t>
      </w:r>
      <w:r w:rsidR="002D6111">
        <w:rPr>
          <w:szCs w:val="24"/>
        </w:rPr>
        <w:t>twenty-two</w:t>
      </w:r>
      <w:r w:rsidR="00206DC6">
        <w:rPr>
          <w:szCs w:val="24"/>
        </w:rPr>
        <w:t xml:space="preserve">.  </w:t>
      </w:r>
    </w:p>
    <w:p w14:paraId="713C9E16" w14:textId="280C5620" w:rsidR="00711A8F" w:rsidRPr="00600236" w:rsidRDefault="00711A8F" w:rsidP="00711A8F">
      <w:pPr>
        <w:spacing w:line="480" w:lineRule="auto"/>
        <w:rPr>
          <w:szCs w:val="24"/>
        </w:rPr>
      </w:pPr>
      <w:r w:rsidRPr="00600236">
        <w:rPr>
          <w:b/>
          <w:bCs/>
          <w:szCs w:val="24"/>
        </w:rPr>
        <w:t>Q.</w:t>
      </w:r>
      <w:r w:rsidRPr="00600236">
        <w:rPr>
          <w:b/>
          <w:bCs/>
          <w:szCs w:val="24"/>
        </w:rPr>
        <w:tab/>
        <w:t>Count Twenty-Six: Moral Turpitude—Misrepresentation (§</w:t>
      </w:r>
      <w:r w:rsidR="007D165F">
        <w:rPr>
          <w:b/>
          <w:bCs/>
          <w:szCs w:val="24"/>
        </w:rPr>
        <w:t xml:space="preserve"> </w:t>
      </w:r>
      <w:r w:rsidRPr="00600236">
        <w:rPr>
          <w:b/>
          <w:bCs/>
          <w:szCs w:val="24"/>
        </w:rPr>
        <w:t>6106)</w:t>
      </w:r>
    </w:p>
    <w:p w14:paraId="22534670" w14:textId="0CEC2AC7" w:rsidR="008C2781" w:rsidRDefault="00711A8F" w:rsidP="00711A8F">
      <w:pPr>
        <w:spacing w:line="480" w:lineRule="auto"/>
        <w:rPr>
          <w:szCs w:val="24"/>
        </w:rPr>
      </w:pPr>
      <w:r w:rsidRPr="00600236">
        <w:rPr>
          <w:szCs w:val="24"/>
        </w:rPr>
        <w:tab/>
        <w:t xml:space="preserve">Count </w:t>
      </w:r>
      <w:r w:rsidR="002D6111">
        <w:rPr>
          <w:szCs w:val="24"/>
        </w:rPr>
        <w:t>twenty-six</w:t>
      </w:r>
      <w:r w:rsidRPr="00600236">
        <w:rPr>
          <w:szCs w:val="24"/>
        </w:rPr>
        <w:t xml:space="preserve"> alleged Isola </w:t>
      </w:r>
      <w:r w:rsidR="007D165F">
        <w:rPr>
          <w:szCs w:val="24"/>
        </w:rPr>
        <w:t>made several misrepresentation</w:t>
      </w:r>
      <w:r w:rsidR="008E11A0">
        <w:rPr>
          <w:szCs w:val="24"/>
        </w:rPr>
        <w:t>s</w:t>
      </w:r>
      <w:r w:rsidR="00797326">
        <w:rPr>
          <w:szCs w:val="24"/>
        </w:rPr>
        <w:t xml:space="preserve"> in emails</w:t>
      </w:r>
      <w:r w:rsidR="007D165F">
        <w:rPr>
          <w:szCs w:val="24"/>
        </w:rPr>
        <w:t xml:space="preserve"> to Kim regarding Travelers’ position and objection</w:t>
      </w:r>
      <w:r w:rsidR="00CA4F0B">
        <w:rPr>
          <w:szCs w:val="24"/>
        </w:rPr>
        <w:t xml:space="preserve"> to </w:t>
      </w:r>
      <w:r w:rsidR="007D165F">
        <w:rPr>
          <w:szCs w:val="24"/>
        </w:rPr>
        <w:t>the settlement agreement</w:t>
      </w:r>
      <w:r w:rsidR="00FC7617">
        <w:rPr>
          <w:szCs w:val="24"/>
        </w:rPr>
        <w:t xml:space="preserve"> between the </w:t>
      </w:r>
      <w:proofErr w:type="spellStart"/>
      <w:r w:rsidR="00FC7617">
        <w:rPr>
          <w:szCs w:val="24"/>
        </w:rPr>
        <w:t>Grecos</w:t>
      </w:r>
      <w:proofErr w:type="spellEnd"/>
      <w:r w:rsidR="00FC7617">
        <w:rPr>
          <w:szCs w:val="24"/>
        </w:rPr>
        <w:t xml:space="preserve"> and the </w:t>
      </w:r>
      <w:proofErr w:type="spellStart"/>
      <w:r w:rsidR="00FC7617">
        <w:rPr>
          <w:szCs w:val="24"/>
        </w:rPr>
        <w:t>Hahns</w:t>
      </w:r>
      <w:proofErr w:type="spellEnd"/>
      <w:r w:rsidR="00FC7617">
        <w:rPr>
          <w:szCs w:val="24"/>
        </w:rPr>
        <w:t xml:space="preserve"> in the </w:t>
      </w:r>
      <w:r w:rsidR="009B14F6">
        <w:rPr>
          <w:szCs w:val="24"/>
        </w:rPr>
        <w:t xml:space="preserve">2016 </w:t>
      </w:r>
      <w:r w:rsidR="00FC7617">
        <w:rPr>
          <w:szCs w:val="24"/>
        </w:rPr>
        <w:t>environmental lawsuit</w:t>
      </w:r>
      <w:r w:rsidR="00BF657D">
        <w:rPr>
          <w:szCs w:val="24"/>
        </w:rPr>
        <w:t xml:space="preserve">.  The hearing judge found that Isola acted negligently by sending </w:t>
      </w:r>
      <w:r w:rsidR="000C45BD">
        <w:rPr>
          <w:szCs w:val="24"/>
        </w:rPr>
        <w:t xml:space="preserve">Kim </w:t>
      </w:r>
      <w:r w:rsidR="00094094">
        <w:rPr>
          <w:szCs w:val="24"/>
        </w:rPr>
        <w:t>a draft</w:t>
      </w:r>
      <w:r w:rsidR="00BF657D">
        <w:rPr>
          <w:szCs w:val="24"/>
        </w:rPr>
        <w:t xml:space="preserve"> of the settlement agreement </w:t>
      </w:r>
      <w:r w:rsidR="00094094">
        <w:rPr>
          <w:szCs w:val="24"/>
        </w:rPr>
        <w:t xml:space="preserve">that </w:t>
      </w:r>
      <w:r w:rsidR="00A01BD6">
        <w:rPr>
          <w:szCs w:val="24"/>
        </w:rPr>
        <w:t>stated that Travelers did not object to the settlement agreement</w:t>
      </w:r>
      <w:r w:rsidR="001B3D93">
        <w:rPr>
          <w:szCs w:val="24"/>
        </w:rPr>
        <w:t xml:space="preserve">.  </w:t>
      </w:r>
      <w:r w:rsidR="00F54F25">
        <w:rPr>
          <w:szCs w:val="24"/>
        </w:rPr>
        <w:t xml:space="preserve">However, the judge found that Isola should have </w:t>
      </w:r>
      <w:r w:rsidR="0018140F">
        <w:rPr>
          <w:szCs w:val="24"/>
        </w:rPr>
        <w:t>informed Kim about Travelers’ objection and determined that his failure to do so amounted to moral turpitude by intentional misrepresentation</w:t>
      </w:r>
      <w:r w:rsidR="000C1CC5">
        <w:rPr>
          <w:szCs w:val="24"/>
        </w:rPr>
        <w:t>.  The judge</w:t>
      </w:r>
      <w:r w:rsidR="00F04E3C">
        <w:rPr>
          <w:szCs w:val="24"/>
        </w:rPr>
        <w:t xml:space="preserve"> found culpability under count </w:t>
      </w:r>
      <w:r w:rsidR="002D6111">
        <w:rPr>
          <w:szCs w:val="24"/>
        </w:rPr>
        <w:t>twenty-six</w:t>
      </w:r>
      <w:r w:rsidR="0018140F">
        <w:rPr>
          <w:szCs w:val="24"/>
        </w:rPr>
        <w:t xml:space="preserve">.  </w:t>
      </w:r>
    </w:p>
    <w:p w14:paraId="5F06A439" w14:textId="77777777" w:rsidR="006254FA" w:rsidRDefault="00F04E3C" w:rsidP="006254FA">
      <w:pPr>
        <w:ind w:left="720"/>
        <w:rPr>
          <w:b/>
          <w:bCs/>
          <w:szCs w:val="24"/>
        </w:rPr>
      </w:pPr>
      <w:r w:rsidRPr="00457DB2">
        <w:rPr>
          <w:b/>
          <w:bCs/>
          <w:szCs w:val="24"/>
        </w:rPr>
        <w:t xml:space="preserve">1.  </w:t>
      </w:r>
      <w:r w:rsidR="00457DB2" w:rsidRPr="00457DB2">
        <w:rPr>
          <w:b/>
          <w:bCs/>
          <w:szCs w:val="24"/>
        </w:rPr>
        <w:t>Isola acted negligently by sending drafts of the settlement agreement to Kim with</w:t>
      </w:r>
    </w:p>
    <w:p w14:paraId="55C8AC22" w14:textId="7546EC8C" w:rsidR="007C3E55" w:rsidRPr="00457DB2" w:rsidRDefault="006254FA" w:rsidP="006254FA">
      <w:pPr>
        <w:ind w:left="720"/>
        <w:rPr>
          <w:b/>
          <w:bCs/>
          <w:szCs w:val="24"/>
        </w:rPr>
      </w:pPr>
      <w:r>
        <w:rPr>
          <w:b/>
          <w:bCs/>
          <w:szCs w:val="24"/>
        </w:rPr>
        <w:t xml:space="preserve">     </w:t>
      </w:r>
      <w:r w:rsidR="00457DB2" w:rsidRPr="00457DB2">
        <w:rPr>
          <w:b/>
          <w:bCs/>
          <w:szCs w:val="24"/>
        </w:rPr>
        <w:t>the</w:t>
      </w:r>
      <w:r>
        <w:rPr>
          <w:b/>
          <w:bCs/>
          <w:szCs w:val="24"/>
        </w:rPr>
        <w:t xml:space="preserve"> </w:t>
      </w:r>
      <w:r w:rsidR="00457DB2" w:rsidRPr="00457DB2">
        <w:rPr>
          <w:b/>
          <w:bCs/>
          <w:szCs w:val="24"/>
        </w:rPr>
        <w:t>erroneous</w:t>
      </w:r>
      <w:r>
        <w:rPr>
          <w:b/>
          <w:bCs/>
          <w:szCs w:val="24"/>
        </w:rPr>
        <w:t xml:space="preserve"> statement</w:t>
      </w:r>
      <w:r w:rsidR="00457DB2" w:rsidRPr="00457DB2">
        <w:rPr>
          <w:b/>
          <w:bCs/>
          <w:szCs w:val="24"/>
        </w:rPr>
        <w:t xml:space="preserve"> regarding Travelers’ objection</w:t>
      </w:r>
      <w:r>
        <w:rPr>
          <w:b/>
          <w:bCs/>
          <w:szCs w:val="24"/>
        </w:rPr>
        <w:t>.</w:t>
      </w:r>
    </w:p>
    <w:p w14:paraId="5BB6103D" w14:textId="77777777" w:rsidR="00457DB2" w:rsidRDefault="00457DB2" w:rsidP="00457DB2">
      <w:pPr>
        <w:rPr>
          <w:szCs w:val="24"/>
        </w:rPr>
      </w:pPr>
    </w:p>
    <w:p w14:paraId="77A85566" w14:textId="7B3DE9C9" w:rsidR="00940765" w:rsidRDefault="00C709A1" w:rsidP="00031F20">
      <w:pPr>
        <w:spacing w:line="480" w:lineRule="auto"/>
        <w:ind w:firstLine="720"/>
        <w:rPr>
          <w:szCs w:val="24"/>
        </w:rPr>
      </w:pPr>
      <w:r>
        <w:rPr>
          <w:szCs w:val="24"/>
        </w:rPr>
        <w:t xml:space="preserve">We agree with the hearing judge that </w:t>
      </w:r>
      <w:r w:rsidR="005D7873">
        <w:rPr>
          <w:szCs w:val="24"/>
        </w:rPr>
        <w:t xml:space="preserve">Isola acted negligently when he sent </w:t>
      </w:r>
      <w:r w:rsidR="008B513C">
        <w:rPr>
          <w:szCs w:val="24"/>
        </w:rPr>
        <w:t xml:space="preserve">Kim </w:t>
      </w:r>
      <w:r w:rsidR="005D7873">
        <w:rPr>
          <w:szCs w:val="24"/>
        </w:rPr>
        <w:t xml:space="preserve">drafts of the settlement agreement </w:t>
      </w:r>
      <w:r w:rsidR="008B513C">
        <w:rPr>
          <w:szCs w:val="24"/>
        </w:rPr>
        <w:t>containing</w:t>
      </w:r>
      <w:r w:rsidR="005C4B39">
        <w:rPr>
          <w:szCs w:val="24"/>
        </w:rPr>
        <w:t xml:space="preserve"> </w:t>
      </w:r>
      <w:r w:rsidR="009B5567">
        <w:rPr>
          <w:szCs w:val="24"/>
        </w:rPr>
        <w:t>the</w:t>
      </w:r>
      <w:r w:rsidR="005C4B39">
        <w:rPr>
          <w:szCs w:val="24"/>
        </w:rPr>
        <w:t xml:space="preserve"> </w:t>
      </w:r>
      <w:r w:rsidR="00232C31">
        <w:rPr>
          <w:szCs w:val="24"/>
        </w:rPr>
        <w:t xml:space="preserve">erroneous </w:t>
      </w:r>
      <w:r w:rsidR="005C4B39">
        <w:rPr>
          <w:szCs w:val="24"/>
        </w:rPr>
        <w:t xml:space="preserve">statement that Travelers had not objected to the settlement. </w:t>
      </w:r>
      <w:r w:rsidR="00731113">
        <w:rPr>
          <w:szCs w:val="24"/>
        </w:rPr>
        <w:t xml:space="preserve"> Isola and </w:t>
      </w:r>
      <w:proofErr w:type="spellStart"/>
      <w:r w:rsidR="00731113">
        <w:rPr>
          <w:szCs w:val="24"/>
        </w:rPr>
        <w:t>Milun</w:t>
      </w:r>
      <w:proofErr w:type="spellEnd"/>
      <w:r w:rsidR="00731113">
        <w:rPr>
          <w:szCs w:val="24"/>
        </w:rPr>
        <w:t xml:space="preserve"> credibly testified that </w:t>
      </w:r>
      <w:r w:rsidR="00047A48">
        <w:rPr>
          <w:szCs w:val="24"/>
        </w:rPr>
        <w:t>they</w:t>
      </w:r>
      <w:r w:rsidR="001A4591">
        <w:rPr>
          <w:szCs w:val="24"/>
        </w:rPr>
        <w:t xml:space="preserve"> used </w:t>
      </w:r>
      <w:r w:rsidR="00731113">
        <w:rPr>
          <w:szCs w:val="24"/>
        </w:rPr>
        <w:t>multiple versions of the agreement</w:t>
      </w:r>
      <w:r w:rsidR="00182796">
        <w:rPr>
          <w:szCs w:val="24"/>
        </w:rPr>
        <w:t>, accidentally sending Kim</w:t>
      </w:r>
      <w:r w:rsidR="00731113">
        <w:rPr>
          <w:szCs w:val="24"/>
        </w:rPr>
        <w:t xml:space="preserve"> the wrong one.  </w:t>
      </w:r>
      <w:r w:rsidR="00492F25">
        <w:rPr>
          <w:szCs w:val="24"/>
        </w:rPr>
        <w:t xml:space="preserve">Isola did not notice </w:t>
      </w:r>
      <w:r w:rsidR="00182796">
        <w:rPr>
          <w:szCs w:val="24"/>
        </w:rPr>
        <w:t>t</w:t>
      </w:r>
      <w:r w:rsidR="00561AA5">
        <w:rPr>
          <w:szCs w:val="24"/>
        </w:rPr>
        <w:t xml:space="preserve">he </w:t>
      </w:r>
      <w:r w:rsidR="00B42CF6">
        <w:rPr>
          <w:szCs w:val="24"/>
        </w:rPr>
        <w:t>oversight and</w:t>
      </w:r>
      <w:r w:rsidR="005E0B47">
        <w:rPr>
          <w:szCs w:val="24"/>
        </w:rPr>
        <w:t xml:space="preserve"> maintains that he was not aware that </w:t>
      </w:r>
      <w:r w:rsidR="00A36996">
        <w:rPr>
          <w:szCs w:val="24"/>
        </w:rPr>
        <w:t xml:space="preserve">the </w:t>
      </w:r>
      <w:r w:rsidR="005E0B47">
        <w:rPr>
          <w:szCs w:val="24"/>
        </w:rPr>
        <w:t xml:space="preserve">version being </w:t>
      </w:r>
      <w:r w:rsidR="006D31C4">
        <w:rPr>
          <w:szCs w:val="24"/>
        </w:rPr>
        <w:t>provided</w:t>
      </w:r>
      <w:r w:rsidR="005E0B47">
        <w:rPr>
          <w:szCs w:val="24"/>
        </w:rPr>
        <w:t xml:space="preserve"> contained the erroneous statement. </w:t>
      </w:r>
      <w:r w:rsidR="004F0E81">
        <w:rPr>
          <w:szCs w:val="24"/>
        </w:rPr>
        <w:t xml:space="preserve"> </w:t>
      </w:r>
      <w:r w:rsidR="00657AF9">
        <w:rPr>
          <w:szCs w:val="24"/>
        </w:rPr>
        <w:t xml:space="preserve">Therefore, we agree with the finding </w:t>
      </w:r>
      <w:r w:rsidR="003D0947">
        <w:rPr>
          <w:szCs w:val="24"/>
        </w:rPr>
        <w:t xml:space="preserve">that this was simple negligence and not a disciplinable offense.  </w:t>
      </w:r>
    </w:p>
    <w:p w14:paraId="113EB95C" w14:textId="2E59C348" w:rsidR="00F175B0" w:rsidRDefault="00F175B0" w:rsidP="00031F20">
      <w:pPr>
        <w:spacing w:line="480" w:lineRule="auto"/>
        <w:ind w:firstLine="720"/>
        <w:rPr>
          <w:szCs w:val="24"/>
        </w:rPr>
      </w:pPr>
    </w:p>
    <w:p w14:paraId="44A57839" w14:textId="77777777" w:rsidR="00F175B0" w:rsidRDefault="00F175B0" w:rsidP="00031F20">
      <w:pPr>
        <w:spacing w:line="480" w:lineRule="auto"/>
        <w:ind w:firstLine="720"/>
        <w:rPr>
          <w:szCs w:val="24"/>
        </w:rPr>
      </w:pPr>
    </w:p>
    <w:p w14:paraId="51E8B94D" w14:textId="77777777" w:rsidR="00017DDE" w:rsidRDefault="004F0E81" w:rsidP="00017DDE">
      <w:pPr>
        <w:ind w:firstLine="720"/>
        <w:rPr>
          <w:b/>
          <w:bCs/>
          <w:szCs w:val="24"/>
        </w:rPr>
      </w:pPr>
      <w:r w:rsidRPr="00017DDE">
        <w:rPr>
          <w:b/>
          <w:bCs/>
          <w:szCs w:val="24"/>
        </w:rPr>
        <w:lastRenderedPageBreak/>
        <w:t xml:space="preserve">2.  </w:t>
      </w:r>
      <w:r w:rsidR="006E79AC" w:rsidRPr="00017DDE">
        <w:rPr>
          <w:b/>
          <w:bCs/>
          <w:szCs w:val="24"/>
        </w:rPr>
        <w:t>Isola’s failure to</w:t>
      </w:r>
      <w:r w:rsidR="00CD2762" w:rsidRPr="00017DDE">
        <w:rPr>
          <w:b/>
          <w:bCs/>
          <w:szCs w:val="24"/>
        </w:rPr>
        <w:t xml:space="preserve"> tell Kim that Travelers had objected was not intentional</w:t>
      </w:r>
    </w:p>
    <w:p w14:paraId="3E874AAF" w14:textId="06FCCA70" w:rsidR="007C3E55" w:rsidRDefault="00017DDE" w:rsidP="00017DDE">
      <w:pPr>
        <w:ind w:firstLine="720"/>
        <w:rPr>
          <w:b/>
          <w:bCs/>
          <w:szCs w:val="24"/>
        </w:rPr>
      </w:pPr>
      <w:r>
        <w:rPr>
          <w:b/>
          <w:bCs/>
          <w:szCs w:val="24"/>
        </w:rPr>
        <w:t xml:space="preserve">     </w:t>
      </w:r>
      <w:r w:rsidR="00122EF4">
        <w:rPr>
          <w:b/>
          <w:bCs/>
          <w:szCs w:val="24"/>
        </w:rPr>
        <w:t>m</w:t>
      </w:r>
      <w:r w:rsidR="00CD2762" w:rsidRPr="00017DDE">
        <w:rPr>
          <w:b/>
          <w:bCs/>
          <w:szCs w:val="24"/>
        </w:rPr>
        <w:t>isrepresentation</w:t>
      </w:r>
      <w:r w:rsidR="00122EF4">
        <w:rPr>
          <w:b/>
          <w:bCs/>
          <w:szCs w:val="24"/>
        </w:rPr>
        <w:t>.</w:t>
      </w:r>
    </w:p>
    <w:p w14:paraId="27377712" w14:textId="77777777" w:rsidR="00017DDE" w:rsidRPr="00017DDE" w:rsidRDefault="00017DDE" w:rsidP="00017DDE">
      <w:pPr>
        <w:ind w:firstLine="720"/>
        <w:rPr>
          <w:b/>
          <w:bCs/>
          <w:szCs w:val="24"/>
        </w:rPr>
      </w:pPr>
    </w:p>
    <w:p w14:paraId="0A3FE6E4" w14:textId="4FA54314" w:rsidR="00F175B0" w:rsidRDefault="00017DDE" w:rsidP="007C3E55">
      <w:pPr>
        <w:spacing w:line="480" w:lineRule="auto"/>
        <w:ind w:firstLine="720"/>
        <w:rPr>
          <w:szCs w:val="24"/>
        </w:rPr>
      </w:pPr>
      <w:bookmarkStart w:id="26" w:name="_Hlk104286867"/>
      <w:r w:rsidRPr="00C7783D">
        <w:rPr>
          <w:szCs w:val="24"/>
        </w:rPr>
        <w:t>We</w:t>
      </w:r>
      <w:r w:rsidR="00CC0E22" w:rsidRPr="00C7783D">
        <w:rPr>
          <w:szCs w:val="24"/>
        </w:rPr>
        <w:t xml:space="preserve"> do not agree with the hearing judge</w:t>
      </w:r>
      <w:r w:rsidR="003D0947" w:rsidRPr="00C7783D">
        <w:rPr>
          <w:szCs w:val="24"/>
        </w:rPr>
        <w:t>’s finding</w:t>
      </w:r>
      <w:r w:rsidR="00CC0E22" w:rsidRPr="00C7783D">
        <w:rPr>
          <w:szCs w:val="24"/>
        </w:rPr>
        <w:t xml:space="preserve"> that </w:t>
      </w:r>
      <w:r w:rsidR="00F473F7" w:rsidRPr="00C7783D">
        <w:rPr>
          <w:szCs w:val="24"/>
        </w:rPr>
        <w:t>Isola’s</w:t>
      </w:r>
      <w:r w:rsidR="00F534A2" w:rsidRPr="00C7783D">
        <w:rPr>
          <w:szCs w:val="24"/>
        </w:rPr>
        <w:t xml:space="preserve"> March</w:t>
      </w:r>
      <w:r w:rsidR="00EF6031" w:rsidRPr="00C7783D">
        <w:rPr>
          <w:szCs w:val="24"/>
        </w:rPr>
        <w:t> </w:t>
      </w:r>
      <w:r w:rsidR="00F534A2" w:rsidRPr="00C7783D">
        <w:rPr>
          <w:szCs w:val="24"/>
        </w:rPr>
        <w:t>27 and</w:t>
      </w:r>
      <w:r w:rsidR="00F473F7" w:rsidRPr="00C7783D">
        <w:rPr>
          <w:szCs w:val="24"/>
        </w:rPr>
        <w:t xml:space="preserve"> April</w:t>
      </w:r>
      <w:r w:rsidR="00EF6031" w:rsidRPr="00C7783D">
        <w:rPr>
          <w:szCs w:val="24"/>
        </w:rPr>
        <w:t> </w:t>
      </w:r>
      <w:r w:rsidR="00F473F7" w:rsidRPr="00C7783D">
        <w:rPr>
          <w:szCs w:val="24"/>
        </w:rPr>
        <w:t>12, 2017 email</w:t>
      </w:r>
      <w:r w:rsidR="00F534A2" w:rsidRPr="00C7783D">
        <w:rPr>
          <w:szCs w:val="24"/>
        </w:rPr>
        <w:t>s</w:t>
      </w:r>
      <w:r w:rsidR="00F473F7" w:rsidRPr="00C7783D">
        <w:rPr>
          <w:szCs w:val="24"/>
        </w:rPr>
        <w:t xml:space="preserve"> to Kim</w:t>
      </w:r>
      <w:r w:rsidR="00637213" w:rsidRPr="00C7783D">
        <w:rPr>
          <w:szCs w:val="24"/>
        </w:rPr>
        <w:t>, omitt</w:t>
      </w:r>
      <w:r w:rsidR="00A76B6B" w:rsidRPr="00C7783D">
        <w:rPr>
          <w:szCs w:val="24"/>
        </w:rPr>
        <w:t>ing</w:t>
      </w:r>
      <w:r w:rsidR="00637213" w:rsidRPr="00C7783D">
        <w:rPr>
          <w:szCs w:val="24"/>
        </w:rPr>
        <w:t xml:space="preserve"> Travelers</w:t>
      </w:r>
      <w:r w:rsidR="00D671DC" w:rsidRPr="00C7783D">
        <w:rPr>
          <w:szCs w:val="24"/>
        </w:rPr>
        <w:t>’</w:t>
      </w:r>
      <w:r w:rsidR="00637213" w:rsidRPr="00C7783D">
        <w:rPr>
          <w:szCs w:val="24"/>
        </w:rPr>
        <w:t xml:space="preserve"> object</w:t>
      </w:r>
      <w:r w:rsidR="00AC14D0" w:rsidRPr="00C7783D">
        <w:rPr>
          <w:szCs w:val="24"/>
        </w:rPr>
        <w:t>ion</w:t>
      </w:r>
      <w:r w:rsidR="00805841">
        <w:rPr>
          <w:szCs w:val="24"/>
        </w:rPr>
        <w:t>,</w:t>
      </w:r>
      <w:r w:rsidR="00637213" w:rsidRPr="00C7783D">
        <w:rPr>
          <w:szCs w:val="24"/>
        </w:rPr>
        <w:t xml:space="preserve"> amount</w:t>
      </w:r>
      <w:r w:rsidR="003D0947" w:rsidRPr="00C7783D">
        <w:rPr>
          <w:szCs w:val="24"/>
        </w:rPr>
        <w:t>ed</w:t>
      </w:r>
      <w:r w:rsidR="00637213" w:rsidRPr="00C7783D">
        <w:rPr>
          <w:szCs w:val="24"/>
        </w:rPr>
        <w:t xml:space="preserve"> to intentional misrepresentations.  The </w:t>
      </w:r>
      <w:r w:rsidR="00AB0170" w:rsidRPr="00C7783D">
        <w:rPr>
          <w:szCs w:val="24"/>
        </w:rPr>
        <w:t>March</w:t>
      </w:r>
      <w:r w:rsidR="00EF6031" w:rsidRPr="00C7783D">
        <w:rPr>
          <w:szCs w:val="24"/>
        </w:rPr>
        <w:t> </w:t>
      </w:r>
      <w:r w:rsidR="00AB0170" w:rsidRPr="00C7783D">
        <w:rPr>
          <w:szCs w:val="24"/>
        </w:rPr>
        <w:t xml:space="preserve">27 email did not </w:t>
      </w:r>
      <w:r w:rsidR="009142BC" w:rsidRPr="00C7783D">
        <w:rPr>
          <w:szCs w:val="24"/>
        </w:rPr>
        <w:t xml:space="preserve">mention Travelers at all.  The April 12 email </w:t>
      </w:r>
      <w:r w:rsidR="008954A8" w:rsidRPr="00C7783D">
        <w:rPr>
          <w:szCs w:val="24"/>
        </w:rPr>
        <w:t>summar</w:t>
      </w:r>
      <w:r w:rsidR="004801AC" w:rsidRPr="00C7783D">
        <w:rPr>
          <w:szCs w:val="24"/>
        </w:rPr>
        <w:t>ized</w:t>
      </w:r>
      <w:r w:rsidR="00871C89" w:rsidRPr="00C7783D">
        <w:rPr>
          <w:szCs w:val="24"/>
        </w:rPr>
        <w:t xml:space="preserve"> Isola</w:t>
      </w:r>
      <w:r w:rsidR="007E1CE5" w:rsidRPr="00C7783D">
        <w:rPr>
          <w:szCs w:val="24"/>
        </w:rPr>
        <w:t>’s</w:t>
      </w:r>
      <w:r w:rsidR="00871C89" w:rsidRPr="00C7783D">
        <w:rPr>
          <w:szCs w:val="24"/>
        </w:rPr>
        <w:t xml:space="preserve"> report to the judge </w:t>
      </w:r>
      <w:r w:rsidR="009D48B4" w:rsidRPr="00C7783D">
        <w:rPr>
          <w:szCs w:val="24"/>
        </w:rPr>
        <w:t>at an April</w:t>
      </w:r>
      <w:r w:rsidR="00EA7DFD" w:rsidRPr="00C7783D">
        <w:rPr>
          <w:szCs w:val="24"/>
        </w:rPr>
        <w:t> </w:t>
      </w:r>
      <w:r w:rsidR="009D48B4" w:rsidRPr="00C7783D">
        <w:rPr>
          <w:szCs w:val="24"/>
        </w:rPr>
        <w:t xml:space="preserve">10 settlement status conference.  Isola </w:t>
      </w:r>
      <w:r w:rsidR="007E1CE5" w:rsidRPr="00C7783D">
        <w:rPr>
          <w:szCs w:val="24"/>
        </w:rPr>
        <w:t>disclosed</w:t>
      </w:r>
      <w:r w:rsidR="009D48B4" w:rsidRPr="00C7783D">
        <w:rPr>
          <w:szCs w:val="24"/>
        </w:rPr>
        <w:t xml:space="preserve"> that Travelers had been provided a copy of the proposed settlement agreement.  </w:t>
      </w:r>
      <w:r w:rsidR="002C59B3" w:rsidRPr="00C7783D">
        <w:rPr>
          <w:szCs w:val="24"/>
        </w:rPr>
        <w:t>His email does not mention Travelers</w:t>
      </w:r>
      <w:r w:rsidR="00681CE9" w:rsidRPr="00C7783D">
        <w:rPr>
          <w:szCs w:val="24"/>
        </w:rPr>
        <w:t>’</w:t>
      </w:r>
      <w:r w:rsidR="00C22F30" w:rsidRPr="00C7783D">
        <w:rPr>
          <w:szCs w:val="24"/>
        </w:rPr>
        <w:t xml:space="preserve"> response</w:t>
      </w:r>
      <w:r w:rsidR="002C59B3" w:rsidRPr="00C7783D">
        <w:rPr>
          <w:szCs w:val="24"/>
        </w:rPr>
        <w:t xml:space="preserve">.  </w:t>
      </w:r>
      <w:bookmarkEnd w:id="26"/>
      <w:r w:rsidR="00D44F0B" w:rsidRPr="00C7783D">
        <w:rPr>
          <w:szCs w:val="24"/>
        </w:rPr>
        <w:t xml:space="preserve">Resolving reasonable doubts in Isola’s favor, we must conclude that </w:t>
      </w:r>
      <w:r w:rsidR="00865EA2" w:rsidRPr="00C7783D">
        <w:rPr>
          <w:szCs w:val="24"/>
        </w:rPr>
        <w:t xml:space="preserve">culpability </w:t>
      </w:r>
      <w:r w:rsidR="00627B6A" w:rsidRPr="00C7783D">
        <w:rPr>
          <w:szCs w:val="24"/>
        </w:rPr>
        <w:t xml:space="preserve">for an intentional misrepresentation </w:t>
      </w:r>
      <w:r w:rsidR="00865EA2" w:rsidRPr="00C7783D">
        <w:rPr>
          <w:szCs w:val="24"/>
        </w:rPr>
        <w:t>was not established here</w:t>
      </w:r>
      <w:r w:rsidR="001D456F" w:rsidRPr="00C7783D">
        <w:rPr>
          <w:szCs w:val="24"/>
        </w:rPr>
        <w:t xml:space="preserve">.  </w:t>
      </w:r>
      <w:r w:rsidR="003669FA" w:rsidRPr="00C7783D">
        <w:rPr>
          <w:szCs w:val="24"/>
        </w:rPr>
        <w:t xml:space="preserve">Isola believed the settlement agreement did not contain </w:t>
      </w:r>
      <w:r w:rsidR="00C12FA7" w:rsidRPr="00C7783D">
        <w:rPr>
          <w:szCs w:val="24"/>
        </w:rPr>
        <w:t>Travelers’ position</w:t>
      </w:r>
      <w:r w:rsidR="00E65674" w:rsidRPr="00C7783D">
        <w:rPr>
          <w:szCs w:val="24"/>
        </w:rPr>
        <w:t>,</w:t>
      </w:r>
      <w:r w:rsidR="00152FF0" w:rsidRPr="00C7783D">
        <w:rPr>
          <w:szCs w:val="24"/>
        </w:rPr>
        <w:t xml:space="preserve"> as he had not carefully read the drafts with the erroneous statement </w:t>
      </w:r>
      <w:r w:rsidR="00822A0C" w:rsidRPr="00C7783D">
        <w:rPr>
          <w:szCs w:val="24"/>
        </w:rPr>
        <w:t>sent to Ki</w:t>
      </w:r>
      <w:r w:rsidR="00661C28" w:rsidRPr="00C7783D">
        <w:rPr>
          <w:szCs w:val="24"/>
        </w:rPr>
        <w:t>m</w:t>
      </w:r>
      <w:r w:rsidR="00152FF0" w:rsidRPr="00C7783D">
        <w:rPr>
          <w:szCs w:val="24"/>
        </w:rPr>
        <w:t xml:space="preserve">.  </w:t>
      </w:r>
      <w:r w:rsidR="00E65674" w:rsidRPr="00C7783D">
        <w:rPr>
          <w:szCs w:val="24"/>
        </w:rPr>
        <w:t xml:space="preserve">Isola had no indication </w:t>
      </w:r>
      <w:r w:rsidR="00AA5732" w:rsidRPr="00C7783D">
        <w:rPr>
          <w:szCs w:val="24"/>
        </w:rPr>
        <w:t>that</w:t>
      </w:r>
      <w:r w:rsidR="00E65674" w:rsidRPr="00C7783D">
        <w:rPr>
          <w:szCs w:val="24"/>
        </w:rPr>
        <w:t xml:space="preserve"> would lead him to believe that Kim thought that Travelers had not objected.  </w:t>
      </w:r>
      <w:r w:rsidR="00351D3C" w:rsidRPr="00C7783D">
        <w:rPr>
          <w:szCs w:val="24"/>
        </w:rPr>
        <w:t>As su</w:t>
      </w:r>
      <w:r w:rsidR="00D06E43" w:rsidRPr="00C7783D">
        <w:rPr>
          <w:szCs w:val="24"/>
        </w:rPr>
        <w:t xml:space="preserve">ch, it cannot be determined that his omissions in the emails to Kim </w:t>
      </w:r>
      <w:r w:rsidR="00AA5732" w:rsidRPr="00C7783D">
        <w:rPr>
          <w:szCs w:val="24"/>
        </w:rPr>
        <w:t>c</w:t>
      </w:r>
      <w:r w:rsidR="008138E3" w:rsidRPr="00C7783D">
        <w:rPr>
          <w:szCs w:val="24"/>
        </w:rPr>
        <w:t>onstituted</w:t>
      </w:r>
      <w:r w:rsidR="00D06E43" w:rsidRPr="00C7783D">
        <w:rPr>
          <w:szCs w:val="24"/>
        </w:rPr>
        <w:t xml:space="preserve"> intentional misrepresentation, especially as the April</w:t>
      </w:r>
      <w:r w:rsidR="00BD12F3">
        <w:rPr>
          <w:szCs w:val="24"/>
        </w:rPr>
        <w:t> </w:t>
      </w:r>
      <w:r w:rsidR="00D06E43" w:rsidRPr="00C7783D">
        <w:rPr>
          <w:szCs w:val="24"/>
        </w:rPr>
        <w:t>1</w:t>
      </w:r>
      <w:r w:rsidR="00047CB2" w:rsidRPr="00C7783D">
        <w:rPr>
          <w:szCs w:val="24"/>
        </w:rPr>
        <w:t>2 email</w:t>
      </w:r>
      <w:r w:rsidR="00FC45E2" w:rsidRPr="00C7783D">
        <w:rPr>
          <w:szCs w:val="24"/>
        </w:rPr>
        <w:t xml:space="preserve"> was only a summary of the status conference</w:t>
      </w:r>
      <w:r w:rsidR="001C193C" w:rsidRPr="00C7783D">
        <w:rPr>
          <w:szCs w:val="24"/>
        </w:rPr>
        <w:t xml:space="preserve"> and Isola asserts Travelers’ position was not disc</w:t>
      </w:r>
      <w:r w:rsidR="000C0976" w:rsidRPr="00C7783D">
        <w:rPr>
          <w:szCs w:val="24"/>
        </w:rPr>
        <w:t>ussed at the status conference.</w:t>
      </w:r>
      <w:r w:rsidR="001D456F" w:rsidRPr="00C7783D">
        <w:rPr>
          <w:szCs w:val="24"/>
        </w:rPr>
        <w:t xml:space="preserve"> </w:t>
      </w:r>
      <w:r w:rsidR="00E430EB" w:rsidRPr="00C7783D">
        <w:rPr>
          <w:szCs w:val="24"/>
        </w:rPr>
        <w:t xml:space="preserve"> </w:t>
      </w:r>
      <w:r w:rsidR="001D456F" w:rsidRPr="00C7783D">
        <w:rPr>
          <w:szCs w:val="24"/>
        </w:rPr>
        <w:t xml:space="preserve">A reasonable interpretation of the facts is that Isola was unaware </w:t>
      </w:r>
      <w:r w:rsidR="00D665EE" w:rsidRPr="00C7783D">
        <w:rPr>
          <w:szCs w:val="24"/>
        </w:rPr>
        <w:t xml:space="preserve">that Kim believed that Travelers had not </w:t>
      </w:r>
      <w:r w:rsidR="003C7CD0" w:rsidRPr="00C7783D">
        <w:rPr>
          <w:szCs w:val="24"/>
        </w:rPr>
        <w:t>objected</w:t>
      </w:r>
      <w:r w:rsidR="000C530D" w:rsidRPr="00C7783D">
        <w:rPr>
          <w:szCs w:val="24"/>
        </w:rPr>
        <w:t>.</w:t>
      </w:r>
      <w:r w:rsidR="00994686" w:rsidRPr="00C7783D">
        <w:rPr>
          <w:szCs w:val="24"/>
        </w:rPr>
        <w:t xml:space="preserve"> </w:t>
      </w:r>
      <w:r w:rsidR="003C7CD0" w:rsidRPr="00C7783D">
        <w:rPr>
          <w:szCs w:val="24"/>
        </w:rPr>
        <w:t xml:space="preserve"> </w:t>
      </w:r>
      <w:r w:rsidR="00994686" w:rsidRPr="00C7783D">
        <w:rPr>
          <w:szCs w:val="24"/>
        </w:rPr>
        <w:t>T</w:t>
      </w:r>
      <w:r w:rsidR="003C7CD0" w:rsidRPr="00C7783D">
        <w:rPr>
          <w:szCs w:val="24"/>
        </w:rPr>
        <w:t xml:space="preserve">herefore, </w:t>
      </w:r>
      <w:r w:rsidR="00994686" w:rsidRPr="00C7783D">
        <w:rPr>
          <w:szCs w:val="24"/>
        </w:rPr>
        <w:t xml:space="preserve">Isola </w:t>
      </w:r>
      <w:r w:rsidR="003C7CD0" w:rsidRPr="00C7783D">
        <w:rPr>
          <w:szCs w:val="24"/>
        </w:rPr>
        <w:t xml:space="preserve">had no reason to mention Travelers’ objection in his emails.  </w:t>
      </w:r>
      <w:r w:rsidR="00592B7D" w:rsidRPr="00C7783D">
        <w:rPr>
          <w:szCs w:val="24"/>
        </w:rPr>
        <w:t>For these reasons</w:t>
      </w:r>
      <w:r w:rsidR="00E430EB" w:rsidRPr="00C7783D">
        <w:rPr>
          <w:szCs w:val="24"/>
        </w:rPr>
        <w:t xml:space="preserve">, we find that OCTC did not prove by clear and convincing evidence that </w:t>
      </w:r>
      <w:r w:rsidR="00592B7D" w:rsidRPr="00C7783D">
        <w:rPr>
          <w:szCs w:val="24"/>
        </w:rPr>
        <w:t xml:space="preserve">Isola made misrepresentations to Kim regarding Travelers’ objection to the settlement agreement.  Accordingly, </w:t>
      </w:r>
      <w:r w:rsidR="00BA292D" w:rsidRPr="00C7783D">
        <w:rPr>
          <w:szCs w:val="24"/>
        </w:rPr>
        <w:t xml:space="preserve">we </w:t>
      </w:r>
      <w:r w:rsidR="006E2013" w:rsidRPr="00C7783D">
        <w:rPr>
          <w:szCs w:val="24"/>
        </w:rPr>
        <w:t xml:space="preserve">dismiss count </w:t>
      </w:r>
      <w:r w:rsidR="002D6111">
        <w:rPr>
          <w:szCs w:val="24"/>
        </w:rPr>
        <w:t>twenty-six</w:t>
      </w:r>
      <w:r w:rsidR="006E2013" w:rsidRPr="00C7783D">
        <w:rPr>
          <w:szCs w:val="24"/>
        </w:rPr>
        <w:t xml:space="preserve"> with prejudice.  (</w:t>
      </w:r>
      <w:r w:rsidR="006E2013" w:rsidRPr="00C7783D">
        <w:rPr>
          <w:i/>
          <w:szCs w:val="24"/>
        </w:rPr>
        <w:t xml:space="preserve">In the Matter of </w:t>
      </w:r>
      <w:proofErr w:type="spellStart"/>
      <w:r w:rsidR="006E2013" w:rsidRPr="00C7783D">
        <w:rPr>
          <w:i/>
          <w:szCs w:val="24"/>
        </w:rPr>
        <w:t>Kroff</w:t>
      </w:r>
      <w:proofErr w:type="spellEnd"/>
      <w:r w:rsidR="006E2013" w:rsidRPr="00C7783D">
        <w:rPr>
          <w:szCs w:val="24"/>
        </w:rPr>
        <w:t xml:space="preserve">, </w:t>
      </w:r>
      <w:r w:rsidR="006E2013" w:rsidRPr="00C7783D">
        <w:rPr>
          <w:i/>
          <w:iCs/>
          <w:szCs w:val="24"/>
        </w:rPr>
        <w:t>supra</w:t>
      </w:r>
      <w:r w:rsidR="006E2013" w:rsidRPr="00C7783D">
        <w:rPr>
          <w:szCs w:val="24"/>
        </w:rPr>
        <w:t>, 3</w:t>
      </w:r>
      <w:r w:rsidR="00EF6031" w:rsidRPr="00C7783D">
        <w:rPr>
          <w:szCs w:val="24"/>
        </w:rPr>
        <w:t> </w:t>
      </w:r>
      <w:r w:rsidR="006E2013" w:rsidRPr="00C7783D">
        <w:rPr>
          <w:szCs w:val="24"/>
        </w:rPr>
        <w:t xml:space="preserve">Cal. State Bar Ct. </w:t>
      </w:r>
      <w:proofErr w:type="spellStart"/>
      <w:r w:rsidR="006E2013" w:rsidRPr="00C7783D">
        <w:rPr>
          <w:szCs w:val="24"/>
        </w:rPr>
        <w:t>Rptr</w:t>
      </w:r>
      <w:proofErr w:type="spellEnd"/>
      <w:r w:rsidR="006E2013" w:rsidRPr="00C7783D">
        <w:rPr>
          <w:szCs w:val="24"/>
        </w:rPr>
        <w:t>. at p.</w:t>
      </w:r>
      <w:r w:rsidR="00EF6031" w:rsidRPr="00C7783D">
        <w:rPr>
          <w:szCs w:val="24"/>
        </w:rPr>
        <w:t> </w:t>
      </w:r>
      <w:r w:rsidR="006E2013" w:rsidRPr="00C7783D">
        <w:rPr>
          <w:szCs w:val="24"/>
        </w:rPr>
        <w:t>843.)</w:t>
      </w:r>
    </w:p>
    <w:p w14:paraId="120B313B" w14:textId="77777777" w:rsidR="00F175B0" w:rsidRDefault="00F175B0">
      <w:pPr>
        <w:rPr>
          <w:szCs w:val="24"/>
        </w:rPr>
      </w:pPr>
      <w:r>
        <w:rPr>
          <w:szCs w:val="24"/>
        </w:rPr>
        <w:br w:type="page"/>
      </w:r>
    </w:p>
    <w:p w14:paraId="607C4522" w14:textId="42491A2C" w:rsidR="00C71C2B" w:rsidRDefault="00C71C2B" w:rsidP="0011314C">
      <w:pPr>
        <w:spacing w:line="480" w:lineRule="auto"/>
        <w:jc w:val="center"/>
        <w:rPr>
          <w:b/>
          <w:bCs/>
          <w:szCs w:val="24"/>
        </w:rPr>
      </w:pPr>
      <w:r w:rsidRPr="00143D03">
        <w:rPr>
          <w:b/>
          <w:bCs/>
          <w:szCs w:val="24"/>
        </w:rPr>
        <w:lastRenderedPageBreak/>
        <w:t>IV.  AGGRAVATION AND MITIGATION</w:t>
      </w:r>
    </w:p>
    <w:p w14:paraId="097DF2F6" w14:textId="4636CDA0" w:rsidR="008B2FE6" w:rsidRPr="008B2FE6" w:rsidRDefault="008B2FE6" w:rsidP="008B2FE6">
      <w:pPr>
        <w:spacing w:line="480" w:lineRule="auto"/>
        <w:ind w:firstLine="720"/>
      </w:pPr>
      <w:r w:rsidRPr="00801B35">
        <w:t>Standard</w:t>
      </w:r>
      <w:r>
        <w:t> </w:t>
      </w:r>
      <w:r w:rsidRPr="00801B35">
        <w:t xml:space="preserve">1.5 </w:t>
      </w:r>
      <w:r>
        <w:t xml:space="preserve">of the Rules of Procedure of the State Bar, </w:t>
      </w:r>
      <w:r w:rsidR="00D7522B">
        <w:t>t</w:t>
      </w:r>
      <w:r>
        <w:t>itle IV, Standards for Attorney Sanctions for Professional Misconduct</w:t>
      </w:r>
      <w:r>
        <w:rPr>
          <w:rStyle w:val="FootnoteReference"/>
        </w:rPr>
        <w:footnoteReference w:id="37"/>
      </w:r>
      <w:r>
        <w:t xml:space="preserve"> </w:t>
      </w:r>
      <w:r w:rsidRPr="00801B35">
        <w:t>requires OCTC to establish aggravating circumstances by clear and convincing evidence</w:t>
      </w:r>
      <w:r>
        <w:t>.  S</w:t>
      </w:r>
      <w:r w:rsidRPr="00801B35">
        <w:t>tandard</w:t>
      </w:r>
      <w:r>
        <w:t> </w:t>
      </w:r>
      <w:r w:rsidRPr="00801B35">
        <w:t xml:space="preserve">1.6 requires </w:t>
      </w:r>
      <w:r w:rsidR="00001118">
        <w:t>Isola</w:t>
      </w:r>
      <w:r>
        <w:t xml:space="preserve"> </w:t>
      </w:r>
      <w:r w:rsidRPr="00801B35">
        <w:t>to meet the sa</w:t>
      </w:r>
      <w:r>
        <w:t>me burden to prove mitigation.</w:t>
      </w:r>
    </w:p>
    <w:p w14:paraId="6264FE77" w14:textId="6E4D8719" w:rsidR="00C71C2B" w:rsidRPr="00143D03" w:rsidRDefault="0011314C" w:rsidP="00732C51">
      <w:pPr>
        <w:spacing w:line="480" w:lineRule="auto"/>
        <w:rPr>
          <w:b/>
          <w:bCs/>
          <w:szCs w:val="24"/>
        </w:rPr>
      </w:pPr>
      <w:r w:rsidRPr="00143D03">
        <w:rPr>
          <w:b/>
          <w:bCs/>
          <w:szCs w:val="24"/>
        </w:rPr>
        <w:t>A.</w:t>
      </w:r>
      <w:r w:rsidRPr="00143D03">
        <w:rPr>
          <w:b/>
          <w:bCs/>
          <w:szCs w:val="24"/>
        </w:rPr>
        <w:tab/>
        <w:t>Aggravation</w:t>
      </w:r>
    </w:p>
    <w:p w14:paraId="2F44ACB0" w14:textId="3F7B4C11" w:rsidR="0011314C" w:rsidRPr="00143D03" w:rsidRDefault="0011314C" w:rsidP="0011314C">
      <w:pPr>
        <w:spacing w:line="480" w:lineRule="auto"/>
        <w:ind w:firstLine="720"/>
        <w:rPr>
          <w:b/>
          <w:bCs/>
          <w:szCs w:val="24"/>
        </w:rPr>
      </w:pPr>
      <w:r w:rsidRPr="00143D03">
        <w:rPr>
          <w:b/>
          <w:bCs/>
          <w:szCs w:val="24"/>
        </w:rPr>
        <w:t>1.  Multiple Acts of Wrongdoing</w:t>
      </w:r>
      <w:r w:rsidR="00C416E4" w:rsidRPr="00143D03">
        <w:rPr>
          <w:b/>
          <w:bCs/>
          <w:szCs w:val="24"/>
        </w:rPr>
        <w:t xml:space="preserve"> (Std. 1.5(b))</w:t>
      </w:r>
    </w:p>
    <w:p w14:paraId="72144879" w14:textId="526C6B8A" w:rsidR="003603E0" w:rsidRDefault="00F56A97" w:rsidP="0011314C">
      <w:pPr>
        <w:spacing w:line="480" w:lineRule="auto"/>
        <w:ind w:firstLine="720"/>
        <w:rPr>
          <w:szCs w:val="24"/>
        </w:rPr>
      </w:pPr>
      <w:r>
        <w:rPr>
          <w:szCs w:val="24"/>
        </w:rPr>
        <w:t>We find that Isola committed multiple acts of wrongdoing related to his failure</w:t>
      </w:r>
      <w:r w:rsidR="00A74D24">
        <w:rPr>
          <w:szCs w:val="24"/>
        </w:rPr>
        <w:t>s</w:t>
      </w:r>
      <w:r>
        <w:rPr>
          <w:szCs w:val="24"/>
        </w:rPr>
        <w:t xml:space="preserve"> to communicate.  </w:t>
      </w:r>
      <w:r w:rsidR="00F25798">
        <w:t>(</w:t>
      </w:r>
      <w:r w:rsidR="00F25798">
        <w:rPr>
          <w:i/>
        </w:rPr>
        <w:t>In the Matter of Bach</w:t>
      </w:r>
      <w:r w:rsidR="00F25798">
        <w:t xml:space="preserve"> (Review Dept. 1991) 1</w:t>
      </w:r>
      <w:r w:rsidR="00CC62FB">
        <w:t> </w:t>
      </w:r>
      <w:r w:rsidR="00F25798">
        <w:t xml:space="preserve">Cal. State Bar Ct. </w:t>
      </w:r>
      <w:proofErr w:type="spellStart"/>
      <w:r w:rsidR="00F25798">
        <w:t>Rptr</w:t>
      </w:r>
      <w:proofErr w:type="spellEnd"/>
      <w:r w:rsidR="00F25798">
        <w:t>. 631,</w:t>
      </w:r>
      <w:r w:rsidR="00CC62FB">
        <w:t xml:space="preserve"> </w:t>
      </w:r>
      <w:r w:rsidR="00F25798">
        <w:t>646</w:t>
      </w:r>
      <w:r w:rsidR="009A7BE6">
        <w:rPr>
          <w:szCs w:val="24"/>
        </w:rPr>
        <w:t>-</w:t>
      </w:r>
      <w:r w:rsidR="00F25798">
        <w:t xml:space="preserve">647 [three instances of misconduct considered multiple acts].)  </w:t>
      </w:r>
      <w:r>
        <w:rPr>
          <w:szCs w:val="24"/>
        </w:rPr>
        <w:t xml:space="preserve">He failed to keep his client </w:t>
      </w:r>
      <w:r w:rsidR="00BC4CBD">
        <w:rPr>
          <w:szCs w:val="24"/>
        </w:rPr>
        <w:t>informed</w:t>
      </w:r>
      <w:r>
        <w:rPr>
          <w:szCs w:val="24"/>
        </w:rPr>
        <w:t xml:space="preserve"> of significant developments, including that </w:t>
      </w:r>
      <w:r w:rsidR="0050525C">
        <w:rPr>
          <w:szCs w:val="24"/>
        </w:rPr>
        <w:t xml:space="preserve">the </w:t>
      </w:r>
      <w:proofErr w:type="spellStart"/>
      <w:r w:rsidR="0050525C">
        <w:rPr>
          <w:szCs w:val="24"/>
        </w:rPr>
        <w:t>Grecos</w:t>
      </w:r>
      <w:proofErr w:type="spellEnd"/>
      <w:r w:rsidR="0050525C">
        <w:rPr>
          <w:szCs w:val="24"/>
        </w:rPr>
        <w:t xml:space="preserve"> had sued the </w:t>
      </w:r>
      <w:proofErr w:type="spellStart"/>
      <w:r w:rsidR="0050525C">
        <w:rPr>
          <w:szCs w:val="24"/>
        </w:rPr>
        <w:t>Hahns</w:t>
      </w:r>
      <w:proofErr w:type="spellEnd"/>
      <w:r w:rsidR="0050525C">
        <w:rPr>
          <w:szCs w:val="24"/>
        </w:rPr>
        <w:t xml:space="preserve">, that he filed and dismissed a third-party complaint, and that he </w:t>
      </w:r>
      <w:r w:rsidR="00143D03">
        <w:rPr>
          <w:szCs w:val="24"/>
        </w:rPr>
        <w:t xml:space="preserve">had received written settlement offers.  He filed several pleadings and participated in court hearings without informing his client.  </w:t>
      </w:r>
      <w:r w:rsidR="00A12BBC">
        <w:rPr>
          <w:szCs w:val="24"/>
        </w:rPr>
        <w:t>Th</w:t>
      </w:r>
      <w:r w:rsidR="00C30437">
        <w:rPr>
          <w:szCs w:val="24"/>
        </w:rPr>
        <w:t>ese numerous</w:t>
      </w:r>
      <w:r w:rsidR="00A12BBC">
        <w:rPr>
          <w:szCs w:val="24"/>
        </w:rPr>
        <w:t xml:space="preserve"> failure</w:t>
      </w:r>
      <w:r w:rsidR="00C30437">
        <w:rPr>
          <w:szCs w:val="24"/>
        </w:rPr>
        <w:t>s</w:t>
      </w:r>
      <w:r w:rsidR="00A12BBC">
        <w:rPr>
          <w:szCs w:val="24"/>
        </w:rPr>
        <w:t xml:space="preserve"> to communicate over several years warrant </w:t>
      </w:r>
      <w:r w:rsidR="002D5A47">
        <w:rPr>
          <w:szCs w:val="24"/>
        </w:rPr>
        <w:t xml:space="preserve">moderate </w:t>
      </w:r>
      <w:r w:rsidR="00A12BBC">
        <w:rPr>
          <w:szCs w:val="24"/>
        </w:rPr>
        <w:t>weight in aggravation</w:t>
      </w:r>
      <w:r w:rsidR="00874894">
        <w:rPr>
          <w:szCs w:val="24"/>
        </w:rPr>
        <w:t xml:space="preserve"> under standard</w:t>
      </w:r>
      <w:r w:rsidR="00CC62FB">
        <w:rPr>
          <w:szCs w:val="24"/>
        </w:rPr>
        <w:t> </w:t>
      </w:r>
      <w:r w:rsidR="00874894">
        <w:rPr>
          <w:szCs w:val="24"/>
        </w:rPr>
        <w:t>1.5(b)</w:t>
      </w:r>
      <w:r w:rsidR="00A12BBC">
        <w:rPr>
          <w:szCs w:val="24"/>
        </w:rPr>
        <w:t>.</w:t>
      </w:r>
      <w:r w:rsidR="00FD53E7">
        <w:rPr>
          <w:rStyle w:val="FootnoteReference"/>
          <w:szCs w:val="24"/>
        </w:rPr>
        <w:footnoteReference w:id="38"/>
      </w:r>
      <w:r w:rsidR="00A12BBC">
        <w:rPr>
          <w:szCs w:val="24"/>
        </w:rPr>
        <w:t xml:space="preserve">  </w:t>
      </w:r>
      <w:r w:rsidR="0002130F">
        <w:rPr>
          <w:szCs w:val="24"/>
        </w:rPr>
        <w:t>(</w:t>
      </w:r>
      <w:r w:rsidR="0002130F">
        <w:rPr>
          <w:i/>
          <w:szCs w:val="24"/>
        </w:rPr>
        <w:t>In the Matter of Song</w:t>
      </w:r>
      <w:r w:rsidR="0002130F">
        <w:rPr>
          <w:szCs w:val="24"/>
        </w:rPr>
        <w:t xml:space="preserve"> (Review Dept. 2013) 5</w:t>
      </w:r>
      <w:r w:rsidR="00CC62FB">
        <w:rPr>
          <w:szCs w:val="24"/>
        </w:rPr>
        <w:t> </w:t>
      </w:r>
      <w:r w:rsidR="0002130F">
        <w:rPr>
          <w:szCs w:val="24"/>
        </w:rPr>
        <w:t xml:space="preserve">Cal. State Bar Ct. </w:t>
      </w:r>
      <w:proofErr w:type="spellStart"/>
      <w:r w:rsidR="0002130F">
        <w:rPr>
          <w:szCs w:val="24"/>
        </w:rPr>
        <w:t>Rptr</w:t>
      </w:r>
      <w:proofErr w:type="spellEnd"/>
      <w:r w:rsidR="0002130F">
        <w:rPr>
          <w:szCs w:val="24"/>
        </w:rPr>
        <w:t>. 273</w:t>
      </w:r>
      <w:r w:rsidR="00F908E1">
        <w:rPr>
          <w:szCs w:val="24"/>
        </w:rPr>
        <w:t>, 279 [aggravation for multiple acts not limited to counts pleaded].)</w:t>
      </w:r>
      <w:r w:rsidR="00EB71E7">
        <w:rPr>
          <w:szCs w:val="24"/>
        </w:rPr>
        <w:t xml:space="preserve">  </w:t>
      </w:r>
      <w:r w:rsidR="00267B14">
        <w:rPr>
          <w:szCs w:val="24"/>
        </w:rPr>
        <w:t>Isola committed multiple acts of wrongdoing—it does not matter for aggravation purposes under standard</w:t>
      </w:r>
      <w:r w:rsidR="00CC62FB">
        <w:rPr>
          <w:szCs w:val="24"/>
        </w:rPr>
        <w:t> </w:t>
      </w:r>
      <w:r w:rsidR="00267B14">
        <w:rPr>
          <w:szCs w:val="24"/>
        </w:rPr>
        <w:t xml:space="preserve">1.5(b) that the acts were done in a single client matter.  </w:t>
      </w:r>
    </w:p>
    <w:p w14:paraId="2466756F" w14:textId="09B3F72C" w:rsidR="00F175B0" w:rsidRDefault="00F175B0" w:rsidP="0011314C">
      <w:pPr>
        <w:spacing w:line="480" w:lineRule="auto"/>
        <w:ind w:firstLine="720"/>
        <w:rPr>
          <w:szCs w:val="24"/>
        </w:rPr>
      </w:pPr>
    </w:p>
    <w:p w14:paraId="581E1046" w14:textId="77777777" w:rsidR="00F175B0" w:rsidRDefault="00F175B0" w:rsidP="0011314C">
      <w:pPr>
        <w:spacing w:line="480" w:lineRule="auto"/>
        <w:ind w:firstLine="720"/>
        <w:rPr>
          <w:szCs w:val="24"/>
        </w:rPr>
      </w:pPr>
    </w:p>
    <w:p w14:paraId="53D59508" w14:textId="1E17B642" w:rsidR="00874402" w:rsidRPr="005D5CDA" w:rsidRDefault="00874402" w:rsidP="0011314C">
      <w:pPr>
        <w:spacing w:line="480" w:lineRule="auto"/>
        <w:ind w:firstLine="720"/>
        <w:rPr>
          <w:b/>
          <w:bCs/>
          <w:szCs w:val="24"/>
        </w:rPr>
      </w:pPr>
      <w:r w:rsidRPr="005D5CDA">
        <w:rPr>
          <w:b/>
          <w:bCs/>
          <w:szCs w:val="24"/>
        </w:rPr>
        <w:lastRenderedPageBreak/>
        <w:t xml:space="preserve">2.  </w:t>
      </w:r>
      <w:r w:rsidR="007C3E55" w:rsidRPr="0049224D">
        <w:rPr>
          <w:b/>
          <w:bCs/>
          <w:szCs w:val="24"/>
        </w:rPr>
        <w:t>No</w:t>
      </w:r>
      <w:r w:rsidR="00122EF4">
        <w:rPr>
          <w:b/>
          <w:bCs/>
          <w:szCs w:val="24"/>
        </w:rPr>
        <w:t xml:space="preserve"> Aggravation for</w:t>
      </w:r>
      <w:r w:rsidR="007C3E55">
        <w:rPr>
          <w:b/>
          <w:bCs/>
          <w:szCs w:val="24"/>
        </w:rPr>
        <w:t xml:space="preserve"> </w:t>
      </w:r>
      <w:r w:rsidR="00875EF9" w:rsidRPr="005D5CDA">
        <w:rPr>
          <w:b/>
          <w:bCs/>
          <w:szCs w:val="24"/>
        </w:rPr>
        <w:t>Indifference (Std. 1.5(k))</w:t>
      </w:r>
    </w:p>
    <w:p w14:paraId="68C65B38" w14:textId="2F233874" w:rsidR="00E36737" w:rsidRDefault="007400C8" w:rsidP="0011314C">
      <w:pPr>
        <w:spacing w:line="480" w:lineRule="auto"/>
        <w:ind w:firstLine="720"/>
      </w:pPr>
      <w:r>
        <w:t>I</w:t>
      </w:r>
      <w:r w:rsidRPr="00FB3A3D">
        <w:t xml:space="preserve">ndifference toward rectification or atonement for the consequences of </w:t>
      </w:r>
      <w:r>
        <w:t>misconduct is an aggravating circumstance.</w:t>
      </w:r>
      <w:r w:rsidRPr="00FB3A3D">
        <w:t xml:space="preserve">  </w:t>
      </w:r>
      <w:r>
        <w:t xml:space="preserve">While the law does not require false penitence, it does require an attorney to accept responsibility for wrongful acts and show some understanding of his culpability.  (See </w:t>
      </w:r>
      <w:r>
        <w:rPr>
          <w:i/>
        </w:rPr>
        <w:t>In the Matter of Katz</w:t>
      </w:r>
      <w:r>
        <w:t xml:space="preserve"> (Review Dept. 1991) </w:t>
      </w:r>
      <w:r w:rsidRPr="00CC62FB">
        <w:t>1</w:t>
      </w:r>
      <w:r w:rsidR="00CC62FB">
        <w:t> </w:t>
      </w:r>
      <w:r w:rsidRPr="00CC62FB">
        <w:t>Cal</w:t>
      </w:r>
      <w:r>
        <w:t xml:space="preserve">. State Bar Ct. </w:t>
      </w:r>
      <w:proofErr w:type="spellStart"/>
      <w:r>
        <w:t>Rptr</w:t>
      </w:r>
      <w:proofErr w:type="spellEnd"/>
      <w:r>
        <w:t xml:space="preserve">. 502, 511.)  </w:t>
      </w:r>
      <w:r w:rsidR="00B959A7">
        <w:t xml:space="preserve">The hearing judge found substantial weight in aggravation for Isola’s failure </w:t>
      </w:r>
      <w:r w:rsidR="00AD772B">
        <w:t>to accept responsibility</w:t>
      </w:r>
      <w:r w:rsidR="00303A50">
        <w:t>.</w:t>
      </w:r>
      <w:r w:rsidR="002A47E8">
        <w:rPr>
          <w:rStyle w:val="FootnoteReference"/>
        </w:rPr>
        <w:footnoteReference w:id="39"/>
      </w:r>
      <w:r w:rsidR="00AD772B">
        <w:t xml:space="preserve"> </w:t>
      </w:r>
      <w:r w:rsidR="00303A50">
        <w:t xml:space="preserve"> </w:t>
      </w:r>
      <w:r w:rsidR="00671D9A">
        <w:t>H</w:t>
      </w:r>
      <w:r w:rsidR="00AD772B">
        <w:t>owever, this was based o</w:t>
      </w:r>
      <w:r w:rsidR="005D5CDA">
        <w:t>n culpability that we do not now find.</w:t>
      </w:r>
      <w:r w:rsidR="001F2EE1">
        <w:t xml:space="preserve">  We also </w:t>
      </w:r>
      <w:r w:rsidR="00A2135D">
        <w:t xml:space="preserve">reject the judge’s finding </w:t>
      </w:r>
      <w:r w:rsidR="00961CA9">
        <w:t>of</w:t>
      </w:r>
      <w:r w:rsidR="00A2135D">
        <w:t xml:space="preserve"> “overwhelming evidence of </w:t>
      </w:r>
      <w:r w:rsidR="00051960">
        <w:t xml:space="preserve">[Isola’s] </w:t>
      </w:r>
      <w:r w:rsidR="00A2135D">
        <w:t xml:space="preserve">dishonesty” as not supported by the record.  </w:t>
      </w:r>
      <w:r w:rsidR="005D5CDA">
        <w:t>Isola admitted at trial that he should hav</w:t>
      </w:r>
      <w:r w:rsidR="00E36737">
        <w:t xml:space="preserve">e </w:t>
      </w:r>
      <w:r w:rsidR="00967A90">
        <w:t xml:space="preserve">used a written retainer agreement with Gregory and should have regularly reported to him on the status of the case.  </w:t>
      </w:r>
      <w:r w:rsidR="00917B5A">
        <w:t>As Isola admitted to his failure to communicate, we do not find clear and convincing evidence of indifference</w:t>
      </w:r>
      <w:r w:rsidR="005F1BFA">
        <w:t xml:space="preserve"> because he has accepted responsibility for his actions</w:t>
      </w:r>
      <w:r w:rsidR="00917B5A">
        <w:t>.</w:t>
      </w:r>
      <w:r w:rsidR="004B6DE1">
        <w:t xml:space="preserve">  (Cf. </w:t>
      </w:r>
      <w:r w:rsidR="004B6DE1">
        <w:rPr>
          <w:i/>
        </w:rPr>
        <w:t>In the Matter of Wolff</w:t>
      </w:r>
      <w:r w:rsidR="004B6DE1">
        <w:t xml:space="preserve"> (Review Dept. 2006) </w:t>
      </w:r>
      <w:r w:rsidR="004B6DE1" w:rsidRPr="00CC62FB">
        <w:t>5</w:t>
      </w:r>
      <w:r w:rsidR="00CC62FB">
        <w:t> </w:t>
      </w:r>
      <w:r w:rsidR="004B6DE1" w:rsidRPr="00CC62FB">
        <w:t>Cal</w:t>
      </w:r>
      <w:r w:rsidR="004B6DE1">
        <w:t xml:space="preserve">. State Bar Ct. </w:t>
      </w:r>
      <w:proofErr w:type="spellStart"/>
      <w:r w:rsidR="004B6DE1">
        <w:t>Rptr</w:t>
      </w:r>
      <w:proofErr w:type="spellEnd"/>
      <w:r w:rsidR="004B6DE1">
        <w:t xml:space="preserve">. 1, 14 [attorney who fails to accept responsibility for actions and instead </w:t>
      </w:r>
      <w:r w:rsidR="002E46A5">
        <w:t>blames others demonstrates indifference].)</w:t>
      </w:r>
      <w:r w:rsidR="004B6DE1">
        <w:t xml:space="preserve"> </w:t>
      </w:r>
      <w:r w:rsidR="00917B5A">
        <w:t xml:space="preserve"> Therefore</w:t>
      </w:r>
      <w:r w:rsidR="00BE570B">
        <w:t>, we do not assign aggravation under standard</w:t>
      </w:r>
      <w:r w:rsidR="00CC62FB">
        <w:t> </w:t>
      </w:r>
      <w:r w:rsidR="00BE570B">
        <w:t>1.5(k).</w:t>
      </w:r>
    </w:p>
    <w:p w14:paraId="582A8172" w14:textId="4ED59A4E" w:rsidR="00663ADB" w:rsidRPr="00044813" w:rsidRDefault="00663ADB" w:rsidP="0011314C">
      <w:pPr>
        <w:spacing w:line="480" w:lineRule="auto"/>
        <w:ind w:firstLine="720"/>
        <w:rPr>
          <w:b/>
          <w:bCs/>
        </w:rPr>
      </w:pPr>
      <w:r w:rsidRPr="00044813">
        <w:rPr>
          <w:b/>
          <w:bCs/>
        </w:rPr>
        <w:t xml:space="preserve">3.  </w:t>
      </w:r>
      <w:r w:rsidR="007C3E55" w:rsidRPr="00DF48BE">
        <w:rPr>
          <w:b/>
          <w:bCs/>
        </w:rPr>
        <w:t>No</w:t>
      </w:r>
      <w:r w:rsidR="007C3E55">
        <w:rPr>
          <w:b/>
          <w:bCs/>
        </w:rPr>
        <w:t xml:space="preserve"> </w:t>
      </w:r>
      <w:r w:rsidR="00122EF4">
        <w:rPr>
          <w:b/>
          <w:bCs/>
        </w:rPr>
        <w:t xml:space="preserve">Aggravation for </w:t>
      </w:r>
      <w:r w:rsidRPr="00044813">
        <w:rPr>
          <w:b/>
          <w:bCs/>
        </w:rPr>
        <w:t>Failure to Make Restitution (Std. 1.5</w:t>
      </w:r>
      <w:r w:rsidR="00234999" w:rsidRPr="00044813">
        <w:rPr>
          <w:b/>
          <w:bCs/>
        </w:rPr>
        <w:t>(m))</w:t>
      </w:r>
    </w:p>
    <w:p w14:paraId="4E9339C0" w14:textId="46AC6994" w:rsidR="00234999" w:rsidRDefault="00234999" w:rsidP="0011314C">
      <w:pPr>
        <w:spacing w:line="480" w:lineRule="auto"/>
        <w:ind w:firstLine="720"/>
        <w:rPr>
          <w:szCs w:val="24"/>
        </w:rPr>
      </w:pPr>
      <w:r>
        <w:t xml:space="preserve">OCTC argues on review that the hearing judge should have assigned aggravation for Isola’s failure to </w:t>
      </w:r>
      <w:r w:rsidR="00C55572">
        <w:t xml:space="preserve">return the “unauthorized” </w:t>
      </w:r>
      <w:r w:rsidR="00C55572" w:rsidRPr="004F51D8">
        <w:rPr>
          <w:szCs w:val="24"/>
        </w:rPr>
        <w:t>$26,085.69</w:t>
      </w:r>
      <w:r w:rsidR="00C55572">
        <w:rPr>
          <w:szCs w:val="24"/>
        </w:rPr>
        <w:t xml:space="preserve"> in fees he received from Travelers</w:t>
      </w:r>
      <w:r w:rsidR="004229B0">
        <w:rPr>
          <w:szCs w:val="24"/>
        </w:rPr>
        <w:t xml:space="preserve">.  OCTC asserts that Isola falsely represented to Travelers that he represented Min-Ku when he had no authority to do so.  </w:t>
      </w:r>
      <w:r w:rsidR="00044813">
        <w:rPr>
          <w:szCs w:val="24"/>
        </w:rPr>
        <w:t xml:space="preserve">As discussed </w:t>
      </w:r>
      <w:r w:rsidR="00044813" w:rsidRPr="00DF0339">
        <w:rPr>
          <w:i/>
          <w:iCs/>
          <w:szCs w:val="24"/>
        </w:rPr>
        <w:t>ante</w:t>
      </w:r>
      <w:r w:rsidR="00044813">
        <w:rPr>
          <w:szCs w:val="24"/>
        </w:rPr>
        <w:t xml:space="preserve">, we find that Isola had authority to do the defense work for the </w:t>
      </w:r>
      <w:proofErr w:type="spellStart"/>
      <w:r w:rsidR="00044813">
        <w:rPr>
          <w:szCs w:val="24"/>
        </w:rPr>
        <w:t>Hahns</w:t>
      </w:r>
      <w:proofErr w:type="spellEnd"/>
      <w:r w:rsidR="00DF0339">
        <w:rPr>
          <w:szCs w:val="24"/>
        </w:rPr>
        <w:t xml:space="preserve"> and he earned the fees from Travelers</w:t>
      </w:r>
      <w:r w:rsidR="00044813">
        <w:rPr>
          <w:szCs w:val="24"/>
        </w:rPr>
        <w:t>.  Accordingly, we do not assign aggravation under standard</w:t>
      </w:r>
      <w:r w:rsidR="00CC62FB">
        <w:rPr>
          <w:szCs w:val="24"/>
        </w:rPr>
        <w:t> </w:t>
      </w:r>
      <w:r w:rsidR="00044813">
        <w:rPr>
          <w:szCs w:val="24"/>
        </w:rPr>
        <w:t>1.5(m).</w:t>
      </w:r>
    </w:p>
    <w:p w14:paraId="178E9325" w14:textId="00B2A14B" w:rsidR="000539D3" w:rsidRPr="00CA1BEF" w:rsidRDefault="000539D3" w:rsidP="00CA1BEF">
      <w:pPr>
        <w:spacing w:line="480" w:lineRule="auto"/>
        <w:rPr>
          <w:b/>
          <w:bCs/>
          <w:szCs w:val="24"/>
        </w:rPr>
      </w:pPr>
      <w:r w:rsidRPr="00CA1BEF">
        <w:rPr>
          <w:b/>
          <w:bCs/>
          <w:szCs w:val="24"/>
        </w:rPr>
        <w:lastRenderedPageBreak/>
        <w:t>B.</w:t>
      </w:r>
      <w:r w:rsidRPr="00CA1BEF">
        <w:rPr>
          <w:b/>
          <w:bCs/>
          <w:szCs w:val="24"/>
        </w:rPr>
        <w:tab/>
        <w:t>Mitigation</w:t>
      </w:r>
    </w:p>
    <w:p w14:paraId="0A679D1A" w14:textId="77777777" w:rsidR="00CA1BEF" w:rsidRPr="00B66343" w:rsidRDefault="00CA1BEF" w:rsidP="00CA1BEF">
      <w:pPr>
        <w:spacing w:line="480" w:lineRule="auto"/>
        <w:ind w:firstLine="720"/>
        <w:rPr>
          <w:b/>
        </w:rPr>
      </w:pPr>
      <w:r>
        <w:rPr>
          <w:b/>
        </w:rPr>
        <w:t>1.  No Prior Record of Discipline (Std. 1.6(a</w:t>
      </w:r>
      <w:r w:rsidRPr="00B66343">
        <w:rPr>
          <w:b/>
        </w:rPr>
        <w:t>))</w:t>
      </w:r>
    </w:p>
    <w:p w14:paraId="3F3A834C" w14:textId="4233CBF1" w:rsidR="00AD62E2" w:rsidRPr="00B976B2" w:rsidRDefault="00CA1BEF" w:rsidP="00C60314">
      <w:pPr>
        <w:spacing w:line="480" w:lineRule="auto"/>
        <w:ind w:firstLine="720"/>
        <w:rPr>
          <w:szCs w:val="24"/>
        </w:rPr>
      </w:pPr>
      <w:r w:rsidRPr="00D55103">
        <w:rPr>
          <w:szCs w:val="24"/>
        </w:rPr>
        <w:t xml:space="preserve">Mitigation </w:t>
      </w:r>
      <w:r>
        <w:rPr>
          <w:szCs w:val="24"/>
        </w:rPr>
        <w:t xml:space="preserve">includes “absence of any prior record of discipline over many years coupled with present misconduct, which is not likely to recur.” </w:t>
      </w:r>
      <w:r w:rsidRPr="00D55103">
        <w:rPr>
          <w:szCs w:val="24"/>
        </w:rPr>
        <w:t xml:space="preserve"> (Std. 1.6(a).)</w:t>
      </w:r>
      <w:r w:rsidR="00DD1CC2">
        <w:rPr>
          <w:szCs w:val="24"/>
        </w:rPr>
        <w:t xml:space="preserve">  Prior to his misconduct, Isola practiced law for approximately 21 years </w:t>
      </w:r>
      <w:r w:rsidR="004734D6">
        <w:rPr>
          <w:szCs w:val="24"/>
        </w:rPr>
        <w:t>without discipline.  However, t</w:t>
      </w:r>
      <w:r>
        <w:rPr>
          <w:szCs w:val="24"/>
        </w:rPr>
        <w:t>he hearing judge assigned</w:t>
      </w:r>
      <w:r w:rsidR="00DD1CC2">
        <w:rPr>
          <w:szCs w:val="24"/>
        </w:rPr>
        <w:t xml:space="preserve"> moderate weight in </w:t>
      </w:r>
      <w:r w:rsidR="004734D6">
        <w:rPr>
          <w:szCs w:val="24"/>
        </w:rPr>
        <w:t xml:space="preserve">mitigation due to </w:t>
      </w:r>
      <w:r w:rsidR="00056C59">
        <w:rPr>
          <w:szCs w:val="24"/>
        </w:rPr>
        <w:t>his indifference.</w:t>
      </w:r>
      <w:r w:rsidR="00DA0F83">
        <w:rPr>
          <w:rStyle w:val="FootnoteReference"/>
          <w:szCs w:val="24"/>
        </w:rPr>
        <w:footnoteReference w:id="40"/>
      </w:r>
      <w:r w:rsidR="00056C59">
        <w:rPr>
          <w:szCs w:val="24"/>
        </w:rPr>
        <w:t xml:space="preserve">  </w:t>
      </w:r>
      <w:r w:rsidR="005C68E9">
        <w:rPr>
          <w:szCs w:val="24"/>
        </w:rPr>
        <w:t xml:space="preserve">Given Isola’s admission to culpability for </w:t>
      </w:r>
      <w:r w:rsidR="008D0C91">
        <w:rPr>
          <w:szCs w:val="24"/>
        </w:rPr>
        <w:t xml:space="preserve">failing to communicate and his testimony that he would do things differently, we do not agree that </w:t>
      </w:r>
      <w:r w:rsidR="00193EC3">
        <w:rPr>
          <w:szCs w:val="24"/>
        </w:rPr>
        <w:t xml:space="preserve">the misconduct will likely recur.  Accordingly, we find that Isola has established that he is entitled to substantial weight in mitigation for his </w:t>
      </w:r>
      <w:r w:rsidR="00CC5ED5">
        <w:rPr>
          <w:szCs w:val="24"/>
        </w:rPr>
        <w:t xml:space="preserve">21 years of discipline-free practice.  </w:t>
      </w:r>
      <w:r w:rsidR="00B976B2">
        <w:rPr>
          <w:szCs w:val="24"/>
        </w:rPr>
        <w:t>(</w:t>
      </w:r>
      <w:r w:rsidR="00B976B2">
        <w:rPr>
          <w:i/>
          <w:szCs w:val="24"/>
        </w:rPr>
        <w:t>Hawes v. State Bar</w:t>
      </w:r>
      <w:r w:rsidR="00B976B2">
        <w:rPr>
          <w:szCs w:val="24"/>
        </w:rPr>
        <w:t xml:space="preserve"> (1990) 51</w:t>
      </w:r>
      <w:r w:rsidR="00CC62FB">
        <w:rPr>
          <w:szCs w:val="24"/>
        </w:rPr>
        <w:t> </w:t>
      </w:r>
      <w:r w:rsidR="00B976B2">
        <w:rPr>
          <w:szCs w:val="24"/>
        </w:rPr>
        <w:t>Cal.3d 587</w:t>
      </w:r>
      <w:r w:rsidR="00F71A32">
        <w:rPr>
          <w:szCs w:val="24"/>
        </w:rPr>
        <w:t>, 596 [</w:t>
      </w:r>
      <w:r w:rsidR="00775BC6">
        <w:rPr>
          <w:szCs w:val="24"/>
        </w:rPr>
        <w:t>significant</w:t>
      </w:r>
      <w:r w:rsidR="00F71A32">
        <w:rPr>
          <w:szCs w:val="24"/>
        </w:rPr>
        <w:t xml:space="preserve"> mitigation where attorney practiced over 10 years before first act of misconduct and misconduct not likely to recur].)</w:t>
      </w:r>
      <w:r w:rsidR="00C4503D">
        <w:rPr>
          <w:rStyle w:val="FootnoteReference"/>
          <w:szCs w:val="24"/>
        </w:rPr>
        <w:footnoteReference w:id="41"/>
      </w:r>
    </w:p>
    <w:p w14:paraId="7EB4C5EB" w14:textId="77777777" w:rsidR="00CA58EB" w:rsidRPr="002F75EB" w:rsidRDefault="009E48D9" w:rsidP="00CA58EB">
      <w:pPr>
        <w:tabs>
          <w:tab w:val="left" w:pos="720"/>
        </w:tabs>
        <w:spacing w:line="480" w:lineRule="auto"/>
        <w:ind w:right="-144" w:firstLine="720"/>
        <w:rPr>
          <w:b/>
          <w:bCs/>
          <w:szCs w:val="24"/>
        </w:rPr>
      </w:pPr>
      <w:r w:rsidRPr="00CA58EB">
        <w:rPr>
          <w:b/>
          <w:bCs/>
          <w:szCs w:val="24"/>
        </w:rPr>
        <w:t>2.</w:t>
      </w:r>
      <w:r>
        <w:rPr>
          <w:szCs w:val="24"/>
        </w:rPr>
        <w:t xml:space="preserve">  </w:t>
      </w:r>
      <w:r w:rsidR="00CA58EB" w:rsidRPr="002F75EB">
        <w:rPr>
          <w:b/>
          <w:bCs/>
          <w:szCs w:val="24"/>
        </w:rPr>
        <w:t>Extraordinary Good Character (Std. 1.6(f))</w:t>
      </w:r>
    </w:p>
    <w:p w14:paraId="1BF6EAF9" w14:textId="63CF71E6" w:rsidR="007913EB" w:rsidRDefault="00CA58EB" w:rsidP="00B91921">
      <w:pPr>
        <w:tabs>
          <w:tab w:val="left" w:pos="720"/>
        </w:tabs>
        <w:autoSpaceDE w:val="0"/>
        <w:autoSpaceDN w:val="0"/>
        <w:adjustRightInd w:val="0"/>
        <w:spacing w:line="480" w:lineRule="auto"/>
        <w:ind w:firstLine="720"/>
        <w:contextualSpacing/>
      </w:pPr>
      <w:r>
        <w:t>Isola may obtain mitigation for “extraordinary good character attested to by a wide range of references in the legal and general communities, who are aware of the full extent of the misconduct.”  (Std. 1.6(f).)</w:t>
      </w:r>
      <w:r w:rsidR="0080618A">
        <w:t xml:space="preserve">  Six witnesses, including </w:t>
      </w:r>
      <w:r w:rsidR="000E09C7">
        <w:t xml:space="preserve">one attorney, a client, friends, and a family member, testified at trial and provided declarations </w:t>
      </w:r>
      <w:r w:rsidR="00431C93">
        <w:t>attesting to</w:t>
      </w:r>
      <w:r w:rsidR="000E09C7">
        <w:t xml:space="preserve"> </w:t>
      </w:r>
      <w:r w:rsidR="00FA176D">
        <w:t xml:space="preserve">Isola’s good character.  Four other character witnesses, including another attorney, submitted </w:t>
      </w:r>
      <w:r w:rsidR="009263FF">
        <w:t xml:space="preserve">declarations.  </w:t>
      </w:r>
      <w:r w:rsidR="000551ED">
        <w:t xml:space="preserve">The witnesses observed that Isola is a remarkable friend, honest, and trustworthy.  </w:t>
      </w:r>
      <w:r w:rsidR="00402C36">
        <w:t xml:space="preserve">The attorney who testified has worked with Isola and stated that </w:t>
      </w:r>
      <w:r w:rsidR="00431C93">
        <w:t>he</w:t>
      </w:r>
      <w:r w:rsidR="00402C36">
        <w:t xml:space="preserve"> is ethical, has high integrity, and goes above and beyond </w:t>
      </w:r>
      <w:r w:rsidR="00402C36">
        <w:lastRenderedPageBreak/>
        <w:t xml:space="preserve">for his clients.  </w:t>
      </w:r>
      <w:r w:rsidR="00B649CC">
        <w:t>(</w:t>
      </w:r>
      <w:r w:rsidR="00B649CC">
        <w:rPr>
          <w:i/>
        </w:rPr>
        <w:t>In the Matter of Brown</w:t>
      </w:r>
      <w:r w:rsidR="00B649CC">
        <w:t xml:space="preserve"> (Review Dept. 1993) 2 Cal. State Bar Ct. </w:t>
      </w:r>
      <w:proofErr w:type="spellStart"/>
      <w:r w:rsidR="00B649CC">
        <w:t>Rptr</w:t>
      </w:r>
      <w:proofErr w:type="spellEnd"/>
      <w:r w:rsidR="00B649CC">
        <w:t>. 309, 319 [serious consideration given to attorneys’ testimony due to their “strong interest in maintaining the honest administration of justice”].)</w:t>
      </w:r>
      <w:r w:rsidR="00F04441">
        <w:t xml:space="preserve">  Two witnesses discussed Isola’s </w:t>
      </w:r>
      <w:r w:rsidR="000A0536">
        <w:t>community involvement, including fundraising.</w:t>
      </w:r>
      <w:r w:rsidR="007913EB">
        <w:t xml:space="preserve">  </w:t>
      </w:r>
      <w:r w:rsidR="002C7A13">
        <w:t xml:space="preserve">Isola </w:t>
      </w:r>
      <w:r w:rsidR="00C416F8">
        <w:t xml:space="preserve">also testified regarding his community service.  He stated he organized a coat drive for needy children and helped to establish a science museum in Lodi.  He testified about his church activities, including fundraising and serving on the executive committee.  </w:t>
      </w:r>
    </w:p>
    <w:p w14:paraId="7E4144F6" w14:textId="130E5F38" w:rsidR="0080618A" w:rsidRDefault="000C419B" w:rsidP="00715C24">
      <w:pPr>
        <w:tabs>
          <w:tab w:val="left" w:pos="720"/>
        </w:tabs>
        <w:autoSpaceDE w:val="0"/>
        <w:autoSpaceDN w:val="0"/>
        <w:adjustRightInd w:val="0"/>
        <w:spacing w:line="480" w:lineRule="auto"/>
        <w:ind w:firstLine="720"/>
        <w:contextualSpacing/>
      </w:pPr>
      <w:r>
        <w:t xml:space="preserve">The hearing judge </w:t>
      </w:r>
      <w:r w:rsidR="00D94771">
        <w:t xml:space="preserve">assigned substantial weight in mitigation for Isola’s character evidence </w:t>
      </w:r>
      <w:r w:rsidR="00715C24">
        <w:t>based on the</w:t>
      </w:r>
      <w:r w:rsidR="0076071D">
        <w:t xml:space="preserve"> witnesses’</w:t>
      </w:r>
      <w:r w:rsidR="00525F2A">
        <w:t xml:space="preserve"> </w:t>
      </w:r>
      <w:r w:rsidR="00715C24">
        <w:t>testimony and because</w:t>
      </w:r>
      <w:r w:rsidR="001E6BBC">
        <w:t xml:space="preserve"> </w:t>
      </w:r>
      <w:r w:rsidR="00525F2A">
        <w:t>they</w:t>
      </w:r>
      <w:r w:rsidR="001E6BBC">
        <w:t xml:space="preserve"> had known Isola for </w:t>
      </w:r>
      <w:r w:rsidR="000551ED">
        <w:t>many</w:t>
      </w:r>
      <w:r w:rsidR="001E6BBC">
        <w:t xml:space="preserve"> years, were aware of the charges, </w:t>
      </w:r>
      <w:r w:rsidR="00C25433">
        <w:t xml:space="preserve">and </w:t>
      </w:r>
      <w:r w:rsidR="001E6BBC">
        <w:t>represented a cross-section of the community</w:t>
      </w:r>
      <w:r w:rsidR="00C25433">
        <w:t>.</w:t>
      </w:r>
      <w:r w:rsidR="00DB751C">
        <w:t xml:space="preserve">  </w:t>
      </w:r>
      <w:r w:rsidR="00F167F0">
        <w:t>OCTC argues</w:t>
      </w:r>
      <w:r w:rsidR="00DB751C">
        <w:t xml:space="preserve"> on review that the judge should have given less weight in mitigation under this standard because the </w:t>
      </w:r>
      <w:r w:rsidR="007702D3">
        <w:t xml:space="preserve">witnesses did not know about Isola’s dishonesty.  </w:t>
      </w:r>
      <w:r w:rsidR="00F167F0">
        <w:t>We reject this argument</w:t>
      </w:r>
      <w:r w:rsidR="00BE06A4">
        <w:t>.  T</w:t>
      </w:r>
      <w:r w:rsidR="007702D3">
        <w:t>he witnesses were aware of the misconduct alleged and we do not find dishonesty.</w:t>
      </w:r>
      <w:r w:rsidR="00384E8E">
        <w:rPr>
          <w:rStyle w:val="FootnoteReference"/>
        </w:rPr>
        <w:footnoteReference w:id="42"/>
      </w:r>
      <w:r w:rsidR="007702D3">
        <w:t xml:space="preserve">  </w:t>
      </w:r>
      <w:r w:rsidR="00AF205A">
        <w:t xml:space="preserve">We agree with the hearing judge’s finding and assign substantial weight in mitigation for Isola’s good character evidence.  </w:t>
      </w:r>
    </w:p>
    <w:p w14:paraId="1302B661" w14:textId="5D4ED50B" w:rsidR="006F5EDB" w:rsidRPr="0036542B" w:rsidRDefault="00042951" w:rsidP="00CA58EB">
      <w:pPr>
        <w:spacing w:line="480" w:lineRule="auto"/>
        <w:ind w:firstLine="720"/>
        <w:rPr>
          <w:b/>
          <w:bCs/>
          <w:szCs w:val="24"/>
        </w:rPr>
      </w:pPr>
      <w:r w:rsidRPr="0036542B">
        <w:rPr>
          <w:b/>
          <w:bCs/>
          <w:szCs w:val="24"/>
        </w:rPr>
        <w:t xml:space="preserve">3.  </w:t>
      </w:r>
      <w:r w:rsidR="00C722DD">
        <w:rPr>
          <w:b/>
          <w:bCs/>
          <w:szCs w:val="24"/>
        </w:rPr>
        <w:t xml:space="preserve">No Mitigation for </w:t>
      </w:r>
      <w:r w:rsidRPr="0036542B">
        <w:rPr>
          <w:b/>
          <w:bCs/>
          <w:szCs w:val="24"/>
        </w:rPr>
        <w:t>Good Faith (Std. 1.6(b))</w:t>
      </w:r>
    </w:p>
    <w:p w14:paraId="65AC57D0" w14:textId="40E7F777" w:rsidR="00042951" w:rsidRDefault="004F5838" w:rsidP="00CA58EB">
      <w:pPr>
        <w:spacing w:line="480" w:lineRule="auto"/>
        <w:ind w:firstLine="720"/>
        <w:rPr>
          <w:szCs w:val="24"/>
        </w:rPr>
      </w:pPr>
      <w:r>
        <w:rPr>
          <w:szCs w:val="24"/>
        </w:rPr>
        <w:t xml:space="preserve">Mitigation includes a “good faith belief that is honestly held and objectively reasonable.”  </w:t>
      </w:r>
      <w:r w:rsidR="001D7DCF">
        <w:rPr>
          <w:szCs w:val="24"/>
        </w:rPr>
        <w:t>(Std.</w:t>
      </w:r>
      <w:r w:rsidR="00CC62FB">
        <w:rPr>
          <w:szCs w:val="24"/>
        </w:rPr>
        <w:t> </w:t>
      </w:r>
      <w:r w:rsidR="001D7DCF">
        <w:rPr>
          <w:szCs w:val="24"/>
        </w:rPr>
        <w:t>1.6(b).)</w:t>
      </w:r>
      <w:r w:rsidR="00B83D11">
        <w:rPr>
          <w:szCs w:val="24"/>
        </w:rPr>
        <w:t xml:space="preserve">  The hearing judge did not find mitigation for good faith based on her determination that </w:t>
      </w:r>
      <w:r w:rsidR="00DE0564">
        <w:rPr>
          <w:szCs w:val="24"/>
        </w:rPr>
        <w:t>Isola</w:t>
      </w:r>
      <w:r w:rsidR="00A147A6">
        <w:rPr>
          <w:szCs w:val="24"/>
        </w:rPr>
        <w:t xml:space="preserve"> </w:t>
      </w:r>
      <w:r w:rsidR="00A90BF1">
        <w:rPr>
          <w:szCs w:val="24"/>
        </w:rPr>
        <w:t>c</w:t>
      </w:r>
      <w:r w:rsidR="00A147A6">
        <w:rPr>
          <w:szCs w:val="24"/>
        </w:rPr>
        <w:t xml:space="preserve">ould not have </w:t>
      </w:r>
      <w:r w:rsidR="00A90BF1">
        <w:rPr>
          <w:szCs w:val="24"/>
        </w:rPr>
        <w:t xml:space="preserve">reasonably </w:t>
      </w:r>
      <w:r w:rsidR="00A147A6">
        <w:rPr>
          <w:szCs w:val="24"/>
        </w:rPr>
        <w:t xml:space="preserve">believed he </w:t>
      </w:r>
      <w:r w:rsidR="0087258E">
        <w:rPr>
          <w:szCs w:val="24"/>
        </w:rPr>
        <w:t xml:space="preserve">had authority to act as the </w:t>
      </w:r>
      <w:proofErr w:type="spellStart"/>
      <w:r w:rsidR="0087258E">
        <w:rPr>
          <w:szCs w:val="24"/>
        </w:rPr>
        <w:t>Hahns</w:t>
      </w:r>
      <w:proofErr w:type="spellEnd"/>
      <w:r w:rsidR="0087258E">
        <w:rPr>
          <w:szCs w:val="24"/>
        </w:rPr>
        <w:t>’ attorney.</w:t>
      </w:r>
      <w:r w:rsidR="007B1E3B">
        <w:rPr>
          <w:rStyle w:val="FootnoteReference"/>
          <w:szCs w:val="24"/>
        </w:rPr>
        <w:footnoteReference w:id="43"/>
      </w:r>
      <w:r w:rsidR="0087258E">
        <w:rPr>
          <w:szCs w:val="24"/>
        </w:rPr>
        <w:t xml:space="preserve">  </w:t>
      </w:r>
      <w:r w:rsidR="009E0BD1">
        <w:rPr>
          <w:szCs w:val="24"/>
        </w:rPr>
        <w:t>We disagree</w:t>
      </w:r>
      <w:r w:rsidR="00E14705">
        <w:rPr>
          <w:szCs w:val="24"/>
        </w:rPr>
        <w:t xml:space="preserve"> because</w:t>
      </w:r>
      <w:r w:rsidR="009E0BD1">
        <w:rPr>
          <w:szCs w:val="24"/>
        </w:rPr>
        <w:t xml:space="preserve"> we find Isola did have authority</w:t>
      </w:r>
      <w:r w:rsidR="00313190">
        <w:rPr>
          <w:szCs w:val="24"/>
        </w:rPr>
        <w:t xml:space="preserve">.  </w:t>
      </w:r>
      <w:r w:rsidR="00B92D27">
        <w:rPr>
          <w:szCs w:val="24"/>
        </w:rPr>
        <w:t>The judge also held th</w:t>
      </w:r>
      <w:r w:rsidR="002E1DE0">
        <w:rPr>
          <w:szCs w:val="24"/>
        </w:rPr>
        <w:t xml:space="preserve">at Isola could not have reasonably believed he had no obligation to communicate with the </w:t>
      </w:r>
      <w:proofErr w:type="spellStart"/>
      <w:r w:rsidR="002E1DE0">
        <w:rPr>
          <w:szCs w:val="24"/>
        </w:rPr>
        <w:t>Hahns</w:t>
      </w:r>
      <w:proofErr w:type="spellEnd"/>
      <w:r w:rsidR="002E1DE0">
        <w:rPr>
          <w:szCs w:val="24"/>
        </w:rPr>
        <w:t xml:space="preserve"> about </w:t>
      </w:r>
      <w:r w:rsidR="002E1DE0">
        <w:rPr>
          <w:szCs w:val="24"/>
        </w:rPr>
        <w:lastRenderedPageBreak/>
        <w:t>the significant actions he was taking on their behalf</w:t>
      </w:r>
      <w:r w:rsidR="009E0BD1">
        <w:rPr>
          <w:szCs w:val="24"/>
        </w:rPr>
        <w:t>.</w:t>
      </w:r>
      <w:r w:rsidR="00313190">
        <w:rPr>
          <w:szCs w:val="24"/>
        </w:rPr>
        <w:t xml:space="preserve">  We agree.  </w:t>
      </w:r>
      <w:r w:rsidR="00D66DB7">
        <w:rPr>
          <w:szCs w:val="24"/>
        </w:rPr>
        <w:t xml:space="preserve">Isola </w:t>
      </w:r>
      <w:r w:rsidR="00824719">
        <w:rPr>
          <w:szCs w:val="24"/>
        </w:rPr>
        <w:t xml:space="preserve">unreasonably </w:t>
      </w:r>
      <w:r w:rsidR="00D66DB7">
        <w:rPr>
          <w:szCs w:val="24"/>
        </w:rPr>
        <w:t>ignored his ethical responsibilities in failing to communicate.</w:t>
      </w:r>
      <w:r w:rsidR="00044385">
        <w:rPr>
          <w:szCs w:val="24"/>
        </w:rPr>
        <w:t xml:space="preserve">  (</w:t>
      </w:r>
      <w:r w:rsidR="00044385">
        <w:rPr>
          <w:i/>
          <w:szCs w:val="24"/>
        </w:rPr>
        <w:t>In the Matter of Rose</w:t>
      </w:r>
      <w:r w:rsidR="00044385">
        <w:rPr>
          <w:szCs w:val="24"/>
        </w:rPr>
        <w:t xml:space="preserve"> (Review Dept. 1997) 3</w:t>
      </w:r>
      <w:r w:rsidR="00CC62FB">
        <w:rPr>
          <w:szCs w:val="24"/>
        </w:rPr>
        <w:t> </w:t>
      </w:r>
      <w:r w:rsidR="00044385">
        <w:rPr>
          <w:szCs w:val="24"/>
        </w:rPr>
        <w:t xml:space="preserve">Cal. State Bar Ct. </w:t>
      </w:r>
      <w:proofErr w:type="spellStart"/>
      <w:r w:rsidR="00044385">
        <w:rPr>
          <w:szCs w:val="24"/>
        </w:rPr>
        <w:t>Rptr</w:t>
      </w:r>
      <w:proofErr w:type="spellEnd"/>
      <w:r w:rsidR="00044385">
        <w:rPr>
          <w:szCs w:val="24"/>
        </w:rPr>
        <w:t>. 646, 653 [</w:t>
      </w:r>
      <w:r w:rsidR="001E69F1">
        <w:rPr>
          <w:szCs w:val="24"/>
        </w:rPr>
        <w:t>attorney must prove beliefs were honestly held and reasonable to qualify for good faith mitigation].)</w:t>
      </w:r>
      <w:r w:rsidR="001B6BDF">
        <w:rPr>
          <w:szCs w:val="24"/>
        </w:rPr>
        <w:t xml:space="preserve">  We reject his argument that his regular communications with Travelers absolve</w:t>
      </w:r>
      <w:r w:rsidR="004943B2">
        <w:rPr>
          <w:szCs w:val="24"/>
        </w:rPr>
        <w:t>d</w:t>
      </w:r>
      <w:r w:rsidR="001B6BDF">
        <w:rPr>
          <w:szCs w:val="24"/>
        </w:rPr>
        <w:t xml:space="preserve"> him of his obligation to inform </w:t>
      </w:r>
      <w:r w:rsidR="00535630">
        <w:rPr>
          <w:szCs w:val="24"/>
        </w:rPr>
        <w:t xml:space="preserve">the </w:t>
      </w:r>
      <w:proofErr w:type="spellStart"/>
      <w:r w:rsidR="00535630">
        <w:rPr>
          <w:szCs w:val="24"/>
        </w:rPr>
        <w:t>Hahns</w:t>
      </w:r>
      <w:proofErr w:type="spellEnd"/>
      <w:r w:rsidR="001B6BDF">
        <w:rPr>
          <w:szCs w:val="24"/>
        </w:rPr>
        <w:t xml:space="preserve"> of significant developments.</w:t>
      </w:r>
      <w:r w:rsidR="005E2613">
        <w:rPr>
          <w:szCs w:val="24"/>
        </w:rPr>
        <w:t xml:space="preserve">  </w:t>
      </w:r>
      <w:r w:rsidR="00D35FFD">
        <w:rPr>
          <w:szCs w:val="24"/>
        </w:rPr>
        <w:t xml:space="preserve">Therefore, we give no weight in mitigation for Isola’s assertion of a good faith belief.  </w:t>
      </w:r>
    </w:p>
    <w:p w14:paraId="1E74B62E" w14:textId="77777777" w:rsidR="007F1CB6" w:rsidRPr="006A183E" w:rsidRDefault="007F1CB6" w:rsidP="007F1CB6">
      <w:pPr>
        <w:spacing w:line="480" w:lineRule="auto"/>
        <w:jc w:val="center"/>
        <w:rPr>
          <w:b/>
          <w:bCs/>
          <w:szCs w:val="24"/>
        </w:rPr>
      </w:pPr>
      <w:r w:rsidRPr="006A183E">
        <w:rPr>
          <w:b/>
          <w:bCs/>
          <w:szCs w:val="24"/>
        </w:rPr>
        <w:t>V.  DISCUSSION</w:t>
      </w:r>
    </w:p>
    <w:p w14:paraId="7E7DD222" w14:textId="5CF0F325" w:rsidR="007F1CB6" w:rsidRDefault="007F1CB6" w:rsidP="007F1CB6">
      <w:pPr>
        <w:spacing w:line="480" w:lineRule="auto"/>
        <w:ind w:firstLine="720"/>
        <w:rPr>
          <w:szCs w:val="24"/>
        </w:rPr>
      </w:pPr>
      <w:r w:rsidRPr="0073476E">
        <w:t>The purpose of attorney discipline is not to punish the attorney, but to protect the public, the courts, and the legal profession</w:t>
      </w:r>
      <w:r>
        <w:t>;</w:t>
      </w:r>
      <w:r w:rsidRPr="0073476E">
        <w:t xml:space="preserve"> to preserve public confidence in the profession</w:t>
      </w:r>
      <w:r>
        <w:t>;</w:t>
      </w:r>
      <w:r w:rsidRPr="0073476E">
        <w:t xml:space="preserve"> and to maintain high professional standards for attorney</w:t>
      </w:r>
      <w:r>
        <w:t xml:space="preserve">s.  (Std. 1.1.)  </w:t>
      </w:r>
      <w:r w:rsidRPr="001223A2">
        <w:rPr>
          <w:rFonts w:eastAsia="Times New Roman"/>
          <w:szCs w:val="24"/>
        </w:rPr>
        <w:t>Our disciplinary analysis begins with the standards.  While they are guidelines for discipline and are not mandatory, we give them great weight to promote consistency.  (</w:t>
      </w:r>
      <w:r w:rsidRPr="001223A2">
        <w:rPr>
          <w:rFonts w:eastAsia="Times New Roman"/>
          <w:i/>
          <w:szCs w:val="24"/>
        </w:rPr>
        <w:t>In re Silverton</w:t>
      </w:r>
      <w:r w:rsidRPr="001223A2">
        <w:rPr>
          <w:rFonts w:eastAsia="Times New Roman"/>
          <w:szCs w:val="24"/>
        </w:rPr>
        <w:t xml:space="preserve"> (2005) 36</w:t>
      </w:r>
      <w:r>
        <w:rPr>
          <w:rFonts w:eastAsia="Times New Roman"/>
          <w:szCs w:val="24"/>
        </w:rPr>
        <w:t> </w:t>
      </w:r>
      <w:r w:rsidRPr="001223A2">
        <w:rPr>
          <w:rFonts w:eastAsia="Times New Roman"/>
          <w:szCs w:val="24"/>
        </w:rPr>
        <w:t>Cal.4th 81, 91</w:t>
      </w:r>
      <w:r w:rsidR="009A7BE6">
        <w:rPr>
          <w:szCs w:val="24"/>
        </w:rPr>
        <w:t>-</w:t>
      </w:r>
      <w:r w:rsidRPr="001223A2">
        <w:rPr>
          <w:rFonts w:eastAsia="Times New Roman"/>
          <w:szCs w:val="24"/>
        </w:rPr>
        <w:t xml:space="preserve">92.)  </w:t>
      </w:r>
      <w:r>
        <w:rPr>
          <w:rFonts w:eastAsia="Times New Roman"/>
          <w:szCs w:val="24"/>
        </w:rPr>
        <w:t>T</w:t>
      </w:r>
      <w:r w:rsidRPr="001223A2">
        <w:rPr>
          <w:rFonts w:eastAsia="Times New Roman"/>
          <w:szCs w:val="24"/>
        </w:rPr>
        <w:t>he Supreme Court has instructed us to follow the standards “</w:t>
      </w:r>
      <w:r w:rsidRPr="001223A2">
        <w:rPr>
          <w:szCs w:val="24"/>
        </w:rPr>
        <w:t>whenever possible</w:t>
      </w:r>
      <w:r>
        <w:rPr>
          <w:szCs w:val="24"/>
        </w:rPr>
        <w:t>.</w:t>
      </w:r>
      <w:r w:rsidRPr="001223A2">
        <w:rPr>
          <w:szCs w:val="24"/>
        </w:rPr>
        <w:t xml:space="preserve">” </w:t>
      </w:r>
      <w:r>
        <w:rPr>
          <w:szCs w:val="24"/>
        </w:rPr>
        <w:t xml:space="preserve"> </w:t>
      </w:r>
      <w:r w:rsidRPr="001223A2">
        <w:rPr>
          <w:szCs w:val="24"/>
        </w:rPr>
        <w:t>(</w:t>
      </w:r>
      <w:r w:rsidRPr="001223A2">
        <w:rPr>
          <w:rFonts w:eastAsia="Times New Roman"/>
          <w:i/>
          <w:szCs w:val="24"/>
        </w:rPr>
        <w:t>In re Young</w:t>
      </w:r>
      <w:r w:rsidRPr="001223A2">
        <w:rPr>
          <w:rFonts w:eastAsia="Times New Roman"/>
          <w:szCs w:val="24"/>
        </w:rPr>
        <w:t xml:space="preserve"> (1989) 49 Cal.3d 257, 267, fn.</w:t>
      </w:r>
      <w:r>
        <w:rPr>
          <w:rFonts w:eastAsia="Times New Roman"/>
          <w:szCs w:val="24"/>
        </w:rPr>
        <w:t> </w:t>
      </w:r>
      <w:r w:rsidRPr="001223A2">
        <w:rPr>
          <w:rFonts w:eastAsia="Times New Roman"/>
          <w:szCs w:val="24"/>
        </w:rPr>
        <w:t>11</w:t>
      </w:r>
      <w:r>
        <w:rPr>
          <w:rFonts w:eastAsia="Times New Roman"/>
          <w:szCs w:val="24"/>
        </w:rPr>
        <w:t>.</w:t>
      </w:r>
      <w:r w:rsidRPr="001223A2">
        <w:rPr>
          <w:szCs w:val="24"/>
        </w:rPr>
        <w:t>)</w:t>
      </w:r>
      <w:r>
        <w:rPr>
          <w:szCs w:val="24"/>
        </w:rPr>
        <w:t xml:space="preserve">  We</w:t>
      </w:r>
      <w:r w:rsidRPr="001223A2">
        <w:rPr>
          <w:szCs w:val="24"/>
        </w:rPr>
        <w:t xml:space="preserve"> also look to comparable case law for guidance.  (See </w:t>
      </w:r>
      <w:r w:rsidRPr="001223A2">
        <w:rPr>
          <w:i/>
          <w:szCs w:val="24"/>
        </w:rPr>
        <w:t>Snyder v. State Bar</w:t>
      </w:r>
      <w:r>
        <w:rPr>
          <w:szCs w:val="24"/>
        </w:rPr>
        <w:t xml:space="preserve"> (1990) </w:t>
      </w:r>
      <w:r w:rsidRPr="002F64BE">
        <w:rPr>
          <w:szCs w:val="24"/>
        </w:rPr>
        <w:t>49 Cal.3d 1302</w:t>
      </w:r>
      <w:r>
        <w:rPr>
          <w:szCs w:val="24"/>
        </w:rPr>
        <w:t>,</w:t>
      </w:r>
      <w:r w:rsidRPr="002F64BE">
        <w:rPr>
          <w:szCs w:val="24"/>
        </w:rPr>
        <w:t xml:space="preserve"> </w:t>
      </w:r>
      <w:r>
        <w:rPr>
          <w:szCs w:val="24"/>
        </w:rPr>
        <w:t>1</w:t>
      </w:r>
      <w:r w:rsidRPr="001223A2">
        <w:rPr>
          <w:szCs w:val="24"/>
        </w:rPr>
        <w:t>310</w:t>
      </w:r>
      <w:r w:rsidR="00953035">
        <w:rPr>
          <w:szCs w:val="24"/>
        </w:rPr>
        <w:t>-</w:t>
      </w:r>
      <w:r w:rsidRPr="001223A2">
        <w:rPr>
          <w:szCs w:val="24"/>
        </w:rPr>
        <w:t>1311.)</w:t>
      </w:r>
    </w:p>
    <w:p w14:paraId="47FBCF33" w14:textId="47E8F612" w:rsidR="00667CF5" w:rsidRDefault="007F1CB6" w:rsidP="007F1CB6">
      <w:pPr>
        <w:spacing w:line="480" w:lineRule="auto"/>
        <w:ind w:firstLine="720"/>
        <w:rPr>
          <w:rFonts w:eastAsia="Times New Roman"/>
          <w:szCs w:val="24"/>
        </w:rPr>
      </w:pPr>
      <w:r w:rsidRPr="004072CB">
        <w:rPr>
          <w:rFonts w:eastAsia="Times New Roman"/>
          <w:szCs w:val="24"/>
        </w:rPr>
        <w:t>In analyzing the applicable standards, we first determine which standard specifies the most severe sanction for the at-issue misconduct.  (Std.</w:t>
      </w:r>
      <w:r>
        <w:rPr>
          <w:rFonts w:eastAsia="Times New Roman"/>
          <w:szCs w:val="24"/>
        </w:rPr>
        <w:t> </w:t>
      </w:r>
      <w:r w:rsidRPr="004072CB">
        <w:rPr>
          <w:rFonts w:eastAsia="Times New Roman"/>
          <w:szCs w:val="24"/>
        </w:rPr>
        <w:t>1.7(a) [most severe sanction shall be imposed where multiple sanctions apply].)</w:t>
      </w:r>
      <w:r>
        <w:rPr>
          <w:rFonts w:eastAsia="Times New Roman"/>
          <w:szCs w:val="24"/>
        </w:rPr>
        <w:t xml:space="preserve">  The most severe sanction applicable here is standard 2.7(b) and provides for actual suspension for communication violations.</w:t>
      </w:r>
      <w:r>
        <w:rPr>
          <w:rStyle w:val="FootnoteReference"/>
          <w:rFonts w:eastAsia="Times New Roman"/>
          <w:szCs w:val="24"/>
        </w:rPr>
        <w:footnoteReference w:id="44"/>
      </w:r>
      <w:r>
        <w:rPr>
          <w:rFonts w:eastAsia="Times New Roman"/>
          <w:szCs w:val="24"/>
        </w:rPr>
        <w:t xml:space="preserve">  Actual </w:t>
      </w:r>
      <w:r>
        <w:rPr>
          <w:rFonts w:eastAsia="Times New Roman"/>
          <w:szCs w:val="24"/>
        </w:rPr>
        <w:lastRenderedPageBreak/>
        <w:t>suspension is generally for 30 days, 60 days, 90 days, six months, one year, 18 months, two years, three years, or until specific conditions are met.  (Std.</w:t>
      </w:r>
      <w:r w:rsidR="00CC62FB">
        <w:rPr>
          <w:rFonts w:eastAsia="Times New Roman"/>
          <w:szCs w:val="24"/>
        </w:rPr>
        <w:t> </w:t>
      </w:r>
      <w:r>
        <w:rPr>
          <w:rFonts w:eastAsia="Times New Roman"/>
          <w:szCs w:val="24"/>
        </w:rPr>
        <w:t>1.2(c)(1).)  Given the broad range of discipline suggested by standard</w:t>
      </w:r>
      <w:r w:rsidR="00CC62FB">
        <w:rPr>
          <w:rFonts w:eastAsia="Times New Roman"/>
          <w:szCs w:val="24"/>
        </w:rPr>
        <w:t> </w:t>
      </w:r>
      <w:r>
        <w:rPr>
          <w:rFonts w:eastAsia="Times New Roman"/>
          <w:szCs w:val="24"/>
        </w:rPr>
        <w:t>2.7(b), we look to guiding case law, focusing on communication violations.</w:t>
      </w:r>
      <w:r w:rsidR="00C071A5">
        <w:rPr>
          <w:rStyle w:val="FootnoteReference"/>
          <w:rFonts w:eastAsia="Times New Roman"/>
          <w:szCs w:val="24"/>
        </w:rPr>
        <w:footnoteReference w:id="45"/>
      </w:r>
      <w:r>
        <w:rPr>
          <w:rFonts w:eastAsia="Times New Roman"/>
          <w:szCs w:val="24"/>
        </w:rPr>
        <w:t xml:space="preserve">  </w:t>
      </w:r>
      <w:r w:rsidR="00F95077">
        <w:rPr>
          <w:rFonts w:eastAsia="Times New Roman"/>
          <w:szCs w:val="24"/>
        </w:rPr>
        <w:t xml:space="preserve">  </w:t>
      </w:r>
    </w:p>
    <w:p w14:paraId="007251DC" w14:textId="065F6C32" w:rsidR="007F1CB6" w:rsidRDefault="007F1CB6" w:rsidP="007F1CB6">
      <w:pPr>
        <w:spacing w:line="480" w:lineRule="auto"/>
        <w:ind w:firstLine="720"/>
        <w:rPr>
          <w:rFonts w:eastAsia="Times New Roman"/>
          <w:szCs w:val="24"/>
        </w:rPr>
      </w:pPr>
      <w:r>
        <w:rPr>
          <w:rFonts w:eastAsia="Times New Roman"/>
          <w:szCs w:val="24"/>
        </w:rPr>
        <w:t>Attorneys have a duty to communicate adequately with their clients, which is “an integral part of competent professional performance as an attorney.”  (</w:t>
      </w:r>
      <w:r>
        <w:rPr>
          <w:rFonts w:eastAsia="Times New Roman"/>
          <w:i/>
          <w:szCs w:val="24"/>
        </w:rPr>
        <w:t>Calvert v. State Bar</w:t>
      </w:r>
      <w:r w:rsidR="004F4FE1">
        <w:rPr>
          <w:rFonts w:eastAsia="Times New Roman"/>
          <w:szCs w:val="24"/>
        </w:rPr>
        <w:t xml:space="preserve"> (1991)</w:t>
      </w:r>
      <w:r>
        <w:rPr>
          <w:rFonts w:eastAsia="Times New Roman"/>
          <w:szCs w:val="24"/>
        </w:rPr>
        <w:t xml:space="preserve"> 54</w:t>
      </w:r>
      <w:r w:rsidR="00CC62FB">
        <w:rPr>
          <w:rFonts w:eastAsia="Times New Roman"/>
          <w:szCs w:val="24"/>
        </w:rPr>
        <w:t> </w:t>
      </w:r>
      <w:r>
        <w:rPr>
          <w:rFonts w:eastAsia="Times New Roman"/>
          <w:szCs w:val="24"/>
        </w:rPr>
        <w:t xml:space="preserve">Cal.3d 765, 782, 785.)  The attorney in </w:t>
      </w:r>
      <w:r w:rsidRPr="000B7D9A">
        <w:rPr>
          <w:rFonts w:eastAsia="Times New Roman"/>
          <w:i/>
          <w:iCs/>
          <w:szCs w:val="24"/>
        </w:rPr>
        <w:t>Calvert</w:t>
      </w:r>
      <w:r>
        <w:rPr>
          <w:rFonts w:eastAsia="Times New Roman"/>
          <w:szCs w:val="24"/>
        </w:rPr>
        <w:t xml:space="preserve"> failed to adequately communicate with her client, but continued to work on her client’s case.  Calvert performed competently and obtained good results through the trial phase of the </w:t>
      </w:r>
      <w:r w:rsidR="007C5D77">
        <w:rPr>
          <w:rFonts w:eastAsia="Times New Roman"/>
          <w:szCs w:val="24"/>
        </w:rPr>
        <w:t>representation,</w:t>
      </w:r>
      <w:r>
        <w:rPr>
          <w:rFonts w:eastAsia="Times New Roman"/>
          <w:szCs w:val="24"/>
        </w:rPr>
        <w:t xml:space="preserve"> </w:t>
      </w:r>
      <w:r w:rsidR="00F74FB5">
        <w:rPr>
          <w:rFonts w:eastAsia="Times New Roman"/>
          <w:szCs w:val="24"/>
        </w:rPr>
        <w:t>but</w:t>
      </w:r>
      <w:r>
        <w:rPr>
          <w:rFonts w:eastAsia="Times New Roman"/>
          <w:szCs w:val="24"/>
        </w:rPr>
        <w:t xml:space="preserve"> </w:t>
      </w:r>
      <w:r w:rsidR="000E76A3">
        <w:rPr>
          <w:rFonts w:eastAsia="Times New Roman"/>
          <w:szCs w:val="24"/>
        </w:rPr>
        <w:t xml:space="preserve">she </w:t>
      </w:r>
      <w:r>
        <w:rPr>
          <w:rFonts w:eastAsia="Times New Roman"/>
          <w:szCs w:val="24"/>
        </w:rPr>
        <w:t>did not devote sufficient time to her client’s case</w:t>
      </w:r>
      <w:r w:rsidR="00EB3C7A">
        <w:rPr>
          <w:rFonts w:eastAsia="Times New Roman"/>
          <w:szCs w:val="24"/>
        </w:rPr>
        <w:t xml:space="preserve"> after the trial</w:t>
      </w:r>
      <w:r>
        <w:rPr>
          <w:rFonts w:eastAsia="Times New Roman"/>
          <w:szCs w:val="24"/>
        </w:rPr>
        <w:t xml:space="preserve">.  Based on the fact that Calvert continued representation when she knew she did not have sufficient time, the court found she failed to perform legal services with competence.  No aggravation was </w:t>
      </w:r>
      <w:r w:rsidR="007C5D77">
        <w:rPr>
          <w:rFonts w:eastAsia="Times New Roman"/>
          <w:szCs w:val="24"/>
        </w:rPr>
        <w:t>established,</w:t>
      </w:r>
      <w:r>
        <w:rPr>
          <w:rFonts w:eastAsia="Times New Roman"/>
          <w:szCs w:val="24"/>
        </w:rPr>
        <w:t xml:space="preserve"> and Calvert received mitigation for her pro bono work and community service.  </w:t>
      </w:r>
      <w:r w:rsidR="00301765">
        <w:rPr>
          <w:rFonts w:eastAsia="Times New Roman"/>
          <w:szCs w:val="24"/>
        </w:rPr>
        <w:t>She</w:t>
      </w:r>
      <w:r>
        <w:rPr>
          <w:rFonts w:eastAsia="Times New Roman"/>
          <w:szCs w:val="24"/>
        </w:rPr>
        <w:t xml:space="preserve"> had a prior record of </w:t>
      </w:r>
      <w:r w:rsidR="00B42CF6">
        <w:rPr>
          <w:rFonts w:eastAsia="Times New Roman"/>
          <w:szCs w:val="24"/>
        </w:rPr>
        <w:t>discipline but</w:t>
      </w:r>
      <w:r>
        <w:rPr>
          <w:rFonts w:eastAsia="Times New Roman"/>
          <w:szCs w:val="24"/>
        </w:rPr>
        <w:t xml:space="preserve"> did not receive aggravation as the misconduct in th</w:t>
      </w:r>
      <w:r w:rsidR="00301765">
        <w:rPr>
          <w:rFonts w:eastAsia="Times New Roman"/>
          <w:szCs w:val="24"/>
        </w:rPr>
        <w:t>is</w:t>
      </w:r>
      <w:r>
        <w:rPr>
          <w:rFonts w:eastAsia="Times New Roman"/>
          <w:szCs w:val="24"/>
        </w:rPr>
        <w:t xml:space="preserve"> case and the “prior” case occurred contemporaneously.  She received an actual suspension of 60 days.  Isola’s case is </w:t>
      </w:r>
      <w:r w:rsidR="00332175">
        <w:rPr>
          <w:rFonts w:eastAsia="Times New Roman"/>
          <w:szCs w:val="24"/>
        </w:rPr>
        <w:t>similar</w:t>
      </w:r>
      <w:r>
        <w:rPr>
          <w:rFonts w:eastAsia="Times New Roman"/>
          <w:szCs w:val="24"/>
        </w:rPr>
        <w:t xml:space="preserve"> as he also failed to adequately communicate, </w:t>
      </w:r>
      <w:r w:rsidR="00332175">
        <w:rPr>
          <w:rFonts w:eastAsia="Times New Roman"/>
          <w:szCs w:val="24"/>
        </w:rPr>
        <w:t xml:space="preserve">but Isola </w:t>
      </w:r>
      <w:r>
        <w:rPr>
          <w:rFonts w:eastAsia="Times New Roman"/>
          <w:szCs w:val="24"/>
        </w:rPr>
        <w:t xml:space="preserve">continued to work </w:t>
      </w:r>
      <w:r w:rsidR="007451D1">
        <w:rPr>
          <w:rFonts w:eastAsia="Times New Roman"/>
          <w:szCs w:val="24"/>
        </w:rPr>
        <w:t>to</w:t>
      </w:r>
      <w:r>
        <w:rPr>
          <w:rFonts w:eastAsia="Times New Roman"/>
          <w:szCs w:val="24"/>
        </w:rPr>
        <w:t xml:space="preserve"> advanc</w:t>
      </w:r>
      <w:r w:rsidR="007451D1">
        <w:rPr>
          <w:rFonts w:eastAsia="Times New Roman"/>
          <w:szCs w:val="24"/>
        </w:rPr>
        <w:t>e</w:t>
      </w:r>
      <w:r>
        <w:rPr>
          <w:rFonts w:eastAsia="Times New Roman"/>
          <w:szCs w:val="24"/>
        </w:rPr>
        <w:t xml:space="preserve"> his clients’ interests.  Isola has </w:t>
      </w:r>
      <w:r w:rsidR="00907DBA">
        <w:rPr>
          <w:rFonts w:eastAsia="Times New Roman"/>
          <w:szCs w:val="24"/>
        </w:rPr>
        <w:t>substantial</w:t>
      </w:r>
      <w:r>
        <w:rPr>
          <w:rFonts w:eastAsia="Times New Roman"/>
          <w:szCs w:val="24"/>
        </w:rPr>
        <w:t xml:space="preserve"> mitigation for his lack of a prior record of discipline</w:t>
      </w:r>
      <w:r w:rsidR="00727F8C">
        <w:rPr>
          <w:rFonts w:eastAsia="Times New Roman"/>
          <w:szCs w:val="24"/>
        </w:rPr>
        <w:t xml:space="preserve"> and good character</w:t>
      </w:r>
      <w:r w:rsidR="00BF1086">
        <w:rPr>
          <w:rFonts w:eastAsia="Times New Roman"/>
          <w:szCs w:val="24"/>
        </w:rPr>
        <w:t>.</w:t>
      </w:r>
      <w:r>
        <w:rPr>
          <w:rFonts w:eastAsia="Times New Roman"/>
          <w:szCs w:val="24"/>
        </w:rPr>
        <w:t xml:space="preserve"> </w:t>
      </w:r>
      <w:r w:rsidR="00BF1086">
        <w:rPr>
          <w:rFonts w:eastAsia="Times New Roman"/>
          <w:szCs w:val="24"/>
        </w:rPr>
        <w:t xml:space="preserve"> H</w:t>
      </w:r>
      <w:r>
        <w:rPr>
          <w:rFonts w:eastAsia="Times New Roman"/>
          <w:szCs w:val="24"/>
        </w:rPr>
        <w:t xml:space="preserve">owever, Isola does have aggravation for his multiple instances of failing to communicate and Calvert had no aggravation.  </w:t>
      </w:r>
      <w:r w:rsidR="0028131A">
        <w:rPr>
          <w:rFonts w:eastAsia="Times New Roman"/>
          <w:szCs w:val="24"/>
        </w:rPr>
        <w:t>Nonetheless</w:t>
      </w:r>
      <w:r>
        <w:rPr>
          <w:rFonts w:eastAsia="Times New Roman"/>
          <w:szCs w:val="24"/>
        </w:rPr>
        <w:t xml:space="preserve">, no facts suggest that Isola failed to perform with competence like Calvert.  Rather, he completed the representation for which he was hired and achieved a good result for his clients.  </w:t>
      </w:r>
      <w:r w:rsidR="0028131A">
        <w:rPr>
          <w:rFonts w:eastAsia="Times New Roman"/>
          <w:szCs w:val="24"/>
        </w:rPr>
        <w:t>Both Calvert and Isola committed serious misconduct</w:t>
      </w:r>
      <w:r w:rsidR="00877A5F">
        <w:rPr>
          <w:rFonts w:eastAsia="Times New Roman"/>
          <w:szCs w:val="24"/>
        </w:rPr>
        <w:t xml:space="preserve">.  The </w:t>
      </w:r>
      <w:r w:rsidR="00C21B2A">
        <w:rPr>
          <w:rFonts w:eastAsia="Times New Roman"/>
          <w:szCs w:val="24"/>
        </w:rPr>
        <w:t>cases differ in</w:t>
      </w:r>
      <w:r w:rsidR="00877A5F">
        <w:rPr>
          <w:rFonts w:eastAsia="Times New Roman"/>
          <w:szCs w:val="24"/>
        </w:rPr>
        <w:t xml:space="preserve"> that Isola’s failure to communicate was </w:t>
      </w:r>
      <w:r w:rsidR="005861A3">
        <w:rPr>
          <w:rFonts w:eastAsia="Times New Roman"/>
          <w:szCs w:val="24"/>
        </w:rPr>
        <w:t>for a greater period of time</w:t>
      </w:r>
      <w:r w:rsidR="00C21B2A">
        <w:rPr>
          <w:rFonts w:eastAsia="Times New Roman"/>
          <w:szCs w:val="24"/>
        </w:rPr>
        <w:t xml:space="preserve">, but he did not have </w:t>
      </w:r>
      <w:r w:rsidR="00370163">
        <w:rPr>
          <w:rFonts w:eastAsia="Times New Roman"/>
          <w:szCs w:val="24"/>
        </w:rPr>
        <w:lastRenderedPageBreak/>
        <w:t>performance</w:t>
      </w:r>
      <w:r w:rsidR="00C21B2A">
        <w:rPr>
          <w:rFonts w:eastAsia="Times New Roman"/>
          <w:szCs w:val="24"/>
        </w:rPr>
        <w:t xml:space="preserve"> issues.  </w:t>
      </w:r>
      <w:r w:rsidR="00000068">
        <w:rPr>
          <w:rFonts w:eastAsia="Times New Roman"/>
          <w:szCs w:val="24"/>
        </w:rPr>
        <w:t xml:space="preserve">While </w:t>
      </w:r>
      <w:r w:rsidR="00000068" w:rsidRPr="003522FC">
        <w:rPr>
          <w:rFonts w:eastAsia="Times New Roman"/>
          <w:i/>
          <w:iCs/>
          <w:szCs w:val="24"/>
        </w:rPr>
        <w:t>Calvert</w:t>
      </w:r>
      <w:r w:rsidR="00000068">
        <w:rPr>
          <w:rFonts w:eastAsia="Times New Roman"/>
          <w:szCs w:val="24"/>
        </w:rPr>
        <w:t xml:space="preserve"> is not exactly on point, it serves as a guide for discipline and suggests actual suspension </w:t>
      </w:r>
      <w:r w:rsidR="003522FC">
        <w:rPr>
          <w:rFonts w:eastAsia="Times New Roman"/>
          <w:szCs w:val="24"/>
        </w:rPr>
        <w:t>is appropriate here.</w:t>
      </w:r>
    </w:p>
    <w:p w14:paraId="658A2082" w14:textId="7500EF9C" w:rsidR="007A2F08" w:rsidRDefault="00FD4F3D" w:rsidP="009D4852">
      <w:pPr>
        <w:spacing w:line="480" w:lineRule="auto"/>
        <w:ind w:firstLine="720"/>
        <w:rPr>
          <w:rFonts w:eastAsia="Times New Roman"/>
          <w:szCs w:val="24"/>
        </w:rPr>
      </w:pPr>
      <w:r>
        <w:rPr>
          <w:rFonts w:eastAsia="Times New Roman"/>
          <w:szCs w:val="24"/>
        </w:rPr>
        <w:t xml:space="preserve">The same is true for </w:t>
      </w:r>
      <w:r w:rsidR="00B74E5E">
        <w:rPr>
          <w:rFonts w:eastAsia="Times New Roman"/>
          <w:i/>
          <w:szCs w:val="24"/>
        </w:rPr>
        <w:t>Stuart v. State Bar</w:t>
      </w:r>
      <w:r w:rsidR="00B74E5E">
        <w:rPr>
          <w:rFonts w:eastAsia="Times New Roman"/>
          <w:szCs w:val="24"/>
        </w:rPr>
        <w:t xml:space="preserve"> (1985) 40</w:t>
      </w:r>
      <w:r w:rsidR="00CC62FB">
        <w:rPr>
          <w:rFonts w:eastAsia="Times New Roman"/>
          <w:szCs w:val="24"/>
        </w:rPr>
        <w:t> </w:t>
      </w:r>
      <w:r w:rsidR="00B74E5E">
        <w:rPr>
          <w:rFonts w:eastAsia="Times New Roman"/>
          <w:szCs w:val="24"/>
        </w:rPr>
        <w:t>Cal.3d 838</w:t>
      </w:r>
      <w:r>
        <w:rPr>
          <w:rFonts w:eastAsia="Times New Roman"/>
          <w:szCs w:val="24"/>
        </w:rPr>
        <w:t>, which</w:t>
      </w:r>
      <w:r w:rsidR="00B74E5E">
        <w:rPr>
          <w:rFonts w:eastAsia="Times New Roman"/>
          <w:szCs w:val="24"/>
        </w:rPr>
        <w:t xml:space="preserve"> </w:t>
      </w:r>
      <w:r w:rsidR="007C524F">
        <w:rPr>
          <w:rFonts w:eastAsia="Times New Roman"/>
          <w:szCs w:val="24"/>
        </w:rPr>
        <w:t>also involved a failure to communicate</w:t>
      </w:r>
      <w:r>
        <w:rPr>
          <w:rFonts w:eastAsia="Times New Roman"/>
          <w:szCs w:val="24"/>
        </w:rPr>
        <w:t>.  H</w:t>
      </w:r>
      <w:r w:rsidR="00536791">
        <w:rPr>
          <w:rFonts w:eastAsia="Times New Roman"/>
          <w:szCs w:val="24"/>
        </w:rPr>
        <w:t xml:space="preserve">owever, the essence of the misconduct was Stuart’s negligence and carelessness in handling </w:t>
      </w:r>
      <w:r w:rsidR="00304474">
        <w:rPr>
          <w:rFonts w:eastAsia="Times New Roman"/>
          <w:szCs w:val="24"/>
        </w:rPr>
        <w:t>a</w:t>
      </w:r>
      <w:r w:rsidR="00536791">
        <w:rPr>
          <w:rFonts w:eastAsia="Times New Roman"/>
          <w:szCs w:val="24"/>
        </w:rPr>
        <w:t xml:space="preserve"> personal injury case.  </w:t>
      </w:r>
      <w:r w:rsidR="003927DF">
        <w:rPr>
          <w:rFonts w:eastAsia="Times New Roman"/>
          <w:szCs w:val="24"/>
        </w:rPr>
        <w:t xml:space="preserve">Discipline was based on his </w:t>
      </w:r>
      <w:r w:rsidR="00DF713C">
        <w:rPr>
          <w:rFonts w:eastAsia="Times New Roman"/>
          <w:szCs w:val="24"/>
        </w:rPr>
        <w:t>lack of diligence and concern for his client’s interests</w:t>
      </w:r>
      <w:r w:rsidR="004815CC">
        <w:rPr>
          <w:rFonts w:eastAsia="Times New Roman"/>
          <w:szCs w:val="24"/>
        </w:rPr>
        <w:t xml:space="preserve">, his failure to maintain contact with his client, and the loss of the client’s file and opportunity to pursue his case.  </w:t>
      </w:r>
      <w:r w:rsidR="006E250D">
        <w:rPr>
          <w:rFonts w:eastAsia="Times New Roman"/>
          <w:szCs w:val="24"/>
        </w:rPr>
        <w:t xml:space="preserve">The court was especially concerned that Stuart committed this misconduct shortly after being privately reproved in a separate disciplinary matter.  </w:t>
      </w:r>
      <w:r w:rsidR="006718F4">
        <w:rPr>
          <w:rFonts w:eastAsia="Times New Roman"/>
          <w:szCs w:val="24"/>
        </w:rPr>
        <w:t xml:space="preserve">The Supreme Court imposed a 30-day actual suspension to </w:t>
      </w:r>
      <w:r w:rsidR="00096FEC">
        <w:rPr>
          <w:rFonts w:eastAsia="Times New Roman"/>
          <w:szCs w:val="24"/>
        </w:rPr>
        <w:t>make clear to Stuart that clients are owed a “high degree of care and fiduciary duty.”</w:t>
      </w:r>
      <w:r w:rsidR="00292928">
        <w:rPr>
          <w:rFonts w:eastAsia="Times New Roman"/>
          <w:szCs w:val="24"/>
        </w:rPr>
        <w:t xml:space="preserve">  </w:t>
      </w:r>
      <w:r w:rsidR="00A90BF1">
        <w:rPr>
          <w:rFonts w:eastAsia="Times New Roman"/>
          <w:szCs w:val="24"/>
        </w:rPr>
        <w:t xml:space="preserve">The facts of the instant matter are </w:t>
      </w:r>
      <w:r w:rsidR="008D61F9">
        <w:rPr>
          <w:rFonts w:eastAsia="Times New Roman"/>
          <w:szCs w:val="24"/>
        </w:rPr>
        <w:t xml:space="preserve">not </w:t>
      </w:r>
      <w:r w:rsidR="008C5F1E">
        <w:rPr>
          <w:rFonts w:eastAsia="Times New Roman"/>
          <w:szCs w:val="24"/>
        </w:rPr>
        <w:t xml:space="preserve">exactly </w:t>
      </w:r>
      <w:r w:rsidR="00E72E7F">
        <w:rPr>
          <w:rFonts w:eastAsia="Times New Roman"/>
          <w:szCs w:val="24"/>
        </w:rPr>
        <w:t>comparable</w:t>
      </w:r>
      <w:r w:rsidR="00892FFB">
        <w:rPr>
          <w:rFonts w:eastAsia="Times New Roman"/>
          <w:szCs w:val="24"/>
        </w:rPr>
        <w:t xml:space="preserve"> to </w:t>
      </w:r>
      <w:r w:rsidR="00892FFB" w:rsidRPr="00892FFB">
        <w:rPr>
          <w:rFonts w:eastAsia="Times New Roman"/>
          <w:i/>
          <w:iCs/>
          <w:szCs w:val="24"/>
        </w:rPr>
        <w:t>Stuart</w:t>
      </w:r>
      <w:r w:rsidR="008D61F9">
        <w:rPr>
          <w:rFonts w:eastAsia="Times New Roman"/>
          <w:szCs w:val="24"/>
        </w:rPr>
        <w:t>,</w:t>
      </w:r>
      <w:r w:rsidR="00892FFB">
        <w:rPr>
          <w:rFonts w:eastAsia="Times New Roman"/>
          <w:szCs w:val="24"/>
        </w:rPr>
        <w:t xml:space="preserve"> </w:t>
      </w:r>
      <w:r w:rsidR="002E5C2A">
        <w:rPr>
          <w:rFonts w:eastAsia="Times New Roman"/>
          <w:szCs w:val="24"/>
        </w:rPr>
        <w:t>but</w:t>
      </w:r>
      <w:r w:rsidR="008D61F9">
        <w:rPr>
          <w:rFonts w:eastAsia="Times New Roman"/>
          <w:szCs w:val="24"/>
        </w:rPr>
        <w:t xml:space="preserve"> we </w:t>
      </w:r>
      <w:r w:rsidR="00C93A16">
        <w:rPr>
          <w:rFonts w:eastAsia="Times New Roman"/>
          <w:szCs w:val="24"/>
        </w:rPr>
        <w:t xml:space="preserve">take from </w:t>
      </w:r>
      <w:r w:rsidR="00C93A16" w:rsidRPr="00892FFB">
        <w:rPr>
          <w:rFonts w:eastAsia="Times New Roman"/>
          <w:i/>
          <w:iCs/>
          <w:szCs w:val="24"/>
        </w:rPr>
        <w:t>Stuart</w:t>
      </w:r>
      <w:r w:rsidR="00C93A16">
        <w:rPr>
          <w:rFonts w:eastAsia="Times New Roman"/>
          <w:szCs w:val="24"/>
        </w:rPr>
        <w:t xml:space="preserve"> that </w:t>
      </w:r>
      <w:r w:rsidR="00E3440C">
        <w:rPr>
          <w:rFonts w:eastAsia="Times New Roman"/>
          <w:szCs w:val="24"/>
        </w:rPr>
        <w:t xml:space="preserve">failure to communicate is serious misconduct.  </w:t>
      </w:r>
      <w:r w:rsidR="00C2093E">
        <w:rPr>
          <w:rFonts w:eastAsia="Times New Roman"/>
          <w:szCs w:val="24"/>
        </w:rPr>
        <w:t xml:space="preserve">Isola did not abandon his client like Stuart, </w:t>
      </w:r>
      <w:r w:rsidR="007E1D8B">
        <w:rPr>
          <w:rFonts w:eastAsia="Times New Roman"/>
          <w:szCs w:val="24"/>
        </w:rPr>
        <w:t xml:space="preserve">but he did </w:t>
      </w:r>
      <w:r w:rsidR="007A2F08">
        <w:rPr>
          <w:rFonts w:eastAsia="Times New Roman"/>
          <w:szCs w:val="24"/>
        </w:rPr>
        <w:t xml:space="preserve">fail to inform Gregory of </w:t>
      </w:r>
      <w:r w:rsidR="00466BE8">
        <w:rPr>
          <w:rFonts w:eastAsia="Times New Roman"/>
          <w:szCs w:val="24"/>
        </w:rPr>
        <w:t>significant developments</w:t>
      </w:r>
      <w:r w:rsidR="00052F79">
        <w:rPr>
          <w:rFonts w:eastAsia="Times New Roman"/>
          <w:szCs w:val="24"/>
        </w:rPr>
        <w:t xml:space="preserve"> in the representation</w:t>
      </w:r>
      <w:r w:rsidR="00466BE8">
        <w:rPr>
          <w:rFonts w:eastAsia="Times New Roman"/>
          <w:szCs w:val="24"/>
        </w:rPr>
        <w:t xml:space="preserve"> for a substantial period of time</w:t>
      </w:r>
      <w:r w:rsidR="001F31D7">
        <w:rPr>
          <w:rFonts w:eastAsia="Times New Roman"/>
          <w:szCs w:val="24"/>
        </w:rPr>
        <w:t>—</w:t>
      </w:r>
      <w:r w:rsidR="00466BE8">
        <w:rPr>
          <w:rFonts w:eastAsia="Times New Roman"/>
          <w:szCs w:val="24"/>
        </w:rPr>
        <w:t xml:space="preserve">over six years. </w:t>
      </w:r>
    </w:p>
    <w:p w14:paraId="4A671D89" w14:textId="15C67044" w:rsidR="00DE4632" w:rsidRPr="00BD35A1" w:rsidRDefault="00BD35A1" w:rsidP="009D4852">
      <w:pPr>
        <w:spacing w:line="480" w:lineRule="auto"/>
        <w:ind w:firstLine="720"/>
        <w:rPr>
          <w:rFonts w:eastAsia="Times New Roman"/>
          <w:szCs w:val="24"/>
        </w:rPr>
      </w:pPr>
      <w:r>
        <w:rPr>
          <w:rFonts w:eastAsia="Times New Roman"/>
          <w:szCs w:val="24"/>
        </w:rPr>
        <w:t xml:space="preserve">Another guiding case is </w:t>
      </w:r>
      <w:r>
        <w:rPr>
          <w:rFonts w:eastAsia="Times New Roman"/>
          <w:i/>
          <w:szCs w:val="24"/>
        </w:rPr>
        <w:t>In the Matter of Respondent C</w:t>
      </w:r>
      <w:r w:rsidR="00974FCC" w:rsidRPr="00503332">
        <w:rPr>
          <w:rFonts w:eastAsia="Times New Roman"/>
          <w:iCs/>
          <w:szCs w:val="24"/>
        </w:rPr>
        <w:t>,</w:t>
      </w:r>
      <w:r w:rsidR="00974FCC">
        <w:rPr>
          <w:rFonts w:eastAsia="Times New Roman"/>
          <w:i/>
          <w:szCs w:val="24"/>
        </w:rPr>
        <w:t xml:space="preserve"> supra</w:t>
      </w:r>
      <w:r w:rsidR="00974FCC">
        <w:rPr>
          <w:rFonts w:eastAsia="Times New Roman"/>
          <w:szCs w:val="24"/>
        </w:rPr>
        <w:t>,</w:t>
      </w:r>
      <w:r>
        <w:rPr>
          <w:rFonts w:eastAsia="Times New Roman"/>
          <w:szCs w:val="24"/>
        </w:rPr>
        <w:t xml:space="preserve"> 1</w:t>
      </w:r>
      <w:r w:rsidR="0017771D">
        <w:rPr>
          <w:rFonts w:eastAsia="Times New Roman"/>
          <w:szCs w:val="24"/>
        </w:rPr>
        <w:t> </w:t>
      </w:r>
      <w:r>
        <w:rPr>
          <w:rFonts w:eastAsia="Times New Roman"/>
          <w:szCs w:val="24"/>
        </w:rPr>
        <w:t xml:space="preserve">Cal. State Bar Ct. </w:t>
      </w:r>
      <w:proofErr w:type="spellStart"/>
      <w:r>
        <w:rPr>
          <w:rFonts w:eastAsia="Times New Roman"/>
          <w:szCs w:val="24"/>
        </w:rPr>
        <w:t>Rptr</w:t>
      </w:r>
      <w:proofErr w:type="spellEnd"/>
      <w:r>
        <w:rPr>
          <w:rFonts w:eastAsia="Times New Roman"/>
          <w:szCs w:val="24"/>
        </w:rPr>
        <w:t>. 439.</w:t>
      </w:r>
      <w:r w:rsidR="00756C9E">
        <w:rPr>
          <w:rFonts w:eastAsia="Times New Roman"/>
          <w:szCs w:val="24"/>
        </w:rPr>
        <w:t xml:space="preserve">  </w:t>
      </w:r>
      <w:r w:rsidR="00370163">
        <w:rPr>
          <w:rFonts w:eastAsia="Times New Roman"/>
          <w:szCs w:val="24"/>
        </w:rPr>
        <w:t xml:space="preserve">An </w:t>
      </w:r>
      <w:r w:rsidR="00A80148">
        <w:rPr>
          <w:rFonts w:eastAsia="Times New Roman"/>
          <w:szCs w:val="24"/>
        </w:rPr>
        <w:t xml:space="preserve">attorney </w:t>
      </w:r>
      <w:r w:rsidR="006A7BD0">
        <w:rPr>
          <w:rFonts w:eastAsia="Times New Roman"/>
          <w:szCs w:val="24"/>
        </w:rPr>
        <w:t>did not</w:t>
      </w:r>
      <w:r w:rsidR="00F42876">
        <w:rPr>
          <w:rFonts w:eastAsia="Times New Roman"/>
          <w:szCs w:val="24"/>
        </w:rPr>
        <w:t xml:space="preserve"> respond to four letters </w:t>
      </w:r>
      <w:r w:rsidR="00E64911">
        <w:rPr>
          <w:rFonts w:eastAsia="Times New Roman"/>
          <w:szCs w:val="24"/>
        </w:rPr>
        <w:t xml:space="preserve">sent during a four-month period </w:t>
      </w:r>
      <w:r w:rsidR="00F42876">
        <w:rPr>
          <w:rFonts w:eastAsia="Times New Roman"/>
          <w:szCs w:val="24"/>
        </w:rPr>
        <w:t>requesting status reports on the case</w:t>
      </w:r>
      <w:r w:rsidR="00370163">
        <w:rPr>
          <w:rFonts w:eastAsia="Times New Roman"/>
          <w:szCs w:val="24"/>
        </w:rPr>
        <w:t xml:space="preserve"> until the client threatened to complain to the State Bar</w:t>
      </w:r>
      <w:r w:rsidR="00E64911">
        <w:rPr>
          <w:rFonts w:eastAsia="Times New Roman"/>
          <w:szCs w:val="24"/>
        </w:rPr>
        <w:t xml:space="preserve">.  </w:t>
      </w:r>
      <w:r w:rsidR="006B1EDE">
        <w:rPr>
          <w:rFonts w:eastAsia="Times New Roman"/>
          <w:szCs w:val="24"/>
        </w:rPr>
        <w:t xml:space="preserve">The attorney </w:t>
      </w:r>
      <w:r w:rsidR="00370163">
        <w:rPr>
          <w:rFonts w:eastAsia="Times New Roman"/>
          <w:szCs w:val="24"/>
        </w:rPr>
        <w:t>then</w:t>
      </w:r>
      <w:r w:rsidR="006B1EDE">
        <w:rPr>
          <w:rFonts w:eastAsia="Times New Roman"/>
          <w:szCs w:val="24"/>
        </w:rPr>
        <w:t xml:space="preserve"> responded</w:t>
      </w:r>
      <w:r w:rsidR="00370163">
        <w:rPr>
          <w:rFonts w:eastAsia="Times New Roman"/>
          <w:szCs w:val="24"/>
        </w:rPr>
        <w:t xml:space="preserve"> to the client</w:t>
      </w:r>
      <w:r w:rsidR="006B1EDE">
        <w:rPr>
          <w:rFonts w:eastAsia="Times New Roman"/>
          <w:szCs w:val="24"/>
        </w:rPr>
        <w:t xml:space="preserve"> that he was </w:t>
      </w:r>
      <w:r w:rsidR="00370163">
        <w:rPr>
          <w:rFonts w:eastAsia="Times New Roman"/>
          <w:szCs w:val="24"/>
        </w:rPr>
        <w:t>working on settling</w:t>
      </w:r>
      <w:r w:rsidR="006B1EDE">
        <w:rPr>
          <w:rFonts w:eastAsia="Times New Roman"/>
          <w:szCs w:val="24"/>
        </w:rPr>
        <w:t xml:space="preserve"> the matter.  </w:t>
      </w:r>
      <w:r w:rsidR="00370163">
        <w:rPr>
          <w:rFonts w:eastAsia="Times New Roman"/>
          <w:szCs w:val="24"/>
        </w:rPr>
        <w:t>Subsequently, h</w:t>
      </w:r>
      <w:r w:rsidR="00203BE4">
        <w:rPr>
          <w:rFonts w:eastAsia="Times New Roman"/>
          <w:szCs w:val="24"/>
        </w:rPr>
        <w:t xml:space="preserve">e </w:t>
      </w:r>
      <w:r w:rsidR="006B1EDE">
        <w:rPr>
          <w:rFonts w:eastAsia="Times New Roman"/>
          <w:szCs w:val="24"/>
        </w:rPr>
        <w:t>determined that pursuing the lawsuit further would be pointless,</w:t>
      </w:r>
      <w:r w:rsidR="00203BE4">
        <w:rPr>
          <w:rFonts w:eastAsia="Times New Roman"/>
          <w:szCs w:val="24"/>
        </w:rPr>
        <w:t xml:space="preserve"> but he failed to inform the client</w:t>
      </w:r>
      <w:r w:rsidR="00807B27">
        <w:rPr>
          <w:rFonts w:eastAsia="Times New Roman"/>
          <w:szCs w:val="24"/>
        </w:rPr>
        <w:t>.  No further communication occurred between the attorney and the client.</w:t>
      </w:r>
      <w:r w:rsidR="007B198C">
        <w:rPr>
          <w:rFonts w:eastAsia="Times New Roman"/>
          <w:szCs w:val="24"/>
        </w:rPr>
        <w:t xml:space="preserve">  </w:t>
      </w:r>
      <w:r w:rsidR="00380E9D">
        <w:rPr>
          <w:rFonts w:eastAsia="Times New Roman"/>
          <w:szCs w:val="24"/>
        </w:rPr>
        <w:t xml:space="preserve">We noted that the failure to communicate deprived his client of the benefit of his professional advice and deprived the client of an opportunity to consult with another attorney if she chose to do so.  </w:t>
      </w:r>
      <w:r w:rsidR="00325493">
        <w:rPr>
          <w:rFonts w:eastAsia="Times New Roman"/>
          <w:szCs w:val="24"/>
        </w:rPr>
        <w:t>W</w:t>
      </w:r>
      <w:r w:rsidR="00380E9D">
        <w:rPr>
          <w:rFonts w:eastAsia="Times New Roman"/>
          <w:szCs w:val="24"/>
        </w:rPr>
        <w:t>e</w:t>
      </w:r>
      <w:r w:rsidR="00A447D0">
        <w:rPr>
          <w:rFonts w:eastAsia="Times New Roman"/>
          <w:szCs w:val="24"/>
        </w:rPr>
        <w:t xml:space="preserve"> found that</w:t>
      </w:r>
      <w:r w:rsidR="00B23796">
        <w:rPr>
          <w:rFonts w:eastAsia="Times New Roman"/>
          <w:szCs w:val="24"/>
        </w:rPr>
        <w:t xml:space="preserve"> the attorney </w:t>
      </w:r>
      <w:r w:rsidR="00380E9D">
        <w:rPr>
          <w:rFonts w:eastAsia="Times New Roman"/>
          <w:szCs w:val="24"/>
        </w:rPr>
        <w:t>competently performed the services for which he was hired</w:t>
      </w:r>
      <w:r w:rsidR="002C1547">
        <w:rPr>
          <w:rFonts w:eastAsia="Times New Roman"/>
          <w:szCs w:val="24"/>
        </w:rPr>
        <w:t xml:space="preserve">, </w:t>
      </w:r>
      <w:r w:rsidR="00817857">
        <w:rPr>
          <w:rFonts w:eastAsia="Times New Roman"/>
          <w:szCs w:val="24"/>
        </w:rPr>
        <w:t xml:space="preserve">exercised good judgment in not pursuing </w:t>
      </w:r>
      <w:r w:rsidR="001243CF">
        <w:rPr>
          <w:rFonts w:eastAsia="Times New Roman"/>
          <w:szCs w:val="24"/>
        </w:rPr>
        <w:t>the claim further</w:t>
      </w:r>
      <w:r w:rsidR="002C1547">
        <w:rPr>
          <w:rFonts w:eastAsia="Times New Roman"/>
          <w:szCs w:val="24"/>
        </w:rPr>
        <w:t>, and did not cause the client harm</w:t>
      </w:r>
      <w:r w:rsidR="002A1DAA">
        <w:rPr>
          <w:rFonts w:eastAsia="Times New Roman"/>
          <w:szCs w:val="24"/>
        </w:rPr>
        <w:t xml:space="preserve">.  Due to the attorney’s </w:t>
      </w:r>
      <w:r w:rsidR="006A1210">
        <w:rPr>
          <w:rFonts w:eastAsia="Times New Roman"/>
          <w:szCs w:val="24"/>
        </w:rPr>
        <w:t xml:space="preserve">significant </w:t>
      </w:r>
      <w:r w:rsidR="007B198C">
        <w:rPr>
          <w:rFonts w:eastAsia="Times New Roman"/>
          <w:szCs w:val="24"/>
        </w:rPr>
        <w:t xml:space="preserve">mitigation for no prior discipline in </w:t>
      </w:r>
      <w:r w:rsidR="006A1210">
        <w:rPr>
          <w:rFonts w:eastAsia="Times New Roman"/>
          <w:szCs w:val="24"/>
        </w:rPr>
        <w:t xml:space="preserve">over </w:t>
      </w:r>
      <w:r w:rsidR="007B198C">
        <w:rPr>
          <w:rFonts w:eastAsia="Times New Roman"/>
          <w:szCs w:val="24"/>
        </w:rPr>
        <w:t>30 years of practice</w:t>
      </w:r>
      <w:r w:rsidR="002A1DAA">
        <w:rPr>
          <w:rFonts w:eastAsia="Times New Roman"/>
          <w:szCs w:val="24"/>
        </w:rPr>
        <w:t xml:space="preserve">, </w:t>
      </w:r>
      <w:r w:rsidR="0051589D">
        <w:rPr>
          <w:rFonts w:eastAsia="Times New Roman"/>
          <w:szCs w:val="24"/>
        </w:rPr>
        <w:t xml:space="preserve">we </w:t>
      </w:r>
      <w:r w:rsidR="0051589D">
        <w:rPr>
          <w:rFonts w:eastAsia="Times New Roman"/>
          <w:szCs w:val="24"/>
        </w:rPr>
        <w:lastRenderedPageBreak/>
        <w:t xml:space="preserve">admonished the attorney instead of issuing a private reproval.  </w:t>
      </w:r>
      <w:r w:rsidR="00452D15">
        <w:rPr>
          <w:rFonts w:eastAsia="Times New Roman"/>
          <w:szCs w:val="24"/>
        </w:rPr>
        <w:t xml:space="preserve">Isola’s failure to communicate is much more extensive than the attorney in </w:t>
      </w:r>
      <w:r w:rsidR="00452D15">
        <w:rPr>
          <w:rFonts w:eastAsia="Times New Roman"/>
          <w:i/>
          <w:iCs/>
          <w:szCs w:val="24"/>
        </w:rPr>
        <w:t>Respondent C</w:t>
      </w:r>
      <w:r w:rsidR="00452D15">
        <w:rPr>
          <w:rFonts w:eastAsia="Times New Roman"/>
          <w:szCs w:val="24"/>
        </w:rPr>
        <w:t xml:space="preserve">.  </w:t>
      </w:r>
      <w:r w:rsidR="006F4D0E">
        <w:rPr>
          <w:rFonts w:eastAsia="Times New Roman"/>
          <w:szCs w:val="24"/>
        </w:rPr>
        <w:t xml:space="preserve">As such, </w:t>
      </w:r>
      <w:r w:rsidR="00434C71">
        <w:rPr>
          <w:rFonts w:eastAsia="Times New Roman"/>
          <w:szCs w:val="24"/>
        </w:rPr>
        <w:t xml:space="preserve">discipline is warranted here. </w:t>
      </w:r>
      <w:r w:rsidR="004C6EAF">
        <w:rPr>
          <w:rFonts w:eastAsia="Times New Roman"/>
          <w:szCs w:val="24"/>
        </w:rPr>
        <w:t xml:space="preserve"> </w:t>
      </w:r>
    </w:p>
    <w:p w14:paraId="4E74B736" w14:textId="4779892B" w:rsidR="007F1CB6" w:rsidRDefault="005F57CA" w:rsidP="007F1CB6">
      <w:pPr>
        <w:spacing w:line="480" w:lineRule="auto"/>
        <w:ind w:firstLine="720"/>
        <w:rPr>
          <w:rFonts w:eastAsia="Times New Roman"/>
          <w:szCs w:val="24"/>
        </w:rPr>
      </w:pPr>
      <w:r>
        <w:rPr>
          <w:rFonts w:eastAsia="Times New Roman"/>
          <w:szCs w:val="24"/>
        </w:rPr>
        <w:t>Isola presented mitigation evidence of no prior disciplinary record</w:t>
      </w:r>
      <w:r w:rsidR="00907DBA">
        <w:rPr>
          <w:rFonts w:eastAsia="Times New Roman"/>
          <w:szCs w:val="24"/>
        </w:rPr>
        <w:t xml:space="preserve"> and </w:t>
      </w:r>
      <w:r>
        <w:rPr>
          <w:rFonts w:eastAsia="Times New Roman"/>
          <w:szCs w:val="24"/>
        </w:rPr>
        <w:t xml:space="preserve">extraordinary good character, </w:t>
      </w:r>
      <w:r w:rsidR="00624B4C">
        <w:rPr>
          <w:rFonts w:eastAsia="Times New Roman"/>
          <w:szCs w:val="24"/>
        </w:rPr>
        <w:t>which markedly outweighs the aggravation for multiple acts.</w:t>
      </w:r>
      <w:r w:rsidR="00C94743">
        <w:rPr>
          <w:rFonts w:eastAsia="Times New Roman"/>
          <w:szCs w:val="24"/>
        </w:rPr>
        <w:t xml:space="preserve">  Accordingly, a sanction at the lower end of the </w:t>
      </w:r>
      <w:r w:rsidR="002A7AE1">
        <w:rPr>
          <w:rFonts w:eastAsia="Times New Roman"/>
          <w:szCs w:val="24"/>
        </w:rPr>
        <w:t>discipline spectrum specified in standard 2.7(b) is warranted.  (Std.</w:t>
      </w:r>
      <w:r w:rsidR="0017771D">
        <w:rPr>
          <w:rFonts w:eastAsia="Times New Roman"/>
          <w:szCs w:val="24"/>
        </w:rPr>
        <w:t> </w:t>
      </w:r>
      <w:r w:rsidR="002A7AE1">
        <w:rPr>
          <w:rFonts w:eastAsia="Times New Roman"/>
          <w:szCs w:val="24"/>
        </w:rPr>
        <w:t>1.7(c).)</w:t>
      </w:r>
      <w:r w:rsidR="00945DC1">
        <w:rPr>
          <w:rFonts w:eastAsia="Times New Roman"/>
          <w:szCs w:val="24"/>
        </w:rPr>
        <w:t xml:space="preserve">  “[A] lesser sanction is appropriate in cases of minor misconduct, where there is </w:t>
      </w:r>
      <w:r w:rsidR="005F50C9">
        <w:rPr>
          <w:rFonts w:eastAsia="Times New Roman"/>
          <w:szCs w:val="24"/>
        </w:rPr>
        <w:t>little or no injury to a client, the public, the legal system, or the profession and where the record demonstrates that the lawyer is willing and has the ability to conform to ethical responsibilities in the future.</w:t>
      </w:r>
      <w:r w:rsidR="00D12FE9">
        <w:rPr>
          <w:rFonts w:eastAsia="Times New Roman"/>
          <w:szCs w:val="24"/>
        </w:rPr>
        <w:t>”</w:t>
      </w:r>
      <w:r w:rsidR="005F50C9">
        <w:rPr>
          <w:rFonts w:eastAsia="Times New Roman"/>
          <w:szCs w:val="24"/>
        </w:rPr>
        <w:t xml:space="preserve">  </w:t>
      </w:r>
      <w:r w:rsidR="006A052A">
        <w:rPr>
          <w:rFonts w:eastAsia="Times New Roman"/>
          <w:szCs w:val="24"/>
        </w:rPr>
        <w:t>(</w:t>
      </w:r>
      <w:r w:rsidR="006A052A">
        <w:rPr>
          <w:rFonts w:eastAsia="Times New Roman"/>
          <w:i/>
          <w:iCs/>
          <w:szCs w:val="24"/>
        </w:rPr>
        <w:t>Ibid</w:t>
      </w:r>
      <w:r w:rsidR="006A052A">
        <w:rPr>
          <w:rFonts w:eastAsia="Times New Roman"/>
          <w:szCs w:val="24"/>
        </w:rPr>
        <w:t>.)</w:t>
      </w:r>
      <w:r w:rsidR="005F50C9">
        <w:rPr>
          <w:rFonts w:eastAsia="Times New Roman"/>
          <w:szCs w:val="24"/>
        </w:rPr>
        <w:t xml:space="preserve">  </w:t>
      </w:r>
      <w:r w:rsidR="0032533D">
        <w:rPr>
          <w:rFonts w:eastAsia="Times New Roman"/>
          <w:szCs w:val="24"/>
        </w:rPr>
        <w:t xml:space="preserve">Here, </w:t>
      </w:r>
      <w:r w:rsidR="001F6E01">
        <w:rPr>
          <w:rFonts w:eastAsia="Times New Roman"/>
          <w:szCs w:val="24"/>
        </w:rPr>
        <w:t>Isola admitted culpability</w:t>
      </w:r>
      <w:r w:rsidR="001243CF">
        <w:rPr>
          <w:rFonts w:eastAsia="Times New Roman"/>
          <w:szCs w:val="24"/>
        </w:rPr>
        <w:t xml:space="preserve"> for his communication violations</w:t>
      </w:r>
      <w:r w:rsidR="001F6E01">
        <w:rPr>
          <w:rFonts w:eastAsia="Times New Roman"/>
          <w:szCs w:val="24"/>
        </w:rPr>
        <w:t>, and h</w:t>
      </w:r>
      <w:r w:rsidR="00AA49A2">
        <w:rPr>
          <w:rFonts w:eastAsia="Times New Roman"/>
          <w:szCs w:val="24"/>
        </w:rPr>
        <w:t>e</w:t>
      </w:r>
      <w:r w:rsidR="001F6E01">
        <w:rPr>
          <w:rFonts w:eastAsia="Times New Roman"/>
          <w:szCs w:val="24"/>
        </w:rPr>
        <w:t xml:space="preserve"> </w:t>
      </w:r>
      <w:r w:rsidR="00BD78A8">
        <w:rPr>
          <w:rFonts w:eastAsia="Times New Roman"/>
          <w:szCs w:val="24"/>
        </w:rPr>
        <w:t xml:space="preserve">has </w:t>
      </w:r>
      <w:r w:rsidR="001F6E01">
        <w:rPr>
          <w:rFonts w:eastAsia="Times New Roman"/>
          <w:szCs w:val="24"/>
        </w:rPr>
        <w:t xml:space="preserve">assured us that he would </w:t>
      </w:r>
      <w:r w:rsidR="00BD78A8">
        <w:rPr>
          <w:rFonts w:eastAsia="Times New Roman"/>
          <w:szCs w:val="24"/>
        </w:rPr>
        <w:t>behave</w:t>
      </w:r>
      <w:r w:rsidR="00F80F6A">
        <w:rPr>
          <w:rFonts w:eastAsia="Times New Roman"/>
          <w:szCs w:val="24"/>
        </w:rPr>
        <w:t xml:space="preserve"> differently in the future.  </w:t>
      </w:r>
      <w:r w:rsidR="007F3A6C">
        <w:rPr>
          <w:rFonts w:eastAsia="Times New Roman"/>
          <w:szCs w:val="24"/>
        </w:rPr>
        <w:t xml:space="preserve">Therefore, </w:t>
      </w:r>
      <w:r w:rsidR="005F2062">
        <w:rPr>
          <w:rFonts w:eastAsia="Times New Roman"/>
          <w:szCs w:val="24"/>
        </w:rPr>
        <w:t>a 30-day actual suspension</w:t>
      </w:r>
      <w:r w:rsidR="007F3A6C">
        <w:rPr>
          <w:rFonts w:eastAsia="Times New Roman"/>
          <w:szCs w:val="24"/>
        </w:rPr>
        <w:t xml:space="preserve"> is </w:t>
      </w:r>
      <w:r w:rsidR="00352CE8">
        <w:rPr>
          <w:rFonts w:eastAsia="Times New Roman"/>
          <w:szCs w:val="24"/>
        </w:rPr>
        <w:t>warranted</w:t>
      </w:r>
      <w:r w:rsidR="007F3A6C">
        <w:rPr>
          <w:rFonts w:eastAsia="Times New Roman"/>
          <w:szCs w:val="24"/>
        </w:rPr>
        <w:t xml:space="preserve"> under standard</w:t>
      </w:r>
      <w:r w:rsidR="0017771D">
        <w:rPr>
          <w:rFonts w:eastAsia="Times New Roman"/>
          <w:szCs w:val="24"/>
        </w:rPr>
        <w:t> </w:t>
      </w:r>
      <w:r w:rsidR="007F3A6C">
        <w:rPr>
          <w:rFonts w:eastAsia="Times New Roman"/>
          <w:szCs w:val="24"/>
        </w:rPr>
        <w:t>2.7(b)</w:t>
      </w:r>
      <w:r w:rsidR="005F2062">
        <w:rPr>
          <w:rFonts w:eastAsia="Times New Roman"/>
          <w:szCs w:val="24"/>
        </w:rPr>
        <w:t xml:space="preserve">, as it is the </w:t>
      </w:r>
      <w:r w:rsidR="00892D32">
        <w:rPr>
          <w:rFonts w:eastAsia="Times New Roman"/>
          <w:szCs w:val="24"/>
        </w:rPr>
        <w:t xml:space="preserve">lowest level </w:t>
      </w:r>
      <w:r w:rsidR="00354521">
        <w:rPr>
          <w:rFonts w:eastAsia="Times New Roman"/>
          <w:szCs w:val="24"/>
        </w:rPr>
        <w:t xml:space="preserve">for actual suspension </w:t>
      </w:r>
      <w:r w:rsidR="00CC2822">
        <w:rPr>
          <w:rFonts w:eastAsia="Times New Roman"/>
          <w:szCs w:val="24"/>
        </w:rPr>
        <w:t>for communication violation</w:t>
      </w:r>
      <w:r w:rsidR="00AA56AA">
        <w:rPr>
          <w:rFonts w:eastAsia="Times New Roman"/>
          <w:szCs w:val="24"/>
        </w:rPr>
        <w:t>s</w:t>
      </w:r>
      <w:r w:rsidR="00CC2822">
        <w:rPr>
          <w:rFonts w:eastAsia="Times New Roman"/>
          <w:szCs w:val="24"/>
        </w:rPr>
        <w:t xml:space="preserve"> under </w:t>
      </w:r>
      <w:r w:rsidR="005C3686">
        <w:rPr>
          <w:rFonts w:eastAsia="Times New Roman"/>
          <w:szCs w:val="24"/>
        </w:rPr>
        <w:t xml:space="preserve">that </w:t>
      </w:r>
      <w:r w:rsidR="00354521">
        <w:rPr>
          <w:rFonts w:eastAsia="Times New Roman"/>
          <w:szCs w:val="24"/>
        </w:rPr>
        <w:t>standard.</w:t>
      </w:r>
      <w:r w:rsidR="00AA56AA">
        <w:rPr>
          <w:rFonts w:eastAsia="Times New Roman"/>
          <w:szCs w:val="24"/>
        </w:rPr>
        <w:t xml:space="preserve"> </w:t>
      </w:r>
      <w:r w:rsidR="00170FB8">
        <w:rPr>
          <w:rFonts w:eastAsia="Times New Roman"/>
          <w:szCs w:val="24"/>
        </w:rPr>
        <w:t xml:space="preserve"> </w:t>
      </w:r>
      <w:r w:rsidR="00B61786">
        <w:rPr>
          <w:rFonts w:eastAsia="Times New Roman"/>
          <w:szCs w:val="24"/>
        </w:rPr>
        <w:t xml:space="preserve">(See also </w:t>
      </w:r>
      <w:r w:rsidR="0018744A">
        <w:rPr>
          <w:rFonts w:eastAsia="Times New Roman"/>
          <w:szCs w:val="24"/>
        </w:rPr>
        <w:t>s</w:t>
      </w:r>
      <w:r w:rsidR="00B61786">
        <w:rPr>
          <w:rFonts w:eastAsia="Times New Roman"/>
          <w:szCs w:val="24"/>
        </w:rPr>
        <w:t>td.</w:t>
      </w:r>
      <w:r w:rsidR="00170FB8">
        <w:rPr>
          <w:rFonts w:eastAsia="Times New Roman"/>
          <w:szCs w:val="24"/>
        </w:rPr>
        <w:t> </w:t>
      </w:r>
      <w:r w:rsidR="00B61786">
        <w:rPr>
          <w:rFonts w:eastAsia="Times New Roman"/>
          <w:szCs w:val="24"/>
        </w:rPr>
        <w:t>1.2(c)(1).)</w:t>
      </w:r>
      <w:r w:rsidR="00AA56AA">
        <w:rPr>
          <w:rFonts w:eastAsia="Times New Roman"/>
          <w:szCs w:val="24"/>
        </w:rPr>
        <w:t xml:space="preserve"> </w:t>
      </w:r>
      <w:r w:rsidR="00170FB8">
        <w:rPr>
          <w:rFonts w:eastAsia="Times New Roman"/>
          <w:szCs w:val="24"/>
        </w:rPr>
        <w:t xml:space="preserve"> </w:t>
      </w:r>
      <w:r w:rsidR="00AA56AA">
        <w:rPr>
          <w:rFonts w:eastAsia="Times New Roman"/>
          <w:szCs w:val="24"/>
        </w:rPr>
        <w:t xml:space="preserve">Isola failed to communicate several important developments </w:t>
      </w:r>
      <w:r w:rsidR="00061BCA">
        <w:rPr>
          <w:rFonts w:eastAsia="Times New Roman"/>
          <w:szCs w:val="24"/>
        </w:rPr>
        <w:t xml:space="preserve">to the </w:t>
      </w:r>
      <w:proofErr w:type="spellStart"/>
      <w:r w:rsidR="00061BCA">
        <w:rPr>
          <w:rFonts w:eastAsia="Times New Roman"/>
          <w:szCs w:val="24"/>
        </w:rPr>
        <w:t>Hahns</w:t>
      </w:r>
      <w:proofErr w:type="spellEnd"/>
      <w:r w:rsidR="00061BCA">
        <w:rPr>
          <w:rFonts w:eastAsia="Times New Roman"/>
          <w:szCs w:val="24"/>
        </w:rPr>
        <w:t xml:space="preserve"> over several years.  Fortunately, </w:t>
      </w:r>
      <w:r w:rsidR="00352CE8">
        <w:rPr>
          <w:rFonts w:eastAsia="Times New Roman"/>
          <w:szCs w:val="24"/>
        </w:rPr>
        <w:t xml:space="preserve">Isola performed competently, achieved a good result for the </w:t>
      </w:r>
      <w:proofErr w:type="spellStart"/>
      <w:r w:rsidR="00352CE8">
        <w:rPr>
          <w:rFonts w:eastAsia="Times New Roman"/>
          <w:szCs w:val="24"/>
        </w:rPr>
        <w:t>Hahns</w:t>
      </w:r>
      <w:proofErr w:type="spellEnd"/>
      <w:r w:rsidR="00352CE8">
        <w:rPr>
          <w:rFonts w:eastAsia="Times New Roman"/>
          <w:szCs w:val="24"/>
        </w:rPr>
        <w:t xml:space="preserve">, and completed the representation.  </w:t>
      </w:r>
      <w:r w:rsidR="007E37A7">
        <w:rPr>
          <w:rFonts w:eastAsia="Times New Roman"/>
          <w:szCs w:val="24"/>
        </w:rPr>
        <w:t>W</w:t>
      </w:r>
      <w:r w:rsidR="007F1CB6">
        <w:rPr>
          <w:rFonts w:eastAsia="Times New Roman"/>
          <w:szCs w:val="24"/>
        </w:rPr>
        <w:t xml:space="preserve">e conclude that a </w:t>
      </w:r>
      <w:r w:rsidR="00E9121C">
        <w:rPr>
          <w:rFonts w:eastAsia="Times New Roman"/>
          <w:szCs w:val="24"/>
        </w:rPr>
        <w:t>30</w:t>
      </w:r>
      <w:r w:rsidR="007F1CB6">
        <w:rPr>
          <w:rFonts w:eastAsia="Times New Roman"/>
          <w:szCs w:val="24"/>
        </w:rPr>
        <w:t>-day actual suspension is appropriate given the case law and the standards</w:t>
      </w:r>
      <w:r w:rsidR="00603535">
        <w:rPr>
          <w:rFonts w:eastAsia="Times New Roman"/>
          <w:szCs w:val="24"/>
        </w:rPr>
        <w:t xml:space="preserve"> and </w:t>
      </w:r>
      <w:r w:rsidR="00213820">
        <w:rPr>
          <w:rFonts w:eastAsia="Times New Roman"/>
          <w:szCs w:val="24"/>
        </w:rPr>
        <w:t xml:space="preserve">it </w:t>
      </w:r>
      <w:r w:rsidR="00603535">
        <w:rPr>
          <w:rFonts w:eastAsia="Times New Roman"/>
          <w:szCs w:val="24"/>
        </w:rPr>
        <w:t>adequately protects the public, the courts, and the legal profession</w:t>
      </w:r>
      <w:r w:rsidR="007F1CB6">
        <w:rPr>
          <w:rFonts w:eastAsia="Times New Roman"/>
          <w:szCs w:val="24"/>
        </w:rPr>
        <w:t xml:space="preserve">.  This suspension considers the seriousness of the misconduct, but also accounts for Isola’s admissions to culpability and commitment to doing things differently in the future.   </w:t>
      </w:r>
    </w:p>
    <w:p w14:paraId="541A3A2C" w14:textId="76AA6E4E" w:rsidR="00BF49AF" w:rsidRPr="00A57E6E" w:rsidRDefault="00BF49AF" w:rsidP="00A57E6E">
      <w:pPr>
        <w:spacing w:line="480" w:lineRule="auto"/>
        <w:jc w:val="center"/>
        <w:rPr>
          <w:rFonts w:eastAsia="Times New Roman"/>
          <w:b/>
          <w:bCs/>
          <w:szCs w:val="24"/>
        </w:rPr>
      </w:pPr>
      <w:r w:rsidRPr="00A57E6E">
        <w:rPr>
          <w:rFonts w:eastAsia="Times New Roman"/>
          <w:b/>
          <w:bCs/>
          <w:szCs w:val="24"/>
        </w:rPr>
        <w:t>VI.  RECOMMENDATIONS</w:t>
      </w:r>
    </w:p>
    <w:p w14:paraId="2D5F97F8" w14:textId="1A275189" w:rsidR="009559AE" w:rsidRDefault="00A57E6E" w:rsidP="0017771D">
      <w:pPr>
        <w:spacing w:line="480" w:lineRule="auto"/>
        <w:ind w:firstLine="720"/>
        <w:rPr>
          <w:b/>
        </w:rPr>
      </w:pPr>
      <w:r>
        <w:rPr>
          <w:rFonts w:eastAsia="Times New Roman"/>
          <w:spacing w:val="-2"/>
          <w:szCs w:val="24"/>
        </w:rPr>
        <w:t>We recommend</w:t>
      </w:r>
      <w:r w:rsidR="009559AE" w:rsidRPr="00F46C0C">
        <w:rPr>
          <w:rFonts w:eastAsia="Times New Roman"/>
          <w:spacing w:val="-2"/>
          <w:szCs w:val="24"/>
        </w:rPr>
        <w:t xml:space="preserve"> that </w:t>
      </w:r>
      <w:r w:rsidR="00211BCD">
        <w:rPr>
          <w:rFonts w:eastAsia="Times New Roman"/>
          <w:spacing w:val="-2"/>
          <w:szCs w:val="24"/>
        </w:rPr>
        <w:t>David Romano Isola</w:t>
      </w:r>
      <w:r w:rsidR="009559AE" w:rsidRPr="00F46C0C">
        <w:rPr>
          <w:rFonts w:eastAsia="Times New Roman"/>
          <w:spacing w:val="-2"/>
          <w:szCs w:val="24"/>
        </w:rPr>
        <w:t xml:space="preserve">, State Bar Number </w:t>
      </w:r>
      <w:r w:rsidR="00211BCD">
        <w:rPr>
          <w:rFonts w:eastAsia="Times New Roman"/>
          <w:spacing w:val="-2"/>
          <w:szCs w:val="24"/>
        </w:rPr>
        <w:t>150311</w:t>
      </w:r>
      <w:r w:rsidR="009559AE" w:rsidRPr="00F46C0C">
        <w:rPr>
          <w:rFonts w:eastAsia="Times New Roman"/>
          <w:spacing w:val="-2"/>
          <w:szCs w:val="24"/>
        </w:rPr>
        <w:t xml:space="preserve">, </w:t>
      </w:r>
      <w:r w:rsidR="009559AE" w:rsidRPr="00F46C0C">
        <w:rPr>
          <w:rFonts w:eastAsia="Times New Roman"/>
          <w:szCs w:val="24"/>
        </w:rPr>
        <w:t>be</w:t>
      </w:r>
      <w:r w:rsidR="009559AE" w:rsidRPr="00F46C0C">
        <w:rPr>
          <w:rFonts w:eastAsia="Times New Roman"/>
          <w:spacing w:val="-2"/>
          <w:szCs w:val="24"/>
        </w:rPr>
        <w:t xml:space="preserve"> </w:t>
      </w:r>
      <w:r w:rsidR="009559AE" w:rsidRPr="00F46C0C">
        <w:rPr>
          <w:rFonts w:eastAsia="Times New Roman"/>
          <w:szCs w:val="24"/>
        </w:rPr>
        <w:t>susp</w:t>
      </w:r>
      <w:r w:rsidR="009559AE" w:rsidRPr="00F46C0C">
        <w:rPr>
          <w:rFonts w:eastAsia="Times New Roman"/>
          <w:spacing w:val="1"/>
          <w:szCs w:val="24"/>
        </w:rPr>
        <w:t>e</w:t>
      </w:r>
      <w:r w:rsidR="009559AE" w:rsidRPr="00F46C0C">
        <w:rPr>
          <w:rFonts w:eastAsia="Times New Roman"/>
          <w:szCs w:val="24"/>
        </w:rPr>
        <w:t>nd</w:t>
      </w:r>
      <w:r w:rsidR="009559AE" w:rsidRPr="00F46C0C">
        <w:rPr>
          <w:rFonts w:eastAsia="Times New Roman"/>
          <w:spacing w:val="-1"/>
          <w:szCs w:val="24"/>
        </w:rPr>
        <w:t>e</w:t>
      </w:r>
      <w:r w:rsidR="009559AE" w:rsidRPr="00F46C0C">
        <w:rPr>
          <w:rFonts w:eastAsia="Times New Roman"/>
          <w:szCs w:val="24"/>
        </w:rPr>
        <w:t>d f</w:t>
      </w:r>
      <w:r w:rsidR="009559AE" w:rsidRPr="00F46C0C">
        <w:rPr>
          <w:rFonts w:eastAsia="Times New Roman"/>
          <w:spacing w:val="-2"/>
          <w:szCs w:val="24"/>
        </w:rPr>
        <w:t>r</w:t>
      </w:r>
      <w:r w:rsidR="009559AE" w:rsidRPr="00F46C0C">
        <w:rPr>
          <w:rFonts w:eastAsia="Times New Roman"/>
          <w:szCs w:val="24"/>
        </w:rPr>
        <w:t>om the p</w:t>
      </w:r>
      <w:r w:rsidR="009559AE" w:rsidRPr="00F46C0C">
        <w:rPr>
          <w:rFonts w:eastAsia="Times New Roman"/>
          <w:spacing w:val="-1"/>
          <w:szCs w:val="24"/>
        </w:rPr>
        <w:t>rac</w:t>
      </w:r>
      <w:r w:rsidR="009559AE" w:rsidRPr="00F46C0C">
        <w:rPr>
          <w:rFonts w:eastAsia="Times New Roman"/>
          <w:szCs w:val="24"/>
        </w:rPr>
        <w:t>ti</w:t>
      </w:r>
      <w:r w:rsidR="009559AE" w:rsidRPr="00F46C0C">
        <w:rPr>
          <w:rFonts w:eastAsia="Times New Roman"/>
          <w:spacing w:val="-1"/>
          <w:szCs w:val="24"/>
        </w:rPr>
        <w:t>c</w:t>
      </w:r>
      <w:r w:rsidR="009559AE" w:rsidRPr="00F46C0C">
        <w:rPr>
          <w:rFonts w:eastAsia="Times New Roman"/>
          <w:szCs w:val="24"/>
        </w:rPr>
        <w:t>e</w:t>
      </w:r>
      <w:r w:rsidR="009559AE" w:rsidRPr="00F46C0C">
        <w:rPr>
          <w:rFonts w:eastAsia="Times New Roman"/>
          <w:spacing w:val="-1"/>
          <w:szCs w:val="24"/>
        </w:rPr>
        <w:t xml:space="preserve"> </w:t>
      </w:r>
      <w:r w:rsidR="009559AE" w:rsidRPr="00F46C0C">
        <w:rPr>
          <w:rFonts w:eastAsia="Times New Roman"/>
          <w:spacing w:val="2"/>
          <w:szCs w:val="24"/>
        </w:rPr>
        <w:t>o</w:t>
      </w:r>
      <w:r w:rsidR="009559AE" w:rsidRPr="00F46C0C">
        <w:rPr>
          <w:rFonts w:eastAsia="Times New Roman"/>
          <w:szCs w:val="24"/>
        </w:rPr>
        <w:t>f l</w:t>
      </w:r>
      <w:r w:rsidR="009559AE" w:rsidRPr="00F46C0C">
        <w:rPr>
          <w:rFonts w:eastAsia="Times New Roman"/>
          <w:spacing w:val="-2"/>
          <w:szCs w:val="24"/>
        </w:rPr>
        <w:t>a</w:t>
      </w:r>
      <w:r w:rsidR="009559AE" w:rsidRPr="00F46C0C">
        <w:rPr>
          <w:rFonts w:eastAsia="Times New Roman"/>
          <w:szCs w:val="24"/>
        </w:rPr>
        <w:t xml:space="preserve">w </w:t>
      </w:r>
      <w:r w:rsidR="009559AE" w:rsidRPr="00F46C0C">
        <w:rPr>
          <w:rFonts w:eastAsia="Times New Roman"/>
          <w:spacing w:val="-2"/>
          <w:szCs w:val="24"/>
        </w:rPr>
        <w:t>f</w:t>
      </w:r>
      <w:r w:rsidR="009559AE" w:rsidRPr="00F46C0C">
        <w:rPr>
          <w:rFonts w:eastAsia="Times New Roman"/>
          <w:spacing w:val="2"/>
          <w:szCs w:val="24"/>
        </w:rPr>
        <w:t>o</w:t>
      </w:r>
      <w:r w:rsidR="009559AE" w:rsidRPr="00F46C0C">
        <w:rPr>
          <w:rFonts w:eastAsia="Times New Roman"/>
          <w:szCs w:val="24"/>
        </w:rPr>
        <w:t xml:space="preserve">r </w:t>
      </w:r>
      <w:r w:rsidR="009F6BC0">
        <w:rPr>
          <w:rFonts w:eastAsia="Times New Roman"/>
          <w:szCs w:val="24"/>
        </w:rPr>
        <w:t>one year</w:t>
      </w:r>
      <w:r w:rsidR="009559AE" w:rsidRPr="00F46C0C">
        <w:rPr>
          <w:rFonts w:eastAsia="Times New Roman"/>
          <w:szCs w:val="24"/>
        </w:rPr>
        <w:t>, th</w:t>
      </w:r>
      <w:r w:rsidR="009559AE" w:rsidRPr="00F46C0C">
        <w:rPr>
          <w:rFonts w:eastAsia="Times New Roman"/>
          <w:spacing w:val="-1"/>
          <w:szCs w:val="24"/>
        </w:rPr>
        <w:t>a</w:t>
      </w:r>
      <w:r w:rsidR="009559AE" w:rsidRPr="00F46C0C">
        <w:rPr>
          <w:rFonts w:eastAsia="Times New Roman"/>
          <w:szCs w:val="24"/>
        </w:rPr>
        <w:t>t e</w:t>
      </w:r>
      <w:r w:rsidR="009559AE" w:rsidRPr="00F46C0C">
        <w:rPr>
          <w:rFonts w:eastAsia="Times New Roman"/>
          <w:spacing w:val="1"/>
          <w:szCs w:val="24"/>
        </w:rPr>
        <w:t>x</w:t>
      </w:r>
      <w:r w:rsidR="009559AE" w:rsidRPr="00F46C0C">
        <w:rPr>
          <w:rFonts w:eastAsia="Times New Roman"/>
          <w:spacing w:val="-1"/>
          <w:szCs w:val="24"/>
        </w:rPr>
        <w:t>ec</w:t>
      </w:r>
      <w:r w:rsidR="009559AE" w:rsidRPr="00F46C0C">
        <w:rPr>
          <w:rFonts w:eastAsia="Times New Roman"/>
          <w:szCs w:val="24"/>
        </w:rPr>
        <w:t>ution of</w:t>
      </w:r>
      <w:r w:rsidR="009559AE" w:rsidRPr="00F46C0C">
        <w:rPr>
          <w:rFonts w:eastAsia="Times New Roman"/>
          <w:spacing w:val="-1"/>
          <w:szCs w:val="24"/>
        </w:rPr>
        <w:t xml:space="preserve"> </w:t>
      </w:r>
      <w:r w:rsidR="009559AE" w:rsidRPr="00F46C0C">
        <w:rPr>
          <w:rFonts w:eastAsia="Times New Roman"/>
          <w:szCs w:val="24"/>
        </w:rPr>
        <w:t>t</w:t>
      </w:r>
      <w:r w:rsidR="009559AE" w:rsidRPr="00F46C0C">
        <w:rPr>
          <w:rFonts w:eastAsia="Times New Roman"/>
          <w:spacing w:val="2"/>
          <w:szCs w:val="24"/>
        </w:rPr>
        <w:t>h</w:t>
      </w:r>
      <w:r w:rsidR="009559AE" w:rsidRPr="00F46C0C">
        <w:rPr>
          <w:rFonts w:eastAsia="Times New Roman"/>
          <w:spacing w:val="-1"/>
          <w:szCs w:val="24"/>
        </w:rPr>
        <w:t>a</w:t>
      </w:r>
      <w:r w:rsidR="009559AE" w:rsidRPr="00F46C0C">
        <w:rPr>
          <w:rFonts w:eastAsia="Times New Roman"/>
          <w:szCs w:val="24"/>
        </w:rPr>
        <w:t>t susp</w:t>
      </w:r>
      <w:r w:rsidR="009559AE" w:rsidRPr="00F46C0C">
        <w:rPr>
          <w:rFonts w:eastAsia="Times New Roman"/>
          <w:spacing w:val="-1"/>
          <w:szCs w:val="24"/>
        </w:rPr>
        <w:t>e</w:t>
      </w:r>
      <w:r w:rsidR="009559AE" w:rsidRPr="00F46C0C">
        <w:rPr>
          <w:rFonts w:eastAsia="Times New Roman"/>
          <w:szCs w:val="24"/>
        </w:rPr>
        <w:t>nsion be</w:t>
      </w:r>
      <w:r w:rsidR="009559AE" w:rsidRPr="00F46C0C">
        <w:rPr>
          <w:rFonts w:eastAsia="Times New Roman"/>
          <w:spacing w:val="-1"/>
          <w:szCs w:val="24"/>
        </w:rPr>
        <w:t xml:space="preserve"> </w:t>
      </w:r>
      <w:r w:rsidR="009559AE" w:rsidRPr="00F46C0C">
        <w:rPr>
          <w:rFonts w:eastAsia="Times New Roman"/>
          <w:szCs w:val="24"/>
        </w:rPr>
        <w:t>st</w:t>
      </w:r>
      <w:r w:rsidR="009559AE" w:rsidRPr="00F46C0C">
        <w:rPr>
          <w:rFonts w:eastAsia="Times New Roman"/>
          <w:spacing w:val="4"/>
          <w:szCs w:val="24"/>
        </w:rPr>
        <w:t>a</w:t>
      </w:r>
      <w:r w:rsidR="009559AE" w:rsidRPr="00F46C0C">
        <w:rPr>
          <w:rFonts w:eastAsia="Times New Roman"/>
          <w:spacing w:val="-5"/>
          <w:szCs w:val="24"/>
        </w:rPr>
        <w:t>y</w:t>
      </w:r>
      <w:r w:rsidR="009559AE" w:rsidRPr="00F46C0C">
        <w:rPr>
          <w:rFonts w:eastAsia="Times New Roman"/>
          <w:spacing w:val="-1"/>
          <w:szCs w:val="24"/>
        </w:rPr>
        <w:t>e</w:t>
      </w:r>
      <w:r w:rsidR="009559AE" w:rsidRPr="00F46C0C">
        <w:rPr>
          <w:rFonts w:eastAsia="Times New Roman"/>
          <w:szCs w:val="24"/>
        </w:rPr>
        <w:t>d,</w:t>
      </w:r>
      <w:r w:rsidR="009559AE" w:rsidRPr="00F46C0C">
        <w:rPr>
          <w:rFonts w:eastAsia="Times New Roman"/>
          <w:spacing w:val="2"/>
          <w:szCs w:val="24"/>
        </w:rPr>
        <w:t xml:space="preserve"> a</w:t>
      </w:r>
      <w:r w:rsidR="009559AE" w:rsidRPr="00F46C0C">
        <w:rPr>
          <w:rFonts w:eastAsia="Times New Roman"/>
          <w:szCs w:val="24"/>
        </w:rPr>
        <w:t xml:space="preserve">nd that </w:t>
      </w:r>
      <w:r w:rsidR="00D340DF">
        <w:rPr>
          <w:rFonts w:eastAsia="Times New Roman"/>
          <w:szCs w:val="24"/>
        </w:rPr>
        <w:t>he</w:t>
      </w:r>
      <w:r w:rsidR="009559AE" w:rsidRPr="00F46C0C">
        <w:rPr>
          <w:rFonts w:eastAsia="Times New Roman"/>
          <w:szCs w:val="24"/>
        </w:rPr>
        <w:t xml:space="preserve"> be</w:t>
      </w:r>
      <w:r w:rsidR="009559AE" w:rsidRPr="00F46C0C">
        <w:rPr>
          <w:rFonts w:eastAsia="Times New Roman"/>
          <w:spacing w:val="-1"/>
          <w:szCs w:val="24"/>
        </w:rPr>
        <w:t xml:space="preserve"> </w:t>
      </w:r>
      <w:r w:rsidR="009559AE" w:rsidRPr="00F46C0C">
        <w:rPr>
          <w:rFonts w:eastAsia="Times New Roman"/>
          <w:szCs w:val="24"/>
        </w:rPr>
        <w:t>pl</w:t>
      </w:r>
      <w:r w:rsidR="009559AE" w:rsidRPr="00F46C0C">
        <w:rPr>
          <w:rFonts w:eastAsia="Times New Roman"/>
          <w:spacing w:val="1"/>
          <w:szCs w:val="24"/>
        </w:rPr>
        <w:t>a</w:t>
      </w:r>
      <w:r w:rsidR="009559AE" w:rsidRPr="00F46C0C">
        <w:rPr>
          <w:rFonts w:eastAsia="Times New Roman"/>
          <w:spacing w:val="-1"/>
          <w:szCs w:val="24"/>
        </w:rPr>
        <w:t>ce</w:t>
      </w:r>
      <w:r w:rsidR="009559AE" w:rsidRPr="00F46C0C">
        <w:rPr>
          <w:rFonts w:eastAsia="Times New Roman"/>
          <w:szCs w:val="24"/>
        </w:rPr>
        <w:t>d on p</w:t>
      </w:r>
      <w:r w:rsidR="009559AE" w:rsidRPr="00F46C0C">
        <w:rPr>
          <w:rFonts w:eastAsia="Times New Roman"/>
          <w:spacing w:val="-1"/>
          <w:szCs w:val="24"/>
        </w:rPr>
        <w:t>r</w:t>
      </w:r>
      <w:r w:rsidR="009559AE" w:rsidRPr="00F46C0C">
        <w:rPr>
          <w:rFonts w:eastAsia="Times New Roman"/>
          <w:szCs w:val="24"/>
        </w:rPr>
        <w:t>ob</w:t>
      </w:r>
      <w:r w:rsidR="009559AE" w:rsidRPr="00F46C0C">
        <w:rPr>
          <w:rFonts w:eastAsia="Times New Roman"/>
          <w:spacing w:val="-1"/>
          <w:szCs w:val="24"/>
        </w:rPr>
        <w:t>a</w:t>
      </w:r>
      <w:r w:rsidR="009559AE" w:rsidRPr="00F46C0C">
        <w:rPr>
          <w:rFonts w:eastAsia="Times New Roman"/>
          <w:szCs w:val="24"/>
        </w:rPr>
        <w:t>tion f</w:t>
      </w:r>
      <w:r w:rsidR="009559AE" w:rsidRPr="00F46C0C">
        <w:rPr>
          <w:rFonts w:eastAsia="Times New Roman"/>
          <w:spacing w:val="-1"/>
          <w:szCs w:val="24"/>
        </w:rPr>
        <w:t>o</w:t>
      </w:r>
      <w:r w:rsidR="009559AE" w:rsidRPr="00F46C0C">
        <w:rPr>
          <w:rFonts w:eastAsia="Times New Roman"/>
          <w:szCs w:val="24"/>
        </w:rPr>
        <w:t>r</w:t>
      </w:r>
      <w:r w:rsidR="009559AE" w:rsidRPr="00F46C0C">
        <w:rPr>
          <w:rFonts w:eastAsia="Times New Roman"/>
          <w:spacing w:val="-1"/>
          <w:szCs w:val="24"/>
        </w:rPr>
        <w:t xml:space="preserve"> </w:t>
      </w:r>
      <w:r w:rsidR="002D095D">
        <w:rPr>
          <w:rFonts w:eastAsia="Times New Roman"/>
          <w:spacing w:val="-1"/>
          <w:szCs w:val="24"/>
        </w:rPr>
        <w:t>one year</w:t>
      </w:r>
      <w:r w:rsidR="009559AE" w:rsidRPr="00F46C0C">
        <w:rPr>
          <w:rFonts w:eastAsia="Times New Roman"/>
          <w:spacing w:val="1"/>
          <w:szCs w:val="24"/>
        </w:rPr>
        <w:t xml:space="preserve"> </w:t>
      </w:r>
      <w:r w:rsidR="009559AE" w:rsidRPr="00F46C0C">
        <w:rPr>
          <w:rFonts w:eastAsia="Times New Roman"/>
          <w:szCs w:val="24"/>
        </w:rPr>
        <w:t xml:space="preserve">with the </w:t>
      </w:r>
      <w:r w:rsidR="009559AE" w:rsidRPr="00F46C0C">
        <w:rPr>
          <w:rFonts w:eastAsia="Times New Roman"/>
          <w:spacing w:val="-2"/>
          <w:szCs w:val="24"/>
        </w:rPr>
        <w:t>f</w:t>
      </w:r>
      <w:r w:rsidR="009559AE" w:rsidRPr="00F46C0C">
        <w:rPr>
          <w:rFonts w:eastAsia="Times New Roman"/>
          <w:szCs w:val="24"/>
        </w:rPr>
        <w:t>ollowing</w:t>
      </w:r>
      <w:r w:rsidR="009559AE" w:rsidRPr="00F46C0C">
        <w:rPr>
          <w:rFonts w:eastAsia="Times New Roman"/>
          <w:spacing w:val="-3"/>
          <w:szCs w:val="24"/>
        </w:rPr>
        <w:t xml:space="preserve"> </w:t>
      </w:r>
      <w:r w:rsidR="009559AE" w:rsidRPr="00F46C0C">
        <w:rPr>
          <w:rFonts w:eastAsia="Times New Roman"/>
          <w:spacing w:val="-1"/>
          <w:szCs w:val="24"/>
        </w:rPr>
        <w:t>c</w:t>
      </w:r>
      <w:r w:rsidR="009559AE" w:rsidRPr="00F46C0C">
        <w:rPr>
          <w:rFonts w:eastAsia="Times New Roman"/>
          <w:szCs w:val="24"/>
        </w:rPr>
        <w:t>on</w:t>
      </w:r>
      <w:r w:rsidR="009559AE" w:rsidRPr="00F46C0C">
        <w:rPr>
          <w:rFonts w:eastAsia="Times New Roman"/>
          <w:spacing w:val="2"/>
          <w:szCs w:val="24"/>
        </w:rPr>
        <w:t>d</w:t>
      </w:r>
      <w:r w:rsidR="009559AE" w:rsidRPr="00F46C0C">
        <w:rPr>
          <w:rFonts w:eastAsia="Times New Roman"/>
          <w:szCs w:val="24"/>
        </w:rPr>
        <w:t>ition</w:t>
      </w:r>
      <w:r w:rsidR="009559AE">
        <w:rPr>
          <w:rFonts w:eastAsia="Times New Roman"/>
          <w:szCs w:val="24"/>
        </w:rPr>
        <w:t>s:</w:t>
      </w:r>
    </w:p>
    <w:p w14:paraId="4755CDA0" w14:textId="03D50D46" w:rsidR="009559AE" w:rsidRDefault="009559AE" w:rsidP="009559AE">
      <w:pPr>
        <w:pStyle w:val="ListParagraph"/>
        <w:numPr>
          <w:ilvl w:val="0"/>
          <w:numId w:val="22"/>
        </w:numPr>
      </w:pPr>
      <w:r w:rsidRPr="00DE6D35">
        <w:rPr>
          <w:b/>
        </w:rPr>
        <w:t>Actual Suspension.</w:t>
      </w:r>
      <w:r w:rsidRPr="00DE6D35">
        <w:t xml:space="preserve">  </w:t>
      </w:r>
      <w:r w:rsidR="00D340DF">
        <w:t xml:space="preserve">Isola </w:t>
      </w:r>
      <w:r>
        <w:t>must be su</w:t>
      </w:r>
      <w:r w:rsidRPr="00DE6D35">
        <w:t>spended from the practice of law for</w:t>
      </w:r>
      <w:r>
        <w:t xml:space="preserve"> the first </w:t>
      </w:r>
      <w:r w:rsidR="00E9121C">
        <w:t xml:space="preserve">30 days </w:t>
      </w:r>
      <w:r>
        <w:t xml:space="preserve">of the period of </w:t>
      </w:r>
      <w:r w:rsidR="00D340DF">
        <w:t>his</w:t>
      </w:r>
      <w:r>
        <w:t xml:space="preserve"> probation.</w:t>
      </w:r>
    </w:p>
    <w:p w14:paraId="1F6ADBE5" w14:textId="77777777" w:rsidR="00892D32" w:rsidRDefault="00892D32" w:rsidP="00892D32">
      <w:pPr>
        <w:pStyle w:val="ListParagraph"/>
        <w:ind w:left="360"/>
      </w:pPr>
    </w:p>
    <w:p w14:paraId="3B9E7CC9" w14:textId="1841549E" w:rsidR="009559AE" w:rsidRDefault="009559AE" w:rsidP="009559AE">
      <w:pPr>
        <w:pStyle w:val="ListParagraph"/>
        <w:numPr>
          <w:ilvl w:val="0"/>
          <w:numId w:val="22"/>
        </w:numPr>
      </w:pPr>
      <w:r w:rsidRPr="00DE6D35">
        <w:rPr>
          <w:b/>
        </w:rPr>
        <w:lastRenderedPageBreak/>
        <w:t>Review Rules of Professional Conduct.</w:t>
      </w:r>
      <w:r>
        <w:rPr>
          <w:b/>
        </w:rPr>
        <w:t xml:space="preserve">  </w:t>
      </w:r>
      <w:r w:rsidRPr="00DE6D35">
        <w:t xml:space="preserve">Within 30 days after the effective date of the Supreme Court order imposing discipline in this matter, </w:t>
      </w:r>
      <w:r w:rsidR="00D340DF">
        <w:t>Isola</w:t>
      </w:r>
      <w:r w:rsidRPr="00DE6D35">
        <w:rPr>
          <w:b/>
        </w:rPr>
        <w:t xml:space="preserve"> </w:t>
      </w:r>
      <w:r w:rsidRPr="00DE6D35">
        <w:t xml:space="preserve">must (1) read the California Rules of Professional Conduct (Rules of Professional Conduct) and Business and Professions Code sections 6067, 6068, and 6103 through 6126, and (2) provide a declaration, under penalty of perjury, attesting to </w:t>
      </w:r>
      <w:r w:rsidR="00D340DF">
        <w:t xml:space="preserve">his </w:t>
      </w:r>
      <w:r w:rsidRPr="00DE6D35">
        <w:t xml:space="preserve">compliance with this requirement, to the State Bar’s Office of Probation in Los Angeles (Office of Probation) </w:t>
      </w:r>
      <w:r w:rsidRPr="00DE6D35">
        <w:rPr>
          <w:color w:val="000000"/>
        </w:rPr>
        <w:t xml:space="preserve">with </w:t>
      </w:r>
      <w:r w:rsidR="005B4FD6">
        <w:rPr>
          <w:color w:val="000000"/>
        </w:rPr>
        <w:t xml:space="preserve">Isola’s </w:t>
      </w:r>
      <w:r w:rsidRPr="00DE6D35">
        <w:rPr>
          <w:color w:val="000000"/>
        </w:rPr>
        <w:t>first quarterly report</w:t>
      </w:r>
      <w:r w:rsidRPr="00DE6D35">
        <w:t>.</w:t>
      </w:r>
    </w:p>
    <w:p w14:paraId="4A25EF6E" w14:textId="77777777" w:rsidR="009559AE" w:rsidRPr="00DE6D35" w:rsidRDefault="009559AE" w:rsidP="009559AE">
      <w:pPr>
        <w:pStyle w:val="ListParagraph"/>
        <w:rPr>
          <w:b/>
        </w:rPr>
      </w:pPr>
    </w:p>
    <w:p w14:paraId="2C5F2295" w14:textId="3C2366B0" w:rsidR="009559AE" w:rsidRDefault="009559AE" w:rsidP="009559AE">
      <w:pPr>
        <w:pStyle w:val="ListParagraph"/>
        <w:numPr>
          <w:ilvl w:val="0"/>
          <w:numId w:val="22"/>
        </w:numPr>
      </w:pPr>
      <w:r w:rsidRPr="0096680A">
        <w:rPr>
          <w:b/>
        </w:rPr>
        <w:t>Comply with State Bar Act, Rules of Professional Conduct, and Probation Conditions.</w:t>
      </w:r>
      <w:r w:rsidRPr="0096680A">
        <w:t xml:space="preserve"> </w:t>
      </w:r>
      <w:r w:rsidR="005B4FD6">
        <w:t>Isola</w:t>
      </w:r>
      <w:r w:rsidRPr="0096680A">
        <w:rPr>
          <w:b/>
        </w:rPr>
        <w:t xml:space="preserve"> </w:t>
      </w:r>
      <w:r w:rsidRPr="0096680A">
        <w:t>must comply with the provisions of the State Bar Act, the Rules of Professional Conduct, and all conditions of probation.</w:t>
      </w:r>
    </w:p>
    <w:p w14:paraId="58BE7CE1" w14:textId="77777777" w:rsidR="009559AE" w:rsidRPr="0096680A" w:rsidRDefault="009559AE" w:rsidP="009559AE">
      <w:pPr>
        <w:pStyle w:val="ListParagraph"/>
        <w:rPr>
          <w:b/>
        </w:rPr>
      </w:pPr>
    </w:p>
    <w:p w14:paraId="1EC999E8" w14:textId="775FA4B1" w:rsidR="009559AE" w:rsidRDefault="009559AE" w:rsidP="009559AE">
      <w:pPr>
        <w:pStyle w:val="ListParagraph"/>
        <w:numPr>
          <w:ilvl w:val="0"/>
          <w:numId w:val="22"/>
        </w:numPr>
      </w:pPr>
      <w:r w:rsidRPr="006A7A08">
        <w:rPr>
          <w:b/>
        </w:rPr>
        <w:t>Maintain Valid Official State Bar Record Address and Other Required Contact Information.</w:t>
      </w:r>
      <w:r>
        <w:rPr>
          <w:b/>
        </w:rPr>
        <w:t xml:space="preserve">  </w:t>
      </w:r>
      <w:r w:rsidRPr="006A7A08">
        <w:t>Within 30 days after the effective date of the Supreme Court order imposing discipline in this matter,</w:t>
      </w:r>
      <w:r w:rsidR="005B4FD6">
        <w:t xml:space="preserve"> Isola</w:t>
      </w:r>
      <w:r w:rsidRPr="006A7A08">
        <w:t xml:space="preserve"> must make certain that the State Bar Attorney Regulation and Consumer Resources Office (ARCR) has </w:t>
      </w:r>
      <w:r w:rsidR="005B4FD6">
        <w:t xml:space="preserve">his </w:t>
      </w:r>
      <w:r w:rsidRPr="006A7A08">
        <w:t>current office address, email address, and telephone number.  If</w:t>
      </w:r>
      <w:r w:rsidR="005B4FD6">
        <w:t xml:space="preserve"> he</w:t>
      </w:r>
      <w:r w:rsidRPr="006A7A08">
        <w:t xml:space="preserve"> does not maintain an office, </w:t>
      </w:r>
      <w:r w:rsidR="005B4FD6">
        <w:t>he</w:t>
      </w:r>
      <w:r w:rsidRPr="006A7A08">
        <w:t xml:space="preserve"> must provide the mailing address, email address, and telephone number to be used for State Bar purposes.  </w:t>
      </w:r>
      <w:r w:rsidR="005B4FD6">
        <w:t>Isola</w:t>
      </w:r>
      <w:r w:rsidRPr="006A7A08">
        <w:t xml:space="preserve"> must report, in writing, any change in the above information to ARCR, within </w:t>
      </w:r>
      <w:r>
        <w:t>10</w:t>
      </w:r>
      <w:r w:rsidRPr="006A7A08">
        <w:t xml:space="preserve"> days after such change, in the manner required by that office.</w:t>
      </w:r>
    </w:p>
    <w:p w14:paraId="37222EC6" w14:textId="77777777" w:rsidR="009559AE" w:rsidRPr="006A7A08" w:rsidRDefault="009559AE" w:rsidP="009559AE">
      <w:pPr>
        <w:pStyle w:val="ListParagraph"/>
        <w:rPr>
          <w:b/>
        </w:rPr>
      </w:pPr>
    </w:p>
    <w:p w14:paraId="3569456F" w14:textId="5E1530A3" w:rsidR="009559AE" w:rsidRDefault="009559AE" w:rsidP="009559AE">
      <w:pPr>
        <w:pStyle w:val="ListParagraph"/>
        <w:numPr>
          <w:ilvl w:val="0"/>
          <w:numId w:val="22"/>
        </w:numPr>
      </w:pPr>
      <w:r w:rsidRPr="006A7A08">
        <w:rPr>
          <w:b/>
        </w:rPr>
        <w:t>Meet and Cooperate with Office of Probation.</w:t>
      </w:r>
      <w:r>
        <w:rPr>
          <w:b/>
        </w:rPr>
        <w:t xml:space="preserve"> </w:t>
      </w:r>
      <w:r w:rsidRPr="006A7A08">
        <w:t xml:space="preserve"> Within 15 days after the effective date of the Supreme Court order imposing discipline in this matter, </w:t>
      </w:r>
      <w:r w:rsidR="005B4FD6">
        <w:t>Isola</w:t>
      </w:r>
      <w:r w:rsidRPr="006A7A08">
        <w:t xml:space="preserve"> must schedule a meeting with </w:t>
      </w:r>
      <w:r w:rsidR="005B4FD6">
        <w:t xml:space="preserve">his </w:t>
      </w:r>
      <w:r w:rsidRPr="006A7A08">
        <w:t xml:space="preserve">assigned probation case specialist to discuss the terms and conditions of </w:t>
      </w:r>
      <w:r w:rsidR="005B4FD6">
        <w:t xml:space="preserve">his </w:t>
      </w:r>
      <w:r w:rsidRPr="006A7A08">
        <w:t xml:space="preserve">discipline and, within 30 days after the effective date of the court’s order, must participate in such meeting.  Unless otherwise instructed by the Office of Probation, </w:t>
      </w:r>
      <w:r w:rsidR="005B4FD6">
        <w:t xml:space="preserve">Isola </w:t>
      </w:r>
      <w:r w:rsidRPr="006A7A08">
        <w:t xml:space="preserve">may meet with the probation case specialist in person or by telephone.  During the probation period, </w:t>
      </w:r>
      <w:r w:rsidR="005B4FD6">
        <w:t>Isola</w:t>
      </w:r>
      <w:r w:rsidRPr="006A7A08">
        <w:t xml:space="preserve"> must promptly meet with representatives of the Office of Probation as requested by it and, subject to the assertion of applicable privileges, must fully, promptly, and truthfully answer any inquiries by it and provide to it any other information requested by it.</w:t>
      </w:r>
    </w:p>
    <w:p w14:paraId="2299958F" w14:textId="77777777" w:rsidR="009559AE" w:rsidRPr="00F71C57" w:rsidRDefault="009559AE" w:rsidP="009559AE">
      <w:pPr>
        <w:pStyle w:val="ListParagraph"/>
      </w:pPr>
    </w:p>
    <w:p w14:paraId="790B4771" w14:textId="158699AB" w:rsidR="009559AE" w:rsidRPr="006A7A08" w:rsidRDefault="009559AE" w:rsidP="009559AE">
      <w:pPr>
        <w:pStyle w:val="ListParagraph"/>
        <w:numPr>
          <w:ilvl w:val="0"/>
          <w:numId w:val="22"/>
        </w:numPr>
        <w:rPr>
          <w:b/>
        </w:rPr>
      </w:pPr>
      <w:r w:rsidRPr="006A7A08">
        <w:rPr>
          <w:b/>
        </w:rPr>
        <w:t>State Bar Court Retains Jurisdiction/Appear Before and Cooperate with State Bar Court.</w:t>
      </w:r>
      <w:r>
        <w:rPr>
          <w:b/>
        </w:rPr>
        <w:t xml:space="preserve"> </w:t>
      </w:r>
      <w:r w:rsidRPr="006A7A08">
        <w:t xml:space="preserve"> During </w:t>
      </w:r>
      <w:r w:rsidR="005B4FD6">
        <w:t xml:space="preserve">Isola’s </w:t>
      </w:r>
      <w:r w:rsidRPr="006A7A08">
        <w:t xml:space="preserve">probation period, the State Bar Court retains jurisdiction over </w:t>
      </w:r>
      <w:r w:rsidR="005B4FD6">
        <w:t>him</w:t>
      </w:r>
      <w:r w:rsidRPr="006A7A08">
        <w:t xml:space="preserve"> to address issues concerning compliance with probation conditions.  During this period,</w:t>
      </w:r>
      <w:r w:rsidR="005B4FD6">
        <w:t xml:space="preserve"> Isola</w:t>
      </w:r>
      <w:r w:rsidRPr="006A7A08">
        <w:t xml:space="preserve"> must appear before the State Bar Court as required by the court or by the Office of Probation after written notice mailed to </w:t>
      </w:r>
      <w:r w:rsidR="005B4FD6">
        <w:t xml:space="preserve">his </w:t>
      </w:r>
      <w:r w:rsidRPr="006A7A08">
        <w:t xml:space="preserve">official State Bar record address, as provided above.  Subject to the assertion of applicable privileges, </w:t>
      </w:r>
      <w:r w:rsidR="005B4FD6">
        <w:t xml:space="preserve">Isola </w:t>
      </w:r>
      <w:r w:rsidRPr="006A7A08">
        <w:t xml:space="preserve">must fully, promptly, and truthfully answer any inquiries by the court and must provide any other information the court requests. </w:t>
      </w:r>
    </w:p>
    <w:p w14:paraId="40C0B89B" w14:textId="77777777" w:rsidR="009559AE" w:rsidRPr="006A7A08" w:rsidRDefault="009559AE" w:rsidP="009559AE">
      <w:pPr>
        <w:pStyle w:val="ListParagraph"/>
        <w:rPr>
          <w:b/>
        </w:rPr>
      </w:pPr>
    </w:p>
    <w:p w14:paraId="3C76E435" w14:textId="77777777" w:rsidR="009559AE" w:rsidRPr="006A7A08" w:rsidRDefault="009559AE" w:rsidP="009559AE">
      <w:pPr>
        <w:pStyle w:val="ListParagraph"/>
        <w:numPr>
          <w:ilvl w:val="0"/>
          <w:numId w:val="22"/>
        </w:numPr>
        <w:spacing w:after="200"/>
        <w:rPr>
          <w:b/>
        </w:rPr>
      </w:pPr>
      <w:r w:rsidRPr="006A7A08">
        <w:rPr>
          <w:b/>
        </w:rPr>
        <w:t>Quarterly and Final Reports</w:t>
      </w:r>
      <w:r>
        <w:rPr>
          <w:b/>
        </w:rPr>
        <w:t>.</w:t>
      </w:r>
    </w:p>
    <w:p w14:paraId="381D8D30" w14:textId="57D6EEC3" w:rsidR="009559AE" w:rsidRDefault="009559AE" w:rsidP="009559AE">
      <w:pPr>
        <w:ind w:left="1080" w:hanging="360"/>
      </w:pPr>
      <w:r w:rsidRPr="004D40BE">
        <w:rPr>
          <w:b/>
        </w:rPr>
        <w:t>a.</w:t>
      </w:r>
      <w:r w:rsidRPr="004D40BE">
        <w:t xml:space="preserve">  </w:t>
      </w:r>
      <w:r w:rsidRPr="004D40BE">
        <w:rPr>
          <w:b/>
        </w:rPr>
        <w:t>Deadlines for Reports</w:t>
      </w:r>
      <w:r w:rsidRPr="00111085">
        <w:rPr>
          <w:b/>
        </w:rPr>
        <w:t>.</w:t>
      </w:r>
      <w:r w:rsidRPr="004D40BE">
        <w:t xml:space="preserve">  </w:t>
      </w:r>
      <w:r w:rsidR="005B4FD6">
        <w:t xml:space="preserve">Isola </w:t>
      </w:r>
      <w:r w:rsidRPr="004D40BE">
        <w:t>must</w:t>
      </w:r>
      <w:r w:rsidRPr="004D40BE">
        <w:rPr>
          <w:b/>
        </w:rPr>
        <w:t xml:space="preserve"> </w:t>
      </w:r>
      <w:r w:rsidRPr="004D40BE">
        <w:t>submit</w:t>
      </w:r>
      <w:r w:rsidRPr="004D40BE">
        <w:rPr>
          <w:b/>
        </w:rPr>
        <w:t xml:space="preserve"> </w:t>
      </w:r>
      <w:r w:rsidRPr="004D40BE">
        <w:t xml:space="preserve">written quarterly reports to the Office of Probation no later than each January 10 (covering October 1 through December 31 of the prior year), April 10 (covering January 1 through March 31), July 10 (covering April 1 through June 30), and October 10 (covering July 1 through September 30) within the period of probation.  If the first report would cover less than 30 days, that report must be submitted on the next quarter date and cover the extended deadline.  In addition to all quarterly reports, </w:t>
      </w:r>
      <w:r w:rsidR="005B4FD6">
        <w:t xml:space="preserve">Isola </w:t>
      </w:r>
      <w:r w:rsidRPr="004D40BE">
        <w:t xml:space="preserve">must submit a final report no earlier than </w:t>
      </w:r>
      <w:r>
        <w:t>10</w:t>
      </w:r>
      <w:r w:rsidRPr="004D40BE">
        <w:t xml:space="preserve"> </w:t>
      </w:r>
      <w:r w:rsidRPr="004D40BE">
        <w:lastRenderedPageBreak/>
        <w:t xml:space="preserve">days before the last day of the probation period and no later than the last day of the probation period.  </w:t>
      </w:r>
    </w:p>
    <w:p w14:paraId="60BE2C4C" w14:textId="77777777" w:rsidR="009559AE" w:rsidRPr="004D40BE" w:rsidRDefault="009559AE" w:rsidP="009559AE">
      <w:pPr>
        <w:ind w:firstLine="720"/>
      </w:pPr>
    </w:p>
    <w:p w14:paraId="7AB652D9" w14:textId="0EB6C2CE" w:rsidR="009559AE" w:rsidRPr="004D40BE" w:rsidRDefault="009559AE" w:rsidP="009559AE">
      <w:pPr>
        <w:ind w:left="1080" w:hanging="360"/>
      </w:pPr>
      <w:r w:rsidRPr="004D40BE">
        <w:rPr>
          <w:b/>
        </w:rPr>
        <w:t>b.</w:t>
      </w:r>
      <w:r w:rsidRPr="004D40BE">
        <w:t xml:space="preserve">  </w:t>
      </w:r>
      <w:r w:rsidRPr="004D40BE">
        <w:rPr>
          <w:b/>
        </w:rPr>
        <w:t>Contents of Reports</w:t>
      </w:r>
      <w:r w:rsidRPr="00111085">
        <w:rPr>
          <w:b/>
        </w:rPr>
        <w:t>.</w:t>
      </w:r>
      <w:r w:rsidRPr="004D40BE">
        <w:t xml:space="preserve">  </w:t>
      </w:r>
      <w:r w:rsidR="005B4FD6">
        <w:t>Isola</w:t>
      </w:r>
      <w:r w:rsidRPr="004D40BE">
        <w:t xml:space="preserve"> must answer, under penalty of perjury, all inquiries contained in the quarterly report form provided by the Office of Probation, including stating whether </w:t>
      </w:r>
      <w:r w:rsidR="005B4FD6">
        <w:t xml:space="preserve">he </w:t>
      </w:r>
      <w:r w:rsidRPr="004D40BE">
        <w:t xml:space="preserve">has complied with the State Bar Act and the Rules of Professional Conduct during the applicable quarter or period.  All reports must be: (1) submitted on the form provided by the Office of Probation; (2) signed and dated after the completion of the period for which the report is being submitted (except for the final report); (3) filled out completely and signed under penalty of perjury; and (4) submitted to the Office of Probation on or before each report’s due date.  </w:t>
      </w:r>
    </w:p>
    <w:p w14:paraId="3F95369C" w14:textId="77777777" w:rsidR="009559AE" w:rsidRDefault="009559AE" w:rsidP="009559AE">
      <w:pPr>
        <w:rPr>
          <w:b/>
        </w:rPr>
      </w:pPr>
    </w:p>
    <w:p w14:paraId="5A5CC82D" w14:textId="77777777" w:rsidR="009559AE" w:rsidRPr="004D40BE" w:rsidRDefault="009559AE" w:rsidP="009559AE">
      <w:pPr>
        <w:ind w:left="990" w:hanging="270"/>
      </w:pPr>
      <w:r w:rsidRPr="004D40BE">
        <w:rPr>
          <w:b/>
        </w:rPr>
        <w:t>c.</w:t>
      </w:r>
      <w:r w:rsidRPr="004D40BE">
        <w:t xml:space="preserve">  </w:t>
      </w:r>
      <w:r w:rsidRPr="004D40BE">
        <w:rPr>
          <w:b/>
        </w:rPr>
        <w:t xml:space="preserve">Submission of Reports.  </w:t>
      </w:r>
      <w:r w:rsidRPr="004D40BE">
        <w:t xml:space="preserve">All reports must be submitted by: (1) fax or email to the Office of Probation; (2) personal delivery to the Office of Probation; (3) certified mail, return receipt requested, to the Office of Probation (postmarked on or before the due date); or (4) other tracked-service provider, such as Federal Express or United Parcel Service, etc. (physically delivered to such provider on or before the due date).  </w:t>
      </w:r>
    </w:p>
    <w:p w14:paraId="34784775" w14:textId="77777777" w:rsidR="009559AE" w:rsidRDefault="009559AE" w:rsidP="009559AE">
      <w:pPr>
        <w:rPr>
          <w:b/>
        </w:rPr>
      </w:pPr>
    </w:p>
    <w:p w14:paraId="055A1692" w14:textId="1F04C9FD" w:rsidR="009559AE" w:rsidRPr="004D40BE" w:rsidRDefault="009559AE" w:rsidP="009559AE">
      <w:pPr>
        <w:ind w:left="1080" w:hanging="360"/>
      </w:pPr>
      <w:r w:rsidRPr="004D40BE">
        <w:rPr>
          <w:b/>
        </w:rPr>
        <w:t xml:space="preserve">d.  Proof of Compliance.  </w:t>
      </w:r>
      <w:r w:rsidR="005B4FD6">
        <w:t xml:space="preserve">Isola </w:t>
      </w:r>
      <w:r w:rsidRPr="004D40BE">
        <w:t xml:space="preserve">is directed to maintain proof of compliance with the above requirements for each such report for a minimum of one year after either the period of probation or the period of actual suspension has ended, whichever is longer.  </w:t>
      </w:r>
      <w:r w:rsidR="005B4FD6">
        <w:t>Isola</w:t>
      </w:r>
      <w:r w:rsidRPr="004D40BE">
        <w:t xml:space="preserve"> is required to present such proof upon request by the State Bar, the Office of Probation, or the State Bar Court.  </w:t>
      </w:r>
    </w:p>
    <w:p w14:paraId="6C2081F4" w14:textId="77777777" w:rsidR="009559AE" w:rsidRPr="004D40BE" w:rsidRDefault="009559AE" w:rsidP="009559AE"/>
    <w:p w14:paraId="36266035" w14:textId="00A9A236" w:rsidR="009559AE" w:rsidRDefault="009559AE" w:rsidP="009559AE">
      <w:pPr>
        <w:pStyle w:val="ListParagraph"/>
        <w:numPr>
          <w:ilvl w:val="0"/>
          <w:numId w:val="22"/>
        </w:numPr>
        <w:spacing w:after="200"/>
      </w:pPr>
      <w:r w:rsidRPr="00727553">
        <w:rPr>
          <w:b/>
        </w:rPr>
        <w:t>State Bar Ethics School.</w:t>
      </w:r>
      <w:r>
        <w:rPr>
          <w:b/>
        </w:rPr>
        <w:t xml:space="preserve"> </w:t>
      </w:r>
      <w:r w:rsidRPr="00727553">
        <w:t xml:space="preserve"> Within one year after the effective date of the Supreme Court order imposing discipline in this matter, </w:t>
      </w:r>
      <w:r w:rsidR="00356894">
        <w:t>Isola</w:t>
      </w:r>
      <w:r w:rsidRPr="00727553">
        <w:t xml:space="preserve"> must submit to the Office of Probation satisfactory evidence of completion of the State Bar Ethics School and passage of the test given at the end of that session.  This requirement is separate from any Minimum Continuing Legal Education (MCLE) requirement, and</w:t>
      </w:r>
      <w:r w:rsidR="00356894">
        <w:t xml:space="preserve"> he</w:t>
      </w:r>
      <w:r w:rsidRPr="00727553">
        <w:t xml:space="preserve"> will not receive MCLE credit for attending this session.  If </w:t>
      </w:r>
      <w:r w:rsidR="00356894">
        <w:t>he</w:t>
      </w:r>
      <w:r w:rsidRPr="00727553">
        <w:t xml:space="preserve"> provides satisfactory evidence of completion of the Ethics School after the date of this</w:t>
      </w:r>
      <w:r w:rsidR="00356894">
        <w:t xml:space="preserve"> opinion</w:t>
      </w:r>
      <w:r w:rsidRPr="00727553">
        <w:t xml:space="preserve"> but before the effective date of the Supreme Court’s order in this matter, </w:t>
      </w:r>
      <w:r w:rsidR="00356894">
        <w:t>Isola</w:t>
      </w:r>
      <w:r w:rsidRPr="00727553">
        <w:t xml:space="preserve"> will nonetheless receive credit for such evidence toward </w:t>
      </w:r>
      <w:r w:rsidR="00356894">
        <w:t>his</w:t>
      </w:r>
      <w:r w:rsidRPr="00727553">
        <w:t xml:space="preserve"> duty to comply with this condition.</w:t>
      </w:r>
    </w:p>
    <w:p w14:paraId="7945A0C0" w14:textId="77777777" w:rsidR="009559AE" w:rsidRDefault="009559AE" w:rsidP="009559AE">
      <w:pPr>
        <w:pStyle w:val="ListParagraph"/>
        <w:ind w:left="360"/>
      </w:pPr>
    </w:p>
    <w:p w14:paraId="7F34DB3C" w14:textId="1EA740C2" w:rsidR="009559AE" w:rsidRDefault="009559AE" w:rsidP="009559AE">
      <w:pPr>
        <w:pStyle w:val="ListParagraph"/>
        <w:numPr>
          <w:ilvl w:val="0"/>
          <w:numId w:val="22"/>
        </w:numPr>
      </w:pPr>
      <w:r w:rsidRPr="00727553">
        <w:rPr>
          <w:b/>
        </w:rPr>
        <w:t>Commencement of Probation/Compliance with Probation Conditions.</w:t>
      </w:r>
      <w:r>
        <w:rPr>
          <w:b/>
        </w:rPr>
        <w:t xml:space="preserve"> </w:t>
      </w:r>
      <w:r w:rsidRPr="00727553">
        <w:t xml:space="preserve"> The period of probation will commence on the effective date of the Supreme Court order imposing discipline in this matter.  At the expiration of the probation period, if </w:t>
      </w:r>
      <w:r w:rsidR="00356894">
        <w:t xml:space="preserve">Isola </w:t>
      </w:r>
      <w:r w:rsidRPr="00727553">
        <w:t>has complied with all conditions of probation, the period of stayed suspension will be satisfied and that suspension will be terminated.</w:t>
      </w:r>
    </w:p>
    <w:p w14:paraId="465A6C3E" w14:textId="77777777" w:rsidR="009559AE" w:rsidRPr="004D40BE" w:rsidRDefault="009559AE" w:rsidP="001421E7">
      <w:pPr>
        <w:pStyle w:val="ListParagraph"/>
        <w:ind w:left="360"/>
        <w:rPr>
          <w:b/>
        </w:rPr>
      </w:pPr>
    </w:p>
    <w:p w14:paraId="15F7532E" w14:textId="04086606" w:rsidR="009559AE" w:rsidRPr="004D40BE" w:rsidRDefault="00DE3C05" w:rsidP="009559AE">
      <w:pPr>
        <w:jc w:val="center"/>
        <w:rPr>
          <w:b/>
        </w:rPr>
      </w:pPr>
      <w:r>
        <w:rPr>
          <w:b/>
        </w:rPr>
        <w:t xml:space="preserve">VII.  </w:t>
      </w:r>
      <w:r w:rsidR="009559AE" w:rsidRPr="004D40BE">
        <w:rPr>
          <w:b/>
        </w:rPr>
        <w:t xml:space="preserve">MULTISTATE PROFESSIONAL RESPONSIBILITY EXAMINATION </w:t>
      </w:r>
    </w:p>
    <w:p w14:paraId="4C3EB838" w14:textId="77777777" w:rsidR="009559AE" w:rsidRPr="004D40BE" w:rsidRDefault="009559AE" w:rsidP="009559AE">
      <w:pPr>
        <w:rPr>
          <w:b/>
        </w:rPr>
      </w:pPr>
    </w:p>
    <w:p w14:paraId="27028C40" w14:textId="6E71DC7A" w:rsidR="00290487" w:rsidRDefault="00DE3C05" w:rsidP="006A0362">
      <w:pPr>
        <w:spacing w:line="480" w:lineRule="auto"/>
        <w:ind w:firstLine="720"/>
        <w:rPr>
          <w:b/>
        </w:rPr>
      </w:pPr>
      <w:r>
        <w:t>We</w:t>
      </w:r>
      <w:r w:rsidR="009559AE" w:rsidRPr="004D40BE">
        <w:t xml:space="preserve"> further recommend that </w:t>
      </w:r>
      <w:r>
        <w:t>Isola</w:t>
      </w:r>
      <w:r w:rsidR="009559AE" w:rsidRPr="004D40BE">
        <w:t xml:space="preserve"> be ordered to take and pass the Multistate Professional Responsibility Examination administered by the National Conference of Bar Examiners within one year after the effective date of the Supreme Court order imposing discipline in this matter </w:t>
      </w:r>
      <w:r w:rsidR="009559AE" w:rsidRPr="004D40BE">
        <w:lastRenderedPageBreak/>
        <w:t xml:space="preserve">and to provide satisfactory proof of such passage to the State Bar’s Office of Probation within the same period.  Failure to do so may result in suspension.  (Cal. Rules of Court, rule 9.10(b).)  If </w:t>
      </w:r>
      <w:r>
        <w:t xml:space="preserve">Isola </w:t>
      </w:r>
      <w:r w:rsidR="009559AE" w:rsidRPr="004D40BE">
        <w:t xml:space="preserve">provides satisfactory evidence of the taking and passage of the above examination after the date of this </w:t>
      </w:r>
      <w:r>
        <w:t xml:space="preserve">opinion </w:t>
      </w:r>
      <w:r w:rsidR="009559AE" w:rsidRPr="004D40BE">
        <w:t xml:space="preserve">but before the effective date of the Supreme Court’s order in this matter, </w:t>
      </w:r>
      <w:r>
        <w:t>he</w:t>
      </w:r>
      <w:r w:rsidR="009559AE" w:rsidRPr="004D40BE">
        <w:t xml:space="preserve"> will nonetheless receive credit for such evidence toward </w:t>
      </w:r>
      <w:r w:rsidR="003D631E">
        <w:t>his</w:t>
      </w:r>
      <w:r w:rsidR="009559AE" w:rsidRPr="004D40BE">
        <w:t xml:space="preserve"> duty to</w:t>
      </w:r>
      <w:r w:rsidR="009559AE">
        <w:t xml:space="preserve"> comply with this requirement. </w:t>
      </w:r>
    </w:p>
    <w:p w14:paraId="76B6A54F" w14:textId="5B820B90" w:rsidR="009559AE" w:rsidRDefault="00846AAB" w:rsidP="009559AE">
      <w:pPr>
        <w:spacing w:line="480" w:lineRule="auto"/>
        <w:jc w:val="center"/>
        <w:rPr>
          <w:b/>
        </w:rPr>
      </w:pPr>
      <w:r w:rsidRPr="001421E7">
        <w:rPr>
          <w:b/>
        </w:rPr>
        <w:t>VIII</w:t>
      </w:r>
      <w:r w:rsidR="00BA045D" w:rsidRPr="001421E7">
        <w:rPr>
          <w:b/>
        </w:rPr>
        <w:t xml:space="preserve">.  </w:t>
      </w:r>
      <w:r w:rsidR="009559AE" w:rsidRPr="001421E7">
        <w:rPr>
          <w:b/>
        </w:rPr>
        <w:t>MONETARY SANCTIONS</w:t>
      </w:r>
    </w:p>
    <w:p w14:paraId="57F0AE46" w14:textId="71FCF7F1" w:rsidR="009559AE" w:rsidRPr="00765C18" w:rsidRDefault="00BA045D" w:rsidP="00992498">
      <w:pPr>
        <w:spacing w:line="480" w:lineRule="auto"/>
        <w:ind w:firstLine="720"/>
      </w:pPr>
      <w:r>
        <w:t>We</w:t>
      </w:r>
      <w:r w:rsidR="009559AE">
        <w:t xml:space="preserve"> further recommended that </w:t>
      </w:r>
      <w:r>
        <w:t xml:space="preserve">Isola </w:t>
      </w:r>
      <w:r w:rsidR="009559AE">
        <w:t>be ordered to</w:t>
      </w:r>
      <w:r w:rsidR="009559AE" w:rsidRPr="009335A3">
        <w:t xml:space="preserve"> pay monetary sanctions to the State Bar of California Client Security Fund in the amount of $</w:t>
      </w:r>
      <w:r w:rsidR="00760EBE">
        <w:t>500</w:t>
      </w:r>
      <w:r w:rsidR="009559AE" w:rsidRPr="009335A3">
        <w:t xml:space="preserve"> in accordance with Business and Professions Code section</w:t>
      </w:r>
      <w:r w:rsidR="0017771D">
        <w:t> </w:t>
      </w:r>
      <w:r w:rsidR="009559AE" w:rsidRPr="009335A3">
        <w:t>6086.13 and rule</w:t>
      </w:r>
      <w:r w:rsidR="0017771D">
        <w:t> </w:t>
      </w:r>
      <w:r w:rsidR="009559AE" w:rsidRPr="009335A3">
        <w:t>5.137 of the Rules of Procedure of the State Bar.</w:t>
      </w:r>
      <w:r w:rsidR="008245C7">
        <w:t xml:space="preserve">  The sanctions amount is based on </w:t>
      </w:r>
      <w:r w:rsidR="00726AF4">
        <w:t>the</w:t>
      </w:r>
      <w:r w:rsidR="007317FE">
        <w:t xml:space="preserve"> guidelines set forth in rule</w:t>
      </w:r>
      <w:r w:rsidR="0017771D">
        <w:t> </w:t>
      </w:r>
      <w:r w:rsidR="007317FE">
        <w:t>5.137</w:t>
      </w:r>
      <w:r w:rsidR="00250EB1">
        <w:t>.</w:t>
      </w:r>
      <w:r w:rsidR="007317FE">
        <w:t xml:space="preserve"> </w:t>
      </w:r>
      <w:r w:rsidR="00250EB1">
        <w:t xml:space="preserve"> It </w:t>
      </w:r>
      <w:r w:rsidR="007317FE">
        <w:t>takes into consideration th</w:t>
      </w:r>
      <w:r w:rsidR="00A774FF">
        <w:t xml:space="preserve">at </w:t>
      </w:r>
      <w:r w:rsidR="00865CB7">
        <w:t>Isola is culpable of violations</w:t>
      </w:r>
      <w:r w:rsidR="00992498">
        <w:t xml:space="preserve"> </w:t>
      </w:r>
      <w:r w:rsidR="00CC1F05">
        <w:t>related</w:t>
      </w:r>
      <w:r w:rsidR="00250EB1">
        <w:t xml:space="preserve"> </w:t>
      </w:r>
      <w:r w:rsidR="00992498">
        <w:t>solely</w:t>
      </w:r>
      <w:r w:rsidR="00865CB7">
        <w:t xml:space="preserve"> to failure to communicate</w:t>
      </w:r>
      <w:r w:rsidR="00992498">
        <w:t xml:space="preserve"> in a single client matter</w:t>
      </w:r>
      <w:r w:rsidR="00865CB7">
        <w:t xml:space="preserve"> and that the discipline warranted is the </w:t>
      </w:r>
      <w:r w:rsidR="00992498">
        <w:t xml:space="preserve">lowest presumed length of </w:t>
      </w:r>
      <w:r w:rsidR="00A774FF">
        <w:t>time for an actual suspension</w:t>
      </w:r>
      <w:r w:rsidR="007317FE">
        <w:t>.</w:t>
      </w:r>
      <w:r w:rsidR="009559AE" w:rsidRPr="009335A3">
        <w:t xml:space="preserve">  Monetary sanctions are enforceable as a money judgment and may be collected by the State Bar through any means permitted by law.  </w:t>
      </w:r>
      <w:r w:rsidR="009559AE" w:rsidRPr="00765C18">
        <w:t>Monetary sanctions must be paid in full as a condition of reinstatement or return to active status, unless time for payment is extended pursuant to rule</w:t>
      </w:r>
      <w:r w:rsidR="0017771D">
        <w:t> </w:t>
      </w:r>
      <w:r w:rsidR="009559AE" w:rsidRPr="00765C18">
        <w:t>5.137 of the Rules of Procedure of the State Bar.</w:t>
      </w:r>
    </w:p>
    <w:p w14:paraId="475AA6E5" w14:textId="27D8E143" w:rsidR="009559AE" w:rsidRPr="004D40BE" w:rsidRDefault="00846AAB" w:rsidP="009559AE">
      <w:pPr>
        <w:jc w:val="center"/>
        <w:rPr>
          <w:b/>
        </w:rPr>
      </w:pPr>
      <w:r>
        <w:rPr>
          <w:b/>
        </w:rPr>
        <w:t>I</w:t>
      </w:r>
      <w:r w:rsidR="00C63929">
        <w:rPr>
          <w:b/>
        </w:rPr>
        <w:t xml:space="preserve">X.  </w:t>
      </w:r>
      <w:r w:rsidR="009559AE" w:rsidRPr="004D40BE">
        <w:rPr>
          <w:b/>
        </w:rPr>
        <w:t>COSTS</w:t>
      </w:r>
    </w:p>
    <w:p w14:paraId="7BC17581" w14:textId="77777777" w:rsidR="009559AE" w:rsidRPr="004D40BE" w:rsidRDefault="009559AE" w:rsidP="009559AE">
      <w:pPr>
        <w:rPr>
          <w:b/>
        </w:rPr>
      </w:pPr>
    </w:p>
    <w:p w14:paraId="12573EAD" w14:textId="058F83F7" w:rsidR="00290487" w:rsidRDefault="00C63929" w:rsidP="006A0362">
      <w:pPr>
        <w:spacing w:line="480" w:lineRule="auto"/>
        <w:ind w:firstLine="720"/>
        <w:rPr>
          <w:szCs w:val="24"/>
        </w:rPr>
      </w:pPr>
      <w:r>
        <w:t>We</w:t>
      </w:r>
      <w:r w:rsidR="009559AE" w:rsidRPr="004D40BE">
        <w:t xml:space="preserve"> further recommend that costs be awarded to the State Bar in accordance with Business and Professions Code section 6086.10, </w:t>
      </w:r>
      <w:r w:rsidR="009559AE" w:rsidRPr="004D40BE">
        <w:rPr>
          <w:szCs w:val="24"/>
        </w:rPr>
        <w:t>and are enforceable both as provided in Business and Professions Code section 6140.7 and as a money judgment</w:t>
      </w:r>
      <w:r w:rsidR="009559AE">
        <w:rPr>
          <w:szCs w:val="24"/>
        </w:rPr>
        <w:t>, and may be collected by the State Bar through any means permitted by law</w:t>
      </w:r>
      <w:r w:rsidR="009559AE" w:rsidRPr="004D40BE">
        <w:rPr>
          <w:szCs w:val="24"/>
        </w:rPr>
        <w:t>.  Unless the time for payment of discipline costs is extended pursuant to subdivision</w:t>
      </w:r>
      <w:r w:rsidR="009559AE">
        <w:rPr>
          <w:szCs w:val="24"/>
        </w:rPr>
        <w:t> </w:t>
      </w:r>
      <w:r w:rsidR="009559AE" w:rsidRPr="004D40BE">
        <w:rPr>
          <w:szCs w:val="24"/>
        </w:rPr>
        <w:t>(c) of section</w:t>
      </w:r>
      <w:r w:rsidR="009559AE">
        <w:rPr>
          <w:szCs w:val="24"/>
        </w:rPr>
        <w:t> </w:t>
      </w:r>
      <w:r w:rsidR="009559AE" w:rsidRPr="004D40BE">
        <w:rPr>
          <w:szCs w:val="24"/>
        </w:rPr>
        <w:t xml:space="preserve">6086.10, costs assessed against an </w:t>
      </w:r>
    </w:p>
    <w:p w14:paraId="604DC1EA" w14:textId="225AD983" w:rsidR="00C2590B" w:rsidRPr="00C63929" w:rsidRDefault="009559AE" w:rsidP="00290487">
      <w:pPr>
        <w:spacing w:line="480" w:lineRule="auto"/>
        <w:rPr>
          <w:b/>
        </w:rPr>
      </w:pPr>
      <w:r w:rsidRPr="004D40BE">
        <w:rPr>
          <w:szCs w:val="24"/>
        </w:rPr>
        <w:lastRenderedPageBreak/>
        <w:t>attorney who is actually suspended or disbarred must be paid as a condition of reinstatement or return to active status.</w:t>
      </w:r>
    </w:p>
    <w:p w14:paraId="794A3056" w14:textId="4DD73BD8" w:rsidR="00832223" w:rsidRPr="004F51D8" w:rsidRDefault="00832223" w:rsidP="00832223">
      <w:pPr>
        <w:rPr>
          <w:szCs w:val="24"/>
        </w:rPr>
      </w:pPr>
      <w:r w:rsidRPr="004F51D8">
        <w:rPr>
          <w:szCs w:val="24"/>
        </w:rPr>
        <w:tab/>
      </w:r>
      <w:r w:rsidRPr="004F51D8">
        <w:rPr>
          <w:szCs w:val="24"/>
        </w:rPr>
        <w:tab/>
      </w:r>
      <w:r w:rsidRPr="004F51D8">
        <w:rPr>
          <w:szCs w:val="24"/>
        </w:rPr>
        <w:tab/>
      </w:r>
      <w:r w:rsidRPr="004F51D8">
        <w:rPr>
          <w:szCs w:val="24"/>
        </w:rPr>
        <w:tab/>
      </w:r>
      <w:r w:rsidRPr="004F51D8">
        <w:rPr>
          <w:szCs w:val="24"/>
        </w:rPr>
        <w:tab/>
      </w:r>
      <w:r w:rsidRPr="004F51D8">
        <w:rPr>
          <w:szCs w:val="24"/>
        </w:rPr>
        <w:tab/>
      </w:r>
      <w:bookmarkStart w:id="27" w:name="judge"/>
      <w:bookmarkEnd w:id="27"/>
      <w:r w:rsidR="0017771D">
        <w:rPr>
          <w:szCs w:val="24"/>
        </w:rPr>
        <w:tab/>
      </w:r>
      <w:sdt>
        <w:sdtPr>
          <w:rPr>
            <w:szCs w:val="24"/>
          </w:rPr>
          <w:alias w:val="Select Judge"/>
          <w:tag w:val="Select Judge"/>
          <w:id w:val="110014445"/>
          <w:placeholder>
            <w:docPart w:val="62C84BFC0B194332921ED5CD378591FF"/>
          </w:placeholder>
          <w15:color w:val="FF0000"/>
          <w:dropDownList>
            <w:listItem w:displayText="STOVITZ, J." w:value="STOVITZ, J."/>
            <w:listItem w:displayText="HONN, J." w:value="HONN, J."/>
            <w:listItem w:displayText="McGILL, A. P. J." w:value="McGILL, A. P. J."/>
          </w:dropDownList>
        </w:sdtPr>
        <w:sdtEndPr/>
        <w:sdtContent>
          <w:r w:rsidR="000D2174" w:rsidRPr="004F51D8">
            <w:rPr>
              <w:szCs w:val="24"/>
            </w:rPr>
            <w:t>HONN, J.</w:t>
          </w:r>
        </w:sdtContent>
      </w:sdt>
    </w:p>
    <w:p w14:paraId="2E2D3B78" w14:textId="77777777" w:rsidR="00832223" w:rsidRPr="004F51D8" w:rsidRDefault="00832223" w:rsidP="00832223">
      <w:pPr>
        <w:rPr>
          <w:szCs w:val="24"/>
        </w:rPr>
      </w:pPr>
    </w:p>
    <w:p w14:paraId="3212BE3E" w14:textId="32CF8338" w:rsidR="00832223" w:rsidRDefault="00832223" w:rsidP="003F06DF">
      <w:pPr>
        <w:spacing w:line="480" w:lineRule="auto"/>
        <w:rPr>
          <w:szCs w:val="24"/>
        </w:rPr>
      </w:pPr>
      <w:r w:rsidRPr="004F51D8">
        <w:rPr>
          <w:szCs w:val="24"/>
        </w:rPr>
        <w:t>WE CONCUR:</w:t>
      </w:r>
    </w:p>
    <w:p w14:paraId="197AE8AA" w14:textId="647D9349" w:rsidR="004A7D2D" w:rsidRPr="004F51D8" w:rsidRDefault="00170FB8" w:rsidP="00170FB8">
      <w:pPr>
        <w:spacing w:line="480" w:lineRule="auto"/>
        <w:rPr>
          <w:szCs w:val="24"/>
        </w:rPr>
      </w:pPr>
      <w:proofErr w:type="spellStart"/>
      <w:r>
        <w:rPr>
          <w:szCs w:val="24"/>
        </w:rPr>
        <w:t>McGILL</w:t>
      </w:r>
      <w:proofErr w:type="spellEnd"/>
      <w:r>
        <w:rPr>
          <w:szCs w:val="24"/>
        </w:rPr>
        <w:t>, Acting P.J</w:t>
      </w:r>
      <w:bookmarkStart w:id="28" w:name="multinames"/>
      <w:bookmarkEnd w:id="28"/>
      <w:r>
        <w:rPr>
          <w:szCs w:val="24"/>
        </w:rPr>
        <w:t>.</w:t>
      </w:r>
    </w:p>
    <w:p w14:paraId="34F3B7C9" w14:textId="2589ACE0" w:rsidR="000E18B0" w:rsidRDefault="00740723" w:rsidP="000E18B0">
      <w:pPr>
        <w:spacing w:line="480" w:lineRule="auto"/>
      </w:pPr>
      <w:sdt>
        <w:sdtPr>
          <w:rPr>
            <w:szCs w:val="24"/>
          </w:rPr>
          <w:alias w:val="Select Concurring Judges"/>
          <w:tag w:val="Select Concurring Judges"/>
          <w:id w:val="505484268"/>
          <w:placeholder>
            <w:docPart w:val="F85FD359D2D24C97B81F32944029CB9A"/>
          </w:placeholder>
          <w15:color w:val="FF0000"/>
          <w:dropDownList>
            <w:listItem w:displayText="STOVITZ, J." w:value="STOVITZ, J."/>
            <w:listItem w:displayText="HONN, J." w:value="HONN, J."/>
            <w:listItem w:displayText="McGILL, A. P. J." w:value="McGILL, A. P. J."/>
          </w:dropDownList>
        </w:sdtPr>
        <w:sdtEndPr/>
        <w:sdtContent>
          <w:r w:rsidR="000D2174" w:rsidRPr="004F51D8">
            <w:rPr>
              <w:szCs w:val="24"/>
            </w:rPr>
            <w:t>STOVITZ, J.</w:t>
          </w:r>
        </w:sdtContent>
      </w:sdt>
      <w:r w:rsidR="000E18B0">
        <w:rPr>
          <w:rStyle w:val="FootnoteReference"/>
        </w:rPr>
        <w:footnoteReference w:customMarkFollows="1" w:id="46"/>
        <w:t>*</w:t>
      </w:r>
    </w:p>
    <w:p w14:paraId="16E322DB" w14:textId="04DE56F1" w:rsidR="00224D6E" w:rsidRPr="004F51D8" w:rsidRDefault="00224D6E" w:rsidP="000E0A7C">
      <w:pPr>
        <w:rPr>
          <w:szCs w:val="24"/>
        </w:rPr>
      </w:pPr>
    </w:p>
    <w:p w14:paraId="22BCDFDC" w14:textId="77777777" w:rsidR="00224D6E" w:rsidRDefault="00224D6E" w:rsidP="000E0A7C"/>
    <w:p w14:paraId="42E4CC85" w14:textId="1DF8D5DE" w:rsidR="009130CE" w:rsidRDefault="009130CE">
      <w:r>
        <w:br w:type="page"/>
      </w:r>
    </w:p>
    <w:p w14:paraId="32F7CF79" w14:textId="77777777" w:rsidR="00104DD6" w:rsidRDefault="00104DD6" w:rsidP="00104DD6">
      <w:pPr>
        <w:tabs>
          <w:tab w:val="left" w:pos="4994"/>
        </w:tabs>
        <w:rPr>
          <w:b/>
          <w:bCs/>
          <w:sz w:val="28"/>
          <w:szCs w:val="28"/>
        </w:rPr>
      </w:pPr>
      <w:r>
        <w:rPr>
          <w:lang w:val="en-CA"/>
        </w:rPr>
        <w:lastRenderedPageBreak/>
        <w:fldChar w:fldCharType="begin"/>
      </w:r>
      <w:r>
        <w:rPr>
          <w:lang w:val="en-CA"/>
        </w:rPr>
        <w:instrText xml:space="preserve"> SEQ CHAPTER \h \r 1</w:instrText>
      </w:r>
      <w:r>
        <w:rPr>
          <w:lang w:val="en-CA"/>
        </w:rPr>
        <w:fldChar w:fldCharType="end"/>
      </w:r>
    </w:p>
    <w:p w14:paraId="67DF213B" w14:textId="77777777" w:rsidR="00104DD6" w:rsidRDefault="00104DD6" w:rsidP="00104DD6">
      <w:pPr>
        <w:jc w:val="center"/>
        <w:rPr>
          <w:b/>
          <w:bCs/>
          <w:sz w:val="34"/>
          <w:szCs w:val="34"/>
        </w:rPr>
      </w:pPr>
    </w:p>
    <w:p w14:paraId="760AD130" w14:textId="77777777" w:rsidR="00104DD6" w:rsidRDefault="00104DD6" w:rsidP="00104DD6">
      <w:pPr>
        <w:jc w:val="center"/>
        <w:outlineLvl w:val="0"/>
        <w:rPr>
          <w:b/>
          <w:bCs/>
          <w:sz w:val="34"/>
          <w:szCs w:val="34"/>
        </w:rPr>
      </w:pPr>
    </w:p>
    <w:p w14:paraId="180808D7" w14:textId="77777777" w:rsidR="00104DD6" w:rsidRDefault="00104DD6" w:rsidP="00104DD6">
      <w:pPr>
        <w:jc w:val="center"/>
        <w:outlineLvl w:val="0"/>
        <w:rPr>
          <w:b/>
          <w:bCs/>
          <w:szCs w:val="34"/>
        </w:rPr>
      </w:pPr>
      <w:r>
        <w:rPr>
          <w:b/>
          <w:bCs/>
          <w:szCs w:val="34"/>
        </w:rPr>
        <w:t xml:space="preserve">No. </w:t>
      </w:r>
      <w:sdt>
        <w:sdtPr>
          <w:rPr>
            <w:b/>
            <w:bCs/>
            <w:szCs w:val="34"/>
          </w:rPr>
          <w:id w:val="1857532092"/>
          <w:placeholder>
            <w:docPart w:val="26F64B26D3F54E788B5039946DE9E1D5"/>
          </w:placeholder>
          <w:text/>
        </w:sdtPr>
        <w:sdtEndPr/>
        <w:sdtContent>
          <w:r>
            <w:rPr>
              <w:b/>
              <w:bCs/>
              <w:szCs w:val="34"/>
            </w:rPr>
            <w:t>SBC-20-O-30310</w:t>
          </w:r>
        </w:sdtContent>
      </w:sdt>
    </w:p>
    <w:p w14:paraId="0747D0E3" w14:textId="77777777" w:rsidR="00104DD6" w:rsidRDefault="00104DD6" w:rsidP="00104DD6">
      <w:pPr>
        <w:jc w:val="center"/>
        <w:outlineLvl w:val="0"/>
        <w:rPr>
          <w:szCs w:val="34"/>
        </w:rPr>
      </w:pPr>
    </w:p>
    <w:p w14:paraId="69255174" w14:textId="05C673F1" w:rsidR="00104DD6" w:rsidRDefault="00104DD6" w:rsidP="00104DD6">
      <w:pPr>
        <w:jc w:val="center"/>
        <w:rPr>
          <w:b/>
          <w:bCs/>
          <w:i/>
          <w:iCs/>
          <w:szCs w:val="34"/>
        </w:rPr>
      </w:pPr>
    </w:p>
    <w:p w14:paraId="295A9D59" w14:textId="77777777" w:rsidR="00104DD6" w:rsidRDefault="00104DD6" w:rsidP="00104DD6">
      <w:pPr>
        <w:jc w:val="center"/>
        <w:rPr>
          <w:b/>
          <w:bCs/>
          <w:i/>
          <w:iCs/>
          <w:szCs w:val="34"/>
        </w:rPr>
      </w:pPr>
    </w:p>
    <w:p w14:paraId="57B2C9CC" w14:textId="77777777" w:rsidR="00104DD6" w:rsidRDefault="00104DD6" w:rsidP="00104DD6">
      <w:pPr>
        <w:jc w:val="center"/>
        <w:rPr>
          <w:b/>
          <w:bCs/>
          <w:i/>
          <w:iCs/>
          <w:szCs w:val="34"/>
        </w:rPr>
      </w:pPr>
      <w:r>
        <w:rPr>
          <w:b/>
          <w:bCs/>
          <w:i/>
          <w:iCs/>
          <w:szCs w:val="34"/>
        </w:rPr>
        <w:br/>
      </w:r>
    </w:p>
    <w:p w14:paraId="00F47E37" w14:textId="77777777" w:rsidR="00104DD6" w:rsidRDefault="00104DD6" w:rsidP="00104DD6">
      <w:pPr>
        <w:spacing w:line="360" w:lineRule="auto"/>
        <w:jc w:val="center"/>
        <w:outlineLvl w:val="0"/>
        <w:rPr>
          <w:b/>
          <w:bCs/>
          <w:i/>
          <w:iCs/>
          <w:szCs w:val="34"/>
        </w:rPr>
      </w:pPr>
      <w:r>
        <w:rPr>
          <w:b/>
          <w:bCs/>
          <w:i/>
          <w:iCs/>
          <w:szCs w:val="34"/>
        </w:rPr>
        <w:t xml:space="preserve">In the Matter of </w:t>
      </w:r>
    </w:p>
    <w:sdt>
      <w:sdtPr>
        <w:rPr>
          <w:b/>
          <w:bCs/>
          <w:szCs w:val="28"/>
        </w:rPr>
        <w:id w:val="-1673560664"/>
        <w:placeholder>
          <w:docPart w:val="26F64B26D3F54E788B5039946DE9E1D5"/>
        </w:placeholder>
        <w:text/>
      </w:sdtPr>
      <w:sdtEndPr/>
      <w:sdtContent>
        <w:p w14:paraId="3E9AB50F" w14:textId="77777777" w:rsidR="00104DD6" w:rsidRPr="006C4AA9" w:rsidRDefault="00104DD6" w:rsidP="00104DD6">
          <w:pPr>
            <w:spacing w:line="360" w:lineRule="auto"/>
            <w:jc w:val="center"/>
            <w:outlineLvl w:val="0"/>
            <w:rPr>
              <w:b/>
              <w:bCs/>
              <w:szCs w:val="28"/>
            </w:rPr>
          </w:pPr>
          <w:r w:rsidRPr="006C4AA9">
            <w:rPr>
              <w:b/>
              <w:bCs/>
              <w:szCs w:val="28"/>
            </w:rPr>
            <w:t>DAVID ROMANO ISOLA</w:t>
          </w:r>
        </w:p>
      </w:sdtContent>
    </w:sdt>
    <w:p w14:paraId="5020D951" w14:textId="77777777" w:rsidR="00104DD6" w:rsidRDefault="00104DD6" w:rsidP="00104DD6">
      <w:pPr>
        <w:spacing w:line="360" w:lineRule="auto"/>
        <w:jc w:val="center"/>
        <w:rPr>
          <w:szCs w:val="28"/>
        </w:rPr>
      </w:pPr>
    </w:p>
    <w:p w14:paraId="173DC7B4" w14:textId="77777777" w:rsidR="00104DD6" w:rsidRDefault="00104DD6" w:rsidP="00104DD6">
      <w:pPr>
        <w:spacing w:line="360" w:lineRule="auto"/>
        <w:jc w:val="center"/>
        <w:rPr>
          <w:szCs w:val="28"/>
        </w:rPr>
      </w:pPr>
    </w:p>
    <w:p w14:paraId="3822FE9C" w14:textId="77777777" w:rsidR="00104DD6" w:rsidRDefault="00104DD6" w:rsidP="00104DD6">
      <w:pPr>
        <w:spacing w:line="360" w:lineRule="auto"/>
        <w:jc w:val="center"/>
        <w:rPr>
          <w:szCs w:val="28"/>
        </w:rPr>
      </w:pPr>
    </w:p>
    <w:p w14:paraId="318E85AF" w14:textId="77777777" w:rsidR="00104DD6" w:rsidRDefault="00104DD6" w:rsidP="00104DD6">
      <w:pPr>
        <w:spacing w:line="360" w:lineRule="auto"/>
        <w:jc w:val="center"/>
        <w:rPr>
          <w:szCs w:val="28"/>
        </w:rPr>
      </w:pPr>
    </w:p>
    <w:p w14:paraId="43AB4A57" w14:textId="77777777" w:rsidR="00104DD6" w:rsidRDefault="00104DD6" w:rsidP="00104DD6">
      <w:pPr>
        <w:spacing w:line="360" w:lineRule="auto"/>
        <w:jc w:val="center"/>
        <w:rPr>
          <w:szCs w:val="28"/>
        </w:rPr>
      </w:pPr>
    </w:p>
    <w:p w14:paraId="1D4FB530" w14:textId="77777777" w:rsidR="00104DD6" w:rsidRDefault="00104DD6" w:rsidP="00104DD6">
      <w:pPr>
        <w:jc w:val="center"/>
        <w:outlineLvl w:val="0"/>
        <w:rPr>
          <w:i/>
          <w:iCs/>
          <w:szCs w:val="28"/>
        </w:rPr>
      </w:pPr>
      <w:r>
        <w:rPr>
          <w:i/>
          <w:iCs/>
          <w:szCs w:val="28"/>
        </w:rPr>
        <w:t>Hearing Judge</w:t>
      </w:r>
    </w:p>
    <w:p w14:paraId="15E6B427" w14:textId="77777777" w:rsidR="00104DD6" w:rsidRDefault="00104DD6" w:rsidP="00104DD6">
      <w:pPr>
        <w:jc w:val="center"/>
        <w:outlineLvl w:val="0"/>
        <w:rPr>
          <w:szCs w:val="28"/>
        </w:rPr>
      </w:pPr>
      <w:r>
        <w:rPr>
          <w:b/>
          <w:bCs/>
          <w:szCs w:val="32"/>
        </w:rPr>
        <w:t xml:space="preserve">Hon. </w:t>
      </w:r>
      <w:sdt>
        <w:sdtPr>
          <w:rPr>
            <w:b/>
            <w:bCs/>
            <w:szCs w:val="32"/>
          </w:rPr>
          <w:id w:val="-2064322851"/>
          <w:placeholder>
            <w:docPart w:val="26F64B26D3F54E788B5039946DE9E1D5"/>
          </w:placeholder>
          <w:text/>
        </w:sdtPr>
        <w:sdtEndPr/>
        <w:sdtContent>
          <w:r>
            <w:rPr>
              <w:b/>
              <w:bCs/>
              <w:szCs w:val="32"/>
            </w:rPr>
            <w:t>Manjari Chawla</w:t>
          </w:r>
        </w:sdtContent>
      </w:sdt>
    </w:p>
    <w:p w14:paraId="4E99FB1B" w14:textId="77777777" w:rsidR="00104DD6" w:rsidRDefault="00104DD6" w:rsidP="00104DD6">
      <w:pPr>
        <w:jc w:val="center"/>
        <w:rPr>
          <w:szCs w:val="28"/>
        </w:rPr>
      </w:pPr>
    </w:p>
    <w:p w14:paraId="04432AD5" w14:textId="77777777" w:rsidR="00104DD6" w:rsidRDefault="00104DD6" w:rsidP="00104DD6">
      <w:pPr>
        <w:jc w:val="center"/>
        <w:rPr>
          <w:szCs w:val="28"/>
        </w:rPr>
      </w:pPr>
    </w:p>
    <w:p w14:paraId="1FCECFB3" w14:textId="77777777" w:rsidR="00104DD6" w:rsidRDefault="00104DD6" w:rsidP="00104DD6">
      <w:pPr>
        <w:jc w:val="center"/>
        <w:rPr>
          <w:szCs w:val="28"/>
        </w:rPr>
      </w:pPr>
    </w:p>
    <w:p w14:paraId="5C02C0D8" w14:textId="77777777" w:rsidR="00104DD6" w:rsidRDefault="00104DD6" w:rsidP="00104DD6">
      <w:pPr>
        <w:jc w:val="center"/>
        <w:rPr>
          <w:szCs w:val="28"/>
        </w:rPr>
      </w:pPr>
    </w:p>
    <w:p w14:paraId="70AD0EDC" w14:textId="77777777" w:rsidR="00104DD6" w:rsidRDefault="00104DD6" w:rsidP="00104DD6">
      <w:pPr>
        <w:jc w:val="center"/>
        <w:rPr>
          <w:szCs w:val="28"/>
        </w:rPr>
      </w:pPr>
    </w:p>
    <w:p w14:paraId="3A1FF972" w14:textId="77777777" w:rsidR="00104DD6" w:rsidRDefault="00104DD6" w:rsidP="00104DD6">
      <w:pPr>
        <w:jc w:val="center"/>
        <w:rPr>
          <w:szCs w:val="28"/>
        </w:rPr>
      </w:pPr>
    </w:p>
    <w:p w14:paraId="77B15710" w14:textId="14532D09" w:rsidR="00104DD6" w:rsidRDefault="00104DD6" w:rsidP="00104DD6">
      <w:pPr>
        <w:rPr>
          <w:szCs w:val="28"/>
        </w:rPr>
      </w:pPr>
    </w:p>
    <w:p w14:paraId="55F3739B" w14:textId="77777777" w:rsidR="00104DD6" w:rsidRDefault="00104DD6" w:rsidP="00104DD6">
      <w:pPr>
        <w:rPr>
          <w:szCs w:val="28"/>
        </w:rPr>
      </w:pPr>
    </w:p>
    <w:p w14:paraId="6965FA0B" w14:textId="77777777" w:rsidR="00104DD6" w:rsidRDefault="00104DD6" w:rsidP="00104DD6">
      <w:pPr>
        <w:jc w:val="center"/>
        <w:outlineLvl w:val="0"/>
        <w:rPr>
          <w:b/>
          <w:bCs/>
          <w:i/>
          <w:iCs/>
          <w:szCs w:val="28"/>
        </w:rPr>
      </w:pPr>
      <w:r>
        <w:rPr>
          <w:i/>
          <w:iCs/>
          <w:szCs w:val="28"/>
        </w:rPr>
        <w:t>Counsel for the Parties</w:t>
      </w:r>
    </w:p>
    <w:p w14:paraId="0836744E" w14:textId="77777777" w:rsidR="00104DD6" w:rsidRDefault="00104DD6" w:rsidP="00104DD6">
      <w:pPr>
        <w:rPr>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104DD6" w14:paraId="1193B704" w14:textId="77777777" w:rsidTr="007D6BE1">
        <w:trPr>
          <w:cantSplit/>
        </w:trPr>
        <w:tc>
          <w:tcPr>
            <w:tcW w:w="5310" w:type="dxa"/>
          </w:tcPr>
          <w:p w14:paraId="2C1894ED" w14:textId="77777777" w:rsidR="00104DD6" w:rsidRDefault="00104DD6" w:rsidP="007D6BE1">
            <w:pPr>
              <w:spacing w:before="100" w:after="48"/>
              <w:rPr>
                <w:szCs w:val="28"/>
              </w:rPr>
            </w:pPr>
            <w:r>
              <w:rPr>
                <w:b/>
                <w:bCs/>
                <w:szCs w:val="28"/>
              </w:rPr>
              <w:tab/>
            </w:r>
            <w:r>
              <w:rPr>
                <w:szCs w:val="28"/>
              </w:rPr>
              <w:t>For Office of Chief Trial Counsel:</w:t>
            </w:r>
          </w:p>
        </w:tc>
        <w:tc>
          <w:tcPr>
            <w:tcW w:w="4140" w:type="dxa"/>
          </w:tcPr>
          <w:sdt>
            <w:sdtPr>
              <w:rPr>
                <w:szCs w:val="28"/>
              </w:rPr>
              <w:alias w:val="DTC Name"/>
              <w:tag w:val="DTC Name"/>
              <w:id w:val="2129961319"/>
              <w:placeholder>
                <w:docPart w:val="26F64B26D3F54E788B5039946DE9E1D5"/>
              </w:placeholder>
              <w:text/>
            </w:sdtPr>
            <w:sdtEndPr/>
            <w:sdtContent>
              <w:p w14:paraId="4616119A" w14:textId="77777777" w:rsidR="00104DD6" w:rsidRDefault="00104DD6" w:rsidP="007D6BE1">
                <w:pPr>
                  <w:spacing w:before="100"/>
                  <w:rPr>
                    <w:szCs w:val="28"/>
                  </w:rPr>
                </w:pPr>
                <w:r>
                  <w:rPr>
                    <w:szCs w:val="28"/>
                  </w:rPr>
                  <w:t>Kimberly G. Anderson, Esq.</w:t>
                </w:r>
              </w:p>
            </w:sdtContent>
          </w:sdt>
          <w:p w14:paraId="57AE220D" w14:textId="77777777" w:rsidR="00104DD6" w:rsidRDefault="00104DD6" w:rsidP="007D6BE1">
            <w:pPr>
              <w:rPr>
                <w:szCs w:val="28"/>
              </w:rPr>
            </w:pPr>
            <w:r>
              <w:rPr>
                <w:szCs w:val="28"/>
              </w:rPr>
              <w:t>Office of Chief Trial Counsel</w:t>
            </w:r>
          </w:p>
          <w:p w14:paraId="4E5D3625" w14:textId="77777777" w:rsidR="00104DD6" w:rsidRDefault="00104DD6" w:rsidP="007D6BE1">
            <w:pPr>
              <w:rPr>
                <w:szCs w:val="28"/>
              </w:rPr>
            </w:pPr>
            <w:r>
              <w:rPr>
                <w:szCs w:val="28"/>
              </w:rPr>
              <w:t>The State Bar of California</w:t>
            </w:r>
          </w:p>
          <w:p w14:paraId="68F31915" w14:textId="77777777" w:rsidR="00104DD6" w:rsidRDefault="00104DD6" w:rsidP="007D6BE1">
            <w:pPr>
              <w:rPr>
                <w:szCs w:val="28"/>
              </w:rPr>
            </w:pPr>
            <w:r>
              <w:rPr>
                <w:szCs w:val="28"/>
              </w:rPr>
              <w:t>845 S. Figueroa Street</w:t>
            </w:r>
          </w:p>
          <w:p w14:paraId="51162D32" w14:textId="77777777" w:rsidR="00104DD6" w:rsidRDefault="00104DD6" w:rsidP="007D6BE1">
            <w:pPr>
              <w:rPr>
                <w:szCs w:val="28"/>
              </w:rPr>
            </w:pPr>
            <w:r>
              <w:rPr>
                <w:szCs w:val="28"/>
              </w:rPr>
              <w:t>Los Angeles, CA  90017</w:t>
            </w:r>
          </w:p>
          <w:p w14:paraId="5AD0A696" w14:textId="77777777" w:rsidR="00104DD6" w:rsidRDefault="00104DD6" w:rsidP="007D6BE1">
            <w:pPr>
              <w:rPr>
                <w:szCs w:val="28"/>
              </w:rPr>
            </w:pPr>
          </w:p>
        </w:tc>
      </w:tr>
      <w:tr w:rsidR="00104DD6" w14:paraId="152EDF79" w14:textId="77777777" w:rsidTr="007D6BE1">
        <w:trPr>
          <w:cantSplit/>
          <w:trHeight w:val="1458"/>
        </w:trPr>
        <w:tc>
          <w:tcPr>
            <w:tcW w:w="5310" w:type="dxa"/>
          </w:tcPr>
          <w:p w14:paraId="6AE0C4DB" w14:textId="77777777" w:rsidR="00104DD6" w:rsidRDefault="00104DD6" w:rsidP="007D6BE1">
            <w:pPr>
              <w:spacing w:before="100" w:after="48"/>
              <w:rPr>
                <w:szCs w:val="28"/>
              </w:rPr>
            </w:pPr>
            <w:r>
              <w:rPr>
                <w:b/>
                <w:bCs/>
                <w:szCs w:val="28"/>
              </w:rPr>
              <w:tab/>
            </w:r>
            <w:r>
              <w:rPr>
                <w:szCs w:val="28"/>
              </w:rPr>
              <w:t xml:space="preserve">For </w:t>
            </w:r>
            <w:sdt>
              <w:sdtPr>
                <w:rPr>
                  <w:szCs w:val="28"/>
                </w:rPr>
                <w:id w:val="1280833705"/>
                <w:placeholder>
                  <w:docPart w:val="26F64B26D3F54E788B5039946DE9E1D5"/>
                </w:placeholder>
                <w:text/>
              </w:sdtPr>
              <w:sdtEndPr/>
              <w:sdtContent>
                <w:r>
                  <w:rPr>
                    <w:szCs w:val="28"/>
                  </w:rPr>
                  <w:t>Respondent</w:t>
                </w:r>
              </w:sdtContent>
            </w:sdt>
          </w:p>
        </w:tc>
        <w:tc>
          <w:tcPr>
            <w:tcW w:w="4140" w:type="dxa"/>
          </w:tcPr>
          <w:sdt>
            <w:sdtPr>
              <w:rPr>
                <w:szCs w:val="28"/>
              </w:rPr>
              <w:id w:val="1627428901"/>
              <w:placeholder>
                <w:docPart w:val="26F64B26D3F54E788B5039946DE9E1D5"/>
              </w:placeholder>
              <w:text/>
            </w:sdtPr>
            <w:sdtEndPr/>
            <w:sdtContent>
              <w:p w14:paraId="4BECEC6F" w14:textId="77777777" w:rsidR="00104DD6" w:rsidRDefault="00104DD6" w:rsidP="007D6BE1">
                <w:pPr>
                  <w:rPr>
                    <w:szCs w:val="28"/>
                  </w:rPr>
                </w:pPr>
                <w:r>
                  <w:rPr>
                    <w:szCs w:val="28"/>
                  </w:rPr>
                  <w:t>James Irwin Ham, Esq.</w:t>
                </w:r>
              </w:p>
            </w:sdtContent>
          </w:sdt>
          <w:sdt>
            <w:sdtPr>
              <w:rPr>
                <w:szCs w:val="28"/>
              </w:rPr>
              <w:id w:val="784239175"/>
              <w:placeholder>
                <w:docPart w:val="26F64B26D3F54E788B5039946DE9E1D5"/>
              </w:placeholder>
              <w:text/>
            </w:sdtPr>
            <w:sdtEndPr/>
            <w:sdtContent>
              <w:p w14:paraId="5B37474C" w14:textId="77777777" w:rsidR="00104DD6" w:rsidRDefault="00104DD6" w:rsidP="007D6BE1">
                <w:pPr>
                  <w:rPr>
                    <w:szCs w:val="28"/>
                  </w:rPr>
                </w:pPr>
                <w:r>
                  <w:rPr>
                    <w:szCs w:val="28"/>
                  </w:rPr>
                  <w:t>Law Office of James I. Ham, APC</w:t>
                </w:r>
              </w:p>
            </w:sdtContent>
          </w:sdt>
          <w:sdt>
            <w:sdtPr>
              <w:rPr>
                <w:szCs w:val="28"/>
              </w:rPr>
              <w:id w:val="718857921"/>
              <w:placeholder>
                <w:docPart w:val="26F64B26D3F54E788B5039946DE9E1D5"/>
              </w:placeholder>
              <w:text/>
            </w:sdtPr>
            <w:sdtEndPr/>
            <w:sdtContent>
              <w:p w14:paraId="72B71ACE" w14:textId="34A12469" w:rsidR="00104DD6" w:rsidRDefault="00104DD6" w:rsidP="007D6BE1">
                <w:pPr>
                  <w:rPr>
                    <w:szCs w:val="28"/>
                  </w:rPr>
                </w:pPr>
                <w:r>
                  <w:rPr>
                    <w:szCs w:val="28"/>
                  </w:rPr>
                  <w:t xml:space="preserve">655 N. Central Avenue, </w:t>
                </w:r>
                <w:r w:rsidR="00D04325">
                  <w:rPr>
                    <w:szCs w:val="28"/>
                  </w:rPr>
                  <w:t xml:space="preserve">Fl </w:t>
                </w:r>
                <w:r>
                  <w:rPr>
                    <w:szCs w:val="28"/>
                  </w:rPr>
                  <w:t>17</w:t>
                </w:r>
              </w:p>
            </w:sdtContent>
          </w:sdt>
          <w:sdt>
            <w:sdtPr>
              <w:rPr>
                <w:szCs w:val="28"/>
              </w:rPr>
              <w:id w:val="-1762370624"/>
              <w:placeholder>
                <w:docPart w:val="26F64B26D3F54E788B5039946DE9E1D5"/>
              </w:placeholder>
              <w:text/>
            </w:sdtPr>
            <w:sdtEndPr/>
            <w:sdtContent>
              <w:p w14:paraId="758C35C3" w14:textId="77777777" w:rsidR="00104DD6" w:rsidRDefault="00104DD6" w:rsidP="007D6BE1">
                <w:pPr>
                  <w:rPr>
                    <w:szCs w:val="28"/>
                  </w:rPr>
                </w:pPr>
                <w:r>
                  <w:rPr>
                    <w:szCs w:val="28"/>
                  </w:rPr>
                  <w:t>Glendale, CA  91203-1439</w:t>
                </w:r>
              </w:p>
            </w:sdtContent>
          </w:sdt>
          <w:p w14:paraId="1EF76D75" w14:textId="77777777" w:rsidR="00104DD6" w:rsidRDefault="00104DD6" w:rsidP="007D6BE1">
            <w:pPr>
              <w:rPr>
                <w:szCs w:val="28"/>
              </w:rPr>
            </w:pPr>
          </w:p>
        </w:tc>
      </w:tr>
    </w:tbl>
    <w:p w14:paraId="423FE0C0" w14:textId="77777777" w:rsidR="00104DD6" w:rsidRDefault="00104DD6" w:rsidP="00104DD6"/>
    <w:p w14:paraId="2F8C8CF5" w14:textId="77777777" w:rsidR="008505E6" w:rsidRDefault="008505E6" w:rsidP="000E0A7C"/>
    <w:sectPr w:rsidR="008505E6" w:rsidSect="006178A6">
      <w:footerReference w:type="default" r:id="rId8"/>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5E52" w14:textId="77777777" w:rsidR="008128DB" w:rsidRDefault="008128DB" w:rsidP="00055C8A">
      <w:r>
        <w:separator/>
      </w:r>
    </w:p>
  </w:endnote>
  <w:endnote w:type="continuationSeparator" w:id="0">
    <w:p w14:paraId="6AD2F57E" w14:textId="77777777" w:rsidR="008128DB" w:rsidRDefault="008128DB"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753481"/>
      <w:docPartObj>
        <w:docPartGallery w:val="Page Numbers (Bottom of Page)"/>
        <w:docPartUnique/>
      </w:docPartObj>
    </w:sdtPr>
    <w:sdtEndPr>
      <w:rPr>
        <w:noProof/>
      </w:rPr>
    </w:sdtEndPr>
    <w:sdtContent>
      <w:p w14:paraId="35652BFD" w14:textId="36F99A16" w:rsidR="006178A6" w:rsidRDefault="006178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C5986E" w14:textId="2FA7E5EF" w:rsidR="00DD68AA" w:rsidRDefault="00DD68AA" w:rsidP="0099101B">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DFD7" w14:textId="77777777" w:rsidR="008128DB" w:rsidRDefault="008128DB" w:rsidP="00055C8A">
      <w:r>
        <w:separator/>
      </w:r>
    </w:p>
  </w:footnote>
  <w:footnote w:type="continuationSeparator" w:id="0">
    <w:p w14:paraId="220964DB" w14:textId="77777777" w:rsidR="008128DB" w:rsidRDefault="008128DB" w:rsidP="00055C8A">
      <w:r>
        <w:continuationSeparator/>
      </w:r>
    </w:p>
  </w:footnote>
  <w:footnote w:id="1">
    <w:p w14:paraId="4E5F3839" w14:textId="0C2A8824" w:rsidR="00D309F7" w:rsidRDefault="00D309F7" w:rsidP="00D309F7">
      <w:pPr>
        <w:pStyle w:val="FootnoteText"/>
        <w:spacing w:after="120"/>
      </w:pPr>
      <w:r>
        <w:rPr>
          <w:rStyle w:val="FootnoteReference"/>
        </w:rPr>
        <w:footnoteRef/>
      </w:r>
      <w:r>
        <w:t xml:space="preserve"> Isola was admitted to practice law in California in 1990</w:t>
      </w:r>
      <w:r w:rsidR="000A2F93">
        <w:t xml:space="preserve"> and</w:t>
      </w:r>
      <w:r>
        <w:t xml:space="preserve"> later expanded his practice to New Jersey.  He opened an office there, hired a New Jersey license</w:t>
      </w:r>
      <w:r w:rsidR="00BB76CF">
        <w:t>d</w:t>
      </w:r>
      <w:r>
        <w:t xml:space="preserve"> attorney, and then became license</w:t>
      </w:r>
      <w:r w:rsidR="00D066E3">
        <w:t>d</w:t>
      </w:r>
      <w:r>
        <w:t xml:space="preserve"> to practice law there in 2013.  All of the misconduct charged in this matter relate</w:t>
      </w:r>
      <w:r w:rsidR="00F97893">
        <w:t>d</w:t>
      </w:r>
      <w:r>
        <w:t xml:space="preserve"> to events that occurred in New Jersey.</w:t>
      </w:r>
      <w:r w:rsidR="00A813EF">
        <w:t xml:space="preserve">  Isola is currently inactive in New Jersey and no longer plans to practice there.</w:t>
      </w:r>
      <w:r>
        <w:t xml:space="preserve">  </w:t>
      </w:r>
      <w:r w:rsidR="006978BB">
        <w:t xml:space="preserve">A grievance regarding the </w:t>
      </w:r>
      <w:r w:rsidR="00FD725B">
        <w:t xml:space="preserve">at-issue misconduct was also made </w:t>
      </w:r>
      <w:r w:rsidR="0016292B">
        <w:t xml:space="preserve">to the New Jersey Office of Attorney Ethics.  Isola testified that the New Jersey matter is </w:t>
      </w:r>
      <w:r w:rsidR="007C2921">
        <w:t>in abeyance while this proceeding is ongoing.</w:t>
      </w:r>
    </w:p>
  </w:footnote>
  <w:footnote w:id="2">
    <w:p w14:paraId="17E7EBC8" w14:textId="2468A1A8" w:rsidR="00FE3210" w:rsidRDefault="00FE3210" w:rsidP="00FE3210">
      <w:pPr>
        <w:pStyle w:val="FootnoteText"/>
        <w:spacing w:after="120"/>
      </w:pPr>
      <w:r>
        <w:rPr>
          <w:rStyle w:val="FootnoteReference"/>
        </w:rPr>
        <w:footnoteRef/>
      </w:r>
      <w:r>
        <w:t xml:space="preserve"> 13C Slowinski</w:t>
      </w:r>
      <w:r w:rsidR="001D1CE7">
        <w:t xml:space="preserve"> &amp; </w:t>
      </w:r>
      <w:r w:rsidR="001D1CE7" w:rsidRPr="001D1CE7">
        <w:t>Walentowicz</w:t>
      </w:r>
      <w:r>
        <w:t xml:space="preserve">, </w:t>
      </w:r>
      <w:r w:rsidR="000940AE">
        <w:t>N.</w:t>
      </w:r>
      <w:r w:rsidR="00B115AE">
        <w:t>J</w:t>
      </w:r>
      <w:r w:rsidR="000940AE">
        <w:t>.</w:t>
      </w:r>
      <w:r w:rsidR="0025081E">
        <w:t xml:space="preserve"> Prac</w:t>
      </w:r>
      <w:r w:rsidR="00B115AE">
        <w:t>tice</w:t>
      </w:r>
      <w:r w:rsidR="0025081E">
        <w:t xml:space="preserve">, </w:t>
      </w:r>
      <w:r>
        <w:t>Real Estate Law and Practice</w:t>
      </w:r>
      <w:r w:rsidR="001D1CE7">
        <w:t xml:space="preserve"> (3d</w:t>
      </w:r>
      <w:r w:rsidR="00334F0D">
        <w:t> </w:t>
      </w:r>
      <w:r w:rsidR="001D1CE7">
        <w:t>ed</w:t>
      </w:r>
      <w:r w:rsidR="0025081E">
        <w:t>.</w:t>
      </w:r>
      <w:r w:rsidR="001D1CE7">
        <w:t xml:space="preserve"> 2014) </w:t>
      </w:r>
      <w:r>
        <w:t>Environmental Controls §</w:t>
      </w:r>
      <w:r w:rsidR="007D54E6">
        <w:t> </w:t>
      </w:r>
      <w:r>
        <w:t>46:8, pp.</w:t>
      </w:r>
      <w:r w:rsidR="007D54E6">
        <w:t> </w:t>
      </w:r>
      <w:r>
        <w:t>21</w:t>
      </w:r>
      <w:r w:rsidR="001D5BEE">
        <w:rPr>
          <w:szCs w:val="24"/>
        </w:rPr>
        <w:t>–</w:t>
      </w:r>
      <w:r>
        <w:t>22.</w:t>
      </w:r>
    </w:p>
  </w:footnote>
  <w:footnote w:id="3">
    <w:p w14:paraId="389991FE" w14:textId="7A601295" w:rsidR="006F2960" w:rsidRDefault="006F2960" w:rsidP="0028470C">
      <w:pPr>
        <w:pStyle w:val="FootnoteText"/>
        <w:spacing w:after="120"/>
      </w:pPr>
      <w:r>
        <w:rPr>
          <w:rStyle w:val="FootnoteReference"/>
        </w:rPr>
        <w:footnoteRef/>
      </w:r>
      <w:r>
        <w:t xml:space="preserve"> We refer to the Grecos and the Hahns by their first names to avoid confusion</w:t>
      </w:r>
      <w:r w:rsidR="00E05A3A">
        <w:t xml:space="preserve">; no disrespect is intended.  </w:t>
      </w:r>
    </w:p>
  </w:footnote>
  <w:footnote w:id="4">
    <w:p w14:paraId="11A8796A" w14:textId="5C4916F3" w:rsidR="00716137" w:rsidRDefault="00716137" w:rsidP="00A661EF">
      <w:pPr>
        <w:pStyle w:val="FootnoteText"/>
        <w:spacing w:after="120"/>
      </w:pPr>
      <w:r>
        <w:rPr>
          <w:rStyle w:val="FootnoteReference"/>
        </w:rPr>
        <w:footnoteRef/>
      </w:r>
      <w:r>
        <w:t xml:space="preserve"> </w:t>
      </w:r>
      <w:r w:rsidR="00D87316">
        <w:t>W</w:t>
      </w:r>
      <w:r w:rsidR="00AE1E3E">
        <w:t>hen there is a continuing trigger</w:t>
      </w:r>
      <w:r w:rsidR="00A81947">
        <w:t>ing event</w:t>
      </w:r>
      <w:r w:rsidR="00D87316">
        <w:t xml:space="preserve"> in environmental claims</w:t>
      </w:r>
      <w:r w:rsidR="00A81947">
        <w:t>, co</w:t>
      </w:r>
      <w:r w:rsidR="00A67265">
        <w:t xml:space="preserve">verage can be obtained from consecutive policies.  </w:t>
      </w:r>
      <w:r w:rsidR="006D3051">
        <w:t>(</w:t>
      </w:r>
      <w:bookmarkStart w:id="9" w:name="_Hlk103592946"/>
      <w:r w:rsidR="006D3051">
        <w:t xml:space="preserve">Kenny &amp; Lattal, New Jersey Insurance Law </w:t>
      </w:r>
      <w:bookmarkEnd w:id="9"/>
      <w:r w:rsidR="006D3051">
        <w:t>(2022)</w:t>
      </w:r>
      <w:r w:rsidR="00C10AFB">
        <w:t xml:space="preserve">      </w:t>
      </w:r>
      <w:r w:rsidR="006D3051">
        <w:t>§</w:t>
      </w:r>
      <w:r w:rsidR="007D54E6">
        <w:t> </w:t>
      </w:r>
      <w:r w:rsidR="006D3051">
        <w:t>21</w:t>
      </w:r>
      <w:r w:rsidR="00C10AFB">
        <w:rPr>
          <w:szCs w:val="24"/>
        </w:rPr>
        <w:t>-</w:t>
      </w:r>
      <w:r w:rsidR="00186F52">
        <w:t>35</w:t>
      </w:r>
      <w:r w:rsidR="006D3051">
        <w:t>, p.</w:t>
      </w:r>
      <w:r w:rsidR="007D54E6">
        <w:t> </w:t>
      </w:r>
      <w:r w:rsidR="006D3051">
        <w:t>7</w:t>
      </w:r>
      <w:r w:rsidR="00186F52">
        <w:t>80</w:t>
      </w:r>
      <w:r w:rsidR="006D3051">
        <w:t>.)</w:t>
      </w:r>
      <w:r w:rsidR="00BF1802">
        <w:t xml:space="preserve">  Insurance </w:t>
      </w:r>
      <w:r w:rsidR="00D1588D">
        <w:t>policies triggered under a continuous trigger scheme are not jointly and severally liable</w:t>
      </w:r>
      <w:r w:rsidR="007B164D">
        <w:t>.</w:t>
      </w:r>
      <w:r w:rsidR="004C0DCE">
        <w:t xml:space="preserve"> </w:t>
      </w:r>
      <w:r w:rsidR="00D1588D">
        <w:t xml:space="preserve"> </w:t>
      </w:r>
      <w:r w:rsidR="00BC1D64">
        <w:t>R</w:t>
      </w:r>
      <w:r w:rsidR="00D1588D">
        <w:t xml:space="preserve">ather, coverage is allocated </w:t>
      </w:r>
      <w:r w:rsidR="000773A8">
        <w:t>among triggered policies based on years on the risk and policy limits</w:t>
      </w:r>
      <w:r w:rsidR="003D138D">
        <w:t>; this is referred to as “weighted allocation.”</w:t>
      </w:r>
      <w:r w:rsidR="000773A8">
        <w:t xml:space="preserve">  (</w:t>
      </w:r>
      <w:r w:rsidR="00161EE4">
        <w:rPr>
          <w:i/>
          <w:iCs/>
        </w:rPr>
        <w:t>Id</w:t>
      </w:r>
      <w:r w:rsidR="00161EE4">
        <w:t xml:space="preserve">. at </w:t>
      </w:r>
      <w:r w:rsidR="000773A8">
        <w:t>§</w:t>
      </w:r>
      <w:r w:rsidR="007D54E6">
        <w:t> </w:t>
      </w:r>
      <w:r w:rsidR="000773A8">
        <w:t>21</w:t>
      </w:r>
      <w:r w:rsidR="00FF0B38">
        <w:rPr>
          <w:szCs w:val="24"/>
        </w:rPr>
        <w:t>-</w:t>
      </w:r>
      <w:r w:rsidR="000773A8">
        <w:t>36, p.</w:t>
      </w:r>
      <w:r w:rsidR="007D54E6">
        <w:t> </w:t>
      </w:r>
      <w:r w:rsidR="000773A8">
        <w:t>780</w:t>
      </w:r>
      <w:r w:rsidR="00F82F19">
        <w:t xml:space="preserve">; </w:t>
      </w:r>
      <w:r w:rsidR="00F82F19">
        <w:rPr>
          <w:i/>
          <w:iCs/>
        </w:rPr>
        <w:t>Owens-Illinois v. United In</w:t>
      </w:r>
      <w:r w:rsidR="007B1FCF">
        <w:rPr>
          <w:i/>
          <w:iCs/>
        </w:rPr>
        <w:t>s.</w:t>
      </w:r>
      <w:r w:rsidR="00F82F19">
        <w:rPr>
          <w:i/>
          <w:iCs/>
        </w:rPr>
        <w:t xml:space="preserve"> Co.</w:t>
      </w:r>
      <w:r w:rsidR="003A254D">
        <w:t xml:space="preserve"> (1994) 138</w:t>
      </w:r>
      <w:r w:rsidR="007D54E6">
        <w:t> </w:t>
      </w:r>
      <w:r w:rsidR="003A254D">
        <w:t>N.J. 437.</w:t>
      </w:r>
      <w:r w:rsidR="000773A8">
        <w:t>)</w:t>
      </w:r>
      <w:r w:rsidR="001D5BEE" w:rsidRPr="001D5BEE">
        <w:rPr>
          <w:szCs w:val="24"/>
        </w:rPr>
        <w:t xml:space="preserve"> </w:t>
      </w:r>
    </w:p>
  </w:footnote>
  <w:footnote w:id="5">
    <w:p w14:paraId="1D39B372" w14:textId="2C8A9DFE" w:rsidR="002D4261" w:rsidRDefault="002D4261" w:rsidP="0038334F">
      <w:pPr>
        <w:pStyle w:val="FootnoteText"/>
        <w:spacing w:after="120"/>
      </w:pPr>
      <w:r>
        <w:rPr>
          <w:rStyle w:val="FootnoteReference"/>
        </w:rPr>
        <w:footnoteRef/>
      </w:r>
      <w:r>
        <w:t xml:space="preserve"> </w:t>
      </w:r>
      <w:r w:rsidR="0038334F">
        <w:t>Min-Ku is Gregory’s Korean name.  Chung Hee is his mother and Chang Woo is his father.</w:t>
      </w:r>
    </w:p>
  </w:footnote>
  <w:footnote w:id="6">
    <w:p w14:paraId="3EC28EF8" w14:textId="6E67E3B9" w:rsidR="005870A4" w:rsidRPr="00272613" w:rsidRDefault="005870A4" w:rsidP="00272613">
      <w:pPr>
        <w:pStyle w:val="FootnoteText"/>
        <w:spacing w:after="120"/>
        <w:rPr>
          <w:iCs/>
        </w:rPr>
      </w:pPr>
      <w:r>
        <w:rPr>
          <w:rStyle w:val="FootnoteReference"/>
        </w:rPr>
        <w:footnoteRef/>
      </w:r>
      <w:r>
        <w:t xml:space="preserve">  </w:t>
      </w:r>
      <w:r w:rsidR="00272613">
        <w:t>DeArth</w:t>
      </w:r>
      <w:r w:rsidR="00275BE0">
        <w:t xml:space="preserve"> testified </w:t>
      </w:r>
      <w:r w:rsidR="00426D2F">
        <w:t xml:space="preserve">that he </w:t>
      </w:r>
      <w:r w:rsidR="00E17AF7">
        <w:t>was at the Diner Meeting and believed that Gregory hired Isola</w:t>
      </w:r>
      <w:r w:rsidR="00702A56">
        <w:t xml:space="preserve">.  Richard did not testify </w:t>
      </w:r>
      <w:r w:rsidR="00594BCC">
        <w:t>at Isola’s disciplinary trial</w:t>
      </w:r>
      <w:r w:rsidR="00702A56">
        <w:t xml:space="preserve">, but a deposition </w:t>
      </w:r>
      <w:r w:rsidR="00BE594A">
        <w:t xml:space="preserve">transcript was introduced where Richard stated that </w:t>
      </w:r>
      <w:r w:rsidR="006A03C1">
        <w:t>Isola was introduced to Gregory at the Diner Meeting as the attorney who would represent Gregory</w:t>
      </w:r>
      <w:r w:rsidR="007202B2">
        <w:t>,</w:t>
      </w:r>
      <w:r w:rsidR="006A03C1">
        <w:t xml:space="preserve"> </w:t>
      </w:r>
      <w:r w:rsidR="00511614">
        <w:t>who was</w:t>
      </w:r>
      <w:r w:rsidR="006A03C1">
        <w:t xml:space="preserve"> “fine” with the representation.</w:t>
      </w:r>
      <w:r w:rsidR="00D3234B">
        <w:t xml:space="preserve">  Isola testified about </w:t>
      </w:r>
      <w:r w:rsidR="00511614">
        <w:t>the subjec</w:t>
      </w:r>
      <w:r w:rsidR="00386D86">
        <w:t>ts</w:t>
      </w:r>
      <w:r w:rsidR="00D3234B">
        <w:t xml:space="preserve"> discussed at the Diner Meeting, which the hearing judge found credible.  </w:t>
      </w:r>
      <w:r w:rsidR="00AF078B">
        <w:t xml:space="preserve">Despite </w:t>
      </w:r>
      <w:r w:rsidR="007517D2">
        <w:t>Gregory</w:t>
      </w:r>
      <w:r w:rsidR="00AF078B">
        <w:t>’s</w:t>
      </w:r>
      <w:r w:rsidR="007517D2">
        <w:t xml:space="preserve"> </w:t>
      </w:r>
      <w:r w:rsidR="003E678C">
        <w:t>testi</w:t>
      </w:r>
      <w:r w:rsidR="004E3C74">
        <w:t>mony</w:t>
      </w:r>
      <w:r w:rsidR="003E678C">
        <w:t xml:space="preserve"> that he did not retain Isola at the Diner Meeting, the judge did not rely on </w:t>
      </w:r>
      <w:r w:rsidR="005E6C96">
        <w:t xml:space="preserve">this </w:t>
      </w:r>
      <w:r w:rsidR="009E73ED">
        <w:t>testimony</w:t>
      </w:r>
      <w:r w:rsidR="003E678C">
        <w:t xml:space="preserve"> </w:t>
      </w:r>
      <w:r w:rsidR="00076CB8">
        <w:t>due to</w:t>
      </w:r>
      <w:r w:rsidR="00D1488D">
        <w:t xml:space="preserve"> inconsistencies in </w:t>
      </w:r>
      <w:r w:rsidR="00FB1202">
        <w:t>his</w:t>
      </w:r>
      <w:r w:rsidR="00D1488D">
        <w:t xml:space="preserve"> prior deposition testimony.</w:t>
      </w:r>
      <w:r w:rsidR="000F25DE">
        <w:t xml:space="preserve">  We rely on Isola’s version of events as it was corroborated at trial by </w:t>
      </w:r>
      <w:r w:rsidR="00272613">
        <w:t>DeArth</w:t>
      </w:r>
      <w:r w:rsidR="00673BA0">
        <w:t xml:space="preserve"> and </w:t>
      </w:r>
      <w:r w:rsidR="000F25DE">
        <w:t xml:space="preserve">was consistent with Richard’s deposition </w:t>
      </w:r>
      <w:r w:rsidR="00673BA0">
        <w:t>testimony</w:t>
      </w:r>
      <w:r w:rsidR="00A72A60">
        <w:t xml:space="preserve">.  </w:t>
      </w:r>
      <w:r w:rsidR="00727D3A">
        <w:t>This finding is consistent with</w:t>
      </w:r>
      <w:r w:rsidR="00221DF1">
        <w:t xml:space="preserve"> the principle that </w:t>
      </w:r>
      <w:r w:rsidR="00E21BE4">
        <w:t>reasonable doubts must be resolved in favor of the respondent.  (</w:t>
      </w:r>
      <w:r w:rsidR="00E21BE4">
        <w:rPr>
          <w:i/>
        </w:rPr>
        <w:t>In the Matter of DeMassa</w:t>
      </w:r>
      <w:r w:rsidR="00E21BE4">
        <w:rPr>
          <w:iCs/>
        </w:rPr>
        <w:t xml:space="preserve">, </w:t>
      </w:r>
      <w:r w:rsidR="00E21BE4">
        <w:rPr>
          <w:i/>
        </w:rPr>
        <w:t>supra</w:t>
      </w:r>
      <w:r w:rsidR="00E21BE4">
        <w:rPr>
          <w:iCs/>
        </w:rPr>
        <w:t xml:space="preserve">, </w:t>
      </w:r>
      <w:r w:rsidR="00272613">
        <w:rPr>
          <w:iCs/>
        </w:rPr>
        <w:t xml:space="preserve">               </w:t>
      </w:r>
      <w:r w:rsidR="00E21BE4">
        <w:t>1</w:t>
      </w:r>
      <w:r w:rsidR="0006523A">
        <w:t xml:space="preserve"> </w:t>
      </w:r>
      <w:r w:rsidR="00E21BE4">
        <w:t xml:space="preserve">Cal. State Bar Ct. Rptr. at p. </w:t>
      </w:r>
      <w:r w:rsidR="00E33F37">
        <w:t xml:space="preserve">749.)  Therefore, we reject OCTC’s argument that the hearing judge erred </w:t>
      </w:r>
      <w:r w:rsidR="00C2586C">
        <w:t>in</w:t>
      </w:r>
      <w:r w:rsidR="00E33F37">
        <w:t xml:space="preserve"> crediting Isola’s testimony</w:t>
      </w:r>
      <w:r w:rsidR="00A505AD">
        <w:t>.</w:t>
      </w:r>
      <w:r w:rsidR="00A72A60">
        <w:t xml:space="preserve"> </w:t>
      </w:r>
      <w:r w:rsidR="00F549DD">
        <w:t xml:space="preserve"> </w:t>
      </w:r>
      <w:r w:rsidR="00A7319B">
        <w:t xml:space="preserve">As discussed </w:t>
      </w:r>
      <w:r w:rsidR="00575C75">
        <w:rPr>
          <w:i/>
          <w:iCs/>
        </w:rPr>
        <w:t>post</w:t>
      </w:r>
      <w:r w:rsidR="00A7319B">
        <w:t xml:space="preserve">, OCTC failed to prove that </w:t>
      </w:r>
      <w:r w:rsidR="00575C75">
        <w:t>Isola lacked authority to represent the Hahns.</w:t>
      </w:r>
    </w:p>
  </w:footnote>
  <w:footnote w:id="7">
    <w:p w14:paraId="76075951" w14:textId="24A48CF3" w:rsidR="009B356C" w:rsidRPr="005A74DF" w:rsidRDefault="009B356C" w:rsidP="008A63B4">
      <w:pPr>
        <w:pStyle w:val="FootnoteText"/>
        <w:spacing w:after="120"/>
      </w:pPr>
      <w:r>
        <w:rPr>
          <w:rStyle w:val="FootnoteReference"/>
        </w:rPr>
        <w:footnoteRef/>
      </w:r>
      <w:r>
        <w:t xml:space="preserve"> </w:t>
      </w:r>
      <w:bookmarkStart w:id="10" w:name="_Hlk98496359"/>
      <w:r w:rsidR="00B70DB2">
        <w:t>“An insurer’s obligation under an insurance policy is generally triggered by an event and notice to the insurer of a potentially covered claim.”  (</w:t>
      </w:r>
      <w:bookmarkStart w:id="11" w:name="_Hlk103593038"/>
      <w:r w:rsidR="00B70DB2">
        <w:t xml:space="preserve">Guevara &amp; Deveau, Environmental Liability and Insurance Recovery </w:t>
      </w:r>
      <w:bookmarkEnd w:id="11"/>
      <w:r w:rsidR="00B70DB2">
        <w:t>(2012) p.</w:t>
      </w:r>
      <w:r w:rsidR="006A7DDA">
        <w:t> </w:t>
      </w:r>
      <w:r w:rsidR="00B70DB2">
        <w:t xml:space="preserve">322.)  Most policies require insurers to defend “suits” against the insured.  (Kenny &amp; Lattal, </w:t>
      </w:r>
      <w:r w:rsidR="00B1329D" w:rsidRPr="00B1329D">
        <w:t>New Jersey Insurance Law</w:t>
      </w:r>
      <w:r w:rsidR="00B1329D">
        <w:t>,</w:t>
      </w:r>
      <w:r w:rsidR="00B1329D" w:rsidRPr="00B1329D">
        <w:t xml:space="preserve"> </w:t>
      </w:r>
      <w:r w:rsidR="00B70DB2">
        <w:rPr>
          <w:i/>
          <w:iCs/>
        </w:rPr>
        <w:t>supra</w:t>
      </w:r>
      <w:r w:rsidR="00B70DB2">
        <w:t>, §§</w:t>
      </w:r>
      <w:r w:rsidR="006A7DDA">
        <w:t> </w:t>
      </w:r>
      <w:r w:rsidR="00B70DB2">
        <w:t>21-2 &amp; 21-3, pp.</w:t>
      </w:r>
      <w:r w:rsidR="006A7DDA">
        <w:t> </w:t>
      </w:r>
      <w:r w:rsidR="00B70DB2">
        <w:t xml:space="preserve">726-727.)  </w:t>
      </w:r>
    </w:p>
    <w:bookmarkEnd w:id="10"/>
  </w:footnote>
  <w:footnote w:id="8">
    <w:p w14:paraId="468B869A" w14:textId="4226FA9D" w:rsidR="008A63B4" w:rsidRDefault="008A63B4" w:rsidP="001F0D37">
      <w:pPr>
        <w:pStyle w:val="FootnoteText"/>
        <w:spacing w:after="120"/>
      </w:pPr>
      <w:r>
        <w:rPr>
          <w:rStyle w:val="FootnoteReference"/>
        </w:rPr>
        <w:footnoteRef/>
      </w:r>
      <w:r>
        <w:t xml:space="preserve"> At this point</w:t>
      </w:r>
      <w:r w:rsidR="008B7A21">
        <w:t xml:space="preserve"> in the factual</w:t>
      </w:r>
      <w:r w:rsidR="00593D36">
        <w:t xml:space="preserve"> history</w:t>
      </w:r>
      <w:r>
        <w:t xml:space="preserve">, </w:t>
      </w:r>
      <w:r w:rsidR="001F0D37">
        <w:t>the identity of Min-Ku</w:t>
      </w:r>
      <w:r w:rsidR="00A1156E">
        <w:t>, one of the names listed on the policies</w:t>
      </w:r>
      <w:r w:rsidR="00F81B46">
        <w:t>,</w:t>
      </w:r>
      <w:r w:rsidR="00A03DF1">
        <w:t xml:space="preserve"> was confusing</w:t>
      </w:r>
      <w:r w:rsidR="00A1156E">
        <w:t>.</w:t>
      </w:r>
      <w:r w:rsidR="00EB3E85">
        <w:t xml:space="preserve"> </w:t>
      </w:r>
      <w:r w:rsidR="001F0D37">
        <w:t xml:space="preserve"> Isola believed that Min-Ku was Gregory’s mother, not Gregory himself.</w:t>
      </w:r>
      <w:r w:rsidR="00A813EF">
        <w:t xml:space="preserve">  As discussed </w:t>
      </w:r>
      <w:r w:rsidR="00A813EF" w:rsidRPr="00A813EF">
        <w:rPr>
          <w:i/>
          <w:iCs/>
        </w:rPr>
        <w:t>post</w:t>
      </w:r>
      <w:r w:rsidR="00A813EF">
        <w:t xml:space="preserve">, whether Isola knew </w:t>
      </w:r>
      <w:r w:rsidR="0041187C">
        <w:t>Min-Ku</w:t>
      </w:r>
      <w:r w:rsidR="00484E1D">
        <w:t>’s</w:t>
      </w:r>
      <w:r w:rsidR="00640A56">
        <w:t xml:space="preserve"> </w:t>
      </w:r>
      <w:r w:rsidR="00A813EF">
        <w:t xml:space="preserve">actual identity is </w:t>
      </w:r>
      <w:r w:rsidR="004276B8">
        <w:t xml:space="preserve">not outcome determinative </w:t>
      </w:r>
      <w:r w:rsidR="00A813EF">
        <w:t>because</w:t>
      </w:r>
      <w:r w:rsidR="005A62FF">
        <w:t xml:space="preserve"> Gregory</w:t>
      </w:r>
      <w:r w:rsidR="001F0D37">
        <w:t>, as spokesperson for the Hahns, had authority to hire I</w:t>
      </w:r>
      <w:r w:rsidR="005A62FF">
        <w:t>sola to represent</w:t>
      </w:r>
      <w:r w:rsidR="001F0D37">
        <w:t xml:space="preserve"> himself, Cameo Cleaners of Fair Lawn, and the other family members </w:t>
      </w:r>
      <w:r w:rsidR="008B6F4D">
        <w:t xml:space="preserve">connected </w:t>
      </w:r>
      <w:r w:rsidR="001F0D37">
        <w:t>to the remediation.</w:t>
      </w:r>
    </w:p>
  </w:footnote>
  <w:footnote w:id="9">
    <w:p w14:paraId="579A2D73" w14:textId="1C3C321E" w:rsidR="008A63B4" w:rsidRDefault="008A63B4" w:rsidP="00621F0E">
      <w:pPr>
        <w:pStyle w:val="FootnoteText"/>
        <w:spacing w:after="120"/>
      </w:pPr>
      <w:r>
        <w:rPr>
          <w:rStyle w:val="FootnoteReference"/>
        </w:rPr>
        <w:footnoteRef/>
      </w:r>
      <w:r>
        <w:t xml:space="preserve"> Spill Compensation and Control Act, N.J.S.A. 58:10-23.11 et seq. [establishing liability for damages from discharge of hazardous substances in New Jersey, including cleanup and removal costs].</w:t>
      </w:r>
      <w:r w:rsidR="00913BA1">
        <w:t xml:space="preserve">  The NJDEP has broad authority to enforce the Spill Act.</w:t>
      </w:r>
      <w:r w:rsidR="00602354">
        <w:t xml:space="preserve">  (</w:t>
      </w:r>
      <w:r w:rsidR="00B1329D" w:rsidRPr="00B1329D">
        <w:t xml:space="preserve">13C Slowinski &amp; Walentowicz, </w:t>
      </w:r>
      <w:r w:rsidR="00697B3F">
        <w:t xml:space="preserve">N.J. Practice, </w:t>
      </w:r>
      <w:r w:rsidR="00B1329D" w:rsidRPr="00B1329D">
        <w:t>Real Estate Law and Practice,</w:t>
      </w:r>
      <w:r w:rsidR="00886E91">
        <w:t xml:space="preserve"> </w:t>
      </w:r>
      <w:r w:rsidR="00886E91">
        <w:rPr>
          <w:i/>
          <w:iCs/>
        </w:rPr>
        <w:t>supra</w:t>
      </w:r>
      <w:r w:rsidR="00886E91">
        <w:t>,</w:t>
      </w:r>
      <w:r w:rsidR="00602354">
        <w:t xml:space="preserve"> §</w:t>
      </w:r>
      <w:r w:rsidR="001D5BEE">
        <w:t> </w:t>
      </w:r>
      <w:r w:rsidR="00602354">
        <w:t>46:</w:t>
      </w:r>
      <w:r w:rsidR="00766506">
        <w:t>150</w:t>
      </w:r>
      <w:r w:rsidR="00602354">
        <w:t>, p.</w:t>
      </w:r>
      <w:r w:rsidR="006A7DDA">
        <w:t> </w:t>
      </w:r>
      <w:r w:rsidR="00602354">
        <w:t>21</w:t>
      </w:r>
      <w:r w:rsidR="00766506">
        <w:t>1</w:t>
      </w:r>
      <w:r w:rsidR="00602354">
        <w:t xml:space="preserve">.)  </w:t>
      </w:r>
    </w:p>
  </w:footnote>
  <w:footnote w:id="10">
    <w:p w14:paraId="66802FA1" w14:textId="222E774E" w:rsidR="00587501" w:rsidRPr="00A661EF" w:rsidRDefault="00587501" w:rsidP="00D81F4E">
      <w:pPr>
        <w:pStyle w:val="FootnoteText"/>
        <w:spacing w:after="120"/>
      </w:pPr>
      <w:r>
        <w:rPr>
          <w:rStyle w:val="FootnoteReference"/>
        </w:rPr>
        <w:footnoteRef/>
      </w:r>
      <w:r>
        <w:t xml:space="preserve"> </w:t>
      </w:r>
      <w:r w:rsidR="004F0D48">
        <w:t xml:space="preserve">An NJDEP directive ordering action </w:t>
      </w:r>
      <w:r w:rsidR="00797F56">
        <w:t>will trigger the duty to defend.</w:t>
      </w:r>
      <w:r w:rsidR="00DC5A37">
        <w:t xml:space="preserve">  (Kenny &amp; Lattal, </w:t>
      </w:r>
      <w:r w:rsidR="00B1329D" w:rsidRPr="00B1329D">
        <w:t>New Jersey Insurance Law</w:t>
      </w:r>
      <w:r w:rsidR="00B1329D" w:rsidRPr="00B90857">
        <w:t>,</w:t>
      </w:r>
      <w:r w:rsidR="00B1329D">
        <w:rPr>
          <w:i/>
          <w:iCs/>
        </w:rPr>
        <w:t xml:space="preserve"> </w:t>
      </w:r>
      <w:r w:rsidR="00DC5A37">
        <w:rPr>
          <w:i/>
          <w:iCs/>
        </w:rPr>
        <w:t>supra</w:t>
      </w:r>
      <w:r w:rsidR="00DC5A37">
        <w:t>, §§</w:t>
      </w:r>
      <w:r w:rsidR="007F002F">
        <w:t> </w:t>
      </w:r>
      <w:r w:rsidR="00DC5A37">
        <w:t>21-2 &amp; 21-3, pp.</w:t>
      </w:r>
      <w:r w:rsidR="007F002F">
        <w:t> </w:t>
      </w:r>
      <w:r w:rsidR="00DC5A37">
        <w:t xml:space="preserve">726-727.)  </w:t>
      </w:r>
      <w:r w:rsidR="005147BB">
        <w:t xml:space="preserve">“[T]he best strategy in </w:t>
      </w:r>
      <w:r w:rsidR="00641EA0">
        <w:t xml:space="preserve">insurance coverage is, frankly, to implement an aggressive offense in seeking coverage for the loss.”  (Guevara &amp; Deveau, </w:t>
      </w:r>
      <w:r w:rsidR="00B1329D" w:rsidRPr="00B1329D">
        <w:t>Environmental Liability and Insurance Recovery</w:t>
      </w:r>
      <w:r w:rsidR="00B1329D">
        <w:t xml:space="preserve">, </w:t>
      </w:r>
      <w:r w:rsidR="008549C4">
        <w:rPr>
          <w:i/>
          <w:iCs/>
        </w:rPr>
        <w:t>supra</w:t>
      </w:r>
      <w:r w:rsidR="00641EA0">
        <w:t>, p.</w:t>
      </w:r>
      <w:r w:rsidR="007F002F">
        <w:t> </w:t>
      </w:r>
      <w:r w:rsidR="00264722">
        <w:t>297</w:t>
      </w:r>
      <w:r w:rsidR="00641EA0">
        <w:t>.)</w:t>
      </w:r>
    </w:p>
  </w:footnote>
  <w:footnote w:id="11">
    <w:p w14:paraId="6CB41B0D" w14:textId="48527F05" w:rsidR="001C69CA" w:rsidRDefault="001C69CA" w:rsidP="00621F0E">
      <w:pPr>
        <w:pStyle w:val="FootnoteText"/>
        <w:spacing w:after="120"/>
      </w:pPr>
      <w:r>
        <w:rPr>
          <w:rStyle w:val="FootnoteReference"/>
        </w:rPr>
        <w:footnoteRef/>
      </w:r>
      <w:r>
        <w:t xml:space="preserve"> </w:t>
      </w:r>
      <w:r w:rsidR="00BA41F9">
        <w:t>Later,</w:t>
      </w:r>
      <w:r w:rsidR="00062198">
        <w:t xml:space="preserve"> on March</w:t>
      </w:r>
      <w:r w:rsidR="00BA41F9">
        <w:t xml:space="preserve"> </w:t>
      </w:r>
      <w:r w:rsidR="003B60B3">
        <w:t>9</w:t>
      </w:r>
      <w:r w:rsidR="008710D4">
        <w:t>,</w:t>
      </w:r>
      <w:r w:rsidR="003B60B3">
        <w:t xml:space="preserve"> 2012, </w:t>
      </w:r>
      <w:r w:rsidR="00272613">
        <w:t>DeArth</w:t>
      </w:r>
      <w:r w:rsidR="00062198">
        <w:t xml:space="preserve"> signed </w:t>
      </w:r>
      <w:r w:rsidR="00BA41F9">
        <w:t>a</w:t>
      </w:r>
      <w:r w:rsidR="00A77129">
        <w:t xml:space="preserve"> master services agreement </w:t>
      </w:r>
      <w:r w:rsidR="002F4808">
        <w:t>for Genesis to perform remediation services on behalf of Min-Ku</w:t>
      </w:r>
      <w:r w:rsidR="00332A8D">
        <w:t xml:space="preserve">.  </w:t>
      </w:r>
      <w:r w:rsidR="00FB2696">
        <w:t xml:space="preserve">No one signed the document </w:t>
      </w:r>
      <w:r w:rsidR="00D93755">
        <w:t xml:space="preserve">for Min-Ku.  Isola testified that he </w:t>
      </w:r>
      <w:r w:rsidR="00F84D3C">
        <w:t>never got</w:t>
      </w:r>
      <w:r w:rsidR="00D93755">
        <w:t xml:space="preserve"> a signature for the services agreement as Travelers had not agreed to pay </w:t>
      </w:r>
      <w:r w:rsidR="00BE6EEA">
        <w:t xml:space="preserve">for any remediation and, therefore, Genesis did not have funding to do </w:t>
      </w:r>
      <w:r w:rsidR="008710D4">
        <w:t xml:space="preserve">the </w:t>
      </w:r>
      <w:r w:rsidR="00BE6EEA">
        <w:t>work</w:t>
      </w:r>
      <w:r w:rsidR="00DD543C">
        <w:t>.</w:t>
      </w:r>
    </w:p>
  </w:footnote>
  <w:footnote w:id="12">
    <w:p w14:paraId="4678EB16" w14:textId="207025D9" w:rsidR="00E570CB" w:rsidRDefault="00E570CB" w:rsidP="008179DB">
      <w:pPr>
        <w:pStyle w:val="FootnoteText"/>
        <w:spacing w:after="120"/>
      </w:pPr>
      <w:r>
        <w:rPr>
          <w:rStyle w:val="FootnoteReference"/>
        </w:rPr>
        <w:footnoteRef/>
      </w:r>
      <w:r>
        <w:t xml:space="preserve"> </w:t>
      </w:r>
      <w:r w:rsidR="003168AC">
        <w:t xml:space="preserve">Under the Site Remediation Reform Act, </w:t>
      </w:r>
      <w:r w:rsidR="006E49C1">
        <w:t xml:space="preserve">an LSRP is responsible for overseeing </w:t>
      </w:r>
      <w:r w:rsidR="004175C6">
        <w:t>remediation of contaminated sites.  (N.J.S.A. 58:10C-1 et seq</w:t>
      </w:r>
      <w:r w:rsidR="00EB1A73">
        <w:t>.;</w:t>
      </w:r>
      <w:r w:rsidR="00EB1A73" w:rsidRPr="00EB1A73">
        <w:t xml:space="preserve"> </w:t>
      </w:r>
      <w:r w:rsidR="00EB1A73">
        <w:t xml:space="preserve">13C </w:t>
      </w:r>
      <w:r w:rsidR="00B1329D" w:rsidRPr="00B1329D">
        <w:t>Slowinski &amp; Walentowicz,</w:t>
      </w:r>
      <w:r w:rsidR="00B90857">
        <w:t xml:space="preserve"> N.J. Practice,</w:t>
      </w:r>
      <w:r w:rsidR="00B1329D" w:rsidRPr="00B1329D">
        <w:t xml:space="preserve"> Real Estate Law and Practice,</w:t>
      </w:r>
      <w:r w:rsidR="00EB1A73">
        <w:t xml:space="preserve"> </w:t>
      </w:r>
      <w:r w:rsidR="00E94C52">
        <w:rPr>
          <w:i/>
          <w:iCs/>
        </w:rPr>
        <w:t>supra</w:t>
      </w:r>
      <w:r w:rsidR="00E94C52">
        <w:t xml:space="preserve">, </w:t>
      </w:r>
      <w:r w:rsidR="00EB1A73">
        <w:t>§</w:t>
      </w:r>
      <w:r w:rsidR="007F002F">
        <w:t> </w:t>
      </w:r>
      <w:r w:rsidR="00EB1A73">
        <w:t>46</w:t>
      </w:r>
      <w:r w:rsidR="008E698B">
        <w:t>-</w:t>
      </w:r>
      <w:r w:rsidR="00EB1A73">
        <w:t>8, pp.</w:t>
      </w:r>
      <w:r w:rsidR="007F002F">
        <w:t> </w:t>
      </w:r>
      <w:r w:rsidR="00EB1A73">
        <w:t>21-22.)</w:t>
      </w:r>
      <w:r w:rsidR="00BA4985">
        <w:t xml:space="preserve">  The NJDEP </w:t>
      </w:r>
      <w:r w:rsidR="00B147D3">
        <w:t>retain</w:t>
      </w:r>
      <w:r w:rsidR="00D27AB0">
        <w:t>s</w:t>
      </w:r>
      <w:r w:rsidR="00B147D3">
        <w:t xml:space="preserve"> oversigh</w:t>
      </w:r>
      <w:r w:rsidR="00D27AB0">
        <w:t xml:space="preserve">t </w:t>
      </w:r>
      <w:r w:rsidR="00B147D3">
        <w:t xml:space="preserve">under certain circumstances.  </w:t>
      </w:r>
      <w:r w:rsidR="00BE53CB">
        <w:t>(</w:t>
      </w:r>
      <w:r w:rsidR="00E94C52">
        <w:rPr>
          <w:i/>
          <w:iCs/>
        </w:rPr>
        <w:t>Id</w:t>
      </w:r>
      <w:r w:rsidR="00E94C52">
        <w:t>. at</w:t>
      </w:r>
      <w:r w:rsidR="006E56D8">
        <w:t xml:space="preserve"> §</w:t>
      </w:r>
      <w:r w:rsidR="007F002F">
        <w:t> </w:t>
      </w:r>
      <w:r w:rsidR="006E56D8">
        <w:t>46:118, pp.</w:t>
      </w:r>
      <w:r w:rsidR="007F002F">
        <w:t> </w:t>
      </w:r>
      <w:r w:rsidR="006E56D8">
        <w:t>180</w:t>
      </w:r>
      <w:r w:rsidR="001D5BEE">
        <w:rPr>
          <w:szCs w:val="24"/>
        </w:rPr>
        <w:t>–</w:t>
      </w:r>
      <w:r w:rsidR="006E56D8">
        <w:t>181.)</w:t>
      </w:r>
    </w:p>
  </w:footnote>
  <w:footnote w:id="13">
    <w:p w14:paraId="762B0CAA" w14:textId="39DEE9C2" w:rsidR="00691E5F" w:rsidRDefault="00691E5F" w:rsidP="00D93755">
      <w:pPr>
        <w:pStyle w:val="FootnoteText"/>
        <w:spacing w:after="120"/>
      </w:pPr>
      <w:r>
        <w:rPr>
          <w:rStyle w:val="FootnoteReference"/>
        </w:rPr>
        <w:footnoteRef/>
      </w:r>
      <w:r>
        <w:t xml:space="preserve"> </w:t>
      </w:r>
      <w:bookmarkStart w:id="13" w:name="_Hlk104286743"/>
      <w:r>
        <w:t>The expert testimony at trial was unclear as to whether an attorney could sign a</w:t>
      </w:r>
      <w:r w:rsidR="00335B49">
        <w:t>n</w:t>
      </w:r>
      <w:r>
        <w:t xml:space="preserve"> LSRP retention form on behalf of a client</w:t>
      </w:r>
      <w:r w:rsidR="003D467F">
        <w:t xml:space="preserve">.  Our independent research </w:t>
      </w:r>
      <w:r w:rsidR="000E7777">
        <w:t xml:space="preserve">has not revealed whether an attorney could sign the form on behalf of a client.  </w:t>
      </w:r>
    </w:p>
    <w:bookmarkEnd w:id="13"/>
  </w:footnote>
  <w:footnote w:id="14">
    <w:p w14:paraId="722935EB" w14:textId="14F39E78" w:rsidR="0076638F" w:rsidRDefault="0076638F" w:rsidP="00BB0893">
      <w:pPr>
        <w:pStyle w:val="FootnoteText"/>
        <w:spacing w:after="120"/>
      </w:pPr>
      <w:r>
        <w:rPr>
          <w:rStyle w:val="FootnoteReference"/>
        </w:rPr>
        <w:footnoteRef/>
      </w:r>
      <w:r>
        <w:t xml:space="preserve"> </w:t>
      </w:r>
      <w:r w:rsidR="004B73DE">
        <w:t>Persons “in any way responsible” for any hazard</w:t>
      </w:r>
      <w:r w:rsidR="00BB0893">
        <w:t>ous</w:t>
      </w:r>
      <w:r w:rsidR="004B73DE">
        <w:t xml:space="preserve"> substance are liable under the Spill Act</w:t>
      </w:r>
      <w:r w:rsidR="00587501">
        <w:t xml:space="preserve">; that is, </w:t>
      </w:r>
      <w:r w:rsidR="009D462C">
        <w:t xml:space="preserve">anyone with ownership or control over the property at the time of the discharge may be liable.  </w:t>
      </w:r>
      <w:r w:rsidR="00F93608">
        <w:t>(</w:t>
      </w:r>
      <w:r w:rsidR="00F20089" w:rsidRPr="00030696">
        <w:rPr>
          <w:i/>
          <w:iCs/>
        </w:rPr>
        <w:t>State, Dept. of Environmental Protection v. Ventron Corp</w:t>
      </w:r>
      <w:r w:rsidR="00837336" w:rsidRPr="00030696">
        <w:rPr>
          <w:i/>
          <w:iCs/>
        </w:rPr>
        <w:t>.</w:t>
      </w:r>
      <w:r w:rsidR="00837336">
        <w:t xml:space="preserve"> (1983) 94</w:t>
      </w:r>
      <w:r w:rsidR="00266A29">
        <w:t> </w:t>
      </w:r>
      <w:r w:rsidR="00837336">
        <w:t>N.J.</w:t>
      </w:r>
      <w:r w:rsidR="00266A29">
        <w:t xml:space="preserve"> </w:t>
      </w:r>
      <w:r w:rsidR="00837336">
        <w:t>473</w:t>
      </w:r>
      <w:r w:rsidR="00030696">
        <w:t>,</w:t>
      </w:r>
      <w:r w:rsidR="00266A29">
        <w:t xml:space="preserve"> </w:t>
      </w:r>
      <w:r w:rsidR="00030696">
        <w:t>502;</w:t>
      </w:r>
      <w:r w:rsidR="006D7FAD">
        <w:t xml:space="preserve"> </w:t>
      </w:r>
      <w:r w:rsidR="001A2FD9">
        <w:t xml:space="preserve">13C </w:t>
      </w:r>
      <w:r w:rsidR="00B1329D" w:rsidRPr="00B1329D">
        <w:t>Slowinski &amp; Walentowicz,</w:t>
      </w:r>
      <w:r w:rsidR="004241CE">
        <w:t xml:space="preserve"> N.J. Practice,</w:t>
      </w:r>
      <w:r w:rsidR="00B1329D" w:rsidRPr="00B1329D">
        <w:t xml:space="preserve"> Real Estate Law and Practice,</w:t>
      </w:r>
      <w:r w:rsidR="00B1329D">
        <w:t xml:space="preserve"> </w:t>
      </w:r>
      <w:r w:rsidR="00531434" w:rsidRPr="00531434">
        <w:rPr>
          <w:i/>
          <w:iCs/>
        </w:rPr>
        <w:t>supra</w:t>
      </w:r>
      <w:r w:rsidR="00531434">
        <w:t>,</w:t>
      </w:r>
      <w:r w:rsidR="00BB0893" w:rsidRPr="00531434">
        <w:t xml:space="preserve"> </w:t>
      </w:r>
      <w:r w:rsidR="00BB0893">
        <w:t>§</w:t>
      </w:r>
      <w:r w:rsidR="00266A29">
        <w:t> </w:t>
      </w:r>
      <w:r w:rsidR="00BB0893">
        <w:t>46:143</w:t>
      </w:r>
      <w:r w:rsidR="00922330">
        <w:t>, pp.</w:t>
      </w:r>
      <w:r w:rsidR="00266A29">
        <w:t> </w:t>
      </w:r>
      <w:r w:rsidR="00922330">
        <w:t>202</w:t>
      </w:r>
      <w:r w:rsidR="00630B14">
        <w:t>-203</w:t>
      </w:r>
      <w:r w:rsidR="00BB0893">
        <w:t>.)</w:t>
      </w:r>
    </w:p>
  </w:footnote>
  <w:footnote w:id="15">
    <w:p w14:paraId="1AFFF60C" w14:textId="601F8785" w:rsidR="00E87448" w:rsidRDefault="00E87448" w:rsidP="00552C6F">
      <w:pPr>
        <w:pStyle w:val="FootnoteText"/>
        <w:spacing w:after="120"/>
      </w:pPr>
      <w:r>
        <w:rPr>
          <w:rStyle w:val="FootnoteReference"/>
        </w:rPr>
        <w:footnoteRef/>
      </w:r>
      <w:r>
        <w:t xml:space="preserve"> </w:t>
      </w:r>
      <w:r w:rsidR="009C5187">
        <w:t xml:space="preserve">In defending an insured in an </w:t>
      </w:r>
      <w:r w:rsidR="008313F8">
        <w:t>environmental claim, insurers often agree to pay defense costs</w:t>
      </w:r>
      <w:r w:rsidR="00D0361E">
        <w:t xml:space="preserve">.  </w:t>
      </w:r>
      <w:r w:rsidR="008D186A">
        <w:t>(Guevara &amp; Deveau,</w:t>
      </w:r>
      <w:r w:rsidR="00B1329D">
        <w:t xml:space="preserve"> </w:t>
      </w:r>
      <w:r w:rsidR="00B1329D" w:rsidRPr="00B1329D">
        <w:t>Environmental Liability and Insurance Recovery</w:t>
      </w:r>
      <w:r w:rsidR="00B1329D">
        <w:t>,</w:t>
      </w:r>
      <w:r w:rsidR="0062442D">
        <w:t xml:space="preserve"> </w:t>
      </w:r>
      <w:r w:rsidR="0062442D">
        <w:rPr>
          <w:i/>
          <w:iCs/>
        </w:rPr>
        <w:t>supra</w:t>
      </w:r>
      <w:r w:rsidR="000103CB">
        <w:t>, p.</w:t>
      </w:r>
      <w:r w:rsidR="00266A29">
        <w:t> </w:t>
      </w:r>
      <w:r w:rsidR="000103CB">
        <w:t>330.)</w:t>
      </w:r>
    </w:p>
  </w:footnote>
  <w:footnote w:id="16">
    <w:p w14:paraId="0376F6E7" w14:textId="37078396" w:rsidR="00C25DF2" w:rsidRDefault="00C25DF2" w:rsidP="005749EC">
      <w:pPr>
        <w:pStyle w:val="FootnoteText"/>
        <w:spacing w:after="120"/>
      </w:pPr>
      <w:r>
        <w:rPr>
          <w:rStyle w:val="FootnoteReference"/>
        </w:rPr>
        <w:footnoteRef/>
      </w:r>
      <w:r>
        <w:t xml:space="preserve"> </w:t>
      </w:r>
      <w:r w:rsidR="003D138D">
        <w:t xml:space="preserve">The weighted allocation </w:t>
      </w:r>
      <w:r w:rsidR="00990FBE">
        <w:t xml:space="preserve">between policies also applies to the allocation of defense costs.  </w:t>
      </w:r>
      <w:r w:rsidR="0064249B">
        <w:t>(Kenny &amp; Lattal,</w:t>
      </w:r>
      <w:r w:rsidR="005562B9">
        <w:t xml:space="preserve"> </w:t>
      </w:r>
      <w:r w:rsidR="00B1329D" w:rsidRPr="00B1329D">
        <w:t>New Jersey Insurance Law</w:t>
      </w:r>
      <w:r w:rsidR="00B1329D" w:rsidRPr="0097749D">
        <w:t>,</w:t>
      </w:r>
      <w:r w:rsidR="00B1329D">
        <w:rPr>
          <w:i/>
          <w:iCs/>
        </w:rPr>
        <w:t xml:space="preserve"> </w:t>
      </w:r>
      <w:r w:rsidR="005562B9">
        <w:rPr>
          <w:i/>
          <w:iCs/>
        </w:rPr>
        <w:t>supra</w:t>
      </w:r>
      <w:r w:rsidR="005562B9">
        <w:t>,</w:t>
      </w:r>
      <w:r w:rsidR="0064249B">
        <w:t xml:space="preserve"> §</w:t>
      </w:r>
      <w:r w:rsidR="007A638B">
        <w:t> </w:t>
      </w:r>
      <w:r w:rsidR="0064249B">
        <w:t>21</w:t>
      </w:r>
      <w:r w:rsidR="0097749D">
        <w:rPr>
          <w:szCs w:val="24"/>
        </w:rPr>
        <w:t>-</w:t>
      </w:r>
      <w:r w:rsidR="0093044E">
        <w:t>41</w:t>
      </w:r>
      <w:r w:rsidR="0064249B">
        <w:t xml:space="preserve">, </w:t>
      </w:r>
      <w:r w:rsidR="0093044E">
        <w:t>p</w:t>
      </w:r>
      <w:r w:rsidR="0064249B">
        <w:t>p.</w:t>
      </w:r>
      <w:r w:rsidR="007A638B">
        <w:t> </w:t>
      </w:r>
      <w:r w:rsidR="0064249B">
        <w:t>78</w:t>
      </w:r>
      <w:r w:rsidR="0093044E">
        <w:t>9</w:t>
      </w:r>
      <w:r w:rsidR="00C85F40">
        <w:rPr>
          <w:szCs w:val="24"/>
        </w:rPr>
        <w:t>-</w:t>
      </w:r>
      <w:r w:rsidR="0093044E">
        <w:t>790</w:t>
      </w:r>
      <w:r w:rsidR="0064249B">
        <w:t xml:space="preserve">; </w:t>
      </w:r>
      <w:r w:rsidR="0064249B">
        <w:rPr>
          <w:i/>
          <w:iCs/>
        </w:rPr>
        <w:t>Owens-Illinois v. United Ins. Co.</w:t>
      </w:r>
      <w:r w:rsidR="009B7473">
        <w:t>,</w:t>
      </w:r>
      <w:r w:rsidR="0064249B">
        <w:t xml:space="preserve"> </w:t>
      </w:r>
      <w:r w:rsidR="005562B9" w:rsidRPr="009B7473">
        <w:rPr>
          <w:i/>
          <w:iCs/>
        </w:rPr>
        <w:t>supra</w:t>
      </w:r>
      <w:r w:rsidR="0093044E">
        <w:t xml:space="preserve">, </w:t>
      </w:r>
      <w:r w:rsidR="009B7473">
        <w:t>at p.</w:t>
      </w:r>
      <w:r w:rsidR="007A638B">
        <w:t> </w:t>
      </w:r>
      <w:r w:rsidR="0093044E">
        <w:t>477</w:t>
      </w:r>
      <w:r w:rsidR="0064249B">
        <w:t>.)</w:t>
      </w:r>
      <w:r w:rsidR="00E34B39">
        <w:t xml:space="preserve">  Isola believed that </w:t>
      </w:r>
      <w:r w:rsidR="000213A5">
        <w:t>the proposal to pay 36.84 percent of the defense costs was consistent with Travelers’ obligation under the law.</w:t>
      </w:r>
    </w:p>
  </w:footnote>
  <w:footnote w:id="17">
    <w:p w14:paraId="253F2069" w14:textId="5F95CE07" w:rsidR="00FC4B59" w:rsidRDefault="00FC4B59" w:rsidP="00FC4B59">
      <w:pPr>
        <w:pStyle w:val="FootnoteText"/>
        <w:spacing w:after="120"/>
      </w:pPr>
      <w:r>
        <w:rPr>
          <w:rStyle w:val="FootnoteReference"/>
        </w:rPr>
        <w:footnoteRef/>
      </w:r>
      <w:r>
        <w:t xml:space="preserve"> We agree with the hearing judge that Isola’s failure to catch the erroneous statement amounted to simple negligence as Isola and Milun credibly testified that multiple versions were </w:t>
      </w:r>
      <w:r w:rsidR="00C03949">
        <w:t>involved</w:t>
      </w:r>
      <w:r>
        <w:t xml:space="preserve"> and the wrong one was accidentally sent to Kim.</w:t>
      </w:r>
    </w:p>
  </w:footnote>
  <w:footnote w:id="18">
    <w:p w14:paraId="7667280A" w14:textId="110DD077" w:rsidR="00777BC2" w:rsidRDefault="00777BC2" w:rsidP="00E51FC0">
      <w:pPr>
        <w:pStyle w:val="FootnoteText"/>
        <w:spacing w:after="120"/>
      </w:pPr>
      <w:r>
        <w:rPr>
          <w:rStyle w:val="FootnoteReference"/>
        </w:rPr>
        <w:footnoteRef/>
      </w:r>
      <w:r>
        <w:t xml:space="preserve"> Isola did not communicate with any Hahn family member after the Diner Meeting until nearly six years later when he finalized the terms of the settlement agreement.  However, at a June 2018 deposition in another case, </w:t>
      </w:r>
      <w:r w:rsidRPr="001421E7">
        <w:rPr>
          <w:i/>
          <w:iCs/>
        </w:rPr>
        <w:t>Greco v. Travelers</w:t>
      </w:r>
      <w:r>
        <w:t xml:space="preserve">, Isola testified that he recalled having approximately “five to ten” conversations with Gregory.  Later, at the disciplinary trial in the Hearing Department and in an interview with the New Jersey Office of Attorney Ethics, he admitted that this testimony was incorrect and that he had spoken directly to Gregory </w:t>
      </w:r>
      <w:r w:rsidR="00B96E56">
        <w:t>only</w:t>
      </w:r>
      <w:r w:rsidR="00435CBC">
        <w:t xml:space="preserve"> </w:t>
      </w:r>
      <w:r>
        <w:t>at the Diner Meeting.</w:t>
      </w:r>
    </w:p>
  </w:footnote>
  <w:footnote w:id="19">
    <w:p w14:paraId="3E7B802A" w14:textId="45EBFF6C" w:rsidR="006B33C7" w:rsidRDefault="006B33C7" w:rsidP="00E51FC0">
      <w:pPr>
        <w:pStyle w:val="FootnoteText"/>
        <w:spacing w:after="120"/>
      </w:pPr>
      <w:r>
        <w:rPr>
          <w:rStyle w:val="FootnoteReference"/>
        </w:rPr>
        <w:footnoteRef/>
      </w:r>
      <w:r>
        <w:t xml:space="preserve"> Kim was also unaware until this time that Min-Ku was actually Gregory.</w:t>
      </w:r>
    </w:p>
  </w:footnote>
  <w:footnote w:id="20">
    <w:p w14:paraId="7D200511" w14:textId="31638D91" w:rsidR="005D5170" w:rsidRDefault="005D5170" w:rsidP="00552C6F">
      <w:pPr>
        <w:pStyle w:val="FootnoteText"/>
        <w:spacing w:after="120"/>
      </w:pPr>
      <w:r>
        <w:rPr>
          <w:rStyle w:val="FootnoteReference"/>
        </w:rPr>
        <w:footnoteRef/>
      </w:r>
      <w:r>
        <w:t xml:space="preserve"> The signed version </w:t>
      </w:r>
      <w:r w:rsidR="00E51FC0">
        <w:t xml:space="preserve">contained the erroneous statement that Travelers had not objected to the settlement. </w:t>
      </w:r>
      <w:r w:rsidR="008C70AE">
        <w:t xml:space="preserve"> </w:t>
      </w:r>
      <w:r w:rsidR="004B6477">
        <w:t>Gregory’s fath</w:t>
      </w:r>
      <w:r w:rsidR="00B13E5E">
        <w:t xml:space="preserve">er was not alive at the time of the settlement.  </w:t>
      </w:r>
    </w:p>
  </w:footnote>
  <w:footnote w:id="21">
    <w:p w14:paraId="4FCC5C34" w14:textId="00D1FDB9" w:rsidR="00191EFE" w:rsidRDefault="00191EFE" w:rsidP="00552C6F">
      <w:pPr>
        <w:pStyle w:val="FootnoteText"/>
        <w:spacing w:after="120"/>
      </w:pPr>
      <w:r>
        <w:rPr>
          <w:rStyle w:val="FootnoteReference"/>
        </w:rPr>
        <w:footnoteRef/>
      </w:r>
      <w:r>
        <w:t xml:space="preserve"> The Hahns had coverage for up to $2 million.  Therefore, the $1.5 million settlement left $500,000 in coverage for the Hahns for any future claims.</w:t>
      </w:r>
    </w:p>
  </w:footnote>
  <w:footnote w:id="22">
    <w:p w14:paraId="5F9543FE" w14:textId="36256C07" w:rsidR="00F3620D" w:rsidRDefault="00F3620D" w:rsidP="00552C6F">
      <w:pPr>
        <w:pStyle w:val="FootnoteText"/>
        <w:spacing w:after="120"/>
      </w:pPr>
      <w:r>
        <w:rPr>
          <w:rStyle w:val="FootnoteReference"/>
        </w:rPr>
        <w:footnoteRef/>
      </w:r>
      <w:r>
        <w:t xml:space="preserve"> </w:t>
      </w:r>
      <w:r w:rsidR="00F200A3">
        <w:t>In July 2017, the Grecos filed a lawsuit against Travelers and Hartfor</w:t>
      </w:r>
      <w:r w:rsidR="008A1BCF">
        <w:t>d</w:t>
      </w:r>
      <w:r w:rsidR="00F200A3">
        <w:t xml:space="preserve"> to demand they pay </w:t>
      </w:r>
      <w:r w:rsidR="006019D2">
        <w:t>the Hahns’ share of the remediation costs.</w:t>
      </w:r>
      <w:r w:rsidR="008A1BCF">
        <w:t xml:space="preserve">  </w:t>
      </w:r>
      <w:r w:rsidR="00EE6E0F">
        <w:t>A</w:t>
      </w:r>
      <w:r w:rsidR="008A1BCF">
        <w:t xml:space="preserve"> </w:t>
      </w:r>
      <w:r w:rsidR="00EE6E0F">
        <w:t xml:space="preserve">New Jersey </w:t>
      </w:r>
      <w:r w:rsidR="008A1BCF">
        <w:t>superior court determine</w:t>
      </w:r>
      <w:r w:rsidR="00327A98">
        <w:t>d</w:t>
      </w:r>
      <w:r w:rsidR="008A1BCF">
        <w:t xml:space="preserve"> in a summary judgment order that </w:t>
      </w:r>
      <w:r w:rsidR="00327A98">
        <w:t xml:space="preserve">the </w:t>
      </w:r>
      <w:r w:rsidR="00F3747B">
        <w:t>settlement agreement</w:t>
      </w:r>
      <w:r w:rsidR="00327A98">
        <w:t xml:space="preserve"> could not be enforced against Travelers and Hartford.</w:t>
      </w:r>
      <w:r w:rsidR="00EE6E0F">
        <w:t xml:space="preserve">  </w:t>
      </w:r>
      <w:r w:rsidR="003534EB">
        <w:t xml:space="preserve">The summary judgment order did not affect the release </w:t>
      </w:r>
      <w:r w:rsidR="008A0DF1">
        <w:t>the Hahns</w:t>
      </w:r>
      <w:r w:rsidR="003534EB">
        <w:t xml:space="preserve"> obtained </w:t>
      </w:r>
      <w:r w:rsidR="006750BA">
        <w:t>from the Grecos for the claims against them.</w:t>
      </w:r>
    </w:p>
  </w:footnote>
  <w:footnote w:id="23">
    <w:p w14:paraId="25311C78" w14:textId="5A032A9D" w:rsidR="00BC7065" w:rsidRDefault="00BC7065" w:rsidP="00E44CC3">
      <w:pPr>
        <w:pStyle w:val="FootnoteText"/>
        <w:spacing w:after="120"/>
      </w:pPr>
      <w:r>
        <w:rPr>
          <w:rStyle w:val="FootnoteReference"/>
        </w:rPr>
        <w:footnoteRef/>
      </w:r>
      <w:r>
        <w:t xml:space="preserve"> </w:t>
      </w:r>
      <w:r w:rsidR="00E33F37">
        <w:t xml:space="preserve">As noted </w:t>
      </w:r>
      <w:r w:rsidR="00E33F37" w:rsidRPr="00E44CC3">
        <w:rPr>
          <w:i/>
          <w:iCs/>
        </w:rPr>
        <w:t>ante</w:t>
      </w:r>
      <w:r w:rsidR="00E33F37">
        <w:t xml:space="preserve">, the hearing judge </w:t>
      </w:r>
      <w:r w:rsidR="00591A41">
        <w:t>did not rely on Gregory’s recollections of the Diner Meeting.</w:t>
      </w:r>
      <w:r w:rsidR="00983560">
        <w:t xml:space="preserve">  </w:t>
      </w:r>
      <w:r w:rsidR="003E0D9A">
        <w:t>He was the only one to testify</w:t>
      </w:r>
      <w:r w:rsidR="00983560">
        <w:t xml:space="preserve"> that Isola was not hired at the Diner Meeting.  </w:t>
      </w:r>
    </w:p>
  </w:footnote>
  <w:footnote w:id="24">
    <w:p w14:paraId="04CAC190" w14:textId="20F5A696" w:rsidR="00426EEE" w:rsidRDefault="00426EEE" w:rsidP="00D64BA8">
      <w:pPr>
        <w:pStyle w:val="FootnoteText"/>
        <w:spacing w:after="120"/>
      </w:pPr>
      <w:r>
        <w:rPr>
          <w:rStyle w:val="FootnoteReference"/>
        </w:rPr>
        <w:footnoteRef/>
      </w:r>
      <w:r>
        <w:t xml:space="preserve"> We note that </w:t>
      </w:r>
      <w:r w:rsidR="00C33064">
        <w:t xml:space="preserve">it </w:t>
      </w:r>
      <w:r w:rsidR="00D64BA8">
        <w:t xml:space="preserve">would have been much easier to establish the existence of an attorney-client relationship if Isola had memorialized the understanding from the Diner Meeting in a </w:t>
      </w:r>
      <w:r w:rsidR="00DE2DB0">
        <w:t xml:space="preserve">signed </w:t>
      </w:r>
      <w:r w:rsidR="00D64BA8">
        <w:t>retainer agreement.</w:t>
      </w:r>
      <w:r w:rsidR="00C33064">
        <w:t xml:space="preserve"> </w:t>
      </w:r>
    </w:p>
  </w:footnote>
  <w:footnote w:id="25">
    <w:p w14:paraId="1845F262" w14:textId="077CD223" w:rsidR="0034621C" w:rsidRDefault="0034621C" w:rsidP="00C2449C">
      <w:pPr>
        <w:pStyle w:val="FootnoteText"/>
        <w:spacing w:after="120"/>
      </w:pPr>
      <w:r>
        <w:rPr>
          <w:rStyle w:val="FootnoteReference"/>
        </w:rPr>
        <w:footnoteRef/>
      </w:r>
      <w:r>
        <w:t xml:space="preserve"> </w:t>
      </w:r>
      <w:r w:rsidR="00614808">
        <w:t xml:space="preserve">OCTC argues that we should reverse the hearing judge’s finding that Isola credibly asserted that the Diner Meeting included a discussion about his services and the possibility of a lawsuit.  </w:t>
      </w:r>
      <w:r w:rsidR="0012762B">
        <w:t>OCTC’s argument is based on the belief that Isola was dishonest.</w:t>
      </w:r>
      <w:r w:rsidR="003F0CA5">
        <w:t xml:space="preserve">  </w:t>
      </w:r>
      <w:r w:rsidR="003D6D0F">
        <w:t xml:space="preserve">As evidence of </w:t>
      </w:r>
      <w:r w:rsidR="004A7E6C">
        <w:t xml:space="preserve">Isola’s </w:t>
      </w:r>
      <w:r w:rsidR="003D6D0F">
        <w:t xml:space="preserve">dishonesty, </w:t>
      </w:r>
      <w:r w:rsidR="00C2449C">
        <w:t>OCTC points to Isola’s failure to correct the settlement agreement regarding Travelers</w:t>
      </w:r>
      <w:r w:rsidR="007F0E39">
        <w:t>’s</w:t>
      </w:r>
      <w:r w:rsidR="00C2449C">
        <w:t xml:space="preserve"> object</w:t>
      </w:r>
      <w:r w:rsidR="007F0E39">
        <w:t>ion</w:t>
      </w:r>
      <w:r w:rsidR="00C2449C">
        <w:t>.  We disagree</w:t>
      </w:r>
      <w:r w:rsidR="006430F2">
        <w:t xml:space="preserve">, as discussed </w:t>
      </w:r>
      <w:r w:rsidR="006430F2" w:rsidRPr="00013D16">
        <w:rPr>
          <w:i/>
          <w:iCs/>
        </w:rPr>
        <w:t>post</w:t>
      </w:r>
      <w:r w:rsidR="006430F2">
        <w:t xml:space="preserve">, </w:t>
      </w:r>
      <w:r w:rsidR="00013D16">
        <w:t>because we find that</w:t>
      </w:r>
      <w:r w:rsidR="006430F2">
        <w:t xml:space="preserve"> </w:t>
      </w:r>
      <w:r w:rsidR="003F0CA5">
        <w:t>his actions</w:t>
      </w:r>
      <w:r w:rsidR="006430F2">
        <w:t xml:space="preserve"> </w:t>
      </w:r>
      <w:r w:rsidR="00013D16">
        <w:t>did not amount to misconduct</w:t>
      </w:r>
      <w:r w:rsidR="00C2449C">
        <w:t>.</w:t>
      </w:r>
      <w:r>
        <w:t xml:space="preserve"> </w:t>
      </w:r>
      <w:r w:rsidR="003F0CA5">
        <w:t xml:space="preserve"> </w:t>
      </w:r>
      <w:r w:rsidR="00305ECE">
        <w:t>There is no clear and convincing evidence that Isola was dishonest.</w:t>
      </w:r>
      <w:r>
        <w:t xml:space="preserve"> </w:t>
      </w:r>
    </w:p>
  </w:footnote>
  <w:footnote w:id="26">
    <w:p w14:paraId="7D17F197" w14:textId="77777777" w:rsidR="00191EFE" w:rsidRDefault="00191EFE" w:rsidP="00191EFE">
      <w:pPr>
        <w:pStyle w:val="FootnoteText"/>
        <w:spacing w:after="120"/>
      </w:pPr>
      <w:r>
        <w:rPr>
          <w:rStyle w:val="FootnoteReference"/>
        </w:rPr>
        <w:footnoteRef/>
      </w:r>
      <w:r>
        <w:t xml:space="preserve"> </w:t>
      </w:r>
      <w:bookmarkStart w:id="18" w:name="_Hlk97562392"/>
      <w:r>
        <w:t>All further references to sections are to this source, unless otherwise noted.</w:t>
      </w:r>
    </w:p>
    <w:bookmarkEnd w:id="18"/>
  </w:footnote>
  <w:footnote w:id="27">
    <w:p w14:paraId="4BA87F74" w14:textId="492D94EE" w:rsidR="00FF6235" w:rsidRDefault="00FF6235" w:rsidP="00872143">
      <w:pPr>
        <w:pStyle w:val="FootnoteText"/>
        <w:spacing w:after="120"/>
      </w:pPr>
      <w:r>
        <w:rPr>
          <w:rStyle w:val="FootnoteReference"/>
        </w:rPr>
        <w:footnoteRef/>
      </w:r>
      <w:r>
        <w:t xml:space="preserve"> The hearing judge found that </w:t>
      </w:r>
      <w:r w:rsidR="007B4214">
        <w:t xml:space="preserve">the statement regarding the NJDEP letters was </w:t>
      </w:r>
      <w:r w:rsidR="001D4A1E">
        <w:t>false but</w:t>
      </w:r>
      <w:r w:rsidR="007B4214">
        <w:t xml:space="preserve"> was duplicative of the allegations charged in count </w:t>
      </w:r>
      <w:r w:rsidR="00C07849">
        <w:t>ten</w:t>
      </w:r>
      <w:r w:rsidR="007B4214">
        <w:t xml:space="preserve">, for which she </w:t>
      </w:r>
      <w:r w:rsidR="008D3004">
        <w:t xml:space="preserve">found culpability.  As discussed </w:t>
      </w:r>
      <w:r w:rsidR="008D3004" w:rsidRPr="008D3004">
        <w:rPr>
          <w:i/>
          <w:iCs/>
        </w:rPr>
        <w:t>post</w:t>
      </w:r>
      <w:r w:rsidR="00A863D2">
        <w:rPr>
          <w:i/>
          <w:iCs/>
        </w:rPr>
        <w:t xml:space="preserve"> </w:t>
      </w:r>
      <w:r w:rsidR="00A863D2">
        <w:t xml:space="preserve">under count </w:t>
      </w:r>
      <w:r w:rsidR="00C07849">
        <w:t>ten</w:t>
      </w:r>
      <w:r w:rsidR="00A863D2">
        <w:t>,</w:t>
      </w:r>
      <w:r w:rsidR="00917790">
        <w:t xml:space="preserve"> </w:t>
      </w:r>
      <w:r w:rsidR="008D3004">
        <w:t>we find that there was no</w:t>
      </w:r>
      <w:r w:rsidR="00B11218">
        <w:t>t</w:t>
      </w:r>
      <w:r w:rsidR="008D3004">
        <w:t xml:space="preserve"> clear and convincing evidence </w:t>
      </w:r>
      <w:r w:rsidR="00872143">
        <w:t xml:space="preserve">of a moral turpitude misrepresentation.  </w:t>
      </w:r>
    </w:p>
  </w:footnote>
  <w:footnote w:id="28">
    <w:p w14:paraId="519D6F2A" w14:textId="7E6977A9" w:rsidR="009A197E" w:rsidRDefault="009A197E" w:rsidP="009A197E">
      <w:pPr>
        <w:pStyle w:val="FootnoteText"/>
        <w:spacing w:after="120"/>
      </w:pPr>
      <w:r>
        <w:rPr>
          <w:rStyle w:val="FootnoteReference"/>
        </w:rPr>
        <w:footnoteRef/>
      </w:r>
      <w:r>
        <w:t xml:space="preserve"> The </w:t>
      </w:r>
      <w:r w:rsidR="005D1A72">
        <w:t xml:space="preserve">hearing </w:t>
      </w:r>
      <w:r>
        <w:t xml:space="preserve">judge noted that </w:t>
      </w:r>
      <w:r w:rsidR="00894F25">
        <w:t>the</w:t>
      </w:r>
      <w:r>
        <w:t xml:space="preserve"> NJDEP never made a claim against the Hahns.</w:t>
      </w:r>
    </w:p>
  </w:footnote>
  <w:footnote w:id="29">
    <w:p w14:paraId="6A7C74B1" w14:textId="56C0E556" w:rsidR="006924C9" w:rsidRDefault="006924C9" w:rsidP="00EC6907">
      <w:pPr>
        <w:pStyle w:val="FootnoteText"/>
        <w:spacing w:after="120"/>
      </w:pPr>
      <w:r>
        <w:rPr>
          <w:rStyle w:val="FootnoteReference"/>
        </w:rPr>
        <w:footnoteRef/>
      </w:r>
      <w:r>
        <w:t xml:space="preserve"> </w:t>
      </w:r>
      <w:r w:rsidR="00EC6907">
        <w:t>Travelers did not rely on Isola’s statement in the letter and conducted its own investigation of the status of any NJDEP claims.</w:t>
      </w:r>
    </w:p>
  </w:footnote>
  <w:footnote w:id="30">
    <w:p w14:paraId="2B21674B" w14:textId="1ACC978B" w:rsidR="00594C41" w:rsidRPr="00594C41" w:rsidRDefault="00594C41" w:rsidP="002870D4">
      <w:pPr>
        <w:pStyle w:val="FootnoteText"/>
        <w:spacing w:after="120"/>
      </w:pPr>
      <w:r>
        <w:rPr>
          <w:rStyle w:val="FootnoteReference"/>
        </w:rPr>
        <w:footnoteRef/>
      </w:r>
      <w:r>
        <w:t xml:space="preserve"> We reject OCTC’s reliance on </w:t>
      </w:r>
      <w:r>
        <w:rPr>
          <w:i/>
        </w:rPr>
        <w:t>In the Matter of Regan</w:t>
      </w:r>
      <w:r>
        <w:t xml:space="preserve"> (Review Dept. 2005) 4</w:t>
      </w:r>
      <w:r w:rsidR="00D24BC7">
        <w:t> </w:t>
      </w:r>
      <w:r>
        <w:t xml:space="preserve">Cal. State Bar Ct. Rptr. 844 and </w:t>
      </w:r>
      <w:r>
        <w:rPr>
          <w:i/>
        </w:rPr>
        <w:t>In the Matter of Phillips</w:t>
      </w:r>
      <w:r>
        <w:t xml:space="preserve"> (Review Dept. 2001) 4</w:t>
      </w:r>
      <w:r w:rsidR="00D24BC7">
        <w:t> </w:t>
      </w:r>
      <w:r>
        <w:t>Cal. State Bar Ct. Rptr. 315</w:t>
      </w:r>
      <w:r w:rsidR="00AA2483">
        <w:t>.  Those cases deal</w:t>
      </w:r>
      <w:r w:rsidR="002870D4">
        <w:t>t</w:t>
      </w:r>
      <w:r w:rsidR="00AA2483">
        <w:t xml:space="preserve"> with attorneys who acted in </w:t>
      </w:r>
      <w:r w:rsidR="00C243C6">
        <w:t xml:space="preserve">contravention to stated client </w:t>
      </w:r>
      <w:r w:rsidR="00283568">
        <w:t>directives</w:t>
      </w:r>
      <w:r w:rsidR="002870D4">
        <w:t>, which is not the case here.</w:t>
      </w:r>
    </w:p>
  </w:footnote>
  <w:footnote w:id="31">
    <w:p w14:paraId="74EFE4E2" w14:textId="65A124E1" w:rsidR="006D4C61" w:rsidRDefault="006D4C61" w:rsidP="006D4C61">
      <w:pPr>
        <w:pStyle w:val="FootnoteText"/>
        <w:spacing w:after="120"/>
      </w:pPr>
      <w:r>
        <w:rPr>
          <w:rStyle w:val="FootnoteReference"/>
        </w:rPr>
        <w:footnoteRef/>
      </w:r>
      <w:r>
        <w:t xml:space="preserve"> All further references to rules are to the former California Rules of Professional Conduct that were in effect until November</w:t>
      </w:r>
      <w:r w:rsidR="00E25A14">
        <w:t> </w:t>
      </w:r>
      <w:r>
        <w:t>1, 2018, unless otherwise noted.</w:t>
      </w:r>
    </w:p>
  </w:footnote>
  <w:footnote w:id="32">
    <w:p w14:paraId="5D2FAF9E" w14:textId="67377931" w:rsidR="003F53C7" w:rsidRDefault="003F53C7" w:rsidP="00E94FA8">
      <w:pPr>
        <w:pStyle w:val="FootnoteText"/>
        <w:spacing w:after="120"/>
      </w:pPr>
      <w:r>
        <w:rPr>
          <w:rStyle w:val="FootnoteReference"/>
        </w:rPr>
        <w:footnoteRef/>
      </w:r>
      <w:r>
        <w:t xml:space="preserve"> </w:t>
      </w:r>
      <w:bookmarkStart w:id="24" w:name="_Hlk104286663"/>
      <w:r>
        <w:t xml:space="preserve">OCTC argues on review that we should affirm culpability under count </w:t>
      </w:r>
      <w:r w:rsidR="002D6111">
        <w:t>twelve</w:t>
      </w:r>
      <w:r>
        <w:t xml:space="preserve">, but find that Isola acted intentionally.  Citing New Jersey law, OCTC argues that it was improper for Isola to sign the form on behalf of Min-Ku because it was equivalent to an affidavit or a declaration that an attorney may not sign on behalf of client.  </w:t>
      </w:r>
      <w:r w:rsidRPr="007C5D77">
        <w:t xml:space="preserve">However, </w:t>
      </w:r>
      <w:r w:rsidR="007C5D77" w:rsidRPr="007C5D77">
        <w:t xml:space="preserve">as noted </w:t>
      </w:r>
      <w:r w:rsidR="007C5D77" w:rsidRPr="007C5D77">
        <w:rPr>
          <w:i/>
          <w:iCs/>
        </w:rPr>
        <w:t>ante</w:t>
      </w:r>
      <w:r w:rsidR="007C5D77" w:rsidRPr="007C5D77">
        <w:t xml:space="preserve">, </w:t>
      </w:r>
      <w:r w:rsidRPr="007C5D77">
        <w:t xml:space="preserve">the expert testimony at trial was unclear </w:t>
      </w:r>
      <w:r w:rsidR="001A403A" w:rsidRPr="007C5D77">
        <w:t xml:space="preserve">as </w:t>
      </w:r>
      <w:r w:rsidRPr="007C5D77">
        <w:t>to whether an attorney could sign an LSRP form on behalf of a client.</w:t>
      </w:r>
      <w:r w:rsidR="00E94FA8" w:rsidRPr="007C5D77">
        <w:t xml:space="preserve">  OCTC has not </w:t>
      </w:r>
      <w:r w:rsidR="001A403A" w:rsidRPr="007C5D77">
        <w:t>established</w:t>
      </w:r>
      <w:r w:rsidR="00E94FA8" w:rsidRPr="007C5D77">
        <w:t xml:space="preserve"> that it was improper for Isola to </w:t>
      </w:r>
      <w:r w:rsidR="00911A13" w:rsidRPr="007C5D77">
        <w:t>do so</w:t>
      </w:r>
      <w:r w:rsidR="00E94FA8" w:rsidRPr="007C5D77">
        <w:t>.</w:t>
      </w:r>
      <w:r w:rsidR="00572F8B" w:rsidRPr="007C5D77">
        <w:t xml:space="preserve">  Our independent research did not reveal that an attorney </w:t>
      </w:r>
      <w:r w:rsidR="001C3D93" w:rsidRPr="007C5D77">
        <w:t>is prohibited from signing</w:t>
      </w:r>
      <w:r w:rsidR="00572F8B" w:rsidRPr="007C5D77">
        <w:t xml:space="preserve"> </w:t>
      </w:r>
      <w:r w:rsidR="004A66B6" w:rsidRPr="007C5D77">
        <w:t>an LSRP form on behalf of a client.</w:t>
      </w:r>
    </w:p>
    <w:bookmarkEnd w:id="24"/>
  </w:footnote>
  <w:footnote w:id="33">
    <w:p w14:paraId="58D7B864" w14:textId="778C6983" w:rsidR="001D0F11" w:rsidRPr="00EA4C02" w:rsidRDefault="001D0F11" w:rsidP="003F457E">
      <w:pPr>
        <w:pStyle w:val="FootnoteText"/>
        <w:spacing w:after="120"/>
      </w:pPr>
      <w:r>
        <w:rPr>
          <w:rStyle w:val="FootnoteReference"/>
        </w:rPr>
        <w:footnoteRef/>
      </w:r>
      <w:r>
        <w:t xml:space="preserve"> OCTC </w:t>
      </w:r>
      <w:r w:rsidR="00EA4C02">
        <w:t xml:space="preserve">does not dispute the </w:t>
      </w:r>
      <w:r w:rsidR="003F457E">
        <w:t>dismissals</w:t>
      </w:r>
      <w:r w:rsidR="00EA4C02">
        <w:t xml:space="preserve"> because it asserts that Isola never represented the Hahns, which we reject </w:t>
      </w:r>
      <w:r w:rsidR="00EA4C02">
        <w:rPr>
          <w:i/>
          <w:iCs/>
        </w:rPr>
        <w:t>ante</w:t>
      </w:r>
      <w:r w:rsidR="00EA4C02">
        <w:t>.</w:t>
      </w:r>
    </w:p>
  </w:footnote>
  <w:footnote w:id="34">
    <w:p w14:paraId="09A14755" w14:textId="26A15902" w:rsidR="00DC3E2F" w:rsidRDefault="00DC3E2F" w:rsidP="00DC3E2F">
      <w:pPr>
        <w:pStyle w:val="FootnoteText"/>
        <w:spacing w:after="120"/>
      </w:pPr>
      <w:r>
        <w:rPr>
          <w:rStyle w:val="FootnoteReference"/>
        </w:rPr>
        <w:footnoteRef/>
      </w:r>
      <w:r>
        <w:t xml:space="preserve"> Count </w:t>
      </w:r>
      <w:r w:rsidR="002D6111">
        <w:t>twelve</w:t>
      </w:r>
      <w:r>
        <w:t xml:space="preserve"> alleged a section 6106 moral turpitude misrepresentation charge for signing the LSRP.  As discussed </w:t>
      </w:r>
      <w:r w:rsidRPr="00DC3E2F">
        <w:rPr>
          <w:i/>
          <w:iCs/>
        </w:rPr>
        <w:t>ante</w:t>
      </w:r>
      <w:r>
        <w:t xml:space="preserve">, we do not find culpability under count </w:t>
      </w:r>
      <w:r w:rsidR="002D6111">
        <w:t>twelve</w:t>
      </w:r>
      <w:r>
        <w:t>.</w:t>
      </w:r>
    </w:p>
  </w:footnote>
  <w:footnote w:id="35">
    <w:p w14:paraId="5A727FC4" w14:textId="411D1A45" w:rsidR="00CC5282" w:rsidRPr="008A5BB0" w:rsidRDefault="00CC5282" w:rsidP="00552C6F">
      <w:pPr>
        <w:pStyle w:val="FootnoteText"/>
        <w:spacing w:after="120"/>
      </w:pPr>
      <w:r>
        <w:rPr>
          <w:rStyle w:val="FootnoteReference"/>
        </w:rPr>
        <w:footnoteRef/>
      </w:r>
      <w:r>
        <w:t xml:space="preserve"> </w:t>
      </w:r>
      <w:r w:rsidR="008A5BB0">
        <w:t xml:space="preserve">A breach of an attorney’s fiduciary duty to a client </w:t>
      </w:r>
      <w:r w:rsidR="00D66AC4">
        <w:t xml:space="preserve">involving failure to communicate </w:t>
      </w:r>
      <w:r w:rsidR="008A5BB0">
        <w:t xml:space="preserve">was found in </w:t>
      </w:r>
      <w:r w:rsidR="008A5BB0">
        <w:rPr>
          <w:i/>
        </w:rPr>
        <w:t>Van Sloten v. State Bar</w:t>
      </w:r>
      <w:r w:rsidR="008A5BB0">
        <w:t xml:space="preserve"> (1989) 48</w:t>
      </w:r>
      <w:r w:rsidR="00EF6031">
        <w:t> </w:t>
      </w:r>
      <w:r w:rsidR="008A5BB0">
        <w:t>Cal.3d 921</w:t>
      </w:r>
      <w:r w:rsidR="007A6E8E">
        <w:t>.  Van Sloten failed to perform the legal services for which he was hired</w:t>
      </w:r>
      <w:r w:rsidR="004340EB">
        <w:t xml:space="preserve">, did not withdraw from the case, and </w:t>
      </w:r>
      <w:r w:rsidR="00F44205">
        <w:t xml:space="preserve">then </w:t>
      </w:r>
      <w:r w:rsidR="004340EB">
        <w:t>failed to communicate</w:t>
      </w:r>
      <w:r w:rsidR="00F84C46">
        <w:t xml:space="preserve"> with the client.  Th</w:t>
      </w:r>
      <w:r w:rsidR="00C97D56">
        <w:t>e</w:t>
      </w:r>
      <w:r w:rsidR="00F84C46">
        <w:t xml:space="preserve"> failure to communicate was tied </w:t>
      </w:r>
      <w:r w:rsidR="00131E96">
        <w:t>to Van Sloten’s inaction on the case and demonstrated a breach of the good faith and fiduciary duty owed by an attorney to a client.</w:t>
      </w:r>
      <w:r w:rsidR="00246029">
        <w:t xml:space="preserve">  (</w:t>
      </w:r>
      <w:r w:rsidR="00246029">
        <w:rPr>
          <w:i/>
          <w:iCs/>
        </w:rPr>
        <w:t>Id</w:t>
      </w:r>
      <w:r w:rsidR="00246029">
        <w:t>. at p</w:t>
      </w:r>
      <w:r w:rsidR="00EF6031">
        <w:t>p</w:t>
      </w:r>
      <w:r w:rsidR="00246029">
        <w:t>.</w:t>
      </w:r>
      <w:r w:rsidR="00EF6031">
        <w:t> </w:t>
      </w:r>
      <w:r w:rsidR="00246029">
        <w:t>931</w:t>
      </w:r>
      <w:r w:rsidR="00A90BF1">
        <w:rPr>
          <w:szCs w:val="24"/>
        </w:rPr>
        <w:t>-</w:t>
      </w:r>
      <w:r w:rsidR="00246029">
        <w:t xml:space="preserve">932.)  </w:t>
      </w:r>
      <w:r w:rsidR="00F44205">
        <w:t>The</w:t>
      </w:r>
      <w:r w:rsidR="00295B1D">
        <w:t xml:space="preserve"> facts here are not similar as Isola acted in good faith to advance his clients’ interests.</w:t>
      </w:r>
      <w:r w:rsidR="00EF6031" w:rsidRPr="00EF6031">
        <w:rPr>
          <w:szCs w:val="24"/>
        </w:rPr>
        <w:t xml:space="preserve"> </w:t>
      </w:r>
      <w:r w:rsidR="00295B1D">
        <w:t xml:space="preserve"> </w:t>
      </w:r>
    </w:p>
  </w:footnote>
  <w:footnote w:id="36">
    <w:p w14:paraId="7E10B6E8" w14:textId="41285179" w:rsidR="007203B0" w:rsidRPr="00211D56" w:rsidRDefault="007203B0" w:rsidP="00552C6F">
      <w:pPr>
        <w:pStyle w:val="FootnoteText"/>
        <w:spacing w:after="120"/>
      </w:pPr>
      <w:r>
        <w:rPr>
          <w:rStyle w:val="FootnoteReference"/>
        </w:rPr>
        <w:footnoteRef/>
      </w:r>
      <w:r>
        <w:t xml:space="preserve"> </w:t>
      </w:r>
      <w:r w:rsidR="0000313A">
        <w:t>Section</w:t>
      </w:r>
      <w:r w:rsidR="00EF6031">
        <w:t> </w:t>
      </w:r>
      <w:r w:rsidR="0000313A">
        <w:t>6068, s</w:t>
      </w:r>
      <w:r>
        <w:t>ubdivision</w:t>
      </w:r>
      <w:r w:rsidR="00EF6031">
        <w:t> </w:t>
      </w:r>
      <w:r>
        <w:t>(m) was not added until 1986, and became effective in 1987</w:t>
      </w:r>
      <w:r w:rsidR="009916A6">
        <w:t xml:space="preserve">.  (See </w:t>
      </w:r>
      <w:r w:rsidR="009F1A30">
        <w:rPr>
          <w:i/>
        </w:rPr>
        <w:t>In the Matter of Respondent C</w:t>
      </w:r>
      <w:r w:rsidR="009F1A30">
        <w:t xml:space="preserve"> (Review Dept. 1991) 1</w:t>
      </w:r>
      <w:r w:rsidR="00EF6031">
        <w:t> </w:t>
      </w:r>
      <w:r w:rsidR="009F1A30">
        <w:t>Cal. State Bar Ct. Rptr. 439, 450.)  Before the enactment of subdivision</w:t>
      </w:r>
      <w:r w:rsidR="00EF6031">
        <w:t> </w:t>
      </w:r>
      <w:r w:rsidR="009F1A30">
        <w:t xml:space="preserve">(m), </w:t>
      </w:r>
      <w:r w:rsidR="00D17712">
        <w:t xml:space="preserve">there was a “common law” duty to </w:t>
      </w:r>
      <w:r w:rsidR="00B42CF6">
        <w:t>communicate,</w:t>
      </w:r>
      <w:r w:rsidR="00DF59FB">
        <w:t xml:space="preserve"> and </w:t>
      </w:r>
      <w:r w:rsidR="0000313A">
        <w:t>it was proper to base culpability under subdivision</w:t>
      </w:r>
      <w:r w:rsidR="00D50BB2">
        <w:t> </w:t>
      </w:r>
      <w:r w:rsidR="0000313A">
        <w:t>(a)</w:t>
      </w:r>
      <w:r w:rsidR="003E2FB8">
        <w:t>.  (</w:t>
      </w:r>
      <w:r w:rsidR="003E2FB8">
        <w:rPr>
          <w:i/>
          <w:iCs/>
        </w:rPr>
        <w:t>I</w:t>
      </w:r>
      <w:r w:rsidR="00211D56">
        <w:rPr>
          <w:i/>
          <w:iCs/>
        </w:rPr>
        <w:t>bi</w:t>
      </w:r>
      <w:r w:rsidR="003E2FB8">
        <w:rPr>
          <w:i/>
          <w:iCs/>
        </w:rPr>
        <w:t>d</w:t>
      </w:r>
      <w:r w:rsidR="003E2FB8">
        <w:t>.</w:t>
      </w:r>
      <w:r w:rsidR="00657121">
        <w:t xml:space="preserve">; see also </w:t>
      </w:r>
      <w:r w:rsidR="00657121">
        <w:rPr>
          <w:i/>
        </w:rPr>
        <w:t>In the Matter of Hindin</w:t>
      </w:r>
      <w:r w:rsidR="00B87E9C">
        <w:rPr>
          <w:iCs/>
        </w:rPr>
        <w:t xml:space="preserve">, </w:t>
      </w:r>
      <w:r w:rsidR="00B87E9C">
        <w:rPr>
          <w:i/>
        </w:rPr>
        <w:t>supra</w:t>
      </w:r>
      <w:r w:rsidR="00B87E9C">
        <w:rPr>
          <w:iCs/>
        </w:rPr>
        <w:t>,</w:t>
      </w:r>
      <w:r w:rsidR="00657121">
        <w:t xml:space="preserve"> 3</w:t>
      </w:r>
      <w:r w:rsidR="00EF6031">
        <w:t> </w:t>
      </w:r>
      <w:r w:rsidR="00657121">
        <w:t xml:space="preserve">Cal. State Bar Ct. Rptr. </w:t>
      </w:r>
      <w:r w:rsidR="00BE1845">
        <w:t>at p.</w:t>
      </w:r>
      <w:r w:rsidR="00EF6031">
        <w:t> </w:t>
      </w:r>
      <w:r w:rsidR="00831CDB">
        <w:t>680.</w:t>
      </w:r>
      <w:r w:rsidR="003E2FB8">
        <w:t>)</w:t>
      </w:r>
      <w:r w:rsidR="002A1998">
        <w:t xml:space="preserve">  </w:t>
      </w:r>
      <w:r w:rsidR="00CA0BC1">
        <w:t xml:space="preserve">Now, it is improper to find </w:t>
      </w:r>
      <w:r w:rsidR="00D32683">
        <w:t>violation</w:t>
      </w:r>
      <w:r w:rsidR="008F404E">
        <w:t>s for the same facts</w:t>
      </w:r>
      <w:r w:rsidR="00D32683">
        <w:t xml:space="preserve"> under both</w:t>
      </w:r>
      <w:r w:rsidR="00CA0BC1">
        <w:t xml:space="preserve"> </w:t>
      </w:r>
      <w:r w:rsidR="00D32683">
        <w:t>subdivision</w:t>
      </w:r>
      <w:r w:rsidR="00705B6F">
        <w:t>s</w:t>
      </w:r>
      <w:r w:rsidR="00EF6031">
        <w:t> </w:t>
      </w:r>
      <w:r w:rsidR="00D32683">
        <w:t>(a) and (m)</w:t>
      </w:r>
      <w:r w:rsidR="00705B6F">
        <w:t xml:space="preserve"> of section</w:t>
      </w:r>
      <w:r w:rsidR="00EF6031">
        <w:t> </w:t>
      </w:r>
      <w:r w:rsidR="00705B6F">
        <w:t>6068</w:t>
      </w:r>
      <w:r w:rsidR="008F404E">
        <w:t xml:space="preserve">.  </w:t>
      </w:r>
      <w:r w:rsidR="00101642">
        <w:t>(</w:t>
      </w:r>
      <w:r w:rsidR="00101642">
        <w:rPr>
          <w:i/>
        </w:rPr>
        <w:t>In the Matter of Whitehead</w:t>
      </w:r>
      <w:r w:rsidR="00101642">
        <w:t xml:space="preserve"> (Review Dept. 1991) 1</w:t>
      </w:r>
      <w:r w:rsidR="00EF6031">
        <w:t> </w:t>
      </w:r>
      <w:r w:rsidR="00101642">
        <w:t>Cal. State Bar Ct. Rptr. 354, 369.)</w:t>
      </w:r>
      <w:r w:rsidR="00705B6F">
        <w:t xml:space="preserve">  </w:t>
      </w:r>
      <w:r w:rsidR="00401653">
        <w:t>The</w:t>
      </w:r>
      <w:r w:rsidR="00D46F63">
        <w:t xml:space="preserve"> specific statute should be charged </w:t>
      </w:r>
      <w:r w:rsidR="0062689F">
        <w:t xml:space="preserve">instead of using </w:t>
      </w:r>
      <w:r w:rsidR="00647170">
        <w:t xml:space="preserve">the broader </w:t>
      </w:r>
      <w:r w:rsidR="0062689F">
        <w:t>subdivision</w:t>
      </w:r>
      <w:r w:rsidR="00EF6031">
        <w:t> </w:t>
      </w:r>
      <w:r w:rsidR="0062689F">
        <w:t>(a)</w:t>
      </w:r>
      <w:r w:rsidR="00211D56">
        <w:t>.  (</w:t>
      </w:r>
      <w:r w:rsidR="00211D56">
        <w:rPr>
          <w:i/>
          <w:iCs/>
        </w:rPr>
        <w:t>Ibid</w:t>
      </w:r>
      <w:r w:rsidR="00211D56">
        <w:t xml:space="preserve">.)  </w:t>
      </w:r>
    </w:p>
  </w:footnote>
  <w:footnote w:id="37">
    <w:p w14:paraId="57DBC274" w14:textId="77777777" w:rsidR="008B2FE6" w:rsidRDefault="008B2FE6" w:rsidP="008B2FE6">
      <w:pPr>
        <w:pStyle w:val="FootnoteText"/>
        <w:spacing w:after="120"/>
      </w:pPr>
      <w:r>
        <w:rPr>
          <w:rStyle w:val="FootnoteReference"/>
        </w:rPr>
        <w:footnoteRef/>
      </w:r>
      <w:r>
        <w:t xml:space="preserve"> All further references to standards are to this source.</w:t>
      </w:r>
    </w:p>
  </w:footnote>
  <w:footnote w:id="38">
    <w:p w14:paraId="60706E38" w14:textId="53C16560" w:rsidR="00FD53E7" w:rsidRDefault="00FD53E7" w:rsidP="00FD53E7">
      <w:pPr>
        <w:pStyle w:val="FootnoteText"/>
        <w:spacing w:after="120"/>
      </w:pPr>
      <w:r>
        <w:rPr>
          <w:rStyle w:val="FootnoteReference"/>
        </w:rPr>
        <w:footnoteRef/>
      </w:r>
      <w:r>
        <w:t xml:space="preserve"> The hearing judge found substantial weight in aggravation for multiple acts, but included counts of culpability that we have determined should be dismissed.</w:t>
      </w:r>
      <w:r w:rsidR="00ED1CB8">
        <w:t xml:space="preserve">  Therefore, we assign less aggravating weight</w:t>
      </w:r>
      <w:r w:rsidR="00D23AA5">
        <w:t xml:space="preserve"> and reject OCTC’s argument </w:t>
      </w:r>
      <w:r w:rsidR="00B13447">
        <w:t>for</w:t>
      </w:r>
      <w:r w:rsidR="00D23AA5">
        <w:t xml:space="preserve"> substantial aggravation for multiple acts.  </w:t>
      </w:r>
    </w:p>
  </w:footnote>
  <w:footnote w:id="39">
    <w:p w14:paraId="6D14B6F3" w14:textId="138A1060" w:rsidR="002A47E8" w:rsidRDefault="002A47E8" w:rsidP="00DA0F83">
      <w:pPr>
        <w:pStyle w:val="FootnoteText"/>
        <w:spacing w:after="120"/>
      </w:pPr>
      <w:r>
        <w:rPr>
          <w:rStyle w:val="FootnoteReference"/>
        </w:rPr>
        <w:footnoteRef/>
      </w:r>
      <w:r>
        <w:t xml:space="preserve"> OCTC supports this finding.</w:t>
      </w:r>
    </w:p>
  </w:footnote>
  <w:footnote w:id="40">
    <w:p w14:paraId="70E7FA44" w14:textId="50B563B4" w:rsidR="00DA0F83" w:rsidRDefault="00DA0F83" w:rsidP="00391DA0">
      <w:pPr>
        <w:pStyle w:val="FootnoteText"/>
        <w:spacing w:after="120"/>
      </w:pPr>
      <w:r>
        <w:rPr>
          <w:rStyle w:val="FootnoteReference"/>
        </w:rPr>
        <w:footnoteRef/>
      </w:r>
      <w:r>
        <w:t xml:space="preserve"> </w:t>
      </w:r>
      <w:r w:rsidR="001E3A00">
        <w:t>OCTC does not dispute the hearing judge’s finding.</w:t>
      </w:r>
    </w:p>
  </w:footnote>
  <w:footnote w:id="41">
    <w:p w14:paraId="15770CE2" w14:textId="3D5AFCDA" w:rsidR="00C4503D" w:rsidRDefault="00C4503D" w:rsidP="009C315B">
      <w:pPr>
        <w:pStyle w:val="FootnoteText"/>
        <w:spacing w:after="120"/>
      </w:pPr>
      <w:r>
        <w:rPr>
          <w:rStyle w:val="FootnoteReference"/>
        </w:rPr>
        <w:footnoteRef/>
      </w:r>
      <w:r>
        <w:t xml:space="preserve"> Isola asserts in </w:t>
      </w:r>
      <w:r w:rsidR="006A57BB">
        <w:t xml:space="preserve">his responsive brief that the hearing judge should have also given him mitigation for the period of post-misconduct practice without further misconduct.  </w:t>
      </w:r>
      <w:r w:rsidR="00254644">
        <w:t xml:space="preserve">We have considered this </w:t>
      </w:r>
      <w:r w:rsidR="005B19AA">
        <w:t>fact in our finding under standard</w:t>
      </w:r>
      <w:r w:rsidR="00CC62FB">
        <w:t> </w:t>
      </w:r>
      <w:r w:rsidR="005B19AA">
        <w:t xml:space="preserve">1.6(a) that further misconduct is unlikely to recur. </w:t>
      </w:r>
    </w:p>
  </w:footnote>
  <w:footnote w:id="42">
    <w:p w14:paraId="4935A1FF" w14:textId="196EC263" w:rsidR="00384E8E" w:rsidRDefault="00384E8E" w:rsidP="004F7963">
      <w:pPr>
        <w:pStyle w:val="FootnoteText"/>
        <w:spacing w:after="120"/>
      </w:pPr>
      <w:r>
        <w:rPr>
          <w:rStyle w:val="FootnoteReference"/>
        </w:rPr>
        <w:footnoteRef/>
      </w:r>
      <w:r>
        <w:t xml:space="preserve"> We also do not rely on </w:t>
      </w:r>
      <w:r w:rsidR="008356DB">
        <w:t xml:space="preserve">the fact that </w:t>
      </w:r>
      <w:r w:rsidR="00272613">
        <w:t>DeArth</w:t>
      </w:r>
      <w:r w:rsidR="008356DB">
        <w:t xml:space="preserve"> testified that Isola was unethical, as OCTC requests.  </w:t>
      </w:r>
      <w:r w:rsidR="00272613">
        <w:t>DeArth</w:t>
      </w:r>
      <w:r w:rsidR="008356DB">
        <w:t xml:space="preserve"> </w:t>
      </w:r>
      <w:r w:rsidR="00EE1B96">
        <w:t xml:space="preserve">did not explain why he believed Isola to be unethical and </w:t>
      </w:r>
      <w:r w:rsidR="008B7835">
        <w:t>the record suggests that the</w:t>
      </w:r>
      <w:r w:rsidR="000E2E15">
        <w:t>y</w:t>
      </w:r>
      <w:r w:rsidR="008B7835">
        <w:t xml:space="preserve"> </w:t>
      </w:r>
      <w:r w:rsidR="004F7963">
        <w:t>ended their business relationship on poor terms.</w:t>
      </w:r>
    </w:p>
  </w:footnote>
  <w:footnote w:id="43">
    <w:p w14:paraId="6DB71BC5" w14:textId="3FE6C1D3" w:rsidR="007B1E3B" w:rsidRDefault="007B1E3B" w:rsidP="007B1E3B">
      <w:pPr>
        <w:pStyle w:val="FootnoteText"/>
        <w:spacing w:after="120"/>
      </w:pPr>
      <w:r>
        <w:rPr>
          <w:rStyle w:val="FootnoteReference"/>
        </w:rPr>
        <w:footnoteRef/>
      </w:r>
      <w:r>
        <w:t xml:space="preserve"> OCTC supports this finding.</w:t>
      </w:r>
    </w:p>
  </w:footnote>
  <w:footnote w:id="44">
    <w:p w14:paraId="6EA57033" w14:textId="21B7EC93" w:rsidR="007F1CB6" w:rsidRDefault="007F1CB6" w:rsidP="00553E42">
      <w:pPr>
        <w:pStyle w:val="FootnoteText"/>
        <w:spacing w:after="120"/>
        <w:ind w:right="-144"/>
      </w:pPr>
      <w:r>
        <w:rPr>
          <w:rStyle w:val="FootnoteReference"/>
        </w:rPr>
        <w:footnoteRef/>
      </w:r>
      <w:r>
        <w:t xml:space="preserve"> </w:t>
      </w:r>
      <w:r w:rsidR="004E6FE0">
        <w:t>We find that standard</w:t>
      </w:r>
      <w:r w:rsidR="00CC62FB">
        <w:t> </w:t>
      </w:r>
      <w:r w:rsidR="004E6FE0">
        <w:t>2.7(b) is most applicable, even though it mentions “multiple client matters</w:t>
      </w:r>
      <w:r w:rsidR="00184342">
        <w:t>,” as standard</w:t>
      </w:r>
      <w:r w:rsidR="00CC62FB">
        <w:t> </w:t>
      </w:r>
      <w:r w:rsidR="00184342">
        <w:t>2.7(c)</w:t>
      </w:r>
      <w:r w:rsidR="00CC357A">
        <w:rPr>
          <w:szCs w:val="24"/>
        </w:rPr>
        <w:t>—</w:t>
      </w:r>
      <w:r w:rsidR="00CC62FB">
        <w:rPr>
          <w:szCs w:val="24"/>
        </w:rPr>
        <w:t>th</w:t>
      </w:r>
      <w:r w:rsidR="00184342">
        <w:t>e less severe sanction</w:t>
      </w:r>
      <w:r w:rsidR="00284AE5" w:rsidRPr="00284AE5">
        <w:t>—</w:t>
      </w:r>
      <w:r w:rsidR="00284AE5">
        <w:t xml:space="preserve">is </w:t>
      </w:r>
      <w:r w:rsidR="00184342">
        <w:t xml:space="preserve">for violations limited in scope or time.  </w:t>
      </w:r>
      <w:r w:rsidR="00822202">
        <w:t>Isola’s failures to communicate were numerous and occurred over several years.</w:t>
      </w:r>
      <w:r w:rsidR="00553E42">
        <w:t xml:space="preserve">  </w:t>
      </w:r>
      <w:r w:rsidR="00770ED8">
        <w:t>The hearing judge analyzed discipline under standards</w:t>
      </w:r>
      <w:r w:rsidR="00CC62FB">
        <w:t> </w:t>
      </w:r>
      <w:r w:rsidR="00770ED8">
        <w:t>2.11, 2.12(a), and 2.18</w:t>
      </w:r>
      <w:r w:rsidR="008669CB">
        <w:t xml:space="preserve"> based </w:t>
      </w:r>
      <w:r w:rsidR="00AA46AD">
        <w:t xml:space="preserve">on culpability for moral turpitude, breach of fiduciary duties, and </w:t>
      </w:r>
      <w:r w:rsidR="00D47AB0">
        <w:t>appearing without authority, which we do not find.</w:t>
      </w:r>
    </w:p>
  </w:footnote>
  <w:footnote w:id="45">
    <w:p w14:paraId="4077C558" w14:textId="07BE5E6A" w:rsidR="00C071A5" w:rsidRDefault="00C071A5" w:rsidP="00552C6F">
      <w:pPr>
        <w:pStyle w:val="FootnoteText"/>
        <w:spacing w:after="120"/>
      </w:pPr>
      <w:r>
        <w:rPr>
          <w:rStyle w:val="FootnoteReference"/>
        </w:rPr>
        <w:footnoteRef/>
      </w:r>
      <w:r>
        <w:t xml:space="preserve"> OCTC argues Isola should be disbarred based on culpability for moral turpitude and appearing without authority, which we do not find.</w:t>
      </w:r>
    </w:p>
  </w:footnote>
  <w:footnote w:id="46">
    <w:p w14:paraId="60BA0283" w14:textId="77777777" w:rsidR="000E18B0" w:rsidRDefault="000E18B0" w:rsidP="00FD53E7">
      <w:pPr>
        <w:pStyle w:val="FootnoteText"/>
        <w:spacing w:after="120"/>
        <w:ind w:firstLine="0"/>
      </w:pPr>
      <w:r>
        <w:rPr>
          <w:rStyle w:val="FootnoteReference"/>
        </w:rPr>
        <w:tab/>
        <w:t>*</w:t>
      </w:r>
      <w:r>
        <w:t xml:space="preserve"> </w:t>
      </w:r>
      <w:r w:rsidRPr="00122E47">
        <w:t>Retired Presiding Judge of the State Bar Court, serving as Review Judge Pro Tem by appointment of the California Supreme Court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7"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F74183"/>
    <w:multiLevelType w:val="multilevel"/>
    <w:tmpl w:val="CCD6E2B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2"/>
  </w:num>
  <w:num w:numId="2">
    <w:abstractNumId w:val="11"/>
  </w:num>
  <w:num w:numId="3">
    <w:abstractNumId w:val="5"/>
  </w:num>
  <w:num w:numId="4">
    <w:abstractNumId w:val="17"/>
  </w:num>
  <w:num w:numId="5">
    <w:abstractNumId w:val="4"/>
  </w:num>
  <w:num w:numId="6">
    <w:abstractNumId w:val="13"/>
  </w:num>
  <w:num w:numId="7">
    <w:abstractNumId w:val="8"/>
  </w:num>
  <w:num w:numId="8">
    <w:abstractNumId w:val="7"/>
  </w:num>
  <w:num w:numId="9">
    <w:abstractNumId w:val="15"/>
  </w:num>
  <w:num w:numId="10">
    <w:abstractNumId w:val="14"/>
  </w:num>
  <w:num w:numId="11">
    <w:abstractNumId w:val="10"/>
  </w:num>
  <w:num w:numId="12">
    <w:abstractNumId w:val="6"/>
  </w:num>
  <w:num w:numId="13">
    <w:abstractNumId w:val="21"/>
  </w:num>
  <w:num w:numId="14">
    <w:abstractNumId w:val="16"/>
  </w:num>
  <w:num w:numId="15">
    <w:abstractNumId w:val="9"/>
  </w:num>
  <w:num w:numId="16">
    <w:abstractNumId w:val="3"/>
  </w:num>
  <w:num w:numId="17">
    <w:abstractNumId w:val="0"/>
  </w:num>
  <w:num w:numId="18">
    <w:abstractNumId w:val="20"/>
  </w:num>
  <w:num w:numId="19">
    <w:abstractNumId w:val="1"/>
  </w:num>
  <w:num w:numId="20">
    <w:abstractNumId w:val="2"/>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oNotTrackMoves/>
  <w:doNotTrackFormatting/>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74"/>
    <w:rsid w:val="00000068"/>
    <w:rsid w:val="00000A1D"/>
    <w:rsid w:val="00000A3A"/>
    <w:rsid w:val="00001118"/>
    <w:rsid w:val="0000313A"/>
    <w:rsid w:val="0000401F"/>
    <w:rsid w:val="000046A5"/>
    <w:rsid w:val="00006026"/>
    <w:rsid w:val="0001012F"/>
    <w:rsid w:val="000103CB"/>
    <w:rsid w:val="00013026"/>
    <w:rsid w:val="00013662"/>
    <w:rsid w:val="00013D16"/>
    <w:rsid w:val="000153E9"/>
    <w:rsid w:val="000161FD"/>
    <w:rsid w:val="00017DDE"/>
    <w:rsid w:val="0002130F"/>
    <w:rsid w:val="000213A5"/>
    <w:rsid w:val="00021C3D"/>
    <w:rsid w:val="00024054"/>
    <w:rsid w:val="000242E0"/>
    <w:rsid w:val="00025221"/>
    <w:rsid w:val="000252D8"/>
    <w:rsid w:val="00025F8D"/>
    <w:rsid w:val="000265E7"/>
    <w:rsid w:val="00026709"/>
    <w:rsid w:val="00026747"/>
    <w:rsid w:val="00027125"/>
    <w:rsid w:val="00027753"/>
    <w:rsid w:val="00027BA8"/>
    <w:rsid w:val="00030075"/>
    <w:rsid w:val="00030696"/>
    <w:rsid w:val="00031F20"/>
    <w:rsid w:val="000324FC"/>
    <w:rsid w:val="0003339E"/>
    <w:rsid w:val="0004112C"/>
    <w:rsid w:val="00041682"/>
    <w:rsid w:val="00042951"/>
    <w:rsid w:val="00042952"/>
    <w:rsid w:val="000432A2"/>
    <w:rsid w:val="00043C26"/>
    <w:rsid w:val="00044385"/>
    <w:rsid w:val="00044813"/>
    <w:rsid w:val="000469FB"/>
    <w:rsid w:val="00047A48"/>
    <w:rsid w:val="00047CB2"/>
    <w:rsid w:val="00047E7D"/>
    <w:rsid w:val="00051960"/>
    <w:rsid w:val="00051EE2"/>
    <w:rsid w:val="00052F79"/>
    <w:rsid w:val="000539D3"/>
    <w:rsid w:val="0005430B"/>
    <w:rsid w:val="000551ED"/>
    <w:rsid w:val="000555AA"/>
    <w:rsid w:val="00055C8A"/>
    <w:rsid w:val="00056C59"/>
    <w:rsid w:val="0005704E"/>
    <w:rsid w:val="000578E5"/>
    <w:rsid w:val="00057D1D"/>
    <w:rsid w:val="00061BCA"/>
    <w:rsid w:val="00062198"/>
    <w:rsid w:val="00062895"/>
    <w:rsid w:val="000629FD"/>
    <w:rsid w:val="0006369A"/>
    <w:rsid w:val="00064D13"/>
    <w:rsid w:val="00064ED8"/>
    <w:rsid w:val="0006523A"/>
    <w:rsid w:val="00065A44"/>
    <w:rsid w:val="00066069"/>
    <w:rsid w:val="00066194"/>
    <w:rsid w:val="00070A44"/>
    <w:rsid w:val="00071144"/>
    <w:rsid w:val="000716C6"/>
    <w:rsid w:val="00071A4C"/>
    <w:rsid w:val="00071E67"/>
    <w:rsid w:val="00072520"/>
    <w:rsid w:val="000730CE"/>
    <w:rsid w:val="000735DC"/>
    <w:rsid w:val="00073B30"/>
    <w:rsid w:val="00073E72"/>
    <w:rsid w:val="00076711"/>
    <w:rsid w:val="00076CB8"/>
    <w:rsid w:val="00076FB9"/>
    <w:rsid w:val="000773A8"/>
    <w:rsid w:val="0007773E"/>
    <w:rsid w:val="00081AED"/>
    <w:rsid w:val="000832A7"/>
    <w:rsid w:val="00083870"/>
    <w:rsid w:val="000841A9"/>
    <w:rsid w:val="00087B23"/>
    <w:rsid w:val="000910D3"/>
    <w:rsid w:val="00091E39"/>
    <w:rsid w:val="00092189"/>
    <w:rsid w:val="00092CF5"/>
    <w:rsid w:val="00092F3D"/>
    <w:rsid w:val="00093CEA"/>
    <w:rsid w:val="00094094"/>
    <w:rsid w:val="000940AE"/>
    <w:rsid w:val="00095191"/>
    <w:rsid w:val="00095919"/>
    <w:rsid w:val="00095BCC"/>
    <w:rsid w:val="00096F17"/>
    <w:rsid w:val="00096FEC"/>
    <w:rsid w:val="000A0193"/>
    <w:rsid w:val="000A0536"/>
    <w:rsid w:val="000A06CD"/>
    <w:rsid w:val="000A1774"/>
    <w:rsid w:val="000A29D1"/>
    <w:rsid w:val="000A2F93"/>
    <w:rsid w:val="000A32A7"/>
    <w:rsid w:val="000A5060"/>
    <w:rsid w:val="000A5822"/>
    <w:rsid w:val="000A606C"/>
    <w:rsid w:val="000A7AF0"/>
    <w:rsid w:val="000B03C5"/>
    <w:rsid w:val="000B1CA1"/>
    <w:rsid w:val="000B3300"/>
    <w:rsid w:val="000B3BA7"/>
    <w:rsid w:val="000B57B4"/>
    <w:rsid w:val="000B6DC0"/>
    <w:rsid w:val="000B70E3"/>
    <w:rsid w:val="000B7309"/>
    <w:rsid w:val="000B7817"/>
    <w:rsid w:val="000B7A33"/>
    <w:rsid w:val="000C01B7"/>
    <w:rsid w:val="000C0976"/>
    <w:rsid w:val="000C1B14"/>
    <w:rsid w:val="000C1CC5"/>
    <w:rsid w:val="000C1DCC"/>
    <w:rsid w:val="000C212C"/>
    <w:rsid w:val="000C2CD0"/>
    <w:rsid w:val="000C419B"/>
    <w:rsid w:val="000C45BD"/>
    <w:rsid w:val="000C4D16"/>
    <w:rsid w:val="000C530D"/>
    <w:rsid w:val="000C5686"/>
    <w:rsid w:val="000C6C79"/>
    <w:rsid w:val="000D2174"/>
    <w:rsid w:val="000D2622"/>
    <w:rsid w:val="000D44C4"/>
    <w:rsid w:val="000D57F7"/>
    <w:rsid w:val="000D7AE6"/>
    <w:rsid w:val="000E09C7"/>
    <w:rsid w:val="000E0A7C"/>
    <w:rsid w:val="000E0AFF"/>
    <w:rsid w:val="000E18B0"/>
    <w:rsid w:val="000E1EBE"/>
    <w:rsid w:val="000E23F8"/>
    <w:rsid w:val="000E2E15"/>
    <w:rsid w:val="000E51DC"/>
    <w:rsid w:val="000E75CD"/>
    <w:rsid w:val="000E76A3"/>
    <w:rsid w:val="000E7777"/>
    <w:rsid w:val="000F0836"/>
    <w:rsid w:val="000F101C"/>
    <w:rsid w:val="000F17D1"/>
    <w:rsid w:val="000F25DE"/>
    <w:rsid w:val="000F516F"/>
    <w:rsid w:val="000F6B90"/>
    <w:rsid w:val="00100586"/>
    <w:rsid w:val="0010072D"/>
    <w:rsid w:val="00100F77"/>
    <w:rsid w:val="00101642"/>
    <w:rsid w:val="00101F7F"/>
    <w:rsid w:val="001024DF"/>
    <w:rsid w:val="00104DD6"/>
    <w:rsid w:val="00105884"/>
    <w:rsid w:val="00106F30"/>
    <w:rsid w:val="00110769"/>
    <w:rsid w:val="0011213C"/>
    <w:rsid w:val="0011314C"/>
    <w:rsid w:val="00115D1F"/>
    <w:rsid w:val="001160B1"/>
    <w:rsid w:val="0011651C"/>
    <w:rsid w:val="00116EEA"/>
    <w:rsid w:val="0012228E"/>
    <w:rsid w:val="00122EF4"/>
    <w:rsid w:val="001231DB"/>
    <w:rsid w:val="001243CF"/>
    <w:rsid w:val="001243D1"/>
    <w:rsid w:val="001268C5"/>
    <w:rsid w:val="00127025"/>
    <w:rsid w:val="0012762B"/>
    <w:rsid w:val="00131E96"/>
    <w:rsid w:val="001421E7"/>
    <w:rsid w:val="00143649"/>
    <w:rsid w:val="00143AD3"/>
    <w:rsid w:val="00143D03"/>
    <w:rsid w:val="00143DB6"/>
    <w:rsid w:val="0014428E"/>
    <w:rsid w:val="0014513D"/>
    <w:rsid w:val="001462A7"/>
    <w:rsid w:val="001464CA"/>
    <w:rsid w:val="00147877"/>
    <w:rsid w:val="00147AD0"/>
    <w:rsid w:val="00147D27"/>
    <w:rsid w:val="00151604"/>
    <w:rsid w:val="00151A54"/>
    <w:rsid w:val="00152FF0"/>
    <w:rsid w:val="001537BE"/>
    <w:rsid w:val="0015497C"/>
    <w:rsid w:val="0015575F"/>
    <w:rsid w:val="00155923"/>
    <w:rsid w:val="001561DF"/>
    <w:rsid w:val="00157143"/>
    <w:rsid w:val="00160198"/>
    <w:rsid w:val="001604C6"/>
    <w:rsid w:val="00160894"/>
    <w:rsid w:val="00161EE4"/>
    <w:rsid w:val="0016292B"/>
    <w:rsid w:val="00162C0B"/>
    <w:rsid w:val="001633B2"/>
    <w:rsid w:val="00163B82"/>
    <w:rsid w:val="00164673"/>
    <w:rsid w:val="00165570"/>
    <w:rsid w:val="00165E25"/>
    <w:rsid w:val="00166619"/>
    <w:rsid w:val="001675A1"/>
    <w:rsid w:val="00170FB8"/>
    <w:rsid w:val="001748B1"/>
    <w:rsid w:val="00175BA7"/>
    <w:rsid w:val="00175C1C"/>
    <w:rsid w:val="0017618D"/>
    <w:rsid w:val="0017771D"/>
    <w:rsid w:val="001777EA"/>
    <w:rsid w:val="001777F9"/>
    <w:rsid w:val="0018140F"/>
    <w:rsid w:val="00181B22"/>
    <w:rsid w:val="00181B67"/>
    <w:rsid w:val="00182796"/>
    <w:rsid w:val="00184342"/>
    <w:rsid w:val="00184CC7"/>
    <w:rsid w:val="00186360"/>
    <w:rsid w:val="00186F52"/>
    <w:rsid w:val="0018744A"/>
    <w:rsid w:val="00190C5E"/>
    <w:rsid w:val="00191084"/>
    <w:rsid w:val="0019111B"/>
    <w:rsid w:val="0019164D"/>
    <w:rsid w:val="00191EFE"/>
    <w:rsid w:val="00192F70"/>
    <w:rsid w:val="00193EC3"/>
    <w:rsid w:val="00196080"/>
    <w:rsid w:val="001A2E17"/>
    <w:rsid w:val="001A2FD9"/>
    <w:rsid w:val="001A3082"/>
    <w:rsid w:val="001A403A"/>
    <w:rsid w:val="001A4591"/>
    <w:rsid w:val="001A5272"/>
    <w:rsid w:val="001A6880"/>
    <w:rsid w:val="001A6CD9"/>
    <w:rsid w:val="001B03CC"/>
    <w:rsid w:val="001B06F6"/>
    <w:rsid w:val="001B0733"/>
    <w:rsid w:val="001B0758"/>
    <w:rsid w:val="001B12A4"/>
    <w:rsid w:val="001B208B"/>
    <w:rsid w:val="001B21E7"/>
    <w:rsid w:val="001B2F99"/>
    <w:rsid w:val="001B3B9E"/>
    <w:rsid w:val="001B3D6C"/>
    <w:rsid w:val="001B3D93"/>
    <w:rsid w:val="001B481C"/>
    <w:rsid w:val="001B6BDF"/>
    <w:rsid w:val="001B7A7F"/>
    <w:rsid w:val="001C0786"/>
    <w:rsid w:val="001C0964"/>
    <w:rsid w:val="001C193C"/>
    <w:rsid w:val="001C3D93"/>
    <w:rsid w:val="001C42F5"/>
    <w:rsid w:val="001C4772"/>
    <w:rsid w:val="001C5AF3"/>
    <w:rsid w:val="001C69CA"/>
    <w:rsid w:val="001C6B95"/>
    <w:rsid w:val="001C7DE6"/>
    <w:rsid w:val="001D0551"/>
    <w:rsid w:val="001D0F11"/>
    <w:rsid w:val="001D0F37"/>
    <w:rsid w:val="001D1CE7"/>
    <w:rsid w:val="001D2108"/>
    <w:rsid w:val="001D3A28"/>
    <w:rsid w:val="001D3BCA"/>
    <w:rsid w:val="001D3C08"/>
    <w:rsid w:val="001D3FFA"/>
    <w:rsid w:val="001D456F"/>
    <w:rsid w:val="001D4A1E"/>
    <w:rsid w:val="001D53B3"/>
    <w:rsid w:val="001D5BEE"/>
    <w:rsid w:val="001D69C0"/>
    <w:rsid w:val="001D7AF8"/>
    <w:rsid w:val="001D7DCF"/>
    <w:rsid w:val="001D7E16"/>
    <w:rsid w:val="001E1F1D"/>
    <w:rsid w:val="001E266D"/>
    <w:rsid w:val="001E3A00"/>
    <w:rsid w:val="001E5618"/>
    <w:rsid w:val="001E584F"/>
    <w:rsid w:val="001E595A"/>
    <w:rsid w:val="001E5A9B"/>
    <w:rsid w:val="001E64A0"/>
    <w:rsid w:val="001E69F1"/>
    <w:rsid w:val="001E6BBC"/>
    <w:rsid w:val="001F0C9B"/>
    <w:rsid w:val="001F0D37"/>
    <w:rsid w:val="001F151E"/>
    <w:rsid w:val="001F2EE1"/>
    <w:rsid w:val="001F31D7"/>
    <w:rsid w:val="001F5220"/>
    <w:rsid w:val="001F6D28"/>
    <w:rsid w:val="001F6DF1"/>
    <w:rsid w:val="001F6E01"/>
    <w:rsid w:val="001F71E7"/>
    <w:rsid w:val="001F76A5"/>
    <w:rsid w:val="00203644"/>
    <w:rsid w:val="00203BE4"/>
    <w:rsid w:val="0020580A"/>
    <w:rsid w:val="00206DC6"/>
    <w:rsid w:val="00207681"/>
    <w:rsid w:val="00207868"/>
    <w:rsid w:val="0020799C"/>
    <w:rsid w:val="00207F9B"/>
    <w:rsid w:val="00211324"/>
    <w:rsid w:val="00211BCD"/>
    <w:rsid w:val="00211D56"/>
    <w:rsid w:val="00213820"/>
    <w:rsid w:val="00213CB9"/>
    <w:rsid w:val="002162CF"/>
    <w:rsid w:val="002172A5"/>
    <w:rsid w:val="00221DF1"/>
    <w:rsid w:val="00221E2A"/>
    <w:rsid w:val="00223504"/>
    <w:rsid w:val="00223BF0"/>
    <w:rsid w:val="00224D6E"/>
    <w:rsid w:val="00224F49"/>
    <w:rsid w:val="0022717C"/>
    <w:rsid w:val="0023077E"/>
    <w:rsid w:val="00230A68"/>
    <w:rsid w:val="002316F5"/>
    <w:rsid w:val="00232193"/>
    <w:rsid w:val="00232C31"/>
    <w:rsid w:val="0023339F"/>
    <w:rsid w:val="0023494A"/>
    <w:rsid w:val="00234999"/>
    <w:rsid w:val="00234D03"/>
    <w:rsid w:val="002353B6"/>
    <w:rsid w:val="002355DE"/>
    <w:rsid w:val="0023737F"/>
    <w:rsid w:val="002374C2"/>
    <w:rsid w:val="0023766C"/>
    <w:rsid w:val="0023766E"/>
    <w:rsid w:val="00237E25"/>
    <w:rsid w:val="002410DC"/>
    <w:rsid w:val="00241DD0"/>
    <w:rsid w:val="00242352"/>
    <w:rsid w:val="0024299E"/>
    <w:rsid w:val="0024336F"/>
    <w:rsid w:val="00243A9D"/>
    <w:rsid w:val="00243FD6"/>
    <w:rsid w:val="00244A80"/>
    <w:rsid w:val="00244DA1"/>
    <w:rsid w:val="00245DA2"/>
    <w:rsid w:val="00246029"/>
    <w:rsid w:val="002464C0"/>
    <w:rsid w:val="002478CC"/>
    <w:rsid w:val="0025081E"/>
    <w:rsid w:val="002508B4"/>
    <w:rsid w:val="00250EB1"/>
    <w:rsid w:val="002518C1"/>
    <w:rsid w:val="002519EF"/>
    <w:rsid w:val="002521FC"/>
    <w:rsid w:val="002524A9"/>
    <w:rsid w:val="00252C67"/>
    <w:rsid w:val="00252D1F"/>
    <w:rsid w:val="00254644"/>
    <w:rsid w:val="0025621D"/>
    <w:rsid w:val="00263C59"/>
    <w:rsid w:val="00263DA1"/>
    <w:rsid w:val="00264722"/>
    <w:rsid w:val="0026523E"/>
    <w:rsid w:val="00265A64"/>
    <w:rsid w:val="00265E49"/>
    <w:rsid w:val="00266A29"/>
    <w:rsid w:val="00266DEB"/>
    <w:rsid w:val="00267B14"/>
    <w:rsid w:val="00271BD6"/>
    <w:rsid w:val="002722CD"/>
    <w:rsid w:val="00272613"/>
    <w:rsid w:val="002758E7"/>
    <w:rsid w:val="00275BE0"/>
    <w:rsid w:val="00276F59"/>
    <w:rsid w:val="002771B8"/>
    <w:rsid w:val="0027762C"/>
    <w:rsid w:val="0028131A"/>
    <w:rsid w:val="00283217"/>
    <w:rsid w:val="00283568"/>
    <w:rsid w:val="0028381E"/>
    <w:rsid w:val="00283DF0"/>
    <w:rsid w:val="0028470C"/>
    <w:rsid w:val="00284AE5"/>
    <w:rsid w:val="00284F90"/>
    <w:rsid w:val="002854A8"/>
    <w:rsid w:val="00285E4C"/>
    <w:rsid w:val="0028625D"/>
    <w:rsid w:val="00286E5E"/>
    <w:rsid w:val="002870D4"/>
    <w:rsid w:val="0028763C"/>
    <w:rsid w:val="00290487"/>
    <w:rsid w:val="00290665"/>
    <w:rsid w:val="002911AD"/>
    <w:rsid w:val="00291787"/>
    <w:rsid w:val="00291DF0"/>
    <w:rsid w:val="002921FE"/>
    <w:rsid w:val="00292928"/>
    <w:rsid w:val="00293579"/>
    <w:rsid w:val="00293AD1"/>
    <w:rsid w:val="002943C4"/>
    <w:rsid w:val="002944D1"/>
    <w:rsid w:val="00295B1D"/>
    <w:rsid w:val="00297BFC"/>
    <w:rsid w:val="002A010C"/>
    <w:rsid w:val="002A1998"/>
    <w:rsid w:val="002A1DAA"/>
    <w:rsid w:val="002A365F"/>
    <w:rsid w:val="002A37EB"/>
    <w:rsid w:val="002A47E8"/>
    <w:rsid w:val="002A5057"/>
    <w:rsid w:val="002A535A"/>
    <w:rsid w:val="002A5E61"/>
    <w:rsid w:val="002A62D3"/>
    <w:rsid w:val="002A7AE1"/>
    <w:rsid w:val="002B0FC4"/>
    <w:rsid w:val="002B2E4A"/>
    <w:rsid w:val="002B3FB8"/>
    <w:rsid w:val="002B40FE"/>
    <w:rsid w:val="002B49A3"/>
    <w:rsid w:val="002B4AC8"/>
    <w:rsid w:val="002B5D6F"/>
    <w:rsid w:val="002B7419"/>
    <w:rsid w:val="002B785F"/>
    <w:rsid w:val="002C1547"/>
    <w:rsid w:val="002C1A42"/>
    <w:rsid w:val="002C1DD9"/>
    <w:rsid w:val="002C1DF8"/>
    <w:rsid w:val="002C270C"/>
    <w:rsid w:val="002C2888"/>
    <w:rsid w:val="002C41B1"/>
    <w:rsid w:val="002C5486"/>
    <w:rsid w:val="002C59B3"/>
    <w:rsid w:val="002C6067"/>
    <w:rsid w:val="002C7045"/>
    <w:rsid w:val="002C7A13"/>
    <w:rsid w:val="002D095D"/>
    <w:rsid w:val="002D0D87"/>
    <w:rsid w:val="002D1B01"/>
    <w:rsid w:val="002D380E"/>
    <w:rsid w:val="002D4261"/>
    <w:rsid w:val="002D45BE"/>
    <w:rsid w:val="002D4A6E"/>
    <w:rsid w:val="002D56D6"/>
    <w:rsid w:val="002D5A47"/>
    <w:rsid w:val="002D6111"/>
    <w:rsid w:val="002E19B5"/>
    <w:rsid w:val="002E1DE0"/>
    <w:rsid w:val="002E24D4"/>
    <w:rsid w:val="002E26A4"/>
    <w:rsid w:val="002E46A5"/>
    <w:rsid w:val="002E47D8"/>
    <w:rsid w:val="002E5C2A"/>
    <w:rsid w:val="002E5CC8"/>
    <w:rsid w:val="002E6F5F"/>
    <w:rsid w:val="002E7501"/>
    <w:rsid w:val="002F015E"/>
    <w:rsid w:val="002F0ABC"/>
    <w:rsid w:val="002F25C6"/>
    <w:rsid w:val="002F2625"/>
    <w:rsid w:val="002F2CDB"/>
    <w:rsid w:val="002F3745"/>
    <w:rsid w:val="002F3BCC"/>
    <w:rsid w:val="002F3BFA"/>
    <w:rsid w:val="002F45AA"/>
    <w:rsid w:val="002F4808"/>
    <w:rsid w:val="002F5506"/>
    <w:rsid w:val="00301765"/>
    <w:rsid w:val="003017ED"/>
    <w:rsid w:val="003039E7"/>
    <w:rsid w:val="00303A50"/>
    <w:rsid w:val="00304474"/>
    <w:rsid w:val="00304641"/>
    <w:rsid w:val="00305ECE"/>
    <w:rsid w:val="003063A9"/>
    <w:rsid w:val="00306A80"/>
    <w:rsid w:val="00306AEE"/>
    <w:rsid w:val="003079AD"/>
    <w:rsid w:val="00307CCA"/>
    <w:rsid w:val="00311270"/>
    <w:rsid w:val="003117EF"/>
    <w:rsid w:val="00311914"/>
    <w:rsid w:val="00312009"/>
    <w:rsid w:val="00313190"/>
    <w:rsid w:val="0031414F"/>
    <w:rsid w:val="00314782"/>
    <w:rsid w:val="00314B7E"/>
    <w:rsid w:val="00315BE0"/>
    <w:rsid w:val="003168AC"/>
    <w:rsid w:val="00320194"/>
    <w:rsid w:val="003209BE"/>
    <w:rsid w:val="003214F6"/>
    <w:rsid w:val="00321A94"/>
    <w:rsid w:val="003236D8"/>
    <w:rsid w:val="0032389C"/>
    <w:rsid w:val="0032533D"/>
    <w:rsid w:val="00325493"/>
    <w:rsid w:val="00327A98"/>
    <w:rsid w:val="00327D4A"/>
    <w:rsid w:val="00330D39"/>
    <w:rsid w:val="00330F78"/>
    <w:rsid w:val="003313E4"/>
    <w:rsid w:val="00332175"/>
    <w:rsid w:val="00332210"/>
    <w:rsid w:val="00332A8D"/>
    <w:rsid w:val="00332D27"/>
    <w:rsid w:val="00333895"/>
    <w:rsid w:val="00334F0D"/>
    <w:rsid w:val="00335B49"/>
    <w:rsid w:val="003403C3"/>
    <w:rsid w:val="00340941"/>
    <w:rsid w:val="003413CE"/>
    <w:rsid w:val="003422A7"/>
    <w:rsid w:val="003427D5"/>
    <w:rsid w:val="003427DA"/>
    <w:rsid w:val="0034335D"/>
    <w:rsid w:val="00344C31"/>
    <w:rsid w:val="003451AE"/>
    <w:rsid w:val="00345236"/>
    <w:rsid w:val="00345541"/>
    <w:rsid w:val="0034621C"/>
    <w:rsid w:val="003479B1"/>
    <w:rsid w:val="0035014E"/>
    <w:rsid w:val="0035091A"/>
    <w:rsid w:val="00350C67"/>
    <w:rsid w:val="00351D3C"/>
    <w:rsid w:val="003522FC"/>
    <w:rsid w:val="00352CE8"/>
    <w:rsid w:val="003534EB"/>
    <w:rsid w:val="00353CD4"/>
    <w:rsid w:val="0035432F"/>
    <w:rsid w:val="00354521"/>
    <w:rsid w:val="003549EA"/>
    <w:rsid w:val="003550CE"/>
    <w:rsid w:val="00356894"/>
    <w:rsid w:val="00357051"/>
    <w:rsid w:val="00357F30"/>
    <w:rsid w:val="003603E0"/>
    <w:rsid w:val="0036100B"/>
    <w:rsid w:val="003637A8"/>
    <w:rsid w:val="003650C6"/>
    <w:rsid w:val="0036542B"/>
    <w:rsid w:val="003669FA"/>
    <w:rsid w:val="00367461"/>
    <w:rsid w:val="00370163"/>
    <w:rsid w:val="003716B8"/>
    <w:rsid w:val="0037311B"/>
    <w:rsid w:val="00373953"/>
    <w:rsid w:val="0037400F"/>
    <w:rsid w:val="00374340"/>
    <w:rsid w:val="0037499B"/>
    <w:rsid w:val="00374EA5"/>
    <w:rsid w:val="003759F0"/>
    <w:rsid w:val="00376A30"/>
    <w:rsid w:val="00380E9D"/>
    <w:rsid w:val="00381EAF"/>
    <w:rsid w:val="00382790"/>
    <w:rsid w:val="0038334F"/>
    <w:rsid w:val="00384E8E"/>
    <w:rsid w:val="00385F15"/>
    <w:rsid w:val="00386D86"/>
    <w:rsid w:val="00391DA0"/>
    <w:rsid w:val="00392738"/>
    <w:rsid w:val="003927DF"/>
    <w:rsid w:val="0039320B"/>
    <w:rsid w:val="00396552"/>
    <w:rsid w:val="00396C25"/>
    <w:rsid w:val="003971CB"/>
    <w:rsid w:val="00397463"/>
    <w:rsid w:val="00397AE1"/>
    <w:rsid w:val="00397D79"/>
    <w:rsid w:val="003A023F"/>
    <w:rsid w:val="003A254D"/>
    <w:rsid w:val="003A3073"/>
    <w:rsid w:val="003A3C33"/>
    <w:rsid w:val="003A42D9"/>
    <w:rsid w:val="003A5D31"/>
    <w:rsid w:val="003A5F40"/>
    <w:rsid w:val="003A6437"/>
    <w:rsid w:val="003A64AA"/>
    <w:rsid w:val="003A6F10"/>
    <w:rsid w:val="003B0E57"/>
    <w:rsid w:val="003B117B"/>
    <w:rsid w:val="003B1CCE"/>
    <w:rsid w:val="003B1F0D"/>
    <w:rsid w:val="003B2E90"/>
    <w:rsid w:val="003B3530"/>
    <w:rsid w:val="003B60B3"/>
    <w:rsid w:val="003B69FC"/>
    <w:rsid w:val="003B6F48"/>
    <w:rsid w:val="003C08BE"/>
    <w:rsid w:val="003C743E"/>
    <w:rsid w:val="003C7C9D"/>
    <w:rsid w:val="003C7CD0"/>
    <w:rsid w:val="003D0309"/>
    <w:rsid w:val="003D0947"/>
    <w:rsid w:val="003D09FD"/>
    <w:rsid w:val="003D138D"/>
    <w:rsid w:val="003D1E85"/>
    <w:rsid w:val="003D41D0"/>
    <w:rsid w:val="003D467F"/>
    <w:rsid w:val="003D47C1"/>
    <w:rsid w:val="003D4CF3"/>
    <w:rsid w:val="003D61DE"/>
    <w:rsid w:val="003D631E"/>
    <w:rsid w:val="003D6D0F"/>
    <w:rsid w:val="003D7D88"/>
    <w:rsid w:val="003E0CBD"/>
    <w:rsid w:val="003E0D9A"/>
    <w:rsid w:val="003E1BA8"/>
    <w:rsid w:val="003E2BE1"/>
    <w:rsid w:val="003E2FB8"/>
    <w:rsid w:val="003E37DC"/>
    <w:rsid w:val="003E678C"/>
    <w:rsid w:val="003F06DF"/>
    <w:rsid w:val="003F0CA5"/>
    <w:rsid w:val="003F1888"/>
    <w:rsid w:val="003F18C4"/>
    <w:rsid w:val="003F3624"/>
    <w:rsid w:val="003F457E"/>
    <w:rsid w:val="003F4BE4"/>
    <w:rsid w:val="003F53C7"/>
    <w:rsid w:val="003F5680"/>
    <w:rsid w:val="003F56C2"/>
    <w:rsid w:val="003F56C6"/>
    <w:rsid w:val="003F5A0E"/>
    <w:rsid w:val="003F6471"/>
    <w:rsid w:val="003F685D"/>
    <w:rsid w:val="003F76A5"/>
    <w:rsid w:val="003F7740"/>
    <w:rsid w:val="00400F3A"/>
    <w:rsid w:val="00401653"/>
    <w:rsid w:val="00401B43"/>
    <w:rsid w:val="004020F2"/>
    <w:rsid w:val="00402C36"/>
    <w:rsid w:val="00403DCE"/>
    <w:rsid w:val="00407410"/>
    <w:rsid w:val="00407B9D"/>
    <w:rsid w:val="00410C43"/>
    <w:rsid w:val="00411119"/>
    <w:rsid w:val="0041187C"/>
    <w:rsid w:val="00413BC5"/>
    <w:rsid w:val="00414ABC"/>
    <w:rsid w:val="00415A9C"/>
    <w:rsid w:val="004175C6"/>
    <w:rsid w:val="004176DE"/>
    <w:rsid w:val="004202BE"/>
    <w:rsid w:val="00420868"/>
    <w:rsid w:val="00420AD0"/>
    <w:rsid w:val="00420D93"/>
    <w:rsid w:val="00421D65"/>
    <w:rsid w:val="004229B0"/>
    <w:rsid w:val="004241CE"/>
    <w:rsid w:val="004242C6"/>
    <w:rsid w:val="004246CC"/>
    <w:rsid w:val="004249F8"/>
    <w:rsid w:val="00425E22"/>
    <w:rsid w:val="00426015"/>
    <w:rsid w:val="00426D2F"/>
    <w:rsid w:val="00426EEE"/>
    <w:rsid w:val="004276B8"/>
    <w:rsid w:val="0043008E"/>
    <w:rsid w:val="004319E7"/>
    <w:rsid w:val="00431C93"/>
    <w:rsid w:val="0043210E"/>
    <w:rsid w:val="004330DE"/>
    <w:rsid w:val="0043327E"/>
    <w:rsid w:val="00433A9C"/>
    <w:rsid w:val="00434089"/>
    <w:rsid w:val="004340EB"/>
    <w:rsid w:val="00434C71"/>
    <w:rsid w:val="00434FA7"/>
    <w:rsid w:val="00435CBC"/>
    <w:rsid w:val="0044026C"/>
    <w:rsid w:val="00440699"/>
    <w:rsid w:val="004408E8"/>
    <w:rsid w:val="004426FA"/>
    <w:rsid w:val="00442B7B"/>
    <w:rsid w:val="00442BE6"/>
    <w:rsid w:val="00443C99"/>
    <w:rsid w:val="00446120"/>
    <w:rsid w:val="0044625C"/>
    <w:rsid w:val="00446286"/>
    <w:rsid w:val="00447E9B"/>
    <w:rsid w:val="00447FAA"/>
    <w:rsid w:val="004504CB"/>
    <w:rsid w:val="00451194"/>
    <w:rsid w:val="00451A4B"/>
    <w:rsid w:val="00451E9B"/>
    <w:rsid w:val="00452D15"/>
    <w:rsid w:val="004530A5"/>
    <w:rsid w:val="00453603"/>
    <w:rsid w:val="00455158"/>
    <w:rsid w:val="004555C4"/>
    <w:rsid w:val="00455693"/>
    <w:rsid w:val="004565B8"/>
    <w:rsid w:val="004569C3"/>
    <w:rsid w:val="00457564"/>
    <w:rsid w:val="0045761B"/>
    <w:rsid w:val="004576DF"/>
    <w:rsid w:val="00457DB2"/>
    <w:rsid w:val="00460355"/>
    <w:rsid w:val="00460BFF"/>
    <w:rsid w:val="00460F4F"/>
    <w:rsid w:val="00461382"/>
    <w:rsid w:val="0046217B"/>
    <w:rsid w:val="00462E70"/>
    <w:rsid w:val="00462E86"/>
    <w:rsid w:val="00463223"/>
    <w:rsid w:val="00464562"/>
    <w:rsid w:val="0046649B"/>
    <w:rsid w:val="00466BE8"/>
    <w:rsid w:val="00467C6D"/>
    <w:rsid w:val="00472BC8"/>
    <w:rsid w:val="004734D6"/>
    <w:rsid w:val="004738F0"/>
    <w:rsid w:val="00474730"/>
    <w:rsid w:val="00474785"/>
    <w:rsid w:val="00474987"/>
    <w:rsid w:val="004764D3"/>
    <w:rsid w:val="0047653E"/>
    <w:rsid w:val="00476D51"/>
    <w:rsid w:val="00477595"/>
    <w:rsid w:val="004801AC"/>
    <w:rsid w:val="0048065A"/>
    <w:rsid w:val="004815CC"/>
    <w:rsid w:val="00481FEC"/>
    <w:rsid w:val="00483968"/>
    <w:rsid w:val="00484E1D"/>
    <w:rsid w:val="00484EAB"/>
    <w:rsid w:val="00486056"/>
    <w:rsid w:val="004869E5"/>
    <w:rsid w:val="00486C36"/>
    <w:rsid w:val="00486D1B"/>
    <w:rsid w:val="00487FCA"/>
    <w:rsid w:val="0049224D"/>
    <w:rsid w:val="00492978"/>
    <w:rsid w:val="00492F25"/>
    <w:rsid w:val="004936E2"/>
    <w:rsid w:val="004943B2"/>
    <w:rsid w:val="004973E2"/>
    <w:rsid w:val="00497877"/>
    <w:rsid w:val="004A0C0C"/>
    <w:rsid w:val="004A5331"/>
    <w:rsid w:val="004A5344"/>
    <w:rsid w:val="004A66B6"/>
    <w:rsid w:val="004A6B3D"/>
    <w:rsid w:val="004A753E"/>
    <w:rsid w:val="004A7D2D"/>
    <w:rsid w:val="004A7E6C"/>
    <w:rsid w:val="004B0815"/>
    <w:rsid w:val="004B1D50"/>
    <w:rsid w:val="004B4A34"/>
    <w:rsid w:val="004B51F1"/>
    <w:rsid w:val="004B5433"/>
    <w:rsid w:val="004B6477"/>
    <w:rsid w:val="004B6DE1"/>
    <w:rsid w:val="004B73DE"/>
    <w:rsid w:val="004C01A4"/>
    <w:rsid w:val="004C0DCE"/>
    <w:rsid w:val="004C18E3"/>
    <w:rsid w:val="004C58DE"/>
    <w:rsid w:val="004C64D0"/>
    <w:rsid w:val="004C6A45"/>
    <w:rsid w:val="004C6EAF"/>
    <w:rsid w:val="004C6F12"/>
    <w:rsid w:val="004D1952"/>
    <w:rsid w:val="004D32E9"/>
    <w:rsid w:val="004D6363"/>
    <w:rsid w:val="004D7E81"/>
    <w:rsid w:val="004E0D84"/>
    <w:rsid w:val="004E1271"/>
    <w:rsid w:val="004E15DC"/>
    <w:rsid w:val="004E356A"/>
    <w:rsid w:val="004E3C74"/>
    <w:rsid w:val="004E6FE0"/>
    <w:rsid w:val="004E7078"/>
    <w:rsid w:val="004E7D22"/>
    <w:rsid w:val="004E7DBF"/>
    <w:rsid w:val="004F0514"/>
    <w:rsid w:val="004F0D48"/>
    <w:rsid w:val="004F0E81"/>
    <w:rsid w:val="004F4322"/>
    <w:rsid w:val="004F4933"/>
    <w:rsid w:val="004F4FE1"/>
    <w:rsid w:val="004F51D8"/>
    <w:rsid w:val="004F55FE"/>
    <w:rsid w:val="004F5838"/>
    <w:rsid w:val="004F5CAC"/>
    <w:rsid w:val="004F622B"/>
    <w:rsid w:val="004F6D6F"/>
    <w:rsid w:val="004F761B"/>
    <w:rsid w:val="004F7963"/>
    <w:rsid w:val="004F7C18"/>
    <w:rsid w:val="005000CE"/>
    <w:rsid w:val="00500F49"/>
    <w:rsid w:val="0050146C"/>
    <w:rsid w:val="0050157F"/>
    <w:rsid w:val="00501CB1"/>
    <w:rsid w:val="00502314"/>
    <w:rsid w:val="005024B3"/>
    <w:rsid w:val="00503332"/>
    <w:rsid w:val="00504252"/>
    <w:rsid w:val="005050BF"/>
    <w:rsid w:val="0050525C"/>
    <w:rsid w:val="00507DA5"/>
    <w:rsid w:val="00511614"/>
    <w:rsid w:val="0051204C"/>
    <w:rsid w:val="005136F9"/>
    <w:rsid w:val="00513D7D"/>
    <w:rsid w:val="005147BB"/>
    <w:rsid w:val="00514D79"/>
    <w:rsid w:val="0051589D"/>
    <w:rsid w:val="005164BB"/>
    <w:rsid w:val="005171B3"/>
    <w:rsid w:val="00517E6E"/>
    <w:rsid w:val="005200E6"/>
    <w:rsid w:val="00521303"/>
    <w:rsid w:val="005225D3"/>
    <w:rsid w:val="00522870"/>
    <w:rsid w:val="00523A7B"/>
    <w:rsid w:val="0052469E"/>
    <w:rsid w:val="005248E4"/>
    <w:rsid w:val="00525F2A"/>
    <w:rsid w:val="00527532"/>
    <w:rsid w:val="00530C21"/>
    <w:rsid w:val="00530FF3"/>
    <w:rsid w:val="005313EA"/>
    <w:rsid w:val="00531434"/>
    <w:rsid w:val="00531563"/>
    <w:rsid w:val="00531BAD"/>
    <w:rsid w:val="0053264D"/>
    <w:rsid w:val="00535630"/>
    <w:rsid w:val="00536791"/>
    <w:rsid w:val="00536914"/>
    <w:rsid w:val="00536AC3"/>
    <w:rsid w:val="005413B2"/>
    <w:rsid w:val="0054161E"/>
    <w:rsid w:val="005416C1"/>
    <w:rsid w:val="005418A2"/>
    <w:rsid w:val="00542251"/>
    <w:rsid w:val="00542D6E"/>
    <w:rsid w:val="0054435C"/>
    <w:rsid w:val="005456ED"/>
    <w:rsid w:val="00546CD9"/>
    <w:rsid w:val="0054712E"/>
    <w:rsid w:val="005506C2"/>
    <w:rsid w:val="0055117D"/>
    <w:rsid w:val="00551FE6"/>
    <w:rsid w:val="00552C6F"/>
    <w:rsid w:val="005539CE"/>
    <w:rsid w:val="00553E42"/>
    <w:rsid w:val="005554FA"/>
    <w:rsid w:val="0055612E"/>
    <w:rsid w:val="00556158"/>
    <w:rsid w:val="005562B9"/>
    <w:rsid w:val="00556E5A"/>
    <w:rsid w:val="00556F94"/>
    <w:rsid w:val="00557C31"/>
    <w:rsid w:val="00560ED4"/>
    <w:rsid w:val="00561249"/>
    <w:rsid w:val="00561AA5"/>
    <w:rsid w:val="0056466B"/>
    <w:rsid w:val="00564931"/>
    <w:rsid w:val="00566D4F"/>
    <w:rsid w:val="00567BA6"/>
    <w:rsid w:val="00567D95"/>
    <w:rsid w:val="00570C3E"/>
    <w:rsid w:val="005711C4"/>
    <w:rsid w:val="005720D3"/>
    <w:rsid w:val="005722F8"/>
    <w:rsid w:val="005725C7"/>
    <w:rsid w:val="005726B0"/>
    <w:rsid w:val="00572F8B"/>
    <w:rsid w:val="00574958"/>
    <w:rsid w:val="005749EC"/>
    <w:rsid w:val="00575234"/>
    <w:rsid w:val="00575C75"/>
    <w:rsid w:val="00576ABC"/>
    <w:rsid w:val="005770B6"/>
    <w:rsid w:val="00577357"/>
    <w:rsid w:val="00581B64"/>
    <w:rsid w:val="00582856"/>
    <w:rsid w:val="0058539C"/>
    <w:rsid w:val="005861A3"/>
    <w:rsid w:val="00586D82"/>
    <w:rsid w:val="005870A4"/>
    <w:rsid w:val="0058734B"/>
    <w:rsid w:val="00587501"/>
    <w:rsid w:val="00591A41"/>
    <w:rsid w:val="005923A6"/>
    <w:rsid w:val="00592B7D"/>
    <w:rsid w:val="00593D36"/>
    <w:rsid w:val="00594BCC"/>
    <w:rsid w:val="00594C41"/>
    <w:rsid w:val="00594CF8"/>
    <w:rsid w:val="00596B77"/>
    <w:rsid w:val="00597BD2"/>
    <w:rsid w:val="00597DD9"/>
    <w:rsid w:val="005A10F1"/>
    <w:rsid w:val="005A201C"/>
    <w:rsid w:val="005A28DF"/>
    <w:rsid w:val="005A2991"/>
    <w:rsid w:val="005A2E90"/>
    <w:rsid w:val="005A300B"/>
    <w:rsid w:val="005A5C57"/>
    <w:rsid w:val="005A62FF"/>
    <w:rsid w:val="005A66A2"/>
    <w:rsid w:val="005A71CA"/>
    <w:rsid w:val="005A74DF"/>
    <w:rsid w:val="005B19AA"/>
    <w:rsid w:val="005B1BAC"/>
    <w:rsid w:val="005B1EB1"/>
    <w:rsid w:val="005B2A16"/>
    <w:rsid w:val="005B4FD6"/>
    <w:rsid w:val="005B6781"/>
    <w:rsid w:val="005C0C5C"/>
    <w:rsid w:val="005C1307"/>
    <w:rsid w:val="005C1750"/>
    <w:rsid w:val="005C17BF"/>
    <w:rsid w:val="005C1892"/>
    <w:rsid w:val="005C18CA"/>
    <w:rsid w:val="005C2542"/>
    <w:rsid w:val="005C2E3A"/>
    <w:rsid w:val="005C3686"/>
    <w:rsid w:val="005C382E"/>
    <w:rsid w:val="005C4B39"/>
    <w:rsid w:val="005C68E9"/>
    <w:rsid w:val="005D0348"/>
    <w:rsid w:val="005D06EE"/>
    <w:rsid w:val="005D070F"/>
    <w:rsid w:val="005D10D6"/>
    <w:rsid w:val="005D12C5"/>
    <w:rsid w:val="005D1A72"/>
    <w:rsid w:val="005D4B09"/>
    <w:rsid w:val="005D5170"/>
    <w:rsid w:val="005D57A3"/>
    <w:rsid w:val="005D5CDA"/>
    <w:rsid w:val="005D5E76"/>
    <w:rsid w:val="005D6658"/>
    <w:rsid w:val="005D718C"/>
    <w:rsid w:val="005D7873"/>
    <w:rsid w:val="005D7E4E"/>
    <w:rsid w:val="005E0150"/>
    <w:rsid w:val="005E0349"/>
    <w:rsid w:val="005E0B47"/>
    <w:rsid w:val="005E2613"/>
    <w:rsid w:val="005E33D2"/>
    <w:rsid w:val="005E6C96"/>
    <w:rsid w:val="005F0234"/>
    <w:rsid w:val="005F041E"/>
    <w:rsid w:val="005F17DC"/>
    <w:rsid w:val="005F1BFA"/>
    <w:rsid w:val="005F2062"/>
    <w:rsid w:val="005F2912"/>
    <w:rsid w:val="005F472B"/>
    <w:rsid w:val="005F483E"/>
    <w:rsid w:val="005F50C9"/>
    <w:rsid w:val="005F516F"/>
    <w:rsid w:val="005F57CA"/>
    <w:rsid w:val="005F6AD1"/>
    <w:rsid w:val="0060095B"/>
    <w:rsid w:val="00601271"/>
    <w:rsid w:val="00601471"/>
    <w:rsid w:val="006019D2"/>
    <w:rsid w:val="00602354"/>
    <w:rsid w:val="00603535"/>
    <w:rsid w:val="00603676"/>
    <w:rsid w:val="00603F67"/>
    <w:rsid w:val="00604425"/>
    <w:rsid w:val="00605473"/>
    <w:rsid w:val="006055B9"/>
    <w:rsid w:val="00606A6B"/>
    <w:rsid w:val="0060711A"/>
    <w:rsid w:val="0060768A"/>
    <w:rsid w:val="006102C0"/>
    <w:rsid w:val="006103A8"/>
    <w:rsid w:val="0061113C"/>
    <w:rsid w:val="00611FF4"/>
    <w:rsid w:val="0061274E"/>
    <w:rsid w:val="00612775"/>
    <w:rsid w:val="006138F4"/>
    <w:rsid w:val="00614021"/>
    <w:rsid w:val="0061443D"/>
    <w:rsid w:val="00614451"/>
    <w:rsid w:val="00614808"/>
    <w:rsid w:val="006148F9"/>
    <w:rsid w:val="006163B1"/>
    <w:rsid w:val="00617688"/>
    <w:rsid w:val="006178A6"/>
    <w:rsid w:val="00617D2D"/>
    <w:rsid w:val="00620764"/>
    <w:rsid w:val="00621D87"/>
    <w:rsid w:val="00621F0E"/>
    <w:rsid w:val="006224EA"/>
    <w:rsid w:val="00622580"/>
    <w:rsid w:val="0062442D"/>
    <w:rsid w:val="00624B33"/>
    <w:rsid w:val="00624B4C"/>
    <w:rsid w:val="006254FA"/>
    <w:rsid w:val="00625BF1"/>
    <w:rsid w:val="00625D4F"/>
    <w:rsid w:val="0062689F"/>
    <w:rsid w:val="00626AC5"/>
    <w:rsid w:val="00627B6A"/>
    <w:rsid w:val="00630B14"/>
    <w:rsid w:val="00632A21"/>
    <w:rsid w:val="0063338C"/>
    <w:rsid w:val="006334B8"/>
    <w:rsid w:val="0063477D"/>
    <w:rsid w:val="00637213"/>
    <w:rsid w:val="00637C3A"/>
    <w:rsid w:val="00640A56"/>
    <w:rsid w:val="00641509"/>
    <w:rsid w:val="00641EA0"/>
    <w:rsid w:val="00642191"/>
    <w:rsid w:val="0064249B"/>
    <w:rsid w:val="006430F2"/>
    <w:rsid w:val="00643332"/>
    <w:rsid w:val="00643DE5"/>
    <w:rsid w:val="006454CB"/>
    <w:rsid w:val="0064627E"/>
    <w:rsid w:val="00647149"/>
    <w:rsid w:val="00647170"/>
    <w:rsid w:val="006476AD"/>
    <w:rsid w:val="0065009F"/>
    <w:rsid w:val="00650336"/>
    <w:rsid w:val="00650930"/>
    <w:rsid w:val="00650E13"/>
    <w:rsid w:val="00651505"/>
    <w:rsid w:val="00651761"/>
    <w:rsid w:val="00651EB4"/>
    <w:rsid w:val="00651EE3"/>
    <w:rsid w:val="00653CCC"/>
    <w:rsid w:val="00654600"/>
    <w:rsid w:val="006559A1"/>
    <w:rsid w:val="00657121"/>
    <w:rsid w:val="00657AF9"/>
    <w:rsid w:val="00661C28"/>
    <w:rsid w:val="00661C97"/>
    <w:rsid w:val="00663357"/>
    <w:rsid w:val="00663ADB"/>
    <w:rsid w:val="006643CF"/>
    <w:rsid w:val="00664913"/>
    <w:rsid w:val="006663F9"/>
    <w:rsid w:val="00667B41"/>
    <w:rsid w:val="00667CF5"/>
    <w:rsid w:val="00670BD4"/>
    <w:rsid w:val="006718F4"/>
    <w:rsid w:val="00671D9A"/>
    <w:rsid w:val="00672B04"/>
    <w:rsid w:val="00672C77"/>
    <w:rsid w:val="006733F9"/>
    <w:rsid w:val="00673BA0"/>
    <w:rsid w:val="00673F18"/>
    <w:rsid w:val="00673F29"/>
    <w:rsid w:val="006740F1"/>
    <w:rsid w:val="00674101"/>
    <w:rsid w:val="00674266"/>
    <w:rsid w:val="006750BA"/>
    <w:rsid w:val="00675177"/>
    <w:rsid w:val="006758E6"/>
    <w:rsid w:val="00676446"/>
    <w:rsid w:val="006779C0"/>
    <w:rsid w:val="00681477"/>
    <w:rsid w:val="00681CE9"/>
    <w:rsid w:val="0068299E"/>
    <w:rsid w:val="00682E66"/>
    <w:rsid w:val="00683168"/>
    <w:rsid w:val="00683888"/>
    <w:rsid w:val="006839D5"/>
    <w:rsid w:val="00683F78"/>
    <w:rsid w:val="0068509B"/>
    <w:rsid w:val="00685B1B"/>
    <w:rsid w:val="00687690"/>
    <w:rsid w:val="0069109F"/>
    <w:rsid w:val="00691E5F"/>
    <w:rsid w:val="006924C9"/>
    <w:rsid w:val="00692872"/>
    <w:rsid w:val="00693216"/>
    <w:rsid w:val="00693F66"/>
    <w:rsid w:val="0069417C"/>
    <w:rsid w:val="006978BB"/>
    <w:rsid w:val="00697B3F"/>
    <w:rsid w:val="006A0362"/>
    <w:rsid w:val="006A03C1"/>
    <w:rsid w:val="006A052A"/>
    <w:rsid w:val="006A1210"/>
    <w:rsid w:val="006A3C96"/>
    <w:rsid w:val="006A57BB"/>
    <w:rsid w:val="006A621D"/>
    <w:rsid w:val="006A7BD0"/>
    <w:rsid w:val="006A7C63"/>
    <w:rsid w:val="006A7DDA"/>
    <w:rsid w:val="006A7F87"/>
    <w:rsid w:val="006B0A93"/>
    <w:rsid w:val="006B0F23"/>
    <w:rsid w:val="006B16C7"/>
    <w:rsid w:val="006B1E21"/>
    <w:rsid w:val="006B1EDE"/>
    <w:rsid w:val="006B2D21"/>
    <w:rsid w:val="006B33C7"/>
    <w:rsid w:val="006B33E2"/>
    <w:rsid w:val="006B3460"/>
    <w:rsid w:val="006B4E1F"/>
    <w:rsid w:val="006B6757"/>
    <w:rsid w:val="006B7B99"/>
    <w:rsid w:val="006B7FC2"/>
    <w:rsid w:val="006C3578"/>
    <w:rsid w:val="006C3845"/>
    <w:rsid w:val="006C419A"/>
    <w:rsid w:val="006C4DC5"/>
    <w:rsid w:val="006C55B2"/>
    <w:rsid w:val="006C602A"/>
    <w:rsid w:val="006D0FE3"/>
    <w:rsid w:val="006D2024"/>
    <w:rsid w:val="006D3051"/>
    <w:rsid w:val="006D31C4"/>
    <w:rsid w:val="006D3E04"/>
    <w:rsid w:val="006D4C61"/>
    <w:rsid w:val="006D5C99"/>
    <w:rsid w:val="006D6011"/>
    <w:rsid w:val="006D6BA5"/>
    <w:rsid w:val="006D7AC0"/>
    <w:rsid w:val="006D7FAD"/>
    <w:rsid w:val="006E044A"/>
    <w:rsid w:val="006E0A41"/>
    <w:rsid w:val="006E2013"/>
    <w:rsid w:val="006E250D"/>
    <w:rsid w:val="006E3F7A"/>
    <w:rsid w:val="006E49C1"/>
    <w:rsid w:val="006E56D8"/>
    <w:rsid w:val="006E6708"/>
    <w:rsid w:val="006E6CED"/>
    <w:rsid w:val="006E7383"/>
    <w:rsid w:val="006E79AC"/>
    <w:rsid w:val="006F0F7C"/>
    <w:rsid w:val="006F11A8"/>
    <w:rsid w:val="006F1DA9"/>
    <w:rsid w:val="006F2960"/>
    <w:rsid w:val="006F2C23"/>
    <w:rsid w:val="006F32A5"/>
    <w:rsid w:val="006F4667"/>
    <w:rsid w:val="006F4BD6"/>
    <w:rsid w:val="006F4D0E"/>
    <w:rsid w:val="006F58CD"/>
    <w:rsid w:val="006F5C00"/>
    <w:rsid w:val="006F5EDB"/>
    <w:rsid w:val="006F7E94"/>
    <w:rsid w:val="007002F9"/>
    <w:rsid w:val="00700CF1"/>
    <w:rsid w:val="007014BB"/>
    <w:rsid w:val="00702A56"/>
    <w:rsid w:val="00702FE3"/>
    <w:rsid w:val="00703642"/>
    <w:rsid w:val="007037F3"/>
    <w:rsid w:val="00705480"/>
    <w:rsid w:val="00705B6F"/>
    <w:rsid w:val="007068C1"/>
    <w:rsid w:val="00706CC3"/>
    <w:rsid w:val="00706CD4"/>
    <w:rsid w:val="00711A8F"/>
    <w:rsid w:val="00714D08"/>
    <w:rsid w:val="007152B1"/>
    <w:rsid w:val="00715C24"/>
    <w:rsid w:val="0071612D"/>
    <w:rsid w:val="00716137"/>
    <w:rsid w:val="00717F75"/>
    <w:rsid w:val="007202B2"/>
    <w:rsid w:val="007202F9"/>
    <w:rsid w:val="007203B0"/>
    <w:rsid w:val="00720B28"/>
    <w:rsid w:val="00721A68"/>
    <w:rsid w:val="00725366"/>
    <w:rsid w:val="0072660B"/>
    <w:rsid w:val="00726AF4"/>
    <w:rsid w:val="00727D3A"/>
    <w:rsid w:val="00727F8C"/>
    <w:rsid w:val="00730B4C"/>
    <w:rsid w:val="00731113"/>
    <w:rsid w:val="007314DC"/>
    <w:rsid w:val="00731680"/>
    <w:rsid w:val="007317FE"/>
    <w:rsid w:val="0073196C"/>
    <w:rsid w:val="00732C51"/>
    <w:rsid w:val="00733736"/>
    <w:rsid w:val="00735B46"/>
    <w:rsid w:val="00735D28"/>
    <w:rsid w:val="00735FF8"/>
    <w:rsid w:val="007364A9"/>
    <w:rsid w:val="007400C8"/>
    <w:rsid w:val="00740723"/>
    <w:rsid w:val="007413E6"/>
    <w:rsid w:val="00741B93"/>
    <w:rsid w:val="0074426B"/>
    <w:rsid w:val="007451D1"/>
    <w:rsid w:val="00745B90"/>
    <w:rsid w:val="007471DB"/>
    <w:rsid w:val="0075082E"/>
    <w:rsid w:val="00750E5F"/>
    <w:rsid w:val="007517D2"/>
    <w:rsid w:val="007518D5"/>
    <w:rsid w:val="007527A4"/>
    <w:rsid w:val="00756359"/>
    <w:rsid w:val="00756748"/>
    <w:rsid w:val="00756AA0"/>
    <w:rsid w:val="00756B8B"/>
    <w:rsid w:val="00756C9E"/>
    <w:rsid w:val="0076071D"/>
    <w:rsid w:val="00760EBE"/>
    <w:rsid w:val="007613F3"/>
    <w:rsid w:val="0076265B"/>
    <w:rsid w:val="00762D52"/>
    <w:rsid w:val="00763312"/>
    <w:rsid w:val="00764A26"/>
    <w:rsid w:val="0076638F"/>
    <w:rsid w:val="00766506"/>
    <w:rsid w:val="00767C07"/>
    <w:rsid w:val="007702D3"/>
    <w:rsid w:val="00770ED8"/>
    <w:rsid w:val="007726C5"/>
    <w:rsid w:val="00773E94"/>
    <w:rsid w:val="00775BC6"/>
    <w:rsid w:val="00776B44"/>
    <w:rsid w:val="00777BC2"/>
    <w:rsid w:val="00780C1B"/>
    <w:rsid w:val="00781819"/>
    <w:rsid w:val="007821CE"/>
    <w:rsid w:val="0078235E"/>
    <w:rsid w:val="0078319E"/>
    <w:rsid w:val="00784251"/>
    <w:rsid w:val="00785AE1"/>
    <w:rsid w:val="00786473"/>
    <w:rsid w:val="0078686E"/>
    <w:rsid w:val="00787784"/>
    <w:rsid w:val="00790828"/>
    <w:rsid w:val="007913EB"/>
    <w:rsid w:val="007917D8"/>
    <w:rsid w:val="00791C10"/>
    <w:rsid w:val="0079241A"/>
    <w:rsid w:val="00792929"/>
    <w:rsid w:val="00793D83"/>
    <w:rsid w:val="00793FB9"/>
    <w:rsid w:val="0079450C"/>
    <w:rsid w:val="00794A09"/>
    <w:rsid w:val="00794D8A"/>
    <w:rsid w:val="00795963"/>
    <w:rsid w:val="007962E7"/>
    <w:rsid w:val="00797326"/>
    <w:rsid w:val="00797F56"/>
    <w:rsid w:val="007A088F"/>
    <w:rsid w:val="007A118D"/>
    <w:rsid w:val="007A2132"/>
    <w:rsid w:val="007A2F08"/>
    <w:rsid w:val="007A46B7"/>
    <w:rsid w:val="007A5E43"/>
    <w:rsid w:val="007A6064"/>
    <w:rsid w:val="007A638B"/>
    <w:rsid w:val="007A6E8E"/>
    <w:rsid w:val="007A7CC6"/>
    <w:rsid w:val="007B071B"/>
    <w:rsid w:val="007B164D"/>
    <w:rsid w:val="007B198C"/>
    <w:rsid w:val="007B1E3B"/>
    <w:rsid w:val="007B1FCF"/>
    <w:rsid w:val="007B25F3"/>
    <w:rsid w:val="007B2E5E"/>
    <w:rsid w:val="007B3BC3"/>
    <w:rsid w:val="007B417C"/>
    <w:rsid w:val="007B4214"/>
    <w:rsid w:val="007B473D"/>
    <w:rsid w:val="007B4DC6"/>
    <w:rsid w:val="007B4F0D"/>
    <w:rsid w:val="007B5DCF"/>
    <w:rsid w:val="007B600D"/>
    <w:rsid w:val="007B7D80"/>
    <w:rsid w:val="007C26E8"/>
    <w:rsid w:val="007C2921"/>
    <w:rsid w:val="007C3E55"/>
    <w:rsid w:val="007C43AF"/>
    <w:rsid w:val="007C48CE"/>
    <w:rsid w:val="007C524F"/>
    <w:rsid w:val="007C5D77"/>
    <w:rsid w:val="007C6D68"/>
    <w:rsid w:val="007C72C8"/>
    <w:rsid w:val="007D03E8"/>
    <w:rsid w:val="007D10A3"/>
    <w:rsid w:val="007D128C"/>
    <w:rsid w:val="007D165F"/>
    <w:rsid w:val="007D1E37"/>
    <w:rsid w:val="007D3757"/>
    <w:rsid w:val="007D388C"/>
    <w:rsid w:val="007D3D24"/>
    <w:rsid w:val="007D3FCA"/>
    <w:rsid w:val="007D40C9"/>
    <w:rsid w:val="007D43F4"/>
    <w:rsid w:val="007D4AFF"/>
    <w:rsid w:val="007D5414"/>
    <w:rsid w:val="007D54E6"/>
    <w:rsid w:val="007D6C88"/>
    <w:rsid w:val="007D6F01"/>
    <w:rsid w:val="007D7C61"/>
    <w:rsid w:val="007D7D38"/>
    <w:rsid w:val="007E0A93"/>
    <w:rsid w:val="007E1C4E"/>
    <w:rsid w:val="007E1CE5"/>
    <w:rsid w:val="007E1D8B"/>
    <w:rsid w:val="007E2BD7"/>
    <w:rsid w:val="007E37A7"/>
    <w:rsid w:val="007E5547"/>
    <w:rsid w:val="007E684F"/>
    <w:rsid w:val="007E761D"/>
    <w:rsid w:val="007E7643"/>
    <w:rsid w:val="007F002F"/>
    <w:rsid w:val="007F0E39"/>
    <w:rsid w:val="007F1CB6"/>
    <w:rsid w:val="007F2730"/>
    <w:rsid w:val="007F3A6C"/>
    <w:rsid w:val="007F7BEC"/>
    <w:rsid w:val="00800373"/>
    <w:rsid w:val="008004FE"/>
    <w:rsid w:val="00804EA7"/>
    <w:rsid w:val="00805841"/>
    <w:rsid w:val="0080618A"/>
    <w:rsid w:val="00806EA6"/>
    <w:rsid w:val="00807B27"/>
    <w:rsid w:val="00810FAD"/>
    <w:rsid w:val="008112E2"/>
    <w:rsid w:val="008128DB"/>
    <w:rsid w:val="00812E41"/>
    <w:rsid w:val="008130D7"/>
    <w:rsid w:val="00813125"/>
    <w:rsid w:val="008138E3"/>
    <w:rsid w:val="00813A39"/>
    <w:rsid w:val="008150FF"/>
    <w:rsid w:val="00815347"/>
    <w:rsid w:val="008164C0"/>
    <w:rsid w:val="00817857"/>
    <w:rsid w:val="008179DB"/>
    <w:rsid w:val="00817C73"/>
    <w:rsid w:val="00817D1C"/>
    <w:rsid w:val="00820BCE"/>
    <w:rsid w:val="00821D97"/>
    <w:rsid w:val="00822202"/>
    <w:rsid w:val="00822A0C"/>
    <w:rsid w:val="008236B6"/>
    <w:rsid w:val="00823782"/>
    <w:rsid w:val="008245C7"/>
    <w:rsid w:val="00824719"/>
    <w:rsid w:val="00824E47"/>
    <w:rsid w:val="00830D26"/>
    <w:rsid w:val="0083137F"/>
    <w:rsid w:val="008313F8"/>
    <w:rsid w:val="00831BEB"/>
    <w:rsid w:val="00831CDB"/>
    <w:rsid w:val="00832223"/>
    <w:rsid w:val="008323CD"/>
    <w:rsid w:val="00832D4A"/>
    <w:rsid w:val="00835457"/>
    <w:rsid w:val="008356DB"/>
    <w:rsid w:val="00835E65"/>
    <w:rsid w:val="00836140"/>
    <w:rsid w:val="0083658D"/>
    <w:rsid w:val="008372F7"/>
    <w:rsid w:val="00837336"/>
    <w:rsid w:val="00837661"/>
    <w:rsid w:val="00837F8C"/>
    <w:rsid w:val="0084261C"/>
    <w:rsid w:val="00842919"/>
    <w:rsid w:val="0084324A"/>
    <w:rsid w:val="008452D9"/>
    <w:rsid w:val="00846467"/>
    <w:rsid w:val="00846AAB"/>
    <w:rsid w:val="00850303"/>
    <w:rsid w:val="008505E6"/>
    <w:rsid w:val="008510FC"/>
    <w:rsid w:val="008526E8"/>
    <w:rsid w:val="00852B5D"/>
    <w:rsid w:val="00853CF6"/>
    <w:rsid w:val="008540B7"/>
    <w:rsid w:val="008549C4"/>
    <w:rsid w:val="008557E8"/>
    <w:rsid w:val="00856EFC"/>
    <w:rsid w:val="00860528"/>
    <w:rsid w:val="00863BDE"/>
    <w:rsid w:val="008640B9"/>
    <w:rsid w:val="00865BB5"/>
    <w:rsid w:val="00865CB7"/>
    <w:rsid w:val="00865EA2"/>
    <w:rsid w:val="00866040"/>
    <w:rsid w:val="008663B1"/>
    <w:rsid w:val="008669CB"/>
    <w:rsid w:val="008710D4"/>
    <w:rsid w:val="00871C89"/>
    <w:rsid w:val="00872143"/>
    <w:rsid w:val="0087258E"/>
    <w:rsid w:val="008726CB"/>
    <w:rsid w:val="0087402F"/>
    <w:rsid w:val="00874402"/>
    <w:rsid w:val="00874894"/>
    <w:rsid w:val="00874E58"/>
    <w:rsid w:val="008751CA"/>
    <w:rsid w:val="008755BE"/>
    <w:rsid w:val="00875EF9"/>
    <w:rsid w:val="00877881"/>
    <w:rsid w:val="00877A5F"/>
    <w:rsid w:val="00877B1A"/>
    <w:rsid w:val="00881F47"/>
    <w:rsid w:val="00882F29"/>
    <w:rsid w:val="00883439"/>
    <w:rsid w:val="00885590"/>
    <w:rsid w:val="00885E20"/>
    <w:rsid w:val="00885EA7"/>
    <w:rsid w:val="00886E91"/>
    <w:rsid w:val="00890E30"/>
    <w:rsid w:val="00890F59"/>
    <w:rsid w:val="0089138C"/>
    <w:rsid w:val="00892D32"/>
    <w:rsid w:val="00892FFB"/>
    <w:rsid w:val="00894AD3"/>
    <w:rsid w:val="00894F25"/>
    <w:rsid w:val="0089515F"/>
    <w:rsid w:val="008954A8"/>
    <w:rsid w:val="00897B0B"/>
    <w:rsid w:val="008A0DF1"/>
    <w:rsid w:val="008A1679"/>
    <w:rsid w:val="008A1BCF"/>
    <w:rsid w:val="008A5BB0"/>
    <w:rsid w:val="008A5C79"/>
    <w:rsid w:val="008A63B4"/>
    <w:rsid w:val="008B02F1"/>
    <w:rsid w:val="008B063D"/>
    <w:rsid w:val="008B0EC9"/>
    <w:rsid w:val="008B2FE6"/>
    <w:rsid w:val="008B3CFE"/>
    <w:rsid w:val="008B513C"/>
    <w:rsid w:val="008B522C"/>
    <w:rsid w:val="008B58E8"/>
    <w:rsid w:val="008B6F4D"/>
    <w:rsid w:val="008B7835"/>
    <w:rsid w:val="008B7A21"/>
    <w:rsid w:val="008C2781"/>
    <w:rsid w:val="008C2BF5"/>
    <w:rsid w:val="008C2C2D"/>
    <w:rsid w:val="008C2CE3"/>
    <w:rsid w:val="008C3DF9"/>
    <w:rsid w:val="008C5F1E"/>
    <w:rsid w:val="008C70AE"/>
    <w:rsid w:val="008D0C91"/>
    <w:rsid w:val="008D0EB2"/>
    <w:rsid w:val="008D186A"/>
    <w:rsid w:val="008D1C21"/>
    <w:rsid w:val="008D3004"/>
    <w:rsid w:val="008D3493"/>
    <w:rsid w:val="008D3E24"/>
    <w:rsid w:val="008D61F9"/>
    <w:rsid w:val="008D688F"/>
    <w:rsid w:val="008D6952"/>
    <w:rsid w:val="008D74B7"/>
    <w:rsid w:val="008D77AE"/>
    <w:rsid w:val="008E11A0"/>
    <w:rsid w:val="008E2239"/>
    <w:rsid w:val="008E5268"/>
    <w:rsid w:val="008E5EFF"/>
    <w:rsid w:val="008E5F49"/>
    <w:rsid w:val="008E62A1"/>
    <w:rsid w:val="008E698B"/>
    <w:rsid w:val="008E6D88"/>
    <w:rsid w:val="008F0664"/>
    <w:rsid w:val="008F091E"/>
    <w:rsid w:val="008F3803"/>
    <w:rsid w:val="008F404E"/>
    <w:rsid w:val="008F6CE4"/>
    <w:rsid w:val="008F7696"/>
    <w:rsid w:val="008F7EBE"/>
    <w:rsid w:val="00902F2B"/>
    <w:rsid w:val="009033DA"/>
    <w:rsid w:val="009033E7"/>
    <w:rsid w:val="00903A8B"/>
    <w:rsid w:val="00905AC2"/>
    <w:rsid w:val="009066FF"/>
    <w:rsid w:val="00906E1E"/>
    <w:rsid w:val="0090770D"/>
    <w:rsid w:val="00907DBA"/>
    <w:rsid w:val="00910128"/>
    <w:rsid w:val="00911A13"/>
    <w:rsid w:val="00913027"/>
    <w:rsid w:val="009130CE"/>
    <w:rsid w:val="00913BA1"/>
    <w:rsid w:val="009142BC"/>
    <w:rsid w:val="0091506C"/>
    <w:rsid w:val="00915DCC"/>
    <w:rsid w:val="00916B32"/>
    <w:rsid w:val="00917790"/>
    <w:rsid w:val="009177F4"/>
    <w:rsid w:val="00917B5A"/>
    <w:rsid w:val="00920476"/>
    <w:rsid w:val="00920873"/>
    <w:rsid w:val="00922330"/>
    <w:rsid w:val="00922F03"/>
    <w:rsid w:val="00924888"/>
    <w:rsid w:val="0092603D"/>
    <w:rsid w:val="009261BC"/>
    <w:rsid w:val="009263FF"/>
    <w:rsid w:val="009266F4"/>
    <w:rsid w:val="00926996"/>
    <w:rsid w:val="0093044E"/>
    <w:rsid w:val="0093192D"/>
    <w:rsid w:val="0093559E"/>
    <w:rsid w:val="00935D7E"/>
    <w:rsid w:val="0093611F"/>
    <w:rsid w:val="009373F9"/>
    <w:rsid w:val="00937FFB"/>
    <w:rsid w:val="00940699"/>
    <w:rsid w:val="00940765"/>
    <w:rsid w:val="009414C6"/>
    <w:rsid w:val="00942007"/>
    <w:rsid w:val="009422FE"/>
    <w:rsid w:val="0094519A"/>
    <w:rsid w:val="0094564E"/>
    <w:rsid w:val="00945DC1"/>
    <w:rsid w:val="00945E04"/>
    <w:rsid w:val="0094615B"/>
    <w:rsid w:val="00950367"/>
    <w:rsid w:val="0095054F"/>
    <w:rsid w:val="00953035"/>
    <w:rsid w:val="0095444B"/>
    <w:rsid w:val="00955056"/>
    <w:rsid w:val="009559AE"/>
    <w:rsid w:val="00955C0A"/>
    <w:rsid w:val="0095790A"/>
    <w:rsid w:val="00961BDC"/>
    <w:rsid w:val="00961CA9"/>
    <w:rsid w:val="00965BDD"/>
    <w:rsid w:val="00966D99"/>
    <w:rsid w:val="00967A90"/>
    <w:rsid w:val="009701C3"/>
    <w:rsid w:val="00972099"/>
    <w:rsid w:val="00972F58"/>
    <w:rsid w:val="00973D44"/>
    <w:rsid w:val="009742D2"/>
    <w:rsid w:val="00974C3E"/>
    <w:rsid w:val="00974FCC"/>
    <w:rsid w:val="00975DA5"/>
    <w:rsid w:val="0097749D"/>
    <w:rsid w:val="00980E74"/>
    <w:rsid w:val="0098176E"/>
    <w:rsid w:val="00982013"/>
    <w:rsid w:val="00983560"/>
    <w:rsid w:val="00984C7A"/>
    <w:rsid w:val="00985084"/>
    <w:rsid w:val="0098707C"/>
    <w:rsid w:val="009906A2"/>
    <w:rsid w:val="00990FBE"/>
    <w:rsid w:val="0099101B"/>
    <w:rsid w:val="009916A6"/>
    <w:rsid w:val="00991B17"/>
    <w:rsid w:val="00992498"/>
    <w:rsid w:val="00992681"/>
    <w:rsid w:val="009933DA"/>
    <w:rsid w:val="00994686"/>
    <w:rsid w:val="009946F6"/>
    <w:rsid w:val="00994EA0"/>
    <w:rsid w:val="00996D65"/>
    <w:rsid w:val="00997068"/>
    <w:rsid w:val="009A0419"/>
    <w:rsid w:val="009A197E"/>
    <w:rsid w:val="009A1DA6"/>
    <w:rsid w:val="009A3D10"/>
    <w:rsid w:val="009A4970"/>
    <w:rsid w:val="009A527D"/>
    <w:rsid w:val="009A5364"/>
    <w:rsid w:val="009A5452"/>
    <w:rsid w:val="009A5CB7"/>
    <w:rsid w:val="009A7B53"/>
    <w:rsid w:val="009A7BE6"/>
    <w:rsid w:val="009B0A6B"/>
    <w:rsid w:val="009B14F6"/>
    <w:rsid w:val="009B21A8"/>
    <w:rsid w:val="009B2377"/>
    <w:rsid w:val="009B27E1"/>
    <w:rsid w:val="009B356C"/>
    <w:rsid w:val="009B4736"/>
    <w:rsid w:val="009B5567"/>
    <w:rsid w:val="009B7473"/>
    <w:rsid w:val="009B7736"/>
    <w:rsid w:val="009C0308"/>
    <w:rsid w:val="009C09F6"/>
    <w:rsid w:val="009C0C59"/>
    <w:rsid w:val="009C103F"/>
    <w:rsid w:val="009C26E9"/>
    <w:rsid w:val="009C315B"/>
    <w:rsid w:val="009C3229"/>
    <w:rsid w:val="009C5187"/>
    <w:rsid w:val="009C6897"/>
    <w:rsid w:val="009C6992"/>
    <w:rsid w:val="009D1BB3"/>
    <w:rsid w:val="009D2E41"/>
    <w:rsid w:val="009D3A55"/>
    <w:rsid w:val="009D462C"/>
    <w:rsid w:val="009D4852"/>
    <w:rsid w:val="009D48B4"/>
    <w:rsid w:val="009D4E89"/>
    <w:rsid w:val="009D513E"/>
    <w:rsid w:val="009D6088"/>
    <w:rsid w:val="009D64FC"/>
    <w:rsid w:val="009D7A33"/>
    <w:rsid w:val="009E0BD1"/>
    <w:rsid w:val="009E10EF"/>
    <w:rsid w:val="009E1775"/>
    <w:rsid w:val="009E1D3F"/>
    <w:rsid w:val="009E2ABA"/>
    <w:rsid w:val="009E485A"/>
    <w:rsid w:val="009E48D9"/>
    <w:rsid w:val="009E5B39"/>
    <w:rsid w:val="009E6B41"/>
    <w:rsid w:val="009E73ED"/>
    <w:rsid w:val="009E7736"/>
    <w:rsid w:val="009F03D9"/>
    <w:rsid w:val="009F0E9C"/>
    <w:rsid w:val="009F1A30"/>
    <w:rsid w:val="009F1AAC"/>
    <w:rsid w:val="009F30E4"/>
    <w:rsid w:val="009F4FFF"/>
    <w:rsid w:val="009F6B69"/>
    <w:rsid w:val="009F6BC0"/>
    <w:rsid w:val="009F7895"/>
    <w:rsid w:val="00A00C01"/>
    <w:rsid w:val="00A01BD6"/>
    <w:rsid w:val="00A03052"/>
    <w:rsid w:val="00A03DF1"/>
    <w:rsid w:val="00A04043"/>
    <w:rsid w:val="00A0466F"/>
    <w:rsid w:val="00A04AB3"/>
    <w:rsid w:val="00A05F82"/>
    <w:rsid w:val="00A062CF"/>
    <w:rsid w:val="00A065EF"/>
    <w:rsid w:val="00A10ECB"/>
    <w:rsid w:val="00A1156E"/>
    <w:rsid w:val="00A11DE0"/>
    <w:rsid w:val="00A12BBC"/>
    <w:rsid w:val="00A137C1"/>
    <w:rsid w:val="00A147A6"/>
    <w:rsid w:val="00A153D8"/>
    <w:rsid w:val="00A15EFA"/>
    <w:rsid w:val="00A16771"/>
    <w:rsid w:val="00A2135D"/>
    <w:rsid w:val="00A222FC"/>
    <w:rsid w:val="00A2639B"/>
    <w:rsid w:val="00A277D3"/>
    <w:rsid w:val="00A32304"/>
    <w:rsid w:val="00A328F8"/>
    <w:rsid w:val="00A344DD"/>
    <w:rsid w:val="00A36665"/>
    <w:rsid w:val="00A36996"/>
    <w:rsid w:val="00A400E4"/>
    <w:rsid w:val="00A40CDD"/>
    <w:rsid w:val="00A41861"/>
    <w:rsid w:val="00A41C88"/>
    <w:rsid w:val="00A4442D"/>
    <w:rsid w:val="00A44623"/>
    <w:rsid w:val="00A447D0"/>
    <w:rsid w:val="00A465C9"/>
    <w:rsid w:val="00A47BDF"/>
    <w:rsid w:val="00A505AD"/>
    <w:rsid w:val="00A50E2F"/>
    <w:rsid w:val="00A5160E"/>
    <w:rsid w:val="00A5408B"/>
    <w:rsid w:val="00A5497F"/>
    <w:rsid w:val="00A5711B"/>
    <w:rsid w:val="00A57279"/>
    <w:rsid w:val="00A57284"/>
    <w:rsid w:val="00A57E6E"/>
    <w:rsid w:val="00A57F18"/>
    <w:rsid w:val="00A6050C"/>
    <w:rsid w:val="00A649AA"/>
    <w:rsid w:val="00A661EF"/>
    <w:rsid w:val="00A6683B"/>
    <w:rsid w:val="00A66A5B"/>
    <w:rsid w:val="00A67265"/>
    <w:rsid w:val="00A70CC2"/>
    <w:rsid w:val="00A7141E"/>
    <w:rsid w:val="00A71CEA"/>
    <w:rsid w:val="00A721C5"/>
    <w:rsid w:val="00A72A60"/>
    <w:rsid w:val="00A7319B"/>
    <w:rsid w:val="00A73764"/>
    <w:rsid w:val="00A74D24"/>
    <w:rsid w:val="00A75736"/>
    <w:rsid w:val="00A76B6B"/>
    <w:rsid w:val="00A77129"/>
    <w:rsid w:val="00A774FF"/>
    <w:rsid w:val="00A80148"/>
    <w:rsid w:val="00A80CC4"/>
    <w:rsid w:val="00A813EF"/>
    <w:rsid w:val="00A81947"/>
    <w:rsid w:val="00A830A9"/>
    <w:rsid w:val="00A83133"/>
    <w:rsid w:val="00A840CD"/>
    <w:rsid w:val="00A84B80"/>
    <w:rsid w:val="00A86034"/>
    <w:rsid w:val="00A863D2"/>
    <w:rsid w:val="00A86844"/>
    <w:rsid w:val="00A86A1A"/>
    <w:rsid w:val="00A86A59"/>
    <w:rsid w:val="00A87560"/>
    <w:rsid w:val="00A87D24"/>
    <w:rsid w:val="00A905BB"/>
    <w:rsid w:val="00A90BF1"/>
    <w:rsid w:val="00A90CF5"/>
    <w:rsid w:val="00A92C6C"/>
    <w:rsid w:val="00A94B9A"/>
    <w:rsid w:val="00A96C0B"/>
    <w:rsid w:val="00A973E7"/>
    <w:rsid w:val="00A97524"/>
    <w:rsid w:val="00A976DA"/>
    <w:rsid w:val="00A97888"/>
    <w:rsid w:val="00A97F1A"/>
    <w:rsid w:val="00AA1F4A"/>
    <w:rsid w:val="00AA2483"/>
    <w:rsid w:val="00AA46AD"/>
    <w:rsid w:val="00AA49A2"/>
    <w:rsid w:val="00AA56AA"/>
    <w:rsid w:val="00AA5732"/>
    <w:rsid w:val="00AA6232"/>
    <w:rsid w:val="00AA68E9"/>
    <w:rsid w:val="00AA7728"/>
    <w:rsid w:val="00AB0170"/>
    <w:rsid w:val="00AB1062"/>
    <w:rsid w:val="00AB1755"/>
    <w:rsid w:val="00AB4E30"/>
    <w:rsid w:val="00AC0360"/>
    <w:rsid w:val="00AC14D0"/>
    <w:rsid w:val="00AC2A53"/>
    <w:rsid w:val="00AC3483"/>
    <w:rsid w:val="00AC485C"/>
    <w:rsid w:val="00AC5ADA"/>
    <w:rsid w:val="00AC5ECE"/>
    <w:rsid w:val="00AD2751"/>
    <w:rsid w:val="00AD2CD2"/>
    <w:rsid w:val="00AD4CE5"/>
    <w:rsid w:val="00AD62E2"/>
    <w:rsid w:val="00AD772B"/>
    <w:rsid w:val="00AD7BA8"/>
    <w:rsid w:val="00AD7C22"/>
    <w:rsid w:val="00AE1E3E"/>
    <w:rsid w:val="00AE214A"/>
    <w:rsid w:val="00AE2B5E"/>
    <w:rsid w:val="00AE2E16"/>
    <w:rsid w:val="00AE3B1C"/>
    <w:rsid w:val="00AE4641"/>
    <w:rsid w:val="00AE5132"/>
    <w:rsid w:val="00AF078B"/>
    <w:rsid w:val="00AF0D46"/>
    <w:rsid w:val="00AF205A"/>
    <w:rsid w:val="00AF20FE"/>
    <w:rsid w:val="00AF298A"/>
    <w:rsid w:val="00AF2A87"/>
    <w:rsid w:val="00AF58DE"/>
    <w:rsid w:val="00AF7121"/>
    <w:rsid w:val="00B0010C"/>
    <w:rsid w:val="00B05826"/>
    <w:rsid w:val="00B06961"/>
    <w:rsid w:val="00B1010A"/>
    <w:rsid w:val="00B11218"/>
    <w:rsid w:val="00B115AE"/>
    <w:rsid w:val="00B11AD0"/>
    <w:rsid w:val="00B11EC0"/>
    <w:rsid w:val="00B1292A"/>
    <w:rsid w:val="00B1329D"/>
    <w:rsid w:val="00B13447"/>
    <w:rsid w:val="00B13E5E"/>
    <w:rsid w:val="00B147D3"/>
    <w:rsid w:val="00B15790"/>
    <w:rsid w:val="00B17AA2"/>
    <w:rsid w:val="00B2046F"/>
    <w:rsid w:val="00B21094"/>
    <w:rsid w:val="00B2220E"/>
    <w:rsid w:val="00B22EAF"/>
    <w:rsid w:val="00B22F04"/>
    <w:rsid w:val="00B231E1"/>
    <w:rsid w:val="00B23288"/>
    <w:rsid w:val="00B2350D"/>
    <w:rsid w:val="00B235CB"/>
    <w:rsid w:val="00B23796"/>
    <w:rsid w:val="00B2507A"/>
    <w:rsid w:val="00B25D98"/>
    <w:rsid w:val="00B265FC"/>
    <w:rsid w:val="00B26C36"/>
    <w:rsid w:val="00B315C9"/>
    <w:rsid w:val="00B31B3C"/>
    <w:rsid w:val="00B3326A"/>
    <w:rsid w:val="00B3516C"/>
    <w:rsid w:val="00B36FEE"/>
    <w:rsid w:val="00B40F5E"/>
    <w:rsid w:val="00B41434"/>
    <w:rsid w:val="00B41647"/>
    <w:rsid w:val="00B42CF6"/>
    <w:rsid w:val="00B451AA"/>
    <w:rsid w:val="00B45A9A"/>
    <w:rsid w:val="00B4626C"/>
    <w:rsid w:val="00B46420"/>
    <w:rsid w:val="00B4642D"/>
    <w:rsid w:val="00B465CD"/>
    <w:rsid w:val="00B472EF"/>
    <w:rsid w:val="00B47C13"/>
    <w:rsid w:val="00B50A50"/>
    <w:rsid w:val="00B50C90"/>
    <w:rsid w:val="00B550C6"/>
    <w:rsid w:val="00B55B8D"/>
    <w:rsid w:val="00B55D8F"/>
    <w:rsid w:val="00B57FB0"/>
    <w:rsid w:val="00B605FE"/>
    <w:rsid w:val="00B616EE"/>
    <w:rsid w:val="00B61786"/>
    <w:rsid w:val="00B62752"/>
    <w:rsid w:val="00B62E1F"/>
    <w:rsid w:val="00B636B4"/>
    <w:rsid w:val="00B649CC"/>
    <w:rsid w:val="00B65011"/>
    <w:rsid w:val="00B66C6A"/>
    <w:rsid w:val="00B705D6"/>
    <w:rsid w:val="00B70DB2"/>
    <w:rsid w:val="00B717BF"/>
    <w:rsid w:val="00B71BBE"/>
    <w:rsid w:val="00B73772"/>
    <w:rsid w:val="00B74E5E"/>
    <w:rsid w:val="00B75023"/>
    <w:rsid w:val="00B753D8"/>
    <w:rsid w:val="00B75DDD"/>
    <w:rsid w:val="00B76F6A"/>
    <w:rsid w:val="00B776E5"/>
    <w:rsid w:val="00B801D4"/>
    <w:rsid w:val="00B824CB"/>
    <w:rsid w:val="00B83714"/>
    <w:rsid w:val="00B83D11"/>
    <w:rsid w:val="00B859B3"/>
    <w:rsid w:val="00B866B3"/>
    <w:rsid w:val="00B87B3C"/>
    <w:rsid w:val="00B87E9C"/>
    <w:rsid w:val="00B9008A"/>
    <w:rsid w:val="00B90857"/>
    <w:rsid w:val="00B9105A"/>
    <w:rsid w:val="00B915D5"/>
    <w:rsid w:val="00B91921"/>
    <w:rsid w:val="00B92D27"/>
    <w:rsid w:val="00B92F91"/>
    <w:rsid w:val="00B933C7"/>
    <w:rsid w:val="00B9365D"/>
    <w:rsid w:val="00B939B1"/>
    <w:rsid w:val="00B959A7"/>
    <w:rsid w:val="00B961EB"/>
    <w:rsid w:val="00B962F8"/>
    <w:rsid w:val="00B969B5"/>
    <w:rsid w:val="00B96E56"/>
    <w:rsid w:val="00B976B2"/>
    <w:rsid w:val="00BA045D"/>
    <w:rsid w:val="00BA0FBE"/>
    <w:rsid w:val="00BA193B"/>
    <w:rsid w:val="00BA22B3"/>
    <w:rsid w:val="00BA2745"/>
    <w:rsid w:val="00BA292D"/>
    <w:rsid w:val="00BA35B0"/>
    <w:rsid w:val="00BA37C4"/>
    <w:rsid w:val="00BA41F9"/>
    <w:rsid w:val="00BA4985"/>
    <w:rsid w:val="00BA733C"/>
    <w:rsid w:val="00BA7C50"/>
    <w:rsid w:val="00BB0893"/>
    <w:rsid w:val="00BB120A"/>
    <w:rsid w:val="00BB21D9"/>
    <w:rsid w:val="00BB23E4"/>
    <w:rsid w:val="00BB2ABD"/>
    <w:rsid w:val="00BB416C"/>
    <w:rsid w:val="00BB41DD"/>
    <w:rsid w:val="00BB4BF7"/>
    <w:rsid w:val="00BB57AF"/>
    <w:rsid w:val="00BB62C6"/>
    <w:rsid w:val="00BB72AA"/>
    <w:rsid w:val="00BB769C"/>
    <w:rsid w:val="00BB76CF"/>
    <w:rsid w:val="00BC0D5A"/>
    <w:rsid w:val="00BC1AD5"/>
    <w:rsid w:val="00BC1D64"/>
    <w:rsid w:val="00BC3CD0"/>
    <w:rsid w:val="00BC4CBD"/>
    <w:rsid w:val="00BC53C2"/>
    <w:rsid w:val="00BC599C"/>
    <w:rsid w:val="00BC6977"/>
    <w:rsid w:val="00BC7065"/>
    <w:rsid w:val="00BC7779"/>
    <w:rsid w:val="00BC7FED"/>
    <w:rsid w:val="00BD0653"/>
    <w:rsid w:val="00BD0C6F"/>
    <w:rsid w:val="00BD12F3"/>
    <w:rsid w:val="00BD1ACA"/>
    <w:rsid w:val="00BD35A1"/>
    <w:rsid w:val="00BD368B"/>
    <w:rsid w:val="00BD3C42"/>
    <w:rsid w:val="00BD3E7D"/>
    <w:rsid w:val="00BD430D"/>
    <w:rsid w:val="00BD5A7C"/>
    <w:rsid w:val="00BD673C"/>
    <w:rsid w:val="00BD6E1B"/>
    <w:rsid w:val="00BD7324"/>
    <w:rsid w:val="00BD74F1"/>
    <w:rsid w:val="00BD78A8"/>
    <w:rsid w:val="00BD7E96"/>
    <w:rsid w:val="00BE04B7"/>
    <w:rsid w:val="00BE061E"/>
    <w:rsid w:val="00BE06A4"/>
    <w:rsid w:val="00BE138E"/>
    <w:rsid w:val="00BE13F8"/>
    <w:rsid w:val="00BE1845"/>
    <w:rsid w:val="00BE3CE3"/>
    <w:rsid w:val="00BE3D81"/>
    <w:rsid w:val="00BE442A"/>
    <w:rsid w:val="00BE53CB"/>
    <w:rsid w:val="00BE570B"/>
    <w:rsid w:val="00BE594A"/>
    <w:rsid w:val="00BE6EEA"/>
    <w:rsid w:val="00BE7344"/>
    <w:rsid w:val="00BE7996"/>
    <w:rsid w:val="00BF0306"/>
    <w:rsid w:val="00BF098A"/>
    <w:rsid w:val="00BF1086"/>
    <w:rsid w:val="00BF1802"/>
    <w:rsid w:val="00BF2BDD"/>
    <w:rsid w:val="00BF3217"/>
    <w:rsid w:val="00BF35A0"/>
    <w:rsid w:val="00BF38AA"/>
    <w:rsid w:val="00BF40A4"/>
    <w:rsid w:val="00BF4619"/>
    <w:rsid w:val="00BF49AF"/>
    <w:rsid w:val="00BF50EE"/>
    <w:rsid w:val="00BF5407"/>
    <w:rsid w:val="00BF562D"/>
    <w:rsid w:val="00BF657D"/>
    <w:rsid w:val="00C00015"/>
    <w:rsid w:val="00C0020F"/>
    <w:rsid w:val="00C0306E"/>
    <w:rsid w:val="00C038CB"/>
    <w:rsid w:val="00C03949"/>
    <w:rsid w:val="00C042DC"/>
    <w:rsid w:val="00C071A5"/>
    <w:rsid w:val="00C07849"/>
    <w:rsid w:val="00C10AFB"/>
    <w:rsid w:val="00C11906"/>
    <w:rsid w:val="00C1236A"/>
    <w:rsid w:val="00C12FA7"/>
    <w:rsid w:val="00C135D6"/>
    <w:rsid w:val="00C13A4A"/>
    <w:rsid w:val="00C13DF6"/>
    <w:rsid w:val="00C13F27"/>
    <w:rsid w:val="00C1438E"/>
    <w:rsid w:val="00C15F34"/>
    <w:rsid w:val="00C17BFF"/>
    <w:rsid w:val="00C204F9"/>
    <w:rsid w:val="00C207AB"/>
    <w:rsid w:val="00C2093E"/>
    <w:rsid w:val="00C212F4"/>
    <w:rsid w:val="00C21419"/>
    <w:rsid w:val="00C21B2A"/>
    <w:rsid w:val="00C22F30"/>
    <w:rsid w:val="00C239E7"/>
    <w:rsid w:val="00C23E33"/>
    <w:rsid w:val="00C243C6"/>
    <w:rsid w:val="00C2449C"/>
    <w:rsid w:val="00C2496B"/>
    <w:rsid w:val="00C25035"/>
    <w:rsid w:val="00C25433"/>
    <w:rsid w:val="00C2568C"/>
    <w:rsid w:val="00C2586C"/>
    <w:rsid w:val="00C2590B"/>
    <w:rsid w:val="00C25DF2"/>
    <w:rsid w:val="00C264A2"/>
    <w:rsid w:val="00C277AE"/>
    <w:rsid w:val="00C27912"/>
    <w:rsid w:val="00C27A35"/>
    <w:rsid w:val="00C27CB0"/>
    <w:rsid w:val="00C30437"/>
    <w:rsid w:val="00C30CDD"/>
    <w:rsid w:val="00C320AE"/>
    <w:rsid w:val="00C33064"/>
    <w:rsid w:val="00C33702"/>
    <w:rsid w:val="00C35D30"/>
    <w:rsid w:val="00C37681"/>
    <w:rsid w:val="00C416E4"/>
    <w:rsid w:val="00C416F8"/>
    <w:rsid w:val="00C44CAE"/>
    <w:rsid w:val="00C44D74"/>
    <w:rsid w:val="00C4503D"/>
    <w:rsid w:val="00C45DB6"/>
    <w:rsid w:val="00C47B4C"/>
    <w:rsid w:val="00C5076B"/>
    <w:rsid w:val="00C51165"/>
    <w:rsid w:val="00C52471"/>
    <w:rsid w:val="00C54A34"/>
    <w:rsid w:val="00C550D6"/>
    <w:rsid w:val="00C55572"/>
    <w:rsid w:val="00C56208"/>
    <w:rsid w:val="00C56416"/>
    <w:rsid w:val="00C56B57"/>
    <w:rsid w:val="00C56DEF"/>
    <w:rsid w:val="00C60314"/>
    <w:rsid w:val="00C60CF0"/>
    <w:rsid w:val="00C611C4"/>
    <w:rsid w:val="00C6139C"/>
    <w:rsid w:val="00C61CC3"/>
    <w:rsid w:val="00C63929"/>
    <w:rsid w:val="00C63AA8"/>
    <w:rsid w:val="00C63C53"/>
    <w:rsid w:val="00C66DD8"/>
    <w:rsid w:val="00C70870"/>
    <w:rsid w:val="00C709A1"/>
    <w:rsid w:val="00C71C2B"/>
    <w:rsid w:val="00C722DD"/>
    <w:rsid w:val="00C7369F"/>
    <w:rsid w:val="00C740F9"/>
    <w:rsid w:val="00C75BEB"/>
    <w:rsid w:val="00C77164"/>
    <w:rsid w:val="00C7783D"/>
    <w:rsid w:val="00C77954"/>
    <w:rsid w:val="00C8094D"/>
    <w:rsid w:val="00C8244B"/>
    <w:rsid w:val="00C82CD8"/>
    <w:rsid w:val="00C83698"/>
    <w:rsid w:val="00C83752"/>
    <w:rsid w:val="00C84053"/>
    <w:rsid w:val="00C85F40"/>
    <w:rsid w:val="00C85F80"/>
    <w:rsid w:val="00C8702B"/>
    <w:rsid w:val="00C87C98"/>
    <w:rsid w:val="00C91655"/>
    <w:rsid w:val="00C93A16"/>
    <w:rsid w:val="00C93E53"/>
    <w:rsid w:val="00C94743"/>
    <w:rsid w:val="00C94884"/>
    <w:rsid w:val="00C94AEF"/>
    <w:rsid w:val="00C953CD"/>
    <w:rsid w:val="00C9579D"/>
    <w:rsid w:val="00C9684B"/>
    <w:rsid w:val="00C9774C"/>
    <w:rsid w:val="00C97D56"/>
    <w:rsid w:val="00CA006F"/>
    <w:rsid w:val="00CA0073"/>
    <w:rsid w:val="00CA0478"/>
    <w:rsid w:val="00CA0A3D"/>
    <w:rsid w:val="00CA0BC1"/>
    <w:rsid w:val="00CA1595"/>
    <w:rsid w:val="00CA1BD7"/>
    <w:rsid w:val="00CA1BEF"/>
    <w:rsid w:val="00CA26CB"/>
    <w:rsid w:val="00CA32D8"/>
    <w:rsid w:val="00CA3E46"/>
    <w:rsid w:val="00CA4DE4"/>
    <w:rsid w:val="00CA4F0B"/>
    <w:rsid w:val="00CA58EB"/>
    <w:rsid w:val="00CA5CD3"/>
    <w:rsid w:val="00CA5E5A"/>
    <w:rsid w:val="00CA61E6"/>
    <w:rsid w:val="00CA63B6"/>
    <w:rsid w:val="00CA722A"/>
    <w:rsid w:val="00CB0BA6"/>
    <w:rsid w:val="00CB0C80"/>
    <w:rsid w:val="00CB160E"/>
    <w:rsid w:val="00CB4820"/>
    <w:rsid w:val="00CB6D24"/>
    <w:rsid w:val="00CB7057"/>
    <w:rsid w:val="00CB7229"/>
    <w:rsid w:val="00CB7D2E"/>
    <w:rsid w:val="00CC09A0"/>
    <w:rsid w:val="00CC0E22"/>
    <w:rsid w:val="00CC1F05"/>
    <w:rsid w:val="00CC2822"/>
    <w:rsid w:val="00CC357A"/>
    <w:rsid w:val="00CC4A53"/>
    <w:rsid w:val="00CC5282"/>
    <w:rsid w:val="00CC5ED5"/>
    <w:rsid w:val="00CC62FB"/>
    <w:rsid w:val="00CC77E5"/>
    <w:rsid w:val="00CD047F"/>
    <w:rsid w:val="00CD05BA"/>
    <w:rsid w:val="00CD2762"/>
    <w:rsid w:val="00CD5DE0"/>
    <w:rsid w:val="00CD66DA"/>
    <w:rsid w:val="00CD7C10"/>
    <w:rsid w:val="00CE0675"/>
    <w:rsid w:val="00CE2A9E"/>
    <w:rsid w:val="00CE2F7F"/>
    <w:rsid w:val="00CE3BC9"/>
    <w:rsid w:val="00CE4699"/>
    <w:rsid w:val="00CE4D45"/>
    <w:rsid w:val="00CE4EDA"/>
    <w:rsid w:val="00CE5CA0"/>
    <w:rsid w:val="00CF0B7D"/>
    <w:rsid w:val="00CF1BD9"/>
    <w:rsid w:val="00CF2451"/>
    <w:rsid w:val="00CF3379"/>
    <w:rsid w:val="00CF3CFA"/>
    <w:rsid w:val="00CF5A78"/>
    <w:rsid w:val="00CF6E19"/>
    <w:rsid w:val="00CF7D77"/>
    <w:rsid w:val="00CF7E68"/>
    <w:rsid w:val="00D000DD"/>
    <w:rsid w:val="00D024DE"/>
    <w:rsid w:val="00D028FA"/>
    <w:rsid w:val="00D0361E"/>
    <w:rsid w:val="00D04325"/>
    <w:rsid w:val="00D048B7"/>
    <w:rsid w:val="00D04B7E"/>
    <w:rsid w:val="00D066E3"/>
    <w:rsid w:val="00D06E43"/>
    <w:rsid w:val="00D07C25"/>
    <w:rsid w:val="00D12FE9"/>
    <w:rsid w:val="00D13DAC"/>
    <w:rsid w:val="00D1488D"/>
    <w:rsid w:val="00D1588D"/>
    <w:rsid w:val="00D16526"/>
    <w:rsid w:val="00D17590"/>
    <w:rsid w:val="00D17712"/>
    <w:rsid w:val="00D2043E"/>
    <w:rsid w:val="00D21100"/>
    <w:rsid w:val="00D23AA5"/>
    <w:rsid w:val="00D24081"/>
    <w:rsid w:val="00D247AC"/>
    <w:rsid w:val="00D24BC7"/>
    <w:rsid w:val="00D25306"/>
    <w:rsid w:val="00D25531"/>
    <w:rsid w:val="00D26BD9"/>
    <w:rsid w:val="00D279F9"/>
    <w:rsid w:val="00D27AB0"/>
    <w:rsid w:val="00D27D0C"/>
    <w:rsid w:val="00D30434"/>
    <w:rsid w:val="00D309F7"/>
    <w:rsid w:val="00D30E8C"/>
    <w:rsid w:val="00D318DE"/>
    <w:rsid w:val="00D3234B"/>
    <w:rsid w:val="00D32683"/>
    <w:rsid w:val="00D33218"/>
    <w:rsid w:val="00D3348C"/>
    <w:rsid w:val="00D340DF"/>
    <w:rsid w:val="00D35022"/>
    <w:rsid w:val="00D35FFD"/>
    <w:rsid w:val="00D366B4"/>
    <w:rsid w:val="00D401D6"/>
    <w:rsid w:val="00D41B82"/>
    <w:rsid w:val="00D424A5"/>
    <w:rsid w:val="00D4476E"/>
    <w:rsid w:val="00D44F0B"/>
    <w:rsid w:val="00D46256"/>
    <w:rsid w:val="00D46F63"/>
    <w:rsid w:val="00D46FE1"/>
    <w:rsid w:val="00D47AB0"/>
    <w:rsid w:val="00D47B64"/>
    <w:rsid w:val="00D50BB2"/>
    <w:rsid w:val="00D51788"/>
    <w:rsid w:val="00D51E6C"/>
    <w:rsid w:val="00D53839"/>
    <w:rsid w:val="00D6363C"/>
    <w:rsid w:val="00D6388D"/>
    <w:rsid w:val="00D64BA8"/>
    <w:rsid w:val="00D65BD9"/>
    <w:rsid w:val="00D665EE"/>
    <w:rsid w:val="00D66666"/>
    <w:rsid w:val="00D66AC4"/>
    <w:rsid w:val="00D66DB7"/>
    <w:rsid w:val="00D671DC"/>
    <w:rsid w:val="00D7043A"/>
    <w:rsid w:val="00D7079B"/>
    <w:rsid w:val="00D7090B"/>
    <w:rsid w:val="00D70985"/>
    <w:rsid w:val="00D71892"/>
    <w:rsid w:val="00D71A49"/>
    <w:rsid w:val="00D71F9F"/>
    <w:rsid w:val="00D72679"/>
    <w:rsid w:val="00D7522B"/>
    <w:rsid w:val="00D7569A"/>
    <w:rsid w:val="00D759E7"/>
    <w:rsid w:val="00D80421"/>
    <w:rsid w:val="00D80D03"/>
    <w:rsid w:val="00D81782"/>
    <w:rsid w:val="00D818A4"/>
    <w:rsid w:val="00D81F4E"/>
    <w:rsid w:val="00D8249D"/>
    <w:rsid w:val="00D8287E"/>
    <w:rsid w:val="00D82EB0"/>
    <w:rsid w:val="00D84459"/>
    <w:rsid w:val="00D85022"/>
    <w:rsid w:val="00D8526C"/>
    <w:rsid w:val="00D85469"/>
    <w:rsid w:val="00D8601C"/>
    <w:rsid w:val="00D871CC"/>
    <w:rsid w:val="00D87316"/>
    <w:rsid w:val="00D87C81"/>
    <w:rsid w:val="00D91868"/>
    <w:rsid w:val="00D9198B"/>
    <w:rsid w:val="00D93755"/>
    <w:rsid w:val="00D93D44"/>
    <w:rsid w:val="00D94771"/>
    <w:rsid w:val="00D95AEB"/>
    <w:rsid w:val="00D96883"/>
    <w:rsid w:val="00D96E52"/>
    <w:rsid w:val="00D97354"/>
    <w:rsid w:val="00DA0F83"/>
    <w:rsid w:val="00DA30BB"/>
    <w:rsid w:val="00DA32CE"/>
    <w:rsid w:val="00DA3709"/>
    <w:rsid w:val="00DA38AA"/>
    <w:rsid w:val="00DA4EA4"/>
    <w:rsid w:val="00DA56B0"/>
    <w:rsid w:val="00DA5EB9"/>
    <w:rsid w:val="00DA674E"/>
    <w:rsid w:val="00DA6884"/>
    <w:rsid w:val="00DA71FD"/>
    <w:rsid w:val="00DB10FF"/>
    <w:rsid w:val="00DB1F65"/>
    <w:rsid w:val="00DB239F"/>
    <w:rsid w:val="00DB38BD"/>
    <w:rsid w:val="00DB3E3A"/>
    <w:rsid w:val="00DB413F"/>
    <w:rsid w:val="00DB5207"/>
    <w:rsid w:val="00DB5495"/>
    <w:rsid w:val="00DB653E"/>
    <w:rsid w:val="00DB751C"/>
    <w:rsid w:val="00DB79FC"/>
    <w:rsid w:val="00DC1B9A"/>
    <w:rsid w:val="00DC2A92"/>
    <w:rsid w:val="00DC3A02"/>
    <w:rsid w:val="00DC3E2F"/>
    <w:rsid w:val="00DC43CC"/>
    <w:rsid w:val="00DC446A"/>
    <w:rsid w:val="00DC483D"/>
    <w:rsid w:val="00DC484A"/>
    <w:rsid w:val="00DC48DA"/>
    <w:rsid w:val="00DC4AA4"/>
    <w:rsid w:val="00DC5622"/>
    <w:rsid w:val="00DC5A37"/>
    <w:rsid w:val="00DD181B"/>
    <w:rsid w:val="00DD1CC2"/>
    <w:rsid w:val="00DD23D7"/>
    <w:rsid w:val="00DD390E"/>
    <w:rsid w:val="00DD3BC0"/>
    <w:rsid w:val="00DD543C"/>
    <w:rsid w:val="00DD5A29"/>
    <w:rsid w:val="00DD68AA"/>
    <w:rsid w:val="00DD70D8"/>
    <w:rsid w:val="00DD79E6"/>
    <w:rsid w:val="00DE0564"/>
    <w:rsid w:val="00DE112E"/>
    <w:rsid w:val="00DE2DB0"/>
    <w:rsid w:val="00DE3C05"/>
    <w:rsid w:val="00DE4632"/>
    <w:rsid w:val="00DE5FB5"/>
    <w:rsid w:val="00DF0339"/>
    <w:rsid w:val="00DF196F"/>
    <w:rsid w:val="00DF2E3A"/>
    <w:rsid w:val="00DF337A"/>
    <w:rsid w:val="00DF3426"/>
    <w:rsid w:val="00DF400C"/>
    <w:rsid w:val="00DF48BE"/>
    <w:rsid w:val="00DF59FB"/>
    <w:rsid w:val="00DF713C"/>
    <w:rsid w:val="00E00595"/>
    <w:rsid w:val="00E00C6E"/>
    <w:rsid w:val="00E01CC6"/>
    <w:rsid w:val="00E04DAC"/>
    <w:rsid w:val="00E05A3A"/>
    <w:rsid w:val="00E07295"/>
    <w:rsid w:val="00E07D90"/>
    <w:rsid w:val="00E12B57"/>
    <w:rsid w:val="00E13E8B"/>
    <w:rsid w:val="00E142ED"/>
    <w:rsid w:val="00E14705"/>
    <w:rsid w:val="00E14970"/>
    <w:rsid w:val="00E14B71"/>
    <w:rsid w:val="00E16C65"/>
    <w:rsid w:val="00E173D1"/>
    <w:rsid w:val="00E17AF7"/>
    <w:rsid w:val="00E20F68"/>
    <w:rsid w:val="00E21BE4"/>
    <w:rsid w:val="00E24766"/>
    <w:rsid w:val="00E2516F"/>
    <w:rsid w:val="00E2546C"/>
    <w:rsid w:val="00E25A14"/>
    <w:rsid w:val="00E25B60"/>
    <w:rsid w:val="00E26B8A"/>
    <w:rsid w:val="00E30113"/>
    <w:rsid w:val="00E30142"/>
    <w:rsid w:val="00E31D23"/>
    <w:rsid w:val="00E31D49"/>
    <w:rsid w:val="00E3226E"/>
    <w:rsid w:val="00E33F37"/>
    <w:rsid w:val="00E3440C"/>
    <w:rsid w:val="00E34B39"/>
    <w:rsid w:val="00E350ED"/>
    <w:rsid w:val="00E36737"/>
    <w:rsid w:val="00E377A8"/>
    <w:rsid w:val="00E378F4"/>
    <w:rsid w:val="00E41CAC"/>
    <w:rsid w:val="00E421B2"/>
    <w:rsid w:val="00E422A0"/>
    <w:rsid w:val="00E430EB"/>
    <w:rsid w:val="00E440B3"/>
    <w:rsid w:val="00E44187"/>
    <w:rsid w:val="00E44A31"/>
    <w:rsid w:val="00E44CC3"/>
    <w:rsid w:val="00E45FF7"/>
    <w:rsid w:val="00E475EE"/>
    <w:rsid w:val="00E51269"/>
    <w:rsid w:val="00E51FC0"/>
    <w:rsid w:val="00E520B5"/>
    <w:rsid w:val="00E52154"/>
    <w:rsid w:val="00E529FB"/>
    <w:rsid w:val="00E52F15"/>
    <w:rsid w:val="00E545F1"/>
    <w:rsid w:val="00E54C69"/>
    <w:rsid w:val="00E55737"/>
    <w:rsid w:val="00E570CB"/>
    <w:rsid w:val="00E5796D"/>
    <w:rsid w:val="00E60672"/>
    <w:rsid w:val="00E608F4"/>
    <w:rsid w:val="00E617B9"/>
    <w:rsid w:val="00E62990"/>
    <w:rsid w:val="00E64911"/>
    <w:rsid w:val="00E65674"/>
    <w:rsid w:val="00E67960"/>
    <w:rsid w:val="00E723F7"/>
    <w:rsid w:val="00E72E7F"/>
    <w:rsid w:val="00E7328F"/>
    <w:rsid w:val="00E73C8E"/>
    <w:rsid w:val="00E74726"/>
    <w:rsid w:val="00E7748F"/>
    <w:rsid w:val="00E77AA5"/>
    <w:rsid w:val="00E77DDF"/>
    <w:rsid w:val="00E80C56"/>
    <w:rsid w:val="00E82230"/>
    <w:rsid w:val="00E82543"/>
    <w:rsid w:val="00E868AE"/>
    <w:rsid w:val="00E87448"/>
    <w:rsid w:val="00E9121C"/>
    <w:rsid w:val="00E9386A"/>
    <w:rsid w:val="00E94C52"/>
    <w:rsid w:val="00E94D0E"/>
    <w:rsid w:val="00E94FA8"/>
    <w:rsid w:val="00E95A75"/>
    <w:rsid w:val="00E95FFD"/>
    <w:rsid w:val="00E96371"/>
    <w:rsid w:val="00E96E77"/>
    <w:rsid w:val="00E976C4"/>
    <w:rsid w:val="00E9786C"/>
    <w:rsid w:val="00E97E5B"/>
    <w:rsid w:val="00EA0E55"/>
    <w:rsid w:val="00EA2158"/>
    <w:rsid w:val="00EA4C02"/>
    <w:rsid w:val="00EA4ECD"/>
    <w:rsid w:val="00EA5AB2"/>
    <w:rsid w:val="00EA5CC6"/>
    <w:rsid w:val="00EA6640"/>
    <w:rsid w:val="00EA7861"/>
    <w:rsid w:val="00EA7DFD"/>
    <w:rsid w:val="00EB1A73"/>
    <w:rsid w:val="00EB3C7A"/>
    <w:rsid w:val="00EB3E85"/>
    <w:rsid w:val="00EB41F5"/>
    <w:rsid w:val="00EB4E2F"/>
    <w:rsid w:val="00EB607E"/>
    <w:rsid w:val="00EB6090"/>
    <w:rsid w:val="00EB71E7"/>
    <w:rsid w:val="00EB7520"/>
    <w:rsid w:val="00EC0029"/>
    <w:rsid w:val="00EC041B"/>
    <w:rsid w:val="00EC085A"/>
    <w:rsid w:val="00EC3A3C"/>
    <w:rsid w:val="00EC40F3"/>
    <w:rsid w:val="00EC4605"/>
    <w:rsid w:val="00EC4C86"/>
    <w:rsid w:val="00EC4CD1"/>
    <w:rsid w:val="00EC52C1"/>
    <w:rsid w:val="00EC6236"/>
    <w:rsid w:val="00EC6907"/>
    <w:rsid w:val="00EC7BA7"/>
    <w:rsid w:val="00ED006A"/>
    <w:rsid w:val="00ED1CB8"/>
    <w:rsid w:val="00ED34F9"/>
    <w:rsid w:val="00ED4E96"/>
    <w:rsid w:val="00ED723D"/>
    <w:rsid w:val="00ED73FB"/>
    <w:rsid w:val="00EE0CF3"/>
    <w:rsid w:val="00EE1371"/>
    <w:rsid w:val="00EE1B96"/>
    <w:rsid w:val="00EE2C7E"/>
    <w:rsid w:val="00EE5748"/>
    <w:rsid w:val="00EE5756"/>
    <w:rsid w:val="00EE68BA"/>
    <w:rsid w:val="00EE6BE5"/>
    <w:rsid w:val="00EE6E0F"/>
    <w:rsid w:val="00EE6FAA"/>
    <w:rsid w:val="00EF0C40"/>
    <w:rsid w:val="00EF1704"/>
    <w:rsid w:val="00EF2F00"/>
    <w:rsid w:val="00EF3342"/>
    <w:rsid w:val="00EF392E"/>
    <w:rsid w:val="00EF6031"/>
    <w:rsid w:val="00EF629A"/>
    <w:rsid w:val="00EF6539"/>
    <w:rsid w:val="00EF7046"/>
    <w:rsid w:val="00F02137"/>
    <w:rsid w:val="00F022CE"/>
    <w:rsid w:val="00F04441"/>
    <w:rsid w:val="00F04E3C"/>
    <w:rsid w:val="00F06A5A"/>
    <w:rsid w:val="00F07513"/>
    <w:rsid w:val="00F07A1E"/>
    <w:rsid w:val="00F121E1"/>
    <w:rsid w:val="00F130F1"/>
    <w:rsid w:val="00F15D9D"/>
    <w:rsid w:val="00F167F0"/>
    <w:rsid w:val="00F16B59"/>
    <w:rsid w:val="00F175B0"/>
    <w:rsid w:val="00F17AB1"/>
    <w:rsid w:val="00F17D86"/>
    <w:rsid w:val="00F20089"/>
    <w:rsid w:val="00F200A3"/>
    <w:rsid w:val="00F22592"/>
    <w:rsid w:val="00F2315A"/>
    <w:rsid w:val="00F2482C"/>
    <w:rsid w:val="00F25798"/>
    <w:rsid w:val="00F26047"/>
    <w:rsid w:val="00F26210"/>
    <w:rsid w:val="00F306D2"/>
    <w:rsid w:val="00F31910"/>
    <w:rsid w:val="00F35726"/>
    <w:rsid w:val="00F3620D"/>
    <w:rsid w:val="00F36EB6"/>
    <w:rsid w:val="00F3747B"/>
    <w:rsid w:val="00F379F0"/>
    <w:rsid w:val="00F41703"/>
    <w:rsid w:val="00F427B6"/>
    <w:rsid w:val="00F42876"/>
    <w:rsid w:val="00F42926"/>
    <w:rsid w:val="00F44205"/>
    <w:rsid w:val="00F442FE"/>
    <w:rsid w:val="00F44819"/>
    <w:rsid w:val="00F45C39"/>
    <w:rsid w:val="00F473F7"/>
    <w:rsid w:val="00F50EDD"/>
    <w:rsid w:val="00F5182E"/>
    <w:rsid w:val="00F53059"/>
    <w:rsid w:val="00F534A2"/>
    <w:rsid w:val="00F549DD"/>
    <w:rsid w:val="00F54F25"/>
    <w:rsid w:val="00F55479"/>
    <w:rsid w:val="00F56A97"/>
    <w:rsid w:val="00F57693"/>
    <w:rsid w:val="00F61274"/>
    <w:rsid w:val="00F62FE3"/>
    <w:rsid w:val="00F631E0"/>
    <w:rsid w:val="00F64046"/>
    <w:rsid w:val="00F64DB5"/>
    <w:rsid w:val="00F66526"/>
    <w:rsid w:val="00F70E4A"/>
    <w:rsid w:val="00F71A32"/>
    <w:rsid w:val="00F72722"/>
    <w:rsid w:val="00F73D86"/>
    <w:rsid w:val="00F74FB5"/>
    <w:rsid w:val="00F7540D"/>
    <w:rsid w:val="00F7566F"/>
    <w:rsid w:val="00F76313"/>
    <w:rsid w:val="00F80F6A"/>
    <w:rsid w:val="00F818EC"/>
    <w:rsid w:val="00F81B46"/>
    <w:rsid w:val="00F82B16"/>
    <w:rsid w:val="00F82F19"/>
    <w:rsid w:val="00F830BC"/>
    <w:rsid w:val="00F844BE"/>
    <w:rsid w:val="00F84685"/>
    <w:rsid w:val="00F84C46"/>
    <w:rsid w:val="00F84D3C"/>
    <w:rsid w:val="00F864BE"/>
    <w:rsid w:val="00F86DCC"/>
    <w:rsid w:val="00F878B7"/>
    <w:rsid w:val="00F908E1"/>
    <w:rsid w:val="00F91750"/>
    <w:rsid w:val="00F92692"/>
    <w:rsid w:val="00F93608"/>
    <w:rsid w:val="00F93F3E"/>
    <w:rsid w:val="00F944E8"/>
    <w:rsid w:val="00F95077"/>
    <w:rsid w:val="00F95C22"/>
    <w:rsid w:val="00F95D80"/>
    <w:rsid w:val="00F961DC"/>
    <w:rsid w:val="00F96ACA"/>
    <w:rsid w:val="00F97893"/>
    <w:rsid w:val="00F97C29"/>
    <w:rsid w:val="00F97ED8"/>
    <w:rsid w:val="00FA0F13"/>
    <w:rsid w:val="00FA176D"/>
    <w:rsid w:val="00FA4D14"/>
    <w:rsid w:val="00FA5E6D"/>
    <w:rsid w:val="00FA699B"/>
    <w:rsid w:val="00FA7889"/>
    <w:rsid w:val="00FA7C0F"/>
    <w:rsid w:val="00FB0138"/>
    <w:rsid w:val="00FB1202"/>
    <w:rsid w:val="00FB12DA"/>
    <w:rsid w:val="00FB268E"/>
    <w:rsid w:val="00FB2696"/>
    <w:rsid w:val="00FB3A50"/>
    <w:rsid w:val="00FB3ACC"/>
    <w:rsid w:val="00FB4E2A"/>
    <w:rsid w:val="00FB5A1D"/>
    <w:rsid w:val="00FC06CE"/>
    <w:rsid w:val="00FC165C"/>
    <w:rsid w:val="00FC3718"/>
    <w:rsid w:val="00FC3F0A"/>
    <w:rsid w:val="00FC3FD1"/>
    <w:rsid w:val="00FC45E2"/>
    <w:rsid w:val="00FC4B59"/>
    <w:rsid w:val="00FC5C4A"/>
    <w:rsid w:val="00FC7617"/>
    <w:rsid w:val="00FC778F"/>
    <w:rsid w:val="00FC7C8A"/>
    <w:rsid w:val="00FD2B8B"/>
    <w:rsid w:val="00FD361D"/>
    <w:rsid w:val="00FD4390"/>
    <w:rsid w:val="00FD449A"/>
    <w:rsid w:val="00FD45DC"/>
    <w:rsid w:val="00FD46C4"/>
    <w:rsid w:val="00FD4F3D"/>
    <w:rsid w:val="00FD53E7"/>
    <w:rsid w:val="00FD57C5"/>
    <w:rsid w:val="00FD64BC"/>
    <w:rsid w:val="00FD725B"/>
    <w:rsid w:val="00FD7BB9"/>
    <w:rsid w:val="00FD7BE2"/>
    <w:rsid w:val="00FE058F"/>
    <w:rsid w:val="00FE3210"/>
    <w:rsid w:val="00FE5B02"/>
    <w:rsid w:val="00FE7A22"/>
    <w:rsid w:val="00FE7BA4"/>
    <w:rsid w:val="00FF0B38"/>
    <w:rsid w:val="00FF12CE"/>
    <w:rsid w:val="00FF2546"/>
    <w:rsid w:val="00FF27D0"/>
    <w:rsid w:val="00FF46BC"/>
    <w:rsid w:val="00FF56C8"/>
    <w:rsid w:val="00FF5B49"/>
    <w:rsid w:val="00FF5FB5"/>
    <w:rsid w:val="00FF6235"/>
    <w:rsid w:val="00FF6AD9"/>
    <w:rsid w:val="00FF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15FEDF"/>
  <w15:docId w15:val="{05458F67-A552-4791-B3E3-1F161C8F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character" w:styleId="PlaceholderText">
    <w:name w:val="Placeholder Text"/>
    <w:basedOn w:val="DefaultParagraphFont"/>
    <w:uiPriority w:val="99"/>
    <w:semiHidden/>
    <w:rsid w:val="00175C1C"/>
    <w:rPr>
      <w:color w:val="808080"/>
    </w:rPr>
  </w:style>
  <w:style w:type="character" w:styleId="CommentReference">
    <w:name w:val="annotation reference"/>
    <w:basedOn w:val="DefaultParagraphFont"/>
    <w:uiPriority w:val="99"/>
    <w:semiHidden/>
    <w:unhideWhenUsed/>
    <w:rsid w:val="00AF298A"/>
    <w:rPr>
      <w:sz w:val="16"/>
      <w:szCs w:val="16"/>
    </w:rPr>
  </w:style>
  <w:style w:type="paragraph" w:styleId="CommentText">
    <w:name w:val="annotation text"/>
    <w:basedOn w:val="Normal"/>
    <w:link w:val="CommentTextChar"/>
    <w:uiPriority w:val="99"/>
    <w:unhideWhenUsed/>
    <w:rsid w:val="00AF298A"/>
    <w:rPr>
      <w:sz w:val="20"/>
      <w:szCs w:val="20"/>
    </w:rPr>
  </w:style>
  <w:style w:type="character" w:customStyle="1" w:styleId="CommentTextChar">
    <w:name w:val="Comment Text Char"/>
    <w:basedOn w:val="DefaultParagraphFont"/>
    <w:link w:val="CommentText"/>
    <w:uiPriority w:val="99"/>
    <w:rsid w:val="00AF298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F298A"/>
    <w:rPr>
      <w:b/>
      <w:bCs/>
    </w:rPr>
  </w:style>
  <w:style w:type="character" w:customStyle="1" w:styleId="CommentSubjectChar">
    <w:name w:val="Comment Subject Char"/>
    <w:basedOn w:val="CommentTextChar"/>
    <w:link w:val="CommentSubject"/>
    <w:uiPriority w:val="99"/>
    <w:semiHidden/>
    <w:rsid w:val="00AF298A"/>
    <w:rPr>
      <w:rFonts w:ascii="Times New Roman" w:hAnsi="Times New Roman"/>
      <w:b/>
      <w:bCs/>
    </w:rPr>
  </w:style>
  <w:style w:type="paragraph" w:styleId="Revision">
    <w:name w:val="Revision"/>
    <w:hidden/>
    <w:uiPriority w:val="99"/>
    <w:semiHidden/>
    <w:rsid w:val="00064D13"/>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12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FD46B8272D49BDB1DB0519960EFAF7"/>
        <w:category>
          <w:name w:val="General"/>
          <w:gallery w:val="placeholder"/>
        </w:category>
        <w:types>
          <w:type w:val="bbPlcHdr"/>
        </w:types>
        <w:behaviors>
          <w:behavior w:val="content"/>
        </w:behaviors>
        <w:guid w:val="{870EDAF5-44BA-4046-AF9F-9049E3C1BD2B}"/>
      </w:docPartPr>
      <w:docPartBody>
        <w:p w:rsidR="00CC5821" w:rsidRDefault="00CC5821">
          <w:pPr>
            <w:pStyle w:val="D4FD46B8272D49BDB1DB0519960EFAF7"/>
          </w:pPr>
          <w:r w:rsidRPr="000469FB">
            <w:rPr>
              <w:rStyle w:val="PlaceholderText"/>
              <w:caps/>
              <w:color w:val="FF0000"/>
            </w:rPr>
            <w:t>Click or tap here to enter text.</w:t>
          </w:r>
        </w:p>
      </w:docPartBody>
    </w:docPart>
    <w:docPart>
      <w:docPartPr>
        <w:name w:val="1AB9B9C042884FD2B94D36758950119C"/>
        <w:category>
          <w:name w:val="General"/>
          <w:gallery w:val="placeholder"/>
        </w:category>
        <w:types>
          <w:type w:val="bbPlcHdr"/>
        </w:types>
        <w:behaviors>
          <w:behavior w:val="content"/>
        </w:behaviors>
        <w:guid w:val="{D362DF48-6182-4A34-A30D-3C0BF62D2F38}"/>
      </w:docPartPr>
      <w:docPartBody>
        <w:p w:rsidR="00CC5821" w:rsidRDefault="00CC5821">
          <w:pPr>
            <w:pStyle w:val="1AB9B9C042884FD2B94D36758950119C"/>
          </w:pPr>
          <w:r w:rsidRPr="000469FB">
            <w:rPr>
              <w:rStyle w:val="PlaceholderText"/>
              <w:color w:val="FF0000"/>
            </w:rPr>
            <w:t>Click or tap here to enter text.</w:t>
          </w:r>
        </w:p>
      </w:docPartBody>
    </w:docPart>
    <w:docPart>
      <w:docPartPr>
        <w:name w:val="CBA799C20F0A4373BEBB6240F12CE2A5"/>
        <w:category>
          <w:name w:val="General"/>
          <w:gallery w:val="placeholder"/>
        </w:category>
        <w:types>
          <w:type w:val="bbPlcHdr"/>
        </w:types>
        <w:behaviors>
          <w:behavior w:val="content"/>
        </w:behaviors>
        <w:guid w:val="{7611B55F-2DB3-4495-A08C-F17267A1D1FE}"/>
      </w:docPartPr>
      <w:docPartBody>
        <w:p w:rsidR="00CC5821" w:rsidRDefault="00CC5821">
          <w:pPr>
            <w:pStyle w:val="CBA799C20F0A4373BEBB6240F12CE2A5"/>
          </w:pPr>
          <w:r w:rsidRPr="000469FB">
            <w:rPr>
              <w:rStyle w:val="PlaceholderText"/>
              <w:color w:val="FF0000"/>
            </w:rPr>
            <w:t>Click or tap here to enter text.</w:t>
          </w:r>
        </w:p>
      </w:docPartBody>
    </w:docPart>
    <w:docPart>
      <w:docPartPr>
        <w:name w:val="1DA691F0008D4537A6672DB55DBD8989"/>
        <w:category>
          <w:name w:val="General"/>
          <w:gallery w:val="placeholder"/>
        </w:category>
        <w:types>
          <w:type w:val="bbPlcHdr"/>
        </w:types>
        <w:behaviors>
          <w:behavior w:val="content"/>
        </w:behaviors>
        <w:guid w:val="{B847317D-04EB-40E6-B58D-9D79FAFB3DB4}"/>
      </w:docPartPr>
      <w:docPartBody>
        <w:p w:rsidR="00CC5821" w:rsidRDefault="00CC5821">
          <w:pPr>
            <w:pStyle w:val="1DA691F0008D4537A6672DB55DBD8989"/>
          </w:pPr>
          <w:r w:rsidRPr="000469FB">
            <w:rPr>
              <w:rStyle w:val="PlaceholderText"/>
              <w:color w:val="FF0000"/>
            </w:rPr>
            <w:t>Choose an item.</w:t>
          </w:r>
        </w:p>
      </w:docPartBody>
    </w:docPart>
    <w:docPart>
      <w:docPartPr>
        <w:name w:val="62C84BFC0B194332921ED5CD378591FF"/>
        <w:category>
          <w:name w:val="General"/>
          <w:gallery w:val="placeholder"/>
        </w:category>
        <w:types>
          <w:type w:val="bbPlcHdr"/>
        </w:types>
        <w:behaviors>
          <w:behavior w:val="content"/>
        </w:behaviors>
        <w:guid w:val="{5F269A38-CED3-4C6C-AEBE-9A50696566BE}"/>
      </w:docPartPr>
      <w:docPartBody>
        <w:p w:rsidR="00CC5821" w:rsidRDefault="00CC5821">
          <w:pPr>
            <w:pStyle w:val="62C84BFC0B194332921ED5CD378591FF"/>
          </w:pPr>
          <w:r w:rsidRPr="000469FB">
            <w:rPr>
              <w:rStyle w:val="PlaceholderText"/>
              <w:color w:val="FF0000"/>
            </w:rPr>
            <w:t>Choose an item.</w:t>
          </w:r>
        </w:p>
      </w:docPartBody>
    </w:docPart>
    <w:docPart>
      <w:docPartPr>
        <w:name w:val="F85FD359D2D24C97B81F32944029CB9A"/>
        <w:category>
          <w:name w:val="General"/>
          <w:gallery w:val="placeholder"/>
        </w:category>
        <w:types>
          <w:type w:val="bbPlcHdr"/>
        </w:types>
        <w:behaviors>
          <w:behavior w:val="content"/>
        </w:behaviors>
        <w:guid w:val="{2905B903-AC1A-46AC-AA46-16A89687DF7D}"/>
      </w:docPartPr>
      <w:docPartBody>
        <w:p w:rsidR="00CC5821" w:rsidRDefault="00CC5821">
          <w:pPr>
            <w:pStyle w:val="F85FD359D2D24C97B81F32944029CB9A"/>
          </w:pPr>
          <w:r w:rsidRPr="000469FB">
            <w:rPr>
              <w:rStyle w:val="PlaceholderText"/>
              <w:color w:val="FF0000"/>
            </w:rPr>
            <w:t>Choose an item.</w:t>
          </w:r>
        </w:p>
      </w:docPartBody>
    </w:docPart>
    <w:docPart>
      <w:docPartPr>
        <w:name w:val="26F64B26D3F54E788B5039946DE9E1D5"/>
        <w:category>
          <w:name w:val="General"/>
          <w:gallery w:val="placeholder"/>
        </w:category>
        <w:types>
          <w:type w:val="bbPlcHdr"/>
        </w:types>
        <w:behaviors>
          <w:behavior w:val="content"/>
        </w:behaviors>
        <w:guid w:val="{B7467045-0F97-45F5-B553-F7FF4E710D60}"/>
      </w:docPartPr>
      <w:docPartBody>
        <w:p w:rsidR="00A154D5" w:rsidRDefault="00D90A95" w:rsidP="00D90A95">
          <w:pPr>
            <w:pStyle w:val="26F64B26D3F54E788B5039946DE9E1D5"/>
          </w:pPr>
          <w:r w:rsidRPr="004503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21"/>
    <w:rsid w:val="00035CA1"/>
    <w:rsid w:val="00065235"/>
    <w:rsid w:val="00152A0C"/>
    <w:rsid w:val="002423DA"/>
    <w:rsid w:val="002A024D"/>
    <w:rsid w:val="00333101"/>
    <w:rsid w:val="00455878"/>
    <w:rsid w:val="00574ABF"/>
    <w:rsid w:val="005D6472"/>
    <w:rsid w:val="00673794"/>
    <w:rsid w:val="00682ABF"/>
    <w:rsid w:val="006F5B04"/>
    <w:rsid w:val="00764F97"/>
    <w:rsid w:val="0077140E"/>
    <w:rsid w:val="007962A0"/>
    <w:rsid w:val="00835EC0"/>
    <w:rsid w:val="00890EB6"/>
    <w:rsid w:val="00997FAB"/>
    <w:rsid w:val="00A154D5"/>
    <w:rsid w:val="00B32713"/>
    <w:rsid w:val="00BA4A4A"/>
    <w:rsid w:val="00BE33E4"/>
    <w:rsid w:val="00CC5821"/>
    <w:rsid w:val="00D90A95"/>
    <w:rsid w:val="00DA094D"/>
    <w:rsid w:val="00DA585D"/>
    <w:rsid w:val="00DE30F4"/>
    <w:rsid w:val="00E343A0"/>
    <w:rsid w:val="00E42577"/>
    <w:rsid w:val="00ED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A95"/>
    <w:rPr>
      <w:color w:val="808080"/>
    </w:rPr>
  </w:style>
  <w:style w:type="paragraph" w:customStyle="1" w:styleId="D4FD46B8272D49BDB1DB0519960EFAF7">
    <w:name w:val="D4FD46B8272D49BDB1DB0519960EFAF7"/>
  </w:style>
  <w:style w:type="paragraph" w:customStyle="1" w:styleId="1AB9B9C042884FD2B94D36758950119C">
    <w:name w:val="1AB9B9C042884FD2B94D36758950119C"/>
  </w:style>
  <w:style w:type="paragraph" w:customStyle="1" w:styleId="CBA799C20F0A4373BEBB6240F12CE2A5">
    <w:name w:val="CBA799C20F0A4373BEBB6240F12CE2A5"/>
  </w:style>
  <w:style w:type="paragraph" w:customStyle="1" w:styleId="1DA691F0008D4537A6672DB55DBD8989">
    <w:name w:val="1DA691F0008D4537A6672DB55DBD8989"/>
  </w:style>
  <w:style w:type="paragraph" w:customStyle="1" w:styleId="62C84BFC0B194332921ED5CD378591FF">
    <w:name w:val="62C84BFC0B194332921ED5CD378591FF"/>
  </w:style>
  <w:style w:type="paragraph" w:customStyle="1" w:styleId="F85FD359D2D24C97B81F32944029CB9A">
    <w:name w:val="F85FD359D2D24C97B81F32944029CB9A"/>
  </w:style>
  <w:style w:type="paragraph" w:customStyle="1" w:styleId="26F64B26D3F54E788B5039946DE9E1D5">
    <w:name w:val="26F64B26D3F54E788B5039946DE9E1D5"/>
    <w:rsid w:val="00D90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13010</Words>
  <Characters>74158</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86995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Shelton, Summer</dc:creator>
  <cp:lastModifiedBy>Gonzales, Julie</cp:lastModifiedBy>
  <cp:revision>2</cp:revision>
  <cp:lastPrinted>2022-05-05T22:53:00Z</cp:lastPrinted>
  <dcterms:created xsi:type="dcterms:W3CDTF">2022-05-25T22:40:00Z</dcterms:created>
  <dcterms:modified xsi:type="dcterms:W3CDTF">2022-05-25T22:40:00Z</dcterms:modified>
</cp:coreProperties>
</file>