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8D" w:rsidRPr="00F234E3" w:rsidRDefault="00333F77" w:rsidP="00F234E3">
      <w:pPr>
        <w:pStyle w:val="Footnote"/>
      </w:pPr>
      <w:bookmarkStart w:id="0" w:name="designation"/>
      <w:bookmarkEnd w:id="0"/>
      <w:r>
        <w:t xml:space="preserve">PUBLIC MATTER </w:t>
      </w:r>
      <w:r w:rsidR="00DD1530">
        <w:t>–</w:t>
      </w:r>
      <w:r>
        <w:t xml:space="preserve"> </w:t>
      </w:r>
      <w:r w:rsidR="00DD1530">
        <w:t xml:space="preserve">NOT </w:t>
      </w:r>
      <w:r>
        <w:t>DESIGNATED FOR PUBLICATION</w:t>
      </w:r>
    </w:p>
    <w:p w:rsidR="00835F54" w:rsidRPr="00C11CC8" w:rsidRDefault="00835F54" w:rsidP="00F234E3">
      <w:pPr>
        <w:pStyle w:val="Footnote"/>
      </w:pPr>
    </w:p>
    <w:p w:rsidR="00C11CC8" w:rsidRDefault="001C778D" w:rsidP="001C778D">
      <w:pPr>
        <w:spacing w:line="240" w:lineRule="auto"/>
        <w:jc w:val="right"/>
      </w:pPr>
      <w:r>
        <w:t>FILED AUGUST 10, 2011</w:t>
      </w:r>
    </w:p>
    <w:p w:rsidR="00D00ADB" w:rsidRPr="00C11CC8" w:rsidRDefault="00D00ADB" w:rsidP="00232823">
      <w:pPr>
        <w:spacing w:line="240" w:lineRule="auto"/>
      </w:pPr>
    </w:p>
    <w:p w:rsidR="00622FF3" w:rsidRDefault="00622FF3" w:rsidP="00232823">
      <w:pPr>
        <w:spacing w:line="240" w:lineRule="auto"/>
        <w:jc w:val="center"/>
        <w:rPr>
          <w:b/>
        </w:rPr>
      </w:pPr>
    </w:p>
    <w:p w:rsidR="00622FF3" w:rsidRDefault="00622FF3" w:rsidP="00232823">
      <w:pPr>
        <w:spacing w:line="240" w:lineRule="auto"/>
        <w:jc w:val="center"/>
        <w:rPr>
          <w:b/>
        </w:rPr>
      </w:pPr>
    </w:p>
    <w:p w:rsidR="008F3169" w:rsidRDefault="008F3169" w:rsidP="00232823">
      <w:pPr>
        <w:spacing w:line="240" w:lineRule="auto"/>
        <w:jc w:val="center"/>
        <w:rPr>
          <w:b/>
        </w:rPr>
      </w:pPr>
      <w:r>
        <w:rPr>
          <w:b/>
        </w:rPr>
        <w:t>STATE BA</w:t>
      </w:r>
      <w:r w:rsidR="00C11CC8" w:rsidRPr="00C11CC8">
        <w:rPr>
          <w:b/>
        </w:rPr>
        <w:t>R</w:t>
      </w:r>
      <w:r>
        <w:rPr>
          <w:b/>
        </w:rPr>
        <w:t xml:space="preserve"> COURT OF CALIFORNIA</w:t>
      </w:r>
    </w:p>
    <w:p w:rsidR="008F3169" w:rsidRDefault="008F3169" w:rsidP="00232823">
      <w:pPr>
        <w:spacing w:line="240" w:lineRule="auto"/>
        <w:jc w:val="center"/>
        <w:rPr>
          <w:b/>
        </w:rPr>
      </w:pPr>
    </w:p>
    <w:p w:rsidR="00C11CC8" w:rsidRDefault="008F3169" w:rsidP="00232823">
      <w:pPr>
        <w:spacing w:line="240" w:lineRule="auto"/>
        <w:jc w:val="center"/>
        <w:rPr>
          <w:b/>
        </w:rPr>
      </w:pPr>
      <w:r>
        <w:rPr>
          <w:b/>
        </w:rPr>
        <w:t>REVIEW DEPARTMENT</w:t>
      </w:r>
    </w:p>
    <w:p w:rsidR="006F318D" w:rsidRPr="00C11CC8" w:rsidRDefault="006F318D" w:rsidP="00232823">
      <w:pPr>
        <w:spacing w:line="240" w:lineRule="auto"/>
        <w:jc w:val="center"/>
        <w:rPr>
          <w:b/>
        </w:rPr>
      </w:pPr>
    </w:p>
    <w:p w:rsidR="00C11CC8" w:rsidRPr="00C11CC8" w:rsidRDefault="00C11CC8" w:rsidP="00232823">
      <w:pPr>
        <w:spacing w:line="240" w:lineRule="auto"/>
        <w:rPr>
          <w:b/>
        </w:rPr>
      </w:pPr>
    </w:p>
    <w:tbl>
      <w:tblPr>
        <w:tblStyle w:val="TableGrid"/>
        <w:tblW w:w="0" w:type="auto"/>
        <w:tblLook w:val="04A0"/>
      </w:tblPr>
      <w:tblGrid>
        <w:gridCol w:w="4770"/>
        <w:gridCol w:w="497"/>
        <w:gridCol w:w="4201"/>
      </w:tblGrid>
      <w:tr w:rsidR="00C11CC8" w:rsidRPr="00C11CC8" w:rsidTr="001A4C1C">
        <w:tc>
          <w:tcPr>
            <w:tcW w:w="4770" w:type="dxa"/>
            <w:tcBorders>
              <w:top w:val="nil"/>
              <w:left w:val="nil"/>
              <w:right w:val="nil"/>
            </w:tcBorders>
            <w:tcMar>
              <w:left w:w="0" w:type="dxa"/>
              <w:right w:w="0" w:type="dxa"/>
            </w:tcMar>
          </w:tcPr>
          <w:p w:rsidR="00C11CC8" w:rsidRDefault="00C11CC8" w:rsidP="00232823">
            <w:pPr>
              <w:spacing w:line="240" w:lineRule="auto"/>
            </w:pPr>
            <w:r>
              <w:t>In the Matter of</w:t>
            </w:r>
          </w:p>
          <w:p w:rsidR="009216E0" w:rsidRDefault="009216E0" w:rsidP="00232823">
            <w:pPr>
              <w:spacing w:line="240" w:lineRule="auto"/>
            </w:pPr>
          </w:p>
          <w:p w:rsidR="00C11CC8" w:rsidRPr="008F3169" w:rsidRDefault="00333F77" w:rsidP="00232823">
            <w:pPr>
              <w:spacing w:line="240" w:lineRule="auto"/>
            </w:pPr>
            <w:bookmarkStart w:id="1" w:name="Respondent"/>
            <w:bookmarkEnd w:id="1"/>
            <w:r>
              <w:t>KAVEH ARDALAN</w:t>
            </w:r>
            <w:r w:rsidR="00C11CC8" w:rsidRPr="008F3169">
              <w:t>,</w:t>
            </w:r>
          </w:p>
          <w:p w:rsidR="009216E0" w:rsidRDefault="009216E0" w:rsidP="00232823">
            <w:pPr>
              <w:spacing w:line="240" w:lineRule="auto"/>
            </w:pPr>
          </w:p>
          <w:p w:rsidR="009216E0" w:rsidRPr="00C11CC8" w:rsidRDefault="00333F77" w:rsidP="00232823">
            <w:pPr>
              <w:spacing w:line="240" w:lineRule="auto"/>
            </w:pPr>
            <w:bookmarkStart w:id="2" w:name="type"/>
            <w:bookmarkEnd w:id="2"/>
            <w:r>
              <w:t>A Member of the State Bar, No.</w:t>
            </w:r>
            <w:r w:rsidR="00D90643">
              <w:t xml:space="preserve"> </w:t>
            </w:r>
            <w:bookmarkStart w:id="3" w:name="memno"/>
            <w:bookmarkStart w:id="4" w:name="MemberNo"/>
            <w:bookmarkEnd w:id="3"/>
            <w:bookmarkEnd w:id="4"/>
            <w:r>
              <w:t>188775.</w:t>
            </w:r>
          </w:p>
        </w:tc>
        <w:tc>
          <w:tcPr>
            <w:tcW w:w="497" w:type="dxa"/>
            <w:tcBorders>
              <w:top w:val="nil"/>
              <w:left w:val="nil"/>
              <w:bottom w:val="nil"/>
              <w:right w:val="nil"/>
            </w:tcBorders>
            <w:tcMar>
              <w:left w:w="0" w:type="dxa"/>
              <w:right w:w="0" w:type="dxa"/>
            </w:tcMar>
          </w:tcPr>
          <w:p w:rsidR="00C11CC8" w:rsidRDefault="00C11CC8" w:rsidP="00232823">
            <w:pPr>
              <w:spacing w:line="240" w:lineRule="auto"/>
              <w:rPr>
                <w:b/>
              </w:rPr>
            </w:pPr>
            <w:r>
              <w:rPr>
                <w:b/>
              </w:rPr>
              <w:t>)</w:t>
            </w:r>
          </w:p>
          <w:p w:rsidR="009216E0" w:rsidRPr="00C11CC8" w:rsidRDefault="009216E0" w:rsidP="00232823">
            <w:pPr>
              <w:spacing w:line="240" w:lineRule="auto"/>
              <w:rPr>
                <w:b/>
              </w:rPr>
            </w:pPr>
            <w:r>
              <w:rPr>
                <w:b/>
              </w:rPr>
              <w:t>)</w:t>
            </w:r>
            <w:r>
              <w:rPr>
                <w:b/>
              </w:rPr>
              <w:br/>
              <w:t>)</w:t>
            </w:r>
            <w:r>
              <w:rPr>
                <w:b/>
              </w:rPr>
              <w:br/>
              <w:t>)</w:t>
            </w:r>
            <w:r>
              <w:rPr>
                <w:b/>
              </w:rPr>
              <w:br/>
              <w:t>)</w:t>
            </w:r>
            <w:r>
              <w:rPr>
                <w:b/>
              </w:rPr>
              <w:br/>
              <w:t>)</w:t>
            </w:r>
          </w:p>
        </w:tc>
        <w:tc>
          <w:tcPr>
            <w:tcW w:w="4201" w:type="dxa"/>
            <w:tcBorders>
              <w:top w:val="nil"/>
              <w:left w:val="nil"/>
              <w:bottom w:val="nil"/>
              <w:right w:val="nil"/>
            </w:tcBorders>
          </w:tcPr>
          <w:p w:rsidR="00C11CC8" w:rsidRPr="005E6703" w:rsidRDefault="008F3169" w:rsidP="00232823">
            <w:pPr>
              <w:spacing w:line="240" w:lineRule="auto"/>
            </w:pPr>
            <w:r w:rsidRPr="005E6703">
              <w:t xml:space="preserve">Case </w:t>
            </w:r>
            <w:r w:rsidR="00C11CC8" w:rsidRPr="005E6703">
              <w:t>No.</w:t>
            </w:r>
            <w:r w:rsidR="009216E0" w:rsidRPr="005E6703">
              <w:t xml:space="preserve"> </w:t>
            </w:r>
            <w:bookmarkStart w:id="5" w:name="caseno"/>
            <w:bookmarkEnd w:id="5"/>
            <w:r w:rsidR="00333F77">
              <w:t>09-O-16067</w:t>
            </w:r>
          </w:p>
          <w:p w:rsidR="007F537A" w:rsidRDefault="007F537A" w:rsidP="00232823">
            <w:pPr>
              <w:spacing w:line="240" w:lineRule="auto"/>
            </w:pPr>
          </w:p>
          <w:p w:rsidR="007F537A" w:rsidRPr="00D90643" w:rsidRDefault="00333F77" w:rsidP="00232823">
            <w:pPr>
              <w:spacing w:line="240" w:lineRule="auto"/>
            </w:pPr>
            <w:bookmarkStart w:id="6" w:name="title"/>
            <w:bookmarkEnd w:id="6"/>
            <w:r>
              <w:t>OPINION</w:t>
            </w:r>
          </w:p>
        </w:tc>
      </w:tr>
    </w:tbl>
    <w:p w:rsidR="00C11CC8" w:rsidRDefault="00C11CC8" w:rsidP="00232823">
      <w:pPr>
        <w:spacing w:line="240" w:lineRule="auto"/>
      </w:pPr>
    </w:p>
    <w:p w:rsidR="00425F1F" w:rsidRDefault="00D01EA1" w:rsidP="00BE1346">
      <w:pPr>
        <w:ind w:firstLine="720"/>
      </w:pPr>
      <w:r>
        <w:t xml:space="preserve">Respondent </w:t>
      </w:r>
      <w:r w:rsidR="00BE1346">
        <w:t>Kaveh Ardalan appeals from a State Bar Court hearing judge</w:t>
      </w:r>
      <w:r w:rsidR="004761EC">
        <w:t xml:space="preserve">’s recommendation that he be </w:t>
      </w:r>
      <w:r w:rsidR="00AD5634">
        <w:t xml:space="preserve">actually </w:t>
      </w:r>
      <w:r w:rsidR="004761EC">
        <w:t xml:space="preserve">suspended for one year.  </w:t>
      </w:r>
      <w:r w:rsidR="00BE1346">
        <w:t>Ardalan</w:t>
      </w:r>
      <w:r w:rsidR="00D07C3D">
        <w:t>,</w:t>
      </w:r>
      <w:r w:rsidR="00BE1346">
        <w:t xml:space="preserve"> who </w:t>
      </w:r>
      <w:r w:rsidR="009B4971">
        <w:t>was admitted to practice law in 1997</w:t>
      </w:r>
      <w:r w:rsidR="000F0B14">
        <w:t xml:space="preserve"> and </w:t>
      </w:r>
      <w:r w:rsidR="00BE1346">
        <w:t xml:space="preserve">has </w:t>
      </w:r>
      <w:r w:rsidR="00A50783">
        <w:t xml:space="preserve">two prior records of discipline, </w:t>
      </w:r>
      <w:r w:rsidR="00B25373">
        <w:t xml:space="preserve">failed to </w:t>
      </w:r>
      <w:r w:rsidR="00D07C3D">
        <w:t xml:space="preserve">respond to the State Bar Office of </w:t>
      </w:r>
      <w:r w:rsidR="009B4971">
        <w:t xml:space="preserve">The Chief </w:t>
      </w:r>
      <w:r w:rsidR="00D07C3D">
        <w:t>Trial Counsel</w:t>
      </w:r>
      <w:r w:rsidR="006D1505">
        <w:t xml:space="preserve"> (State Bar)</w:t>
      </w:r>
      <w:r w:rsidR="00A50783">
        <w:t xml:space="preserve"> during its</w:t>
      </w:r>
      <w:r w:rsidR="00D07C3D">
        <w:t xml:space="preserve"> investigation into a</w:t>
      </w:r>
      <w:r w:rsidR="005519B1">
        <w:t>n</w:t>
      </w:r>
      <w:r w:rsidR="00D07C3D">
        <w:t xml:space="preserve"> insufficient funds check </w:t>
      </w:r>
      <w:r w:rsidR="006743E0">
        <w:t>he</w:t>
      </w:r>
      <w:r w:rsidR="00AD5634">
        <w:t xml:space="preserve"> </w:t>
      </w:r>
      <w:r w:rsidR="00D07C3D">
        <w:t>issued from his client trust account</w:t>
      </w:r>
      <w:r w:rsidR="009B4971">
        <w:t xml:space="preserve"> (CTA)</w:t>
      </w:r>
      <w:r w:rsidR="00D07C3D">
        <w:t>.</w:t>
      </w:r>
      <w:r w:rsidR="00B279AB">
        <w:t xml:space="preserve">  Ardalan contends that t</w:t>
      </w:r>
      <w:r w:rsidR="009667DE">
        <w:t xml:space="preserve">he recommended </w:t>
      </w:r>
      <w:r w:rsidR="00B279AB">
        <w:t xml:space="preserve">suspension is excessive.  The State Bar </w:t>
      </w:r>
      <w:r w:rsidR="00622FF3">
        <w:t xml:space="preserve">asks us to affirm. </w:t>
      </w:r>
    </w:p>
    <w:p w:rsidR="00C579BF" w:rsidRDefault="00BE40ED" w:rsidP="00C579BF">
      <w:pPr>
        <w:ind w:firstLine="720"/>
      </w:pPr>
      <w:r>
        <w:t xml:space="preserve">Upon </w:t>
      </w:r>
      <w:r w:rsidR="00CE0794">
        <w:t>independent</w:t>
      </w:r>
      <w:r>
        <w:t xml:space="preserve"> review of the record (Cal. Rules of Court, rule 9.12), we adopt the hearing judge’s culpabili</w:t>
      </w:r>
      <w:r w:rsidR="00AE0203">
        <w:t xml:space="preserve">ty finding.  </w:t>
      </w:r>
      <w:r w:rsidR="00CE0794">
        <w:t>We also recommend a one-year suspension, a</w:t>
      </w:r>
      <w:r w:rsidR="00AE0203">
        <w:t>lthough we find less mitigation and different</w:t>
      </w:r>
      <w:r>
        <w:t xml:space="preserve"> aggr</w:t>
      </w:r>
      <w:r w:rsidR="00AE0203">
        <w:t>avation than</w:t>
      </w:r>
      <w:r>
        <w:t xml:space="preserve"> the hearing judge.  </w:t>
      </w:r>
      <w:r w:rsidR="00CE0794">
        <w:t>While</w:t>
      </w:r>
      <w:r w:rsidR="004761EC">
        <w:t xml:space="preserve"> a </w:t>
      </w:r>
      <w:r w:rsidR="006B17FD">
        <w:t xml:space="preserve">single </w:t>
      </w:r>
      <w:r w:rsidR="00C579BF">
        <w:t xml:space="preserve">count of </w:t>
      </w:r>
      <w:r w:rsidR="00B25373">
        <w:t>failure</w:t>
      </w:r>
      <w:r w:rsidR="006B17FD">
        <w:t xml:space="preserve"> to cooperate</w:t>
      </w:r>
      <w:r w:rsidR="005D521C">
        <w:t xml:space="preserve"> generally would</w:t>
      </w:r>
      <w:r w:rsidR="004761EC">
        <w:t xml:space="preserve"> not w</w:t>
      </w:r>
      <w:r w:rsidR="00B25373">
        <w:t xml:space="preserve">arrant such a lengthy </w:t>
      </w:r>
      <w:r w:rsidR="004761EC">
        <w:t>suspension</w:t>
      </w:r>
      <w:r w:rsidR="006B17FD">
        <w:t xml:space="preserve">, </w:t>
      </w:r>
      <w:r w:rsidR="00815A65">
        <w:t>Ardalan</w:t>
      </w:r>
      <w:r>
        <w:t xml:space="preserve"> was on </w:t>
      </w:r>
      <w:r w:rsidR="00622FF3">
        <w:t xml:space="preserve">disciplinary </w:t>
      </w:r>
      <w:r>
        <w:t>probation</w:t>
      </w:r>
      <w:r w:rsidR="00CE0794">
        <w:t xml:space="preserve"> when he committed the misconduct</w:t>
      </w:r>
      <w:r w:rsidR="00622FF3">
        <w:t xml:space="preserve"> </w:t>
      </w:r>
      <w:r w:rsidR="00815A65" w:rsidRPr="004761EC">
        <w:rPr>
          <w:i/>
        </w:rPr>
        <w:t>and</w:t>
      </w:r>
      <w:r w:rsidR="00622FF3" w:rsidRPr="00622FF3">
        <w:t xml:space="preserve"> </w:t>
      </w:r>
      <w:r w:rsidR="00815A65" w:rsidRPr="00622FF3">
        <w:t>t</w:t>
      </w:r>
      <w:r w:rsidR="00815A65">
        <w:t>his is his third discipline case</w:t>
      </w:r>
      <w:r>
        <w:t xml:space="preserve">.  </w:t>
      </w:r>
      <w:r w:rsidR="00CE0794">
        <w:t>Guided by</w:t>
      </w:r>
      <w:r w:rsidR="006B17FD">
        <w:t xml:space="preserve"> the </w:t>
      </w:r>
      <w:r>
        <w:t>Standards for Attorney Sanctions for Professional Misconduct</w:t>
      </w:r>
      <w:r>
        <w:rPr>
          <w:rStyle w:val="FootnoteReference"/>
        </w:rPr>
        <w:footnoteReference w:id="2"/>
      </w:r>
      <w:r>
        <w:t xml:space="preserve"> </w:t>
      </w:r>
      <w:r w:rsidR="006B17FD">
        <w:t>and relevant case</w:t>
      </w:r>
      <w:r>
        <w:t xml:space="preserve"> law</w:t>
      </w:r>
      <w:r w:rsidR="006B17FD">
        <w:t xml:space="preserve">, we find a one-year suspension is appropriate under the </w:t>
      </w:r>
      <w:r w:rsidR="00C579BF">
        <w:t xml:space="preserve">facts </w:t>
      </w:r>
      <w:r w:rsidR="006B17FD">
        <w:t xml:space="preserve">unique </w:t>
      </w:r>
      <w:r w:rsidR="00C579BF">
        <w:t>to</w:t>
      </w:r>
      <w:r w:rsidR="006B17FD">
        <w:t xml:space="preserve"> this case</w:t>
      </w:r>
      <w:r w:rsidR="008468C4">
        <w:t>.</w:t>
      </w:r>
    </w:p>
    <w:p w:rsidR="00783AF1" w:rsidRPr="00C579BF" w:rsidRDefault="00C579BF" w:rsidP="00C579BF">
      <w:pPr>
        <w:jc w:val="center"/>
      </w:pPr>
      <w:r>
        <w:rPr>
          <w:b/>
        </w:rPr>
        <w:lastRenderedPageBreak/>
        <w:t xml:space="preserve">I.  </w:t>
      </w:r>
      <w:r w:rsidR="00BE1346" w:rsidRPr="00C579BF">
        <w:rPr>
          <w:b/>
        </w:rPr>
        <w:t>FACTUAL FINDINGS</w:t>
      </w:r>
    </w:p>
    <w:p w:rsidR="00C71E33" w:rsidRDefault="00465617" w:rsidP="0061434B">
      <w:pPr>
        <w:ind w:firstLine="720"/>
      </w:pPr>
      <w:r>
        <w:t xml:space="preserve">The parties stipulated to most of </w:t>
      </w:r>
      <w:r w:rsidR="00AE0203">
        <w:t xml:space="preserve">the </w:t>
      </w:r>
      <w:r>
        <w:t>facts</w:t>
      </w:r>
      <w:r w:rsidR="0065392B">
        <w:t>.  This matter started w</w:t>
      </w:r>
      <w:r w:rsidR="00DC3FBD">
        <w:t xml:space="preserve">ith </w:t>
      </w:r>
      <w:r w:rsidR="0061434B">
        <w:t xml:space="preserve">Ardalan’s inattention to his </w:t>
      </w:r>
      <w:r w:rsidR="008468C4">
        <w:t>CTA</w:t>
      </w:r>
      <w:r w:rsidR="0061434B">
        <w:t xml:space="preserve">.  </w:t>
      </w:r>
      <w:r w:rsidR="00B25373">
        <w:t xml:space="preserve">In 2009, </w:t>
      </w:r>
      <w:r w:rsidR="00DC3FBD">
        <w:t>he</w:t>
      </w:r>
      <w:r w:rsidR="00B25373">
        <w:t xml:space="preserve"> agreed</w:t>
      </w:r>
      <w:r w:rsidR="002B7571">
        <w:t xml:space="preserve"> to refund a $2,500 retainer to a </w:t>
      </w:r>
      <w:r w:rsidR="00B25373">
        <w:t xml:space="preserve">former </w:t>
      </w:r>
      <w:r w:rsidR="00C579BF">
        <w:t xml:space="preserve">client </w:t>
      </w:r>
      <w:r w:rsidR="00B25373">
        <w:t xml:space="preserve">and to provide </w:t>
      </w:r>
      <w:r w:rsidR="0065392B">
        <w:t>the money</w:t>
      </w:r>
      <w:r w:rsidR="00B25373">
        <w:t xml:space="preserve"> to the client’s new attorney</w:t>
      </w:r>
      <w:r w:rsidR="00CE0794">
        <w:t>, Alan Armstrong</w:t>
      </w:r>
      <w:r w:rsidR="00B25373">
        <w:t>.  In exchange, Ardalan w</w:t>
      </w:r>
      <w:r w:rsidR="00C722D9">
        <w:t>ould</w:t>
      </w:r>
      <w:r w:rsidR="00B25373">
        <w:t xml:space="preserve"> receive $600 </w:t>
      </w:r>
      <w:r w:rsidR="00534FD5">
        <w:t xml:space="preserve">from the client </w:t>
      </w:r>
      <w:r w:rsidR="00B25373">
        <w:t xml:space="preserve">for work he had performed.  </w:t>
      </w:r>
      <w:r w:rsidR="0061434B">
        <w:t xml:space="preserve">On May 27, 2009, </w:t>
      </w:r>
      <w:r w:rsidR="00B25373">
        <w:t>Ardalan</w:t>
      </w:r>
      <w:r w:rsidR="0061434B">
        <w:t xml:space="preserve"> issued </w:t>
      </w:r>
      <w:r w:rsidR="002B7571">
        <w:t>a</w:t>
      </w:r>
      <w:r w:rsidR="0061434B">
        <w:t xml:space="preserve"> $2,500 </w:t>
      </w:r>
      <w:r w:rsidR="002B7571">
        <w:t xml:space="preserve">check </w:t>
      </w:r>
      <w:r w:rsidR="0061434B">
        <w:t xml:space="preserve">from his CTA to Armstrong.  </w:t>
      </w:r>
      <w:r w:rsidR="00B25373">
        <w:t>T</w:t>
      </w:r>
      <w:r w:rsidR="0061434B">
        <w:t xml:space="preserve">he client’s representative </w:t>
      </w:r>
      <w:r w:rsidR="00B25373">
        <w:t xml:space="preserve">picked up the $2,500 check, and </w:t>
      </w:r>
      <w:r w:rsidR="002B7571">
        <w:t xml:space="preserve">in exchange, </w:t>
      </w:r>
      <w:r w:rsidR="00B25373">
        <w:t xml:space="preserve">gave </w:t>
      </w:r>
      <w:r w:rsidR="0061434B">
        <w:t xml:space="preserve">Ardalan a $600 check.  </w:t>
      </w:r>
      <w:r w:rsidR="00534FD5">
        <w:t>A</w:t>
      </w:r>
      <w:r w:rsidR="00B25373">
        <w:t xml:space="preserve">rdalan needed to </w:t>
      </w:r>
      <w:r w:rsidR="0061434B">
        <w:t xml:space="preserve">deposit the </w:t>
      </w:r>
      <w:r w:rsidR="00147DD9">
        <w:t xml:space="preserve">$600 </w:t>
      </w:r>
      <w:r w:rsidR="0061434B">
        <w:t>check</w:t>
      </w:r>
      <w:r w:rsidR="00B25373">
        <w:t xml:space="preserve"> </w:t>
      </w:r>
      <w:r w:rsidR="00DC3FBD">
        <w:t xml:space="preserve">immediately </w:t>
      </w:r>
      <w:r w:rsidR="00B25373">
        <w:t>to cover the $2,500 check</w:t>
      </w:r>
      <w:r w:rsidR="0061434B">
        <w:t xml:space="preserve">, </w:t>
      </w:r>
      <w:r w:rsidR="00534FD5">
        <w:t xml:space="preserve">but he </w:t>
      </w:r>
      <w:r w:rsidR="0061434B">
        <w:t>failed to do so</w:t>
      </w:r>
      <w:r w:rsidR="00534FD5">
        <w:t>.  A</w:t>
      </w:r>
      <w:r w:rsidR="00147DD9">
        <w:t>s a result</w:t>
      </w:r>
      <w:r w:rsidR="00534FD5">
        <w:t>,</w:t>
      </w:r>
      <w:r w:rsidR="00147DD9">
        <w:t xml:space="preserve"> </w:t>
      </w:r>
      <w:r w:rsidR="00C579BF">
        <w:t xml:space="preserve">the </w:t>
      </w:r>
      <w:r w:rsidR="002B7571">
        <w:t xml:space="preserve">$2,500 </w:t>
      </w:r>
      <w:r w:rsidR="0061434B">
        <w:t>check was returned for insufficient funds</w:t>
      </w:r>
      <w:r w:rsidR="00931039">
        <w:t xml:space="preserve"> </w:t>
      </w:r>
      <w:r w:rsidR="008468C4">
        <w:t xml:space="preserve">(NSF) </w:t>
      </w:r>
      <w:r w:rsidR="00931039">
        <w:t>on June 1, 2009</w:t>
      </w:r>
      <w:r w:rsidR="0061434B">
        <w:t>.</w:t>
      </w:r>
      <w:r w:rsidR="00DE0997">
        <w:t xml:space="preserve">  Upon learning </w:t>
      </w:r>
      <w:r w:rsidR="00147DD9">
        <w:t>of</w:t>
      </w:r>
      <w:r w:rsidR="00DE0997">
        <w:t xml:space="preserve"> his </w:t>
      </w:r>
      <w:r w:rsidR="002C0297">
        <w:t>error</w:t>
      </w:r>
      <w:r w:rsidR="00DE0997">
        <w:t>, Ardalan deposited the $600 check</w:t>
      </w:r>
      <w:r w:rsidR="00C579BF">
        <w:t xml:space="preserve"> on June 5, 2009,</w:t>
      </w:r>
      <w:r w:rsidR="00DE0997">
        <w:t xml:space="preserve"> and reissued a check for $2,500 to Armstrong</w:t>
      </w:r>
      <w:r w:rsidR="00534FD5">
        <w:t xml:space="preserve">.  The second check </w:t>
      </w:r>
      <w:r w:rsidR="00DE0997">
        <w:t xml:space="preserve">was </w:t>
      </w:r>
      <w:r w:rsidR="00534FD5">
        <w:t>honored.</w:t>
      </w:r>
    </w:p>
    <w:p w:rsidR="00BE1978" w:rsidRDefault="00A47AB0" w:rsidP="00836CB7">
      <w:pPr>
        <w:ind w:firstLine="720"/>
      </w:pPr>
      <w:r>
        <w:t xml:space="preserve">The State Bar opened an investigation after Bank of America notified it of the NSF </w:t>
      </w:r>
      <w:r w:rsidR="00B606B3">
        <w:t>check</w:t>
      </w:r>
      <w:r>
        <w:t>.</w:t>
      </w:r>
      <w:r w:rsidR="00DE0997">
        <w:t xml:space="preserve"> </w:t>
      </w:r>
      <w:r w:rsidR="007F5555">
        <w:t xml:space="preserve"> </w:t>
      </w:r>
      <w:r>
        <w:t>On October 7, 2009</w:t>
      </w:r>
      <w:r w:rsidR="00534FD5">
        <w:t>,</w:t>
      </w:r>
      <w:r>
        <w:t xml:space="preserve"> and</w:t>
      </w:r>
      <w:r w:rsidR="007F5555">
        <w:t xml:space="preserve"> again on</w:t>
      </w:r>
      <w:r>
        <w:t xml:space="preserve"> October 30, 2009, a</w:t>
      </w:r>
      <w:r w:rsidR="007F5555">
        <w:t xml:space="preserve"> State Bar investigator sent</w:t>
      </w:r>
      <w:r>
        <w:t xml:space="preserve"> letters to Ardalan.</w:t>
      </w:r>
      <w:r w:rsidR="007F5555">
        <w:t xml:space="preserve">  The</w:t>
      </w:r>
      <w:r w:rsidR="00BD34CC">
        <w:t xml:space="preserve"> first letter</w:t>
      </w:r>
      <w:r w:rsidR="007F5555">
        <w:t xml:space="preserve"> </w:t>
      </w:r>
      <w:r w:rsidR="00534FD5">
        <w:t>asked</w:t>
      </w:r>
      <w:r w:rsidR="007F5555">
        <w:t xml:space="preserve"> </w:t>
      </w:r>
      <w:r w:rsidR="00B606B3">
        <w:t>Ardalan</w:t>
      </w:r>
      <w:r w:rsidR="007F5555">
        <w:t xml:space="preserve"> to respond in writing to allegations of </w:t>
      </w:r>
      <w:r w:rsidR="00B606B3">
        <w:t xml:space="preserve">CTA </w:t>
      </w:r>
      <w:r w:rsidR="007F5555">
        <w:t>misconduc</w:t>
      </w:r>
      <w:r w:rsidR="00BD34CC">
        <w:t xml:space="preserve">t and </w:t>
      </w:r>
      <w:r w:rsidR="002B7571">
        <w:t>warned</w:t>
      </w:r>
      <w:r w:rsidR="00BD34CC">
        <w:t xml:space="preserve"> him that failure to cooperate with </w:t>
      </w:r>
      <w:r w:rsidR="00B606B3">
        <w:t>the</w:t>
      </w:r>
      <w:r w:rsidR="00BD34CC">
        <w:t xml:space="preserve"> investigation was a violation of Business and Professions Code section 6068, subdivision (i).</w:t>
      </w:r>
      <w:r w:rsidR="006743E0">
        <w:rPr>
          <w:rStyle w:val="FootnoteReference"/>
        </w:rPr>
        <w:footnoteReference w:id="3"/>
      </w:r>
      <w:r w:rsidR="00BD34CC">
        <w:t xml:space="preserve">  The second letter enclosed </w:t>
      </w:r>
      <w:r w:rsidR="00C579BF">
        <w:t xml:space="preserve">a copy of </w:t>
      </w:r>
      <w:r w:rsidR="00BD34CC">
        <w:t xml:space="preserve">the </w:t>
      </w:r>
      <w:r w:rsidR="00DC3FBD">
        <w:t>first</w:t>
      </w:r>
      <w:r w:rsidR="00CE0794">
        <w:t xml:space="preserve"> letter</w:t>
      </w:r>
      <w:r w:rsidR="008468C4">
        <w:t>,</w:t>
      </w:r>
      <w:r w:rsidR="00BD34CC">
        <w:t xml:space="preserve"> again asked for a response</w:t>
      </w:r>
      <w:r w:rsidR="00C579BF">
        <w:t>,</w:t>
      </w:r>
      <w:r w:rsidR="00BD34CC">
        <w:t xml:space="preserve"> and reminded Ardalan </w:t>
      </w:r>
      <w:r w:rsidR="00DC3FBD">
        <w:t xml:space="preserve">again </w:t>
      </w:r>
      <w:r w:rsidR="00BD34CC">
        <w:t>about his duty to cooperate</w:t>
      </w:r>
      <w:r w:rsidR="00DC3FBD">
        <w:t>.</w:t>
      </w:r>
      <w:r w:rsidR="00BD34CC">
        <w:t xml:space="preserve">  </w:t>
      </w:r>
      <w:r w:rsidR="007F5555">
        <w:t xml:space="preserve">Ardalan </w:t>
      </w:r>
      <w:r w:rsidR="00BD34CC">
        <w:t xml:space="preserve">admits he </w:t>
      </w:r>
      <w:r w:rsidR="007F5555">
        <w:t>received the</w:t>
      </w:r>
      <w:r w:rsidR="00BD34CC">
        <w:t>se letters, but</w:t>
      </w:r>
      <w:r w:rsidR="00836CB7">
        <w:t xml:space="preserve"> did not respond.</w:t>
      </w:r>
      <w:r w:rsidR="00AE0203">
        <w:t xml:space="preserve">  He offers </w:t>
      </w:r>
      <w:r w:rsidR="00CE0794">
        <w:t>several</w:t>
      </w:r>
      <w:r w:rsidR="00AE0203">
        <w:t xml:space="preserve"> reasons for these failures, including procrastination, embarrassment, lack of concern for his professional future, and disregard of the </w:t>
      </w:r>
      <w:r w:rsidR="00B606B3">
        <w:t xml:space="preserve">State </w:t>
      </w:r>
      <w:r w:rsidR="00AE0203">
        <w:t>Bar.</w:t>
      </w:r>
      <w:r w:rsidR="00C71E33">
        <w:t xml:space="preserve">  </w:t>
      </w:r>
    </w:p>
    <w:p w:rsidR="00BE1978" w:rsidRDefault="00836CB7" w:rsidP="00BE1978">
      <w:pPr>
        <w:ind w:firstLine="720"/>
      </w:pPr>
      <w:r>
        <w:t xml:space="preserve">On January 11, 2010, </w:t>
      </w:r>
      <w:r w:rsidR="00095A4B">
        <w:t xml:space="preserve">State Bar </w:t>
      </w:r>
      <w:r>
        <w:t xml:space="preserve">Deputy Trial Counsel Monique Miller sent Ardalan a letter </w:t>
      </w:r>
      <w:r w:rsidR="00534FD5">
        <w:t xml:space="preserve">stating that </w:t>
      </w:r>
      <w:r>
        <w:t xml:space="preserve">the State Bar would file a Notice of Disciplinary Charges (NDC) against him if he did not contact </w:t>
      </w:r>
      <w:r w:rsidR="00534FD5">
        <w:t>her</w:t>
      </w:r>
      <w:r>
        <w:t xml:space="preserve"> by January 28, 201</w:t>
      </w:r>
      <w:r w:rsidR="00AA1856">
        <w:t>0</w:t>
      </w:r>
      <w:r>
        <w:t xml:space="preserve">.  Ardalan received this letter, </w:t>
      </w:r>
      <w:r w:rsidR="00534FD5">
        <w:t>but</w:t>
      </w:r>
      <w:r>
        <w:t xml:space="preserve"> did not contact </w:t>
      </w:r>
      <w:r>
        <w:lastRenderedPageBreak/>
        <w:t xml:space="preserve">Miller.  </w:t>
      </w:r>
      <w:r w:rsidR="00AA1856">
        <w:t>On February 1, 2010, t</w:t>
      </w:r>
      <w:r w:rsidR="006D1505">
        <w:t>he Stat</w:t>
      </w:r>
      <w:r w:rsidR="0061434B">
        <w:t xml:space="preserve">e Bar </w:t>
      </w:r>
      <w:r w:rsidR="002B7571">
        <w:t>filed</w:t>
      </w:r>
      <w:r>
        <w:t xml:space="preserve"> </w:t>
      </w:r>
      <w:r w:rsidR="002B7571">
        <w:t>the</w:t>
      </w:r>
      <w:r>
        <w:t xml:space="preserve"> NDC</w:t>
      </w:r>
      <w:r w:rsidR="0061434B">
        <w:t xml:space="preserve">.  </w:t>
      </w:r>
      <w:r w:rsidR="00914AFB">
        <w:t xml:space="preserve">From the time Ardalan issued </w:t>
      </w:r>
      <w:r w:rsidR="00BE1978">
        <w:t>the NSF check t</w:t>
      </w:r>
      <w:r w:rsidR="00914AFB">
        <w:t>hrough the time he failed</w:t>
      </w:r>
      <w:r w:rsidR="00BE1978">
        <w:t xml:space="preserve"> to respond to the State Bar, </w:t>
      </w:r>
      <w:r w:rsidR="00CE0794">
        <w:t xml:space="preserve">Ardalan was on </w:t>
      </w:r>
      <w:r w:rsidR="00914AFB">
        <w:t xml:space="preserve">disciplinary </w:t>
      </w:r>
      <w:r w:rsidR="00CE0794">
        <w:t>probation</w:t>
      </w:r>
      <w:r w:rsidR="00BE1978">
        <w:t>.</w:t>
      </w:r>
    </w:p>
    <w:p w:rsidR="00BE1346" w:rsidRPr="00BE1978" w:rsidRDefault="00BE1978" w:rsidP="00BE1978">
      <w:pPr>
        <w:jc w:val="center"/>
      </w:pPr>
      <w:r>
        <w:rPr>
          <w:b/>
        </w:rPr>
        <w:t xml:space="preserve">II.  </w:t>
      </w:r>
      <w:r w:rsidR="00BE1346" w:rsidRPr="00E212BC">
        <w:rPr>
          <w:b/>
        </w:rPr>
        <w:t>CULPABILITY</w:t>
      </w:r>
    </w:p>
    <w:p w:rsidR="00F42277" w:rsidRDefault="00E706E5" w:rsidP="000A4A7F">
      <w:r>
        <w:tab/>
      </w:r>
      <w:r w:rsidR="00836CB7">
        <w:t xml:space="preserve">The hearing judge </w:t>
      </w:r>
      <w:r w:rsidR="00166009">
        <w:t xml:space="preserve">properly </w:t>
      </w:r>
      <w:r w:rsidR="00836CB7">
        <w:t xml:space="preserve">found Ardalan culpable of the </w:t>
      </w:r>
      <w:r w:rsidR="00CE0794">
        <w:t>single</w:t>
      </w:r>
      <w:r w:rsidR="00836CB7">
        <w:t xml:space="preserve"> count at issue: </w:t>
      </w:r>
      <w:r w:rsidR="00147DD9">
        <w:t xml:space="preserve"> </w:t>
      </w:r>
      <w:r w:rsidR="00836CB7">
        <w:t>his failure to cooperate with a State Bar investigation in violation of section 6068, subdivision (i).</w:t>
      </w:r>
      <w:r w:rsidR="00CE0794">
        <w:rPr>
          <w:rStyle w:val="FootnoteReference"/>
        </w:rPr>
        <w:footnoteReference w:id="4"/>
      </w:r>
      <w:r w:rsidR="000A4A7F">
        <w:t xml:space="preserve">  This section requires </w:t>
      </w:r>
      <w:r w:rsidR="000A4A7F" w:rsidRPr="000A4A7F">
        <w:t xml:space="preserve">attorneys to “cooperate and participate in any disciplinary investigation or other regulatory or disciplinary proceeding pending against himself or herself.”  </w:t>
      </w:r>
      <w:r w:rsidR="00CE0794">
        <w:t xml:space="preserve">As charged, </w:t>
      </w:r>
      <w:r w:rsidR="000A4A7F">
        <w:t>A</w:t>
      </w:r>
      <w:r w:rsidR="00166009">
        <w:t xml:space="preserve">rdalan </w:t>
      </w:r>
      <w:r w:rsidR="00F42277">
        <w:t xml:space="preserve">violated </w:t>
      </w:r>
      <w:r w:rsidR="00CE0794">
        <w:t>t</w:t>
      </w:r>
      <w:r w:rsidR="00F42277">
        <w:t xml:space="preserve">his </w:t>
      </w:r>
      <w:r w:rsidR="000A4A7F">
        <w:t xml:space="preserve">duty </w:t>
      </w:r>
      <w:r w:rsidR="00F42277">
        <w:t xml:space="preserve">when he </w:t>
      </w:r>
      <w:r w:rsidR="00166009">
        <w:t xml:space="preserve">received and ignored </w:t>
      </w:r>
      <w:r w:rsidR="00534FD5">
        <w:t xml:space="preserve">the </w:t>
      </w:r>
      <w:r w:rsidR="00166009">
        <w:t xml:space="preserve">two </w:t>
      </w:r>
      <w:r w:rsidR="00CE0794">
        <w:t xml:space="preserve">October 2009 </w:t>
      </w:r>
      <w:r w:rsidR="00166009">
        <w:t>letters from the State Bar investigator asking for his respo</w:t>
      </w:r>
      <w:r w:rsidR="00F42277">
        <w:t>nse</w:t>
      </w:r>
      <w:r w:rsidR="00166009">
        <w:t xml:space="preserve">. </w:t>
      </w:r>
      <w:r w:rsidR="00147DD9">
        <w:t xml:space="preserve"> </w:t>
      </w:r>
      <w:r w:rsidR="00166009">
        <w:t xml:space="preserve">He is culpable even though </w:t>
      </w:r>
      <w:r w:rsidR="00147DD9">
        <w:t xml:space="preserve">he </w:t>
      </w:r>
      <w:r w:rsidR="00BE1978">
        <w:t xml:space="preserve">ultimately </w:t>
      </w:r>
      <w:r w:rsidR="00166009">
        <w:t>participated in these</w:t>
      </w:r>
      <w:r w:rsidR="008E31BC">
        <w:t xml:space="preserve"> </w:t>
      </w:r>
      <w:r w:rsidR="00166009">
        <w:t>proceedings</w:t>
      </w:r>
      <w:r w:rsidR="000A4A7F">
        <w:t xml:space="preserve"> after the NDC was filed</w:t>
      </w:r>
      <w:r w:rsidR="00166009">
        <w:t xml:space="preserve">. </w:t>
      </w:r>
      <w:r w:rsidR="00147DD9">
        <w:t xml:space="preserve"> </w:t>
      </w:r>
      <w:r w:rsidR="00166009">
        <w:t>(</w:t>
      </w:r>
      <w:r w:rsidR="0065392B">
        <w:rPr>
          <w:i/>
        </w:rPr>
        <w:t>In the Matter of Bach</w:t>
      </w:r>
      <w:r w:rsidR="0065392B">
        <w:t xml:space="preserve"> (Review Dept. 1991) 1 Cal. State Bar Ct. Rptr. 631, 644 [</w:t>
      </w:r>
      <w:r w:rsidR="00BE1978">
        <w:t>§</w:t>
      </w:r>
      <w:r w:rsidR="00166009">
        <w:t xml:space="preserve"> 6068, subd. (i) “</w:t>
      </w:r>
      <w:r w:rsidR="00166009" w:rsidRPr="00166009">
        <w:t xml:space="preserve">contemplates that attorneys may be found culpable of violating their duty to cooperate if they fail to participate </w:t>
      </w:r>
      <w:r w:rsidR="00166009" w:rsidRPr="00914AFB">
        <w:rPr>
          <w:i/>
        </w:rPr>
        <w:t>either</w:t>
      </w:r>
      <w:r w:rsidR="00166009" w:rsidRPr="00166009">
        <w:t xml:space="preserve"> in the investigati</w:t>
      </w:r>
      <w:r w:rsidR="00166009">
        <w:t xml:space="preserve">on </w:t>
      </w:r>
      <w:r w:rsidR="00166009" w:rsidRPr="00914AFB">
        <w:rPr>
          <w:i/>
        </w:rPr>
        <w:t>or</w:t>
      </w:r>
      <w:r w:rsidR="000A4A7F">
        <w:t xml:space="preserve"> in the formal proceedings”</w:t>
      </w:r>
      <w:r w:rsidR="00914AFB">
        <w:t xml:space="preserve"> (italics in original)</w:t>
      </w:r>
      <w:r w:rsidR="000A4A7F">
        <w:t xml:space="preserve">].) </w:t>
      </w:r>
    </w:p>
    <w:p w:rsidR="00425F1F" w:rsidRDefault="00BE1978" w:rsidP="00BE1978">
      <w:pPr>
        <w:pStyle w:val="ListParagraph"/>
        <w:ind w:left="0"/>
        <w:jc w:val="center"/>
        <w:rPr>
          <w:b/>
        </w:rPr>
      </w:pPr>
      <w:r>
        <w:rPr>
          <w:b/>
        </w:rPr>
        <w:t>III.  A</w:t>
      </w:r>
      <w:r w:rsidR="00F42277">
        <w:rPr>
          <w:b/>
        </w:rPr>
        <w:t>GGRAVATION AND MITIGATION</w:t>
      </w:r>
    </w:p>
    <w:p w:rsidR="00F42277" w:rsidRDefault="00F42277" w:rsidP="00425F1F">
      <w:pPr>
        <w:pStyle w:val="ListParagraph"/>
        <w:ind w:left="0" w:firstLine="720"/>
      </w:pPr>
      <w:r>
        <w:t>We determine the appropriate discipline in light of the relevant circumstances, including mitigating and aggravating factors.  (</w:t>
      </w:r>
      <w:r w:rsidRPr="00425F1F">
        <w:rPr>
          <w:i/>
        </w:rPr>
        <w:t>Gary v. State Bar</w:t>
      </w:r>
      <w:r>
        <w:t xml:space="preserve"> (1988)</w:t>
      </w:r>
      <w:r w:rsidR="00BE1978">
        <w:t xml:space="preserve"> 44 Cal.3d 820, 828.)  Ardalan </w:t>
      </w:r>
      <w:r>
        <w:t>must establish mitigation by clear and convincing evidence (</w:t>
      </w:r>
      <w:r w:rsidR="008E31BC">
        <w:t>std. 1.2(e)</w:t>
      </w:r>
      <w:r w:rsidR="00147DD9">
        <w:t>)</w:t>
      </w:r>
      <w:r>
        <w:t xml:space="preserve">, while the State Bar has the same burden to prove aggravating </w:t>
      </w:r>
      <w:r w:rsidR="004542DB">
        <w:t xml:space="preserve">circumstances.  (Std. 1.2(b).) </w:t>
      </w:r>
    </w:p>
    <w:p w:rsidR="00F42277" w:rsidRDefault="009F5D8B" w:rsidP="00BE1978">
      <w:pPr>
        <w:pStyle w:val="ListParagraph"/>
        <w:numPr>
          <w:ilvl w:val="0"/>
          <w:numId w:val="2"/>
        </w:numPr>
        <w:ind w:left="0" w:firstLine="0"/>
        <w:rPr>
          <w:b/>
        </w:rPr>
      </w:pPr>
      <w:r w:rsidRPr="00E212BC">
        <w:rPr>
          <w:b/>
        </w:rPr>
        <w:t>A</w:t>
      </w:r>
      <w:r w:rsidR="00425F1F" w:rsidRPr="00E212BC">
        <w:rPr>
          <w:b/>
        </w:rPr>
        <w:t>ggravation</w:t>
      </w:r>
    </w:p>
    <w:p w:rsidR="00F42277" w:rsidRDefault="00F42277" w:rsidP="00425F1F">
      <w:pPr>
        <w:ind w:firstLine="720"/>
      </w:pPr>
      <w:r>
        <w:t>We find two factors in aggravation</w:t>
      </w:r>
      <w:r w:rsidR="00CE0794">
        <w:t>, including the prior record found by the hearing judge, and Ardalan’s multiple acts of misconduct that the hearing judge did not consider</w:t>
      </w:r>
      <w:r>
        <w:t>.</w:t>
      </w:r>
    </w:p>
    <w:p w:rsidR="0095705A" w:rsidRPr="00E212BC" w:rsidRDefault="0095705A" w:rsidP="00BE1978">
      <w:pPr>
        <w:pStyle w:val="ListParagraph"/>
        <w:numPr>
          <w:ilvl w:val="0"/>
          <w:numId w:val="3"/>
        </w:numPr>
        <w:ind w:left="720" w:firstLine="0"/>
        <w:rPr>
          <w:b/>
        </w:rPr>
      </w:pPr>
      <w:r w:rsidRPr="00E212BC">
        <w:rPr>
          <w:b/>
        </w:rPr>
        <w:t xml:space="preserve">Two Prior Disciplines </w:t>
      </w:r>
      <w:r w:rsidR="00666583">
        <w:rPr>
          <w:b/>
        </w:rPr>
        <w:t>(Std. 1.2(b)(i))</w:t>
      </w:r>
    </w:p>
    <w:p w:rsidR="004A6E2F" w:rsidRDefault="009F5D8B" w:rsidP="00425F1F">
      <w:pPr>
        <w:ind w:firstLine="720"/>
      </w:pPr>
      <w:r>
        <w:t>Ardalan’</w:t>
      </w:r>
      <w:r w:rsidR="00E0442A">
        <w:t xml:space="preserve">s </w:t>
      </w:r>
      <w:r w:rsidR="00147DD9">
        <w:t xml:space="preserve">two </w:t>
      </w:r>
      <w:r w:rsidR="00E0442A">
        <w:t>prior record</w:t>
      </w:r>
      <w:r w:rsidR="00147DD9">
        <w:t>s</w:t>
      </w:r>
      <w:r w:rsidR="00E0442A">
        <w:t xml:space="preserve"> of </w:t>
      </w:r>
      <w:r w:rsidR="00147DD9">
        <w:t>d</w:t>
      </w:r>
      <w:r w:rsidR="00E0442A">
        <w:t>iscipline</w:t>
      </w:r>
      <w:r w:rsidR="00534FD5">
        <w:t xml:space="preserve"> </w:t>
      </w:r>
      <w:r w:rsidR="00BE1978">
        <w:t>are</w:t>
      </w:r>
      <w:r w:rsidR="00534FD5">
        <w:t xml:space="preserve"> a serious aggravat</w:t>
      </w:r>
      <w:r w:rsidR="00CF2020">
        <w:t>ing factor</w:t>
      </w:r>
      <w:r w:rsidR="00E0442A">
        <w:t>.  In December 2005, the Supreme Court ordered a six-month stayed suspension</w:t>
      </w:r>
      <w:r w:rsidR="0018032D">
        <w:t xml:space="preserve"> and one-year probation.  (Supreme Court </w:t>
      </w:r>
      <w:r w:rsidR="00337AB9">
        <w:t>Case</w:t>
      </w:r>
      <w:r w:rsidR="0018032D">
        <w:t xml:space="preserve"> S137450.)  A</w:t>
      </w:r>
      <w:r w:rsidR="00E0442A">
        <w:t xml:space="preserve">rdalan stipulated to </w:t>
      </w:r>
      <w:r w:rsidR="009D3096">
        <w:t xml:space="preserve">two violations:  </w:t>
      </w:r>
      <w:r w:rsidR="004A6E2F">
        <w:t>moral turpitude</w:t>
      </w:r>
      <w:r w:rsidR="009C298B">
        <w:t xml:space="preserve"> in violation of section 6106</w:t>
      </w:r>
      <w:r w:rsidR="004A6E2F">
        <w:t xml:space="preserve"> for </w:t>
      </w:r>
      <w:r w:rsidR="009D3096">
        <w:t xml:space="preserve">mismanaging </w:t>
      </w:r>
      <w:r w:rsidR="004A6E2F">
        <w:t xml:space="preserve">his CTA </w:t>
      </w:r>
      <w:r w:rsidR="009D3096">
        <w:t xml:space="preserve">by </w:t>
      </w:r>
      <w:r w:rsidR="00CE0794">
        <w:t>i</w:t>
      </w:r>
      <w:r w:rsidR="009D3096">
        <w:t xml:space="preserve">ssuing checks when </w:t>
      </w:r>
      <w:r w:rsidR="004A6E2F">
        <w:t xml:space="preserve">he knew or should have known the account contained insufficient funds, </w:t>
      </w:r>
      <w:r w:rsidR="009D3096">
        <w:t xml:space="preserve">and a </w:t>
      </w:r>
      <w:r w:rsidR="00CF2020">
        <w:t xml:space="preserve">violation of </w:t>
      </w:r>
      <w:r w:rsidR="004A6E2F">
        <w:t>rule 4-100(A) of the R</w:t>
      </w:r>
      <w:r w:rsidR="0001298F">
        <w:t xml:space="preserve">ules of Professional Conduct for using his CTA for </w:t>
      </w:r>
      <w:r w:rsidR="004A6E2F">
        <w:t xml:space="preserve">personal </w:t>
      </w:r>
      <w:r w:rsidR="0001298F">
        <w:t xml:space="preserve">matters.  </w:t>
      </w:r>
      <w:r w:rsidR="0018032D">
        <w:t>There were no aggravating factors</w:t>
      </w:r>
      <w:r w:rsidR="004761EC">
        <w:t xml:space="preserve">.  In </w:t>
      </w:r>
      <w:r w:rsidR="0018032D">
        <w:t>mitigation</w:t>
      </w:r>
      <w:r w:rsidR="004761EC">
        <w:t>,</w:t>
      </w:r>
      <w:r w:rsidR="0018032D">
        <w:t xml:space="preserve"> Ardalan </w:t>
      </w:r>
      <w:r w:rsidR="009D3096">
        <w:t xml:space="preserve">received </w:t>
      </w:r>
      <w:r w:rsidR="0018032D">
        <w:t xml:space="preserve">credit for no prior record of discipline, no client harm, </w:t>
      </w:r>
      <w:r w:rsidR="00AA1856">
        <w:t xml:space="preserve">his </w:t>
      </w:r>
      <w:r w:rsidR="0018032D">
        <w:t>candor and cooperation</w:t>
      </w:r>
      <w:r w:rsidR="00AA1856">
        <w:t>,</w:t>
      </w:r>
      <w:r w:rsidR="0018032D">
        <w:t xml:space="preserve"> and his demonstration of remorse.</w:t>
      </w:r>
    </w:p>
    <w:p w:rsidR="00B52B3A" w:rsidRDefault="0095705A" w:rsidP="00425F1F">
      <w:pPr>
        <w:ind w:firstLine="720"/>
      </w:pPr>
      <w:r>
        <w:t>In June 2008, the Supreme Court ordered a six-month actual suspe</w:t>
      </w:r>
      <w:r w:rsidR="00CE766C">
        <w:t xml:space="preserve">nsion and two </w:t>
      </w:r>
      <w:r w:rsidR="00AE0203">
        <w:t>year</w:t>
      </w:r>
      <w:r w:rsidR="00147DD9">
        <w:t>s</w:t>
      </w:r>
      <w:r w:rsidR="00BE1978">
        <w:t>’</w:t>
      </w:r>
      <w:r w:rsidR="00AE0203">
        <w:t xml:space="preserve"> probation. </w:t>
      </w:r>
      <w:r w:rsidR="00BE1978">
        <w:t xml:space="preserve"> </w:t>
      </w:r>
      <w:r w:rsidR="00AE0203">
        <w:t>(Su</w:t>
      </w:r>
      <w:r w:rsidR="00147DD9">
        <w:t xml:space="preserve">preme Court </w:t>
      </w:r>
      <w:r w:rsidR="00337AB9">
        <w:t>Case</w:t>
      </w:r>
      <w:r w:rsidR="00147DD9">
        <w:t xml:space="preserve"> S162325.) </w:t>
      </w:r>
      <w:r w:rsidR="00AE0203">
        <w:t xml:space="preserve"> Ardalan</w:t>
      </w:r>
      <w:r w:rsidR="00CE766C">
        <w:t xml:space="preserve"> stipulated to fail</w:t>
      </w:r>
      <w:r w:rsidR="00534FD5">
        <w:t>ing</w:t>
      </w:r>
      <w:r w:rsidR="00CE766C">
        <w:t xml:space="preserve"> to pe</w:t>
      </w:r>
      <w:r w:rsidR="00C16896">
        <w:t xml:space="preserve">rform competently and </w:t>
      </w:r>
      <w:r w:rsidR="00BE1978">
        <w:t xml:space="preserve">to </w:t>
      </w:r>
      <w:r w:rsidR="00CE766C">
        <w:t>respond to reasonable status inquiries in t</w:t>
      </w:r>
      <w:r w:rsidR="00147DD9">
        <w:t>wo client matters; fail</w:t>
      </w:r>
      <w:r w:rsidR="00534FD5">
        <w:t>ing</w:t>
      </w:r>
      <w:r w:rsidR="00147DD9">
        <w:t xml:space="preserve"> to</w:t>
      </w:r>
      <w:r w:rsidR="00A45C34">
        <w:t xml:space="preserve"> </w:t>
      </w:r>
      <w:r w:rsidR="00CE766C">
        <w:t>take reasonable steps to avoid prejudice to his client upon termination of employment</w:t>
      </w:r>
      <w:r w:rsidR="00A45C34">
        <w:t xml:space="preserve"> in one matter</w:t>
      </w:r>
      <w:r w:rsidR="00147DD9">
        <w:t>; and fail</w:t>
      </w:r>
      <w:r w:rsidR="00534FD5">
        <w:t>ing</w:t>
      </w:r>
      <w:r w:rsidR="00147DD9">
        <w:t xml:space="preserve"> to </w:t>
      </w:r>
      <w:r w:rsidR="00A45C34">
        <w:t>comply with seven probation conditions imposed in h</w:t>
      </w:r>
      <w:r w:rsidR="00051E14">
        <w:t xml:space="preserve">is first disciplinary matter.  </w:t>
      </w:r>
      <w:r w:rsidR="00B52B3A">
        <w:t xml:space="preserve">In aggravation, </w:t>
      </w:r>
      <w:r>
        <w:t>Ardalan</w:t>
      </w:r>
      <w:r w:rsidR="00B52B3A">
        <w:t xml:space="preserve"> had a </w:t>
      </w:r>
      <w:r>
        <w:t xml:space="preserve">prior </w:t>
      </w:r>
      <w:r w:rsidR="00B52B3A">
        <w:t xml:space="preserve">discipline </w:t>
      </w:r>
      <w:r>
        <w:t xml:space="preserve">record and </w:t>
      </w:r>
      <w:r w:rsidR="00B52B3A">
        <w:t xml:space="preserve">there was </w:t>
      </w:r>
      <w:r>
        <w:t>client harm.  In mitigation, Ardalan demonstrated spontaneous candor and cooperation with the victims of his misconduct</w:t>
      </w:r>
      <w:r w:rsidR="00940842">
        <w:t>,</w:t>
      </w:r>
      <w:r>
        <w:t xml:space="preserve"> </w:t>
      </w:r>
      <w:r w:rsidR="00CE766C">
        <w:t xml:space="preserve">and </w:t>
      </w:r>
      <w:r w:rsidR="00940842">
        <w:t xml:space="preserve">he </w:t>
      </w:r>
      <w:r w:rsidR="00CE766C">
        <w:t xml:space="preserve">was suffering extreme </w:t>
      </w:r>
      <w:r w:rsidR="00BE1978">
        <w:t xml:space="preserve">personal </w:t>
      </w:r>
      <w:r w:rsidR="00CE766C">
        <w:t xml:space="preserve">difficulties </w:t>
      </w:r>
      <w:r w:rsidR="00940842">
        <w:t>at the time</w:t>
      </w:r>
      <w:r w:rsidR="00CE766C">
        <w:t xml:space="preserve">.  Among other </w:t>
      </w:r>
      <w:r w:rsidR="00591B9B">
        <w:t>probation</w:t>
      </w:r>
      <w:r w:rsidR="00CF2020">
        <w:t xml:space="preserve"> conditions</w:t>
      </w:r>
      <w:r w:rsidR="00591B9B">
        <w:t xml:space="preserve">, </w:t>
      </w:r>
      <w:r w:rsidR="00BE1978">
        <w:t>he</w:t>
      </w:r>
      <w:r w:rsidR="00591B9B">
        <w:t xml:space="preserve"> was ordered</w:t>
      </w:r>
      <w:r w:rsidR="00CE766C">
        <w:t xml:space="preserve"> to co</w:t>
      </w:r>
      <w:r w:rsidR="00940842">
        <w:t>mply with the State Bar Act.</w:t>
      </w:r>
      <w:r w:rsidR="00BE1978">
        <w:t xml:space="preserve">  </w:t>
      </w:r>
      <w:r w:rsidR="00337AB9">
        <w:t>As a result of th</w:t>
      </w:r>
      <w:r w:rsidR="00575031">
        <w:t>is 2008</w:t>
      </w:r>
      <w:r w:rsidR="00337AB9">
        <w:t xml:space="preserve"> case, </w:t>
      </w:r>
      <w:r w:rsidR="00BE1978">
        <w:t>Ardalan was on disciplinary probation from July 2008 to July 2010.</w:t>
      </w:r>
    </w:p>
    <w:p w:rsidR="00CE0794" w:rsidRDefault="00CE0794" w:rsidP="00425F1F">
      <w:pPr>
        <w:ind w:firstLine="720"/>
      </w:pPr>
    </w:p>
    <w:p w:rsidR="00CE0794" w:rsidRDefault="00CE0794" w:rsidP="00425F1F">
      <w:pPr>
        <w:ind w:firstLine="720"/>
      </w:pPr>
    </w:p>
    <w:p w:rsidR="00B56B49" w:rsidRDefault="00B56B49" w:rsidP="00BE1978">
      <w:pPr>
        <w:pStyle w:val="ListParagraph"/>
        <w:numPr>
          <w:ilvl w:val="0"/>
          <w:numId w:val="3"/>
        </w:numPr>
        <w:ind w:left="720" w:firstLine="0"/>
        <w:rPr>
          <w:b/>
        </w:rPr>
      </w:pPr>
      <w:r w:rsidRPr="002F0C26">
        <w:rPr>
          <w:b/>
        </w:rPr>
        <w:t>Multiple Acts of Misconduct (Std. 1.2(b)(ii))</w:t>
      </w:r>
    </w:p>
    <w:p w:rsidR="00C16896" w:rsidRDefault="00C16896" w:rsidP="00C16896">
      <w:pPr>
        <w:pStyle w:val="ListParagraph"/>
        <w:ind w:left="0"/>
      </w:pPr>
      <w:r>
        <w:tab/>
        <w:t>In addition to not responding to the two investigat</w:t>
      </w:r>
      <w:r w:rsidR="00C71E33">
        <w:t>ory</w:t>
      </w:r>
      <w:r>
        <w:t xml:space="preserve"> letters, Ardalan failed to respond to Deputy Trial Counsel Miller’s letter </w:t>
      </w:r>
      <w:r w:rsidR="00AA1856">
        <w:t>warning</w:t>
      </w:r>
      <w:r>
        <w:t xml:space="preserve"> h</w:t>
      </w:r>
      <w:r w:rsidR="008468C4">
        <w:t>im of the intent to file an NDC</w:t>
      </w:r>
      <w:r w:rsidR="00AA1856">
        <w:t>.  That was his</w:t>
      </w:r>
      <w:r>
        <w:t xml:space="preserve"> third instance of failing to cooperate </w:t>
      </w:r>
      <w:r w:rsidR="008468C4">
        <w:t>over a four-month period</w:t>
      </w:r>
      <w:r>
        <w:t xml:space="preserve">.  </w:t>
      </w:r>
      <w:r w:rsidR="0026287B">
        <w:t>Since this third incident was not charged in the NDC or used for determining culpability, w</w:t>
      </w:r>
      <w:r>
        <w:t>e consider</w:t>
      </w:r>
      <w:r w:rsidR="00305780">
        <w:t xml:space="preserve"> it as evidence of </w:t>
      </w:r>
      <w:r>
        <w:t xml:space="preserve">multiple acts </w:t>
      </w:r>
      <w:r w:rsidR="00305780">
        <w:t xml:space="preserve">of misconduct </w:t>
      </w:r>
      <w:r>
        <w:t>in aggravation.  (</w:t>
      </w:r>
      <w:r w:rsidRPr="00C16896">
        <w:rPr>
          <w:i/>
        </w:rPr>
        <w:t>In the Matter of Tiernan</w:t>
      </w:r>
      <w:r>
        <w:t xml:space="preserve"> (Review Dept. 1996) 3 Cal. State Bar Ct. Rptr. 523, 529.)</w:t>
      </w:r>
    </w:p>
    <w:p w:rsidR="00C16896" w:rsidRPr="002F0C26" w:rsidRDefault="00C16896" w:rsidP="00BE1978">
      <w:pPr>
        <w:pStyle w:val="ListParagraph"/>
        <w:numPr>
          <w:ilvl w:val="0"/>
          <w:numId w:val="3"/>
        </w:numPr>
        <w:ind w:left="720" w:firstLine="0"/>
        <w:rPr>
          <w:b/>
        </w:rPr>
      </w:pPr>
      <w:r>
        <w:rPr>
          <w:b/>
        </w:rPr>
        <w:t xml:space="preserve">No </w:t>
      </w:r>
      <w:r w:rsidR="006317AD">
        <w:rPr>
          <w:b/>
        </w:rPr>
        <w:t xml:space="preserve">Aggravation for </w:t>
      </w:r>
      <w:r w:rsidRPr="00C16896">
        <w:rPr>
          <w:b/>
        </w:rPr>
        <w:t>Uncharged Misconduct (Std. 1.2(b)(iii))</w:t>
      </w:r>
    </w:p>
    <w:p w:rsidR="00C16896" w:rsidRDefault="00C16896" w:rsidP="00C16896">
      <w:r>
        <w:tab/>
      </w:r>
      <w:r w:rsidR="00E212BF">
        <w:t xml:space="preserve">As uncharged misconduct in aggravation, the </w:t>
      </w:r>
      <w:r>
        <w:t xml:space="preserve">hearing judge </w:t>
      </w:r>
      <w:r w:rsidR="00E212BF">
        <w:t xml:space="preserve">found that </w:t>
      </w:r>
      <w:r w:rsidR="00CF2E5D">
        <w:t xml:space="preserve">Ardalan also violated the State Bar Act </w:t>
      </w:r>
      <w:r w:rsidR="00E212BF">
        <w:t xml:space="preserve">when </w:t>
      </w:r>
      <w:r w:rsidR="00CF2E5D">
        <w:t xml:space="preserve">he </w:t>
      </w:r>
      <w:r>
        <w:t>did not cooperate with the investigation, thereby fail</w:t>
      </w:r>
      <w:r w:rsidR="00CF2E5D">
        <w:t>ing</w:t>
      </w:r>
      <w:r>
        <w:t xml:space="preserve"> to comply with his proba</w:t>
      </w:r>
      <w:r w:rsidR="00E51628">
        <w:t xml:space="preserve">tion conditions </w:t>
      </w:r>
      <w:r>
        <w:t xml:space="preserve">in violation of section 6068, subdivision (k).  </w:t>
      </w:r>
      <w:r w:rsidR="00E51628">
        <w:t>However, s</w:t>
      </w:r>
      <w:r>
        <w:t xml:space="preserve">ince </w:t>
      </w:r>
      <w:r w:rsidR="00CF2E5D">
        <w:t>this v</w:t>
      </w:r>
      <w:r>
        <w:t xml:space="preserve">iolation </w:t>
      </w:r>
      <w:r w:rsidR="00E51628">
        <w:t xml:space="preserve">is based on </w:t>
      </w:r>
      <w:r>
        <w:t xml:space="preserve">the same facts </w:t>
      </w:r>
      <w:r w:rsidR="00E51628">
        <w:t xml:space="preserve">as those </w:t>
      </w:r>
      <w:r>
        <w:t xml:space="preserve">forming the basis for Ardalan’s culpability </w:t>
      </w:r>
      <w:r w:rsidR="00E212BF">
        <w:t>under</w:t>
      </w:r>
      <w:r>
        <w:t xml:space="preserve"> section 6068, subdivision (i), we a</w:t>
      </w:r>
      <w:r w:rsidR="0026287B">
        <w:t>ssign</w:t>
      </w:r>
      <w:r>
        <w:t xml:space="preserve"> no additional weight in aggravation.  (</w:t>
      </w:r>
      <w:r>
        <w:rPr>
          <w:i/>
        </w:rPr>
        <w:t>In the Matter of Davis</w:t>
      </w:r>
      <w:r>
        <w:t xml:space="preserve"> (Review Dept. 2003) 4 Cal. State Bar Ct. Rptr. 576, 595.)   </w:t>
      </w:r>
    </w:p>
    <w:p w:rsidR="00040F26" w:rsidRDefault="009F5D8B" w:rsidP="00CF2E5D">
      <w:pPr>
        <w:pStyle w:val="ListParagraph"/>
        <w:numPr>
          <w:ilvl w:val="0"/>
          <w:numId w:val="2"/>
        </w:numPr>
        <w:ind w:left="0" w:firstLine="0"/>
        <w:rPr>
          <w:b/>
        </w:rPr>
      </w:pPr>
      <w:r w:rsidRPr="00666583">
        <w:rPr>
          <w:b/>
        </w:rPr>
        <w:t>M</w:t>
      </w:r>
      <w:r w:rsidR="00C16896" w:rsidRPr="00666583">
        <w:rPr>
          <w:b/>
        </w:rPr>
        <w:t>itigation</w:t>
      </w:r>
    </w:p>
    <w:p w:rsidR="00F42277" w:rsidRPr="00F42277" w:rsidRDefault="0026287B" w:rsidP="00425F1F">
      <w:pPr>
        <w:ind w:firstLine="720"/>
      </w:pPr>
      <w:r>
        <w:t xml:space="preserve">Although the hearing judge found three factors in mitigation, as discussed below, we decline to give any credit for no client harm.  Accordingly, </w:t>
      </w:r>
      <w:r w:rsidR="009C298B">
        <w:t xml:space="preserve">we find that </w:t>
      </w:r>
      <w:r w:rsidR="00F42277">
        <w:t>Ardalan has established two minor factors in mitigation.</w:t>
      </w:r>
    </w:p>
    <w:p w:rsidR="00040F26" w:rsidRPr="00040F26" w:rsidRDefault="00040F26" w:rsidP="00CF2E5D">
      <w:pPr>
        <w:pStyle w:val="ListParagraph"/>
        <w:numPr>
          <w:ilvl w:val="0"/>
          <w:numId w:val="4"/>
        </w:numPr>
        <w:ind w:firstLine="0"/>
        <w:rPr>
          <w:b/>
        </w:rPr>
      </w:pPr>
      <w:r w:rsidRPr="00040F26">
        <w:rPr>
          <w:b/>
        </w:rPr>
        <w:t>Cooperation</w:t>
      </w:r>
      <w:r>
        <w:rPr>
          <w:b/>
        </w:rPr>
        <w:t xml:space="preserve"> (Std. 1.2(e)(v))</w:t>
      </w:r>
    </w:p>
    <w:p w:rsidR="00040F26" w:rsidRDefault="009C298B" w:rsidP="00425F1F">
      <w:pPr>
        <w:ind w:firstLine="720"/>
      </w:pPr>
      <w:r>
        <w:t xml:space="preserve">We agree with the hearing judge that </w:t>
      </w:r>
      <w:r w:rsidR="00040F26">
        <w:t>Ardalan is entitled to “nominal” mitigation for stipulating to</w:t>
      </w:r>
      <w:r w:rsidR="00914AFB">
        <w:t xml:space="preserve"> easily provable</w:t>
      </w:r>
      <w:r w:rsidR="00040F26">
        <w:t xml:space="preserve"> facts. </w:t>
      </w:r>
      <w:r w:rsidR="004820F5">
        <w:t xml:space="preserve"> </w:t>
      </w:r>
      <w:r w:rsidR="00040F26">
        <w:t>(</w:t>
      </w:r>
      <w:r w:rsidR="00040F26" w:rsidRPr="00040F26">
        <w:rPr>
          <w:i/>
        </w:rPr>
        <w:t>In the Matter of Bouyer</w:t>
      </w:r>
      <w:r w:rsidR="00040F26">
        <w:t xml:space="preserve"> (Review Dept. 1998) 3 Cal. State Bar Ct. Rptr. 888, </w:t>
      </w:r>
      <w:r w:rsidR="00591B9B">
        <w:t>891</w:t>
      </w:r>
      <w:r w:rsidR="00040F26">
        <w:t>.)</w:t>
      </w:r>
    </w:p>
    <w:p w:rsidR="00305780" w:rsidRDefault="00305780" w:rsidP="00425F1F">
      <w:pPr>
        <w:ind w:firstLine="720"/>
      </w:pPr>
    </w:p>
    <w:p w:rsidR="00305780" w:rsidRPr="00040F26" w:rsidRDefault="00305780" w:rsidP="00425F1F">
      <w:pPr>
        <w:ind w:firstLine="720"/>
      </w:pPr>
    </w:p>
    <w:p w:rsidR="00040F26" w:rsidRDefault="00040F26" w:rsidP="00CF2E5D">
      <w:pPr>
        <w:pStyle w:val="ListParagraph"/>
        <w:numPr>
          <w:ilvl w:val="0"/>
          <w:numId w:val="4"/>
        </w:numPr>
        <w:ind w:firstLine="0"/>
        <w:rPr>
          <w:b/>
        </w:rPr>
      </w:pPr>
      <w:r>
        <w:rPr>
          <w:b/>
        </w:rPr>
        <w:t>Remorse and Recognition of Wrongdoing (Std. 1.2(e)(vii))</w:t>
      </w:r>
    </w:p>
    <w:p w:rsidR="00591B9B" w:rsidRDefault="00591B9B" w:rsidP="00425F1F">
      <w:pPr>
        <w:ind w:firstLine="720"/>
      </w:pPr>
      <w:r>
        <w:t xml:space="preserve">The hearing judge gave Ardalan mitigation credit for expressing remorse and recognition of wrongdoing, and the State Bar does not dispute this finding.  </w:t>
      </w:r>
      <w:r w:rsidR="0026287B">
        <w:t>Like the hearing judge, w</w:t>
      </w:r>
      <w:r>
        <w:t>e afford</w:t>
      </w:r>
      <w:r w:rsidR="00A454B1">
        <w:t xml:space="preserve"> only</w:t>
      </w:r>
      <w:r>
        <w:t xml:space="preserve"> limited weight to this factor</w:t>
      </w:r>
      <w:r w:rsidR="00A454B1">
        <w:t xml:space="preserve"> because Ardalan did not promptly take </w:t>
      </w:r>
      <w:r w:rsidR="00817C66">
        <w:t xml:space="preserve">objective </w:t>
      </w:r>
      <w:r w:rsidR="00A454B1">
        <w:t xml:space="preserve">steps </w:t>
      </w:r>
      <w:r w:rsidR="00E83EC2">
        <w:t xml:space="preserve">spontaneously </w:t>
      </w:r>
      <w:r w:rsidR="00A454B1">
        <w:t>dem</w:t>
      </w:r>
      <w:r w:rsidR="00F42277">
        <w:t xml:space="preserve">onstrating </w:t>
      </w:r>
      <w:r w:rsidR="00E83EC2">
        <w:t>his remorse</w:t>
      </w:r>
      <w:r w:rsidR="00A454B1">
        <w:t xml:space="preserve"> </w:t>
      </w:r>
      <w:r w:rsidR="00817C66">
        <w:t xml:space="preserve">as called for </w:t>
      </w:r>
      <w:r w:rsidR="00A454B1">
        <w:t>under standard 1.2(e)(vii)</w:t>
      </w:r>
      <w:r>
        <w:t xml:space="preserve">. </w:t>
      </w:r>
      <w:r w:rsidR="00A454B1">
        <w:t xml:space="preserve"> (</w:t>
      </w:r>
      <w:r w:rsidR="00A454B1">
        <w:rPr>
          <w:i/>
        </w:rPr>
        <w:t>In the Matter of Rech</w:t>
      </w:r>
      <w:r w:rsidR="00A454B1">
        <w:t xml:space="preserve"> (Review Dept. 1995) 3</w:t>
      </w:r>
      <w:r w:rsidR="00E83EC2">
        <w:t xml:space="preserve"> Cal. State Bar Ct. Rptr. 310, 316,</w:t>
      </w:r>
      <w:r w:rsidR="00A454B1">
        <w:t xml:space="preserve"> fn. 4.)</w:t>
      </w:r>
      <w:r w:rsidR="00817C66">
        <w:t xml:space="preserve">  </w:t>
      </w:r>
      <w:r w:rsidR="00CF2E5D">
        <w:t>Ardalan issued an NSF check while on probation, but failed to promptly address the issue despite three State Bar letters.  Such inaction is not a spontaneous demonstration of remorse.</w:t>
      </w:r>
    </w:p>
    <w:p w:rsidR="00040F26" w:rsidRPr="00040F26" w:rsidRDefault="004820F5" w:rsidP="00CF2E5D">
      <w:pPr>
        <w:pStyle w:val="ListParagraph"/>
        <w:numPr>
          <w:ilvl w:val="0"/>
          <w:numId w:val="4"/>
        </w:numPr>
        <w:ind w:firstLine="0"/>
        <w:rPr>
          <w:b/>
        </w:rPr>
      </w:pPr>
      <w:r>
        <w:rPr>
          <w:b/>
        </w:rPr>
        <w:t>No Credit for Lack of H</w:t>
      </w:r>
      <w:r w:rsidR="00040F26">
        <w:rPr>
          <w:b/>
        </w:rPr>
        <w:t>arm (Std. 1.2(e)(iii))</w:t>
      </w:r>
    </w:p>
    <w:p w:rsidR="0095705A" w:rsidRDefault="006317AD" w:rsidP="00425F1F">
      <w:pPr>
        <w:ind w:firstLine="720"/>
      </w:pPr>
      <w:r>
        <w:t xml:space="preserve">The hearing judge gave Ardalan credit for lack of client harm.  </w:t>
      </w:r>
      <w:r w:rsidR="0026287B">
        <w:t xml:space="preserve">We decline to afford mitigation for lack of harm.  </w:t>
      </w:r>
      <w:r w:rsidR="00666583">
        <w:t>Alt</w:t>
      </w:r>
      <w:r w:rsidR="00CF2E5D">
        <w:t xml:space="preserve">hough no client was harmed, the </w:t>
      </w:r>
      <w:r w:rsidR="0026287B">
        <w:t xml:space="preserve">real </w:t>
      </w:r>
      <w:r w:rsidR="00CF2E5D">
        <w:t>victim</w:t>
      </w:r>
      <w:r w:rsidR="00666583">
        <w:t xml:space="preserve"> of Ardalan’s misconduct w</w:t>
      </w:r>
      <w:r w:rsidR="00AA1856">
        <w:t>as</w:t>
      </w:r>
      <w:r w:rsidR="00666583">
        <w:t xml:space="preserve"> the State Bar and </w:t>
      </w:r>
      <w:r w:rsidR="00AA1856">
        <w:t>its</w:t>
      </w:r>
      <w:r w:rsidR="004820F5">
        <w:t xml:space="preserve"> discipline process</w:t>
      </w:r>
      <w:r w:rsidR="00666583">
        <w:t xml:space="preserve">. </w:t>
      </w:r>
      <w:r w:rsidR="004820F5">
        <w:t xml:space="preserve"> </w:t>
      </w:r>
      <w:r w:rsidR="00D553F8">
        <w:t xml:space="preserve">(Std. 1.2(e)(iii).)  </w:t>
      </w:r>
      <w:r w:rsidR="00666583">
        <w:t xml:space="preserve">As Ardalan acknowledged, his conduct subjected the State Bar to “administrative and . . . monetary costs” and his failure to cooperate led to a “very expensive investigation.”  </w:t>
      </w:r>
      <w:r w:rsidR="0026287B">
        <w:t>These circumstances do not establish lack of harm</w:t>
      </w:r>
      <w:r w:rsidR="004820F5">
        <w:t>.</w:t>
      </w:r>
    </w:p>
    <w:p w:rsidR="009F5D8B" w:rsidRPr="008E31BC" w:rsidRDefault="00CF2E5D" w:rsidP="00CF2E5D">
      <w:pPr>
        <w:pStyle w:val="ListParagraph"/>
        <w:ind w:left="0"/>
        <w:jc w:val="center"/>
        <w:rPr>
          <w:b/>
        </w:rPr>
      </w:pPr>
      <w:r>
        <w:rPr>
          <w:b/>
        </w:rPr>
        <w:t xml:space="preserve">IV.  </w:t>
      </w:r>
      <w:r w:rsidR="009F5D8B" w:rsidRPr="008E31BC">
        <w:rPr>
          <w:b/>
        </w:rPr>
        <w:t>DISCIPLINE</w:t>
      </w:r>
    </w:p>
    <w:p w:rsidR="0026287B" w:rsidRDefault="00DD1530" w:rsidP="00425F1F">
      <w:pPr>
        <w:ind w:firstLine="720"/>
      </w:pPr>
      <w:r>
        <w:t xml:space="preserve">The purpose of discipline is not to punish the attorney, but to protect the public.  </w:t>
      </w:r>
      <w:r w:rsidR="00CF2E5D">
        <w:t xml:space="preserve">       </w:t>
      </w:r>
      <w:r>
        <w:t xml:space="preserve">(Std. 1.3.)  </w:t>
      </w:r>
      <w:r w:rsidR="00F42A37" w:rsidRPr="00F42A37">
        <w:t>In determining the appropriate level of discipline, we first consider the standards applicable to this case.  While we are “not compelled to strictly follow [the standards] in every case,” we look to them for guidance</w:t>
      </w:r>
      <w:r w:rsidR="0026287B">
        <w:t xml:space="preserve">. </w:t>
      </w:r>
      <w:r w:rsidR="00F42A37" w:rsidRPr="00F42A37">
        <w:t xml:space="preserve"> (</w:t>
      </w:r>
      <w:r w:rsidR="00F42A37" w:rsidRPr="00F42A37">
        <w:rPr>
          <w:i/>
          <w:iCs/>
        </w:rPr>
        <w:t>In re Young</w:t>
      </w:r>
      <w:r w:rsidR="00F42A37" w:rsidRPr="00F42A37">
        <w:t xml:space="preserve"> (1989) 49 Cal.3d 257, 267, fn. 11</w:t>
      </w:r>
      <w:r w:rsidR="0026287B">
        <w:t>.</w:t>
      </w:r>
      <w:r w:rsidR="00F42A37" w:rsidRPr="00F42A37">
        <w:t>)</w:t>
      </w:r>
      <w:r w:rsidR="0026287B">
        <w:t xml:space="preserve">  Generally, they</w:t>
      </w:r>
      <w:r w:rsidR="00F42A37" w:rsidRPr="00F42A37">
        <w:t xml:space="preserve"> should be given great weight in order to assure consistency in attorney disciplinary cases.  (</w:t>
      </w:r>
      <w:r w:rsidR="00F42A37" w:rsidRPr="00F42A37">
        <w:rPr>
          <w:i/>
          <w:iCs/>
        </w:rPr>
        <w:t>In re Brown</w:t>
      </w:r>
      <w:r w:rsidR="00F42A37" w:rsidRPr="00F42A37">
        <w:t xml:space="preserve"> (1995) 12 Cal.4th 205, 220.)  </w:t>
      </w:r>
    </w:p>
    <w:p w:rsidR="0081498C" w:rsidRDefault="00F42A37" w:rsidP="00425F1F">
      <w:pPr>
        <w:ind w:firstLine="720"/>
      </w:pPr>
      <w:r w:rsidRPr="00F42A37">
        <w:t xml:space="preserve">In light of </w:t>
      </w:r>
      <w:r>
        <w:t>Ardalan</w:t>
      </w:r>
      <w:r w:rsidRPr="00F42A37">
        <w:t xml:space="preserve">’s prior record of discipline, we </w:t>
      </w:r>
      <w:r w:rsidR="00F2704D">
        <w:t>begin with s</w:t>
      </w:r>
      <w:r w:rsidR="0087469A">
        <w:t>tandard 1.</w:t>
      </w:r>
      <w:r w:rsidR="00591B9B">
        <w:t>7(b)</w:t>
      </w:r>
      <w:r w:rsidR="00F2704D">
        <w:t>, which</w:t>
      </w:r>
      <w:r w:rsidR="00D95306">
        <w:t xml:space="preserve"> is the most serious and</w:t>
      </w:r>
      <w:r w:rsidR="00591B9B">
        <w:t xml:space="preserve"> calls for disbarment for a culpable attorney</w:t>
      </w:r>
      <w:r w:rsidR="0087469A">
        <w:t xml:space="preserve"> with two prior records of discipline unless “the most compelling circumstances clearly predominate.”</w:t>
      </w:r>
      <w:r w:rsidR="00AE2EC2" w:rsidRPr="00AE2EC2">
        <w:rPr>
          <w:rStyle w:val="FootnoteReference"/>
        </w:rPr>
        <w:t xml:space="preserve"> </w:t>
      </w:r>
      <w:r w:rsidR="00AE2EC2">
        <w:rPr>
          <w:rStyle w:val="FootnoteReference"/>
        </w:rPr>
        <w:footnoteReference w:id="5"/>
      </w:r>
      <w:r w:rsidR="00A45C34">
        <w:t xml:space="preserve">  However, </w:t>
      </w:r>
      <w:r w:rsidR="00AE2EC2">
        <w:t xml:space="preserve"> </w:t>
      </w:r>
      <w:r w:rsidR="00A45C34">
        <w:t>standard 1.7(b) is not applied rigidly</w:t>
      </w:r>
      <w:r w:rsidR="00066B53">
        <w:t xml:space="preserve"> and the Supreme Court </w:t>
      </w:r>
      <w:r w:rsidR="00A45C34">
        <w:t xml:space="preserve">has not always ordered disbarment </w:t>
      </w:r>
      <w:r w:rsidR="006317AD">
        <w:t xml:space="preserve">for </w:t>
      </w:r>
      <w:r w:rsidR="00066B53">
        <w:t xml:space="preserve">a third discipline case.  </w:t>
      </w:r>
      <w:r w:rsidR="00732E82">
        <w:t>(</w:t>
      </w:r>
      <w:r w:rsidR="009667DE">
        <w:t>E.g.</w:t>
      </w:r>
      <w:r w:rsidR="00732E82">
        <w:t xml:space="preserve">, </w:t>
      </w:r>
      <w:r w:rsidR="00732E82" w:rsidRPr="00732E82">
        <w:rPr>
          <w:i/>
        </w:rPr>
        <w:t>Conroy v. State Bar</w:t>
      </w:r>
      <w:r w:rsidR="00732E82" w:rsidRPr="00732E82">
        <w:t xml:space="preserve"> (1991) 53 Cal.3d 495, 506-508 [one-year actual suspension even though no compelling </w:t>
      </w:r>
      <w:r w:rsidR="00732E82">
        <w:t>mitigation in std. 1.7(b) case]</w:t>
      </w:r>
      <w:r w:rsidR="00732E82" w:rsidRPr="00732E82">
        <w:t>.)</w:t>
      </w:r>
      <w:r w:rsidR="00732E82">
        <w:t xml:space="preserve">  </w:t>
      </w:r>
      <w:r w:rsidR="00066B53">
        <w:t>Rather, w</w:t>
      </w:r>
      <w:r w:rsidR="00732E82">
        <w:t xml:space="preserve">e </w:t>
      </w:r>
      <w:r w:rsidR="00066B53">
        <w:t xml:space="preserve">must </w:t>
      </w:r>
      <w:r w:rsidR="00732E82">
        <w:t>examine the nature of Ardalan’</w:t>
      </w:r>
      <w:r w:rsidR="00D553F8">
        <w:t xml:space="preserve">s </w:t>
      </w:r>
      <w:r w:rsidR="00CA3675">
        <w:t xml:space="preserve">record of </w:t>
      </w:r>
      <w:r w:rsidR="0081498C">
        <w:t xml:space="preserve">discipline in order to apply standard 1.7(b) in a manner consistent with the </w:t>
      </w:r>
      <w:r w:rsidR="00732E82">
        <w:t>purpose</w:t>
      </w:r>
      <w:r w:rsidR="006317AD">
        <w:t>s</w:t>
      </w:r>
      <w:r w:rsidR="00732E82">
        <w:t xml:space="preserve"> of attorney discipline</w:t>
      </w:r>
      <w:r w:rsidR="0045651B">
        <w:t>.</w:t>
      </w:r>
      <w:r w:rsidR="0081498C">
        <w:t xml:space="preserve">  (</w:t>
      </w:r>
      <w:r w:rsidR="0081498C">
        <w:rPr>
          <w:i/>
        </w:rPr>
        <w:t>In the Matter of Miller</w:t>
      </w:r>
      <w:r w:rsidR="0081498C">
        <w:t xml:space="preserve"> (Review Dept. 1990) 1 Cal. </w:t>
      </w:r>
      <w:r w:rsidR="00CA3675">
        <w:t xml:space="preserve">State Bar Ct. Rptr. 131, 136.) </w:t>
      </w:r>
    </w:p>
    <w:p w:rsidR="00D95306" w:rsidRDefault="0081498C" w:rsidP="00425F1F">
      <w:pPr>
        <w:ind w:firstLine="720"/>
      </w:pPr>
      <w:r>
        <w:t>This is not a case where Ardalan has demonstrated progressively more serious conduct with each discipline</w:t>
      </w:r>
      <w:r w:rsidR="000F04A8">
        <w:t xml:space="preserve">, which would more readily support a </w:t>
      </w:r>
      <w:r w:rsidR="0040179D">
        <w:t>disbarment</w:t>
      </w:r>
      <w:r w:rsidR="000F04A8">
        <w:t xml:space="preserve"> recommendation</w:t>
      </w:r>
      <w:r w:rsidR="00CA3675">
        <w:t xml:space="preserve">.  We also note that </w:t>
      </w:r>
      <w:r w:rsidR="00FE24D6">
        <w:t>Ardalan eventually cooperated</w:t>
      </w:r>
      <w:r>
        <w:t xml:space="preserve"> in these proceedings</w:t>
      </w:r>
      <w:r w:rsidR="00FE24D6">
        <w:t>, expressed remorse and accepted</w:t>
      </w:r>
      <w:r w:rsidR="00591B9B">
        <w:t xml:space="preserve"> responsibility for his </w:t>
      </w:r>
      <w:r w:rsidR="00AE2EC2">
        <w:t>mis</w:t>
      </w:r>
      <w:r w:rsidR="00591B9B">
        <w:t>conduct</w:t>
      </w:r>
      <w:r>
        <w:t>.</w:t>
      </w:r>
      <w:r w:rsidR="0077208B">
        <w:t xml:space="preserve">  </w:t>
      </w:r>
      <w:r w:rsidR="00AE2EC2">
        <w:t>W</w:t>
      </w:r>
      <w:r w:rsidR="00D95306">
        <w:t xml:space="preserve">e find that disbarment under standard 1.7(b) would be overly harsh </w:t>
      </w:r>
      <w:r w:rsidR="005036B9">
        <w:t>for</w:t>
      </w:r>
      <w:r w:rsidR="00D95306">
        <w:t xml:space="preserve"> his failure to respond to th</w:t>
      </w:r>
      <w:r w:rsidR="005036B9">
        <w:t>e State Bar’s investigation</w:t>
      </w:r>
      <w:r w:rsidR="00AE2EC2">
        <w:t xml:space="preserve"> considering the nature and chronology of Ardalan’s record</w:t>
      </w:r>
      <w:r w:rsidR="00D95306">
        <w:t>.  (</w:t>
      </w:r>
      <w:r w:rsidR="00D95306">
        <w:rPr>
          <w:i/>
        </w:rPr>
        <w:t>Conroy v. State Bar</w:t>
      </w:r>
      <w:r w:rsidR="00D95306">
        <w:t xml:space="preserve">, </w:t>
      </w:r>
      <w:r w:rsidR="00D95306">
        <w:rPr>
          <w:i/>
        </w:rPr>
        <w:t>supra</w:t>
      </w:r>
      <w:r w:rsidR="00D95306">
        <w:t xml:space="preserve">, 53 Cal.3d at pp. 506-507; see also </w:t>
      </w:r>
      <w:r w:rsidR="00D95306">
        <w:rPr>
          <w:i/>
        </w:rPr>
        <w:t>In the Matter of Buckley</w:t>
      </w:r>
      <w:r w:rsidR="00D95306">
        <w:t xml:space="preserve"> (Review Dept. 1990) 1 Cal. State Bar Ct. Rptr. 201, </w:t>
      </w:r>
      <w:r w:rsidR="00914AFB">
        <w:t xml:space="preserve">205, </w:t>
      </w:r>
      <w:r w:rsidR="00D95306">
        <w:t>fn. 2 [disbarment not recommended on third discipline where it “</w:t>
      </w:r>
      <w:r w:rsidR="00D95306" w:rsidRPr="00FE24D6">
        <w:t>would be manifestl</w:t>
      </w:r>
      <w:r w:rsidR="00D95306">
        <w:t>y disproportionate to respondent’</w:t>
      </w:r>
      <w:r w:rsidR="00D95306" w:rsidRPr="00FE24D6">
        <w:t>s cumulative misconduct</w:t>
      </w:r>
      <w:r w:rsidR="00D95306">
        <w:t>”]</w:t>
      </w:r>
      <w:r w:rsidR="00D95306" w:rsidRPr="00FE24D6">
        <w:t>.</w:t>
      </w:r>
      <w:r w:rsidR="00D95306">
        <w:t xml:space="preserve">)  </w:t>
      </w:r>
    </w:p>
    <w:p w:rsidR="004253E7" w:rsidRPr="004253E7" w:rsidRDefault="006433E2" w:rsidP="004253E7">
      <w:pPr>
        <w:ind w:firstLine="720"/>
      </w:pPr>
      <w:r>
        <w:t>Nonetheless, w</w:t>
      </w:r>
      <w:r w:rsidR="004253E7">
        <w:t xml:space="preserve">e must consider </w:t>
      </w:r>
      <w:r w:rsidR="004253E7" w:rsidRPr="004253E7">
        <w:t xml:space="preserve">whether </w:t>
      </w:r>
      <w:r w:rsidR="004253E7">
        <w:t>progressive discipline is called for under s</w:t>
      </w:r>
      <w:r w:rsidR="004253E7" w:rsidRPr="004253E7">
        <w:t>tandard 1.7(a)</w:t>
      </w:r>
      <w:r w:rsidR="004253E7">
        <w:t xml:space="preserve">.  This </w:t>
      </w:r>
      <w:r w:rsidR="00F64E1C">
        <w:t>provision</w:t>
      </w:r>
      <w:r w:rsidR="004253E7" w:rsidRPr="004253E7">
        <w:t xml:space="preserve"> provides that if an attorney has </w:t>
      </w:r>
      <w:r w:rsidR="004253E7">
        <w:t>a</w:t>
      </w:r>
      <w:r w:rsidR="004253E7" w:rsidRPr="004253E7">
        <w:t xml:space="preserve"> prior imposition of discipline “the degree of discipline imposed in the current proceeding shall be greater than that imposed in the prior proceeding </w:t>
      </w:r>
      <w:r w:rsidR="004253E7" w:rsidRPr="004253E7">
        <w:rPr>
          <w:i/>
        </w:rPr>
        <w:t>unless</w:t>
      </w:r>
      <w:r w:rsidR="004253E7" w:rsidRPr="004253E7">
        <w:t xml:space="preserve"> the prior discipline imposed was so remote in time to the current proceeding </w:t>
      </w:r>
      <w:r w:rsidR="004253E7" w:rsidRPr="004253E7">
        <w:rPr>
          <w:i/>
        </w:rPr>
        <w:t>and</w:t>
      </w:r>
      <w:r w:rsidR="004253E7" w:rsidRPr="004253E7">
        <w:t xml:space="preserve"> the offense for which it was imposed was so minimal in severity that imposing greater discipline in the current proceeding would be manifestly unjust.”  (Italics added; </w:t>
      </w:r>
      <w:r w:rsidR="004253E7" w:rsidRPr="004253E7">
        <w:rPr>
          <w:i/>
        </w:rPr>
        <w:t>In re Silverton</w:t>
      </w:r>
      <w:r w:rsidR="004253E7" w:rsidRPr="004253E7">
        <w:t xml:space="preserve"> (2005) 36 Cal. 4th 81, 90-91</w:t>
      </w:r>
      <w:r w:rsidR="00AE2EC2">
        <w:t>.)</w:t>
      </w:r>
      <w:r w:rsidR="004253E7" w:rsidRPr="004253E7">
        <w:t xml:space="preserve">  </w:t>
      </w:r>
      <w:r w:rsidR="00AE2EC2">
        <w:t>T</w:t>
      </w:r>
      <w:r w:rsidR="004253E7" w:rsidRPr="004253E7">
        <w:t>he two-pro</w:t>
      </w:r>
      <w:r w:rsidR="009C298B">
        <w:t>ng exception to standard 1.7(a)’</w:t>
      </w:r>
      <w:r w:rsidR="004253E7" w:rsidRPr="004253E7">
        <w:t xml:space="preserve">s requirement of greater discipline for recidivist </w:t>
      </w:r>
      <w:bookmarkStart w:id="7" w:name="sp_4040_91"/>
      <w:bookmarkStart w:id="8" w:name="SDU_91"/>
      <w:bookmarkStart w:id="9" w:name="citeas((Cite_as:_36_Cal.4th_81,_*91,_113"/>
      <w:bookmarkEnd w:id="7"/>
      <w:bookmarkEnd w:id="8"/>
      <w:bookmarkEnd w:id="9"/>
      <w:r w:rsidR="004253E7" w:rsidRPr="004253E7">
        <w:t>attorneys is not applicable</w:t>
      </w:r>
      <w:r w:rsidR="00CE357F">
        <w:t xml:space="preserve"> since Ardalan’s 2008 discipline recor</w:t>
      </w:r>
      <w:r w:rsidR="009C298B">
        <w:t>d is neither remote nor minimal</w:t>
      </w:r>
      <w:r w:rsidR="00AE2EC2">
        <w:t xml:space="preserve">.  </w:t>
      </w:r>
      <w:r w:rsidR="009C298B">
        <w:t>W</w:t>
      </w:r>
      <w:r w:rsidR="004253E7" w:rsidRPr="004253E7">
        <w:t>e find no other compelling justification to deviate from the standard.</w:t>
      </w:r>
      <w:r w:rsidR="00F64E1C">
        <w:t xml:space="preserve">  Thus, at a minimum, Ardalan’s discipline should include a period of suspension longer th</w:t>
      </w:r>
      <w:r w:rsidR="00F2704D">
        <w:t>e</w:t>
      </w:r>
      <w:r w:rsidR="00F64E1C">
        <w:t xml:space="preserve"> the six-month period ordered in 2008.</w:t>
      </w:r>
    </w:p>
    <w:p w:rsidR="00261463" w:rsidRDefault="004253E7" w:rsidP="005C6783">
      <w:pPr>
        <w:ind w:firstLine="720"/>
      </w:pPr>
      <w:r w:rsidRPr="004253E7">
        <w:t xml:space="preserve">Had this been </w:t>
      </w:r>
      <w:r w:rsidR="006433E2">
        <w:t>Ardalan</w:t>
      </w:r>
      <w:r w:rsidRPr="004253E7">
        <w:t xml:space="preserve">’s first offense, the limited nature of </w:t>
      </w:r>
      <w:r w:rsidR="00CE357F">
        <w:t>his</w:t>
      </w:r>
      <w:r w:rsidRPr="004253E7">
        <w:t xml:space="preserve"> misconduct</w:t>
      </w:r>
      <w:r w:rsidR="00CE357F">
        <w:t xml:space="preserve"> </w:t>
      </w:r>
      <w:r w:rsidR="009C298B">
        <w:t xml:space="preserve">ordinarily </w:t>
      </w:r>
      <w:r w:rsidR="00CE357F">
        <w:t>might</w:t>
      </w:r>
      <w:r w:rsidRPr="004253E7">
        <w:t xml:space="preserve"> call for a </w:t>
      </w:r>
      <w:r w:rsidR="006433E2">
        <w:t xml:space="preserve">relatively modest level of discipline.  </w:t>
      </w:r>
      <w:r w:rsidR="00CE357F">
        <w:t>But</w:t>
      </w:r>
      <w:r w:rsidRPr="004253E7">
        <w:t xml:space="preserve"> </w:t>
      </w:r>
      <w:r w:rsidR="006433E2">
        <w:t>Ardalan</w:t>
      </w:r>
      <w:r w:rsidRPr="004253E7">
        <w:t xml:space="preserve">’s current misconduct is aggravated by his serious prior record, tempered only by the limited weight we give his </w:t>
      </w:r>
      <w:r w:rsidR="00617E2A">
        <w:t>belated cooperation and remorse</w:t>
      </w:r>
      <w:r w:rsidRPr="004253E7">
        <w:t xml:space="preserve">.  </w:t>
      </w:r>
      <w:r w:rsidR="004165CE">
        <w:t>In sum, w</w:t>
      </w:r>
      <w:r w:rsidR="0081498C">
        <w:t>e are concerned about Ardalan’s inability to com</w:t>
      </w:r>
      <w:r w:rsidR="004401A0">
        <w:t>ply with the simple requirement</w:t>
      </w:r>
      <w:r w:rsidR="0081498C">
        <w:t xml:space="preserve"> that he respond to </w:t>
      </w:r>
      <w:r w:rsidR="00CE357F">
        <w:t xml:space="preserve">the State Bar’s </w:t>
      </w:r>
      <w:r w:rsidR="0081498C">
        <w:t>investigatory letters</w:t>
      </w:r>
      <w:r w:rsidR="00CE357F">
        <w:t xml:space="preserve">, particularly since </w:t>
      </w:r>
      <w:r w:rsidR="0081498C">
        <w:t>he received the</w:t>
      </w:r>
      <w:r w:rsidR="005036B9">
        <w:t>m while</w:t>
      </w:r>
      <w:r w:rsidR="0081498C">
        <w:t xml:space="preserve"> he was on disciplinary probation.</w:t>
      </w:r>
      <w:r w:rsidR="004401A0">
        <w:t xml:space="preserve">  </w:t>
      </w:r>
      <w:r w:rsidR="00CE357F">
        <w:t>H</w:t>
      </w:r>
      <w:r w:rsidR="004401A0">
        <w:t xml:space="preserve">is failure </w:t>
      </w:r>
      <w:r w:rsidR="00BB4929">
        <w:t>violated the terms of</w:t>
      </w:r>
      <w:r w:rsidR="00B56B49">
        <w:t xml:space="preserve"> probation</w:t>
      </w:r>
      <w:r w:rsidR="00BB4929">
        <w:t xml:space="preserve"> imposed after </w:t>
      </w:r>
      <w:r w:rsidR="002F0C26">
        <w:t>his second discipline</w:t>
      </w:r>
      <w:r w:rsidR="00156DC3">
        <w:t>.</w:t>
      </w:r>
      <w:r w:rsidR="004165CE">
        <w:t xml:space="preserve">  </w:t>
      </w:r>
      <w:r w:rsidR="00156DC3">
        <w:t>Ardalan’s</w:t>
      </w:r>
      <w:r w:rsidR="004401A0">
        <w:t xml:space="preserve"> conduct </w:t>
      </w:r>
      <w:r w:rsidR="0081498C">
        <w:t xml:space="preserve">is reminiscent of his </w:t>
      </w:r>
      <w:r w:rsidR="00A11C87">
        <w:t xml:space="preserve">prior </w:t>
      </w:r>
      <w:r w:rsidR="0081498C">
        <w:t xml:space="preserve">failures to perform competently, respond to clients, </w:t>
      </w:r>
      <w:r w:rsidR="00A11C87">
        <w:t>and</w:t>
      </w:r>
      <w:r w:rsidR="0081498C">
        <w:t xml:space="preserve"> com</w:t>
      </w:r>
      <w:r w:rsidR="00E57A99">
        <w:t>ply with probation conditions.</w:t>
      </w:r>
      <w:r w:rsidR="008D07D2">
        <w:t xml:space="preserve"> </w:t>
      </w:r>
    </w:p>
    <w:p w:rsidR="005C6783" w:rsidRDefault="0081498C" w:rsidP="005C6783">
      <w:pPr>
        <w:ind w:firstLine="720"/>
      </w:pPr>
      <w:r>
        <w:t>Unde</w:t>
      </w:r>
      <w:r w:rsidR="00E57A99">
        <w:t xml:space="preserve">r these </w:t>
      </w:r>
      <w:r w:rsidR="009667DE">
        <w:t>circumstances,</w:t>
      </w:r>
      <w:r w:rsidR="00CE357F">
        <w:t xml:space="preserve"> we conclude that</w:t>
      </w:r>
      <w:r w:rsidR="009667DE">
        <w:t xml:space="preserve"> a one-year</w:t>
      </w:r>
      <w:r w:rsidR="00E57A99">
        <w:t xml:space="preserve"> </w:t>
      </w:r>
      <w:r w:rsidR="009667DE">
        <w:t xml:space="preserve">period of </w:t>
      </w:r>
      <w:r w:rsidR="00CE357F">
        <w:t xml:space="preserve">actual </w:t>
      </w:r>
      <w:r w:rsidR="00E57A99">
        <w:t>suspension is appropriate because it</w:t>
      </w:r>
      <w:r w:rsidR="004401A0">
        <w:t xml:space="preserve"> provides Ardalan a lengthy time to r</w:t>
      </w:r>
      <w:r w:rsidR="00156DC3">
        <w:t>eflect upon</w:t>
      </w:r>
      <w:r w:rsidR="00C73959">
        <w:t xml:space="preserve"> his recurring inability</w:t>
      </w:r>
      <w:r w:rsidR="00BB4929">
        <w:t xml:space="preserve"> to meet the</w:t>
      </w:r>
      <w:r w:rsidR="009E3FBB">
        <w:t xml:space="preserve"> administrati</w:t>
      </w:r>
      <w:r w:rsidR="00BB4929">
        <w:t xml:space="preserve">ve demands of his practice.  </w:t>
      </w:r>
      <w:r w:rsidR="005C6783">
        <w:t>It</w:t>
      </w:r>
      <w:r w:rsidR="00156DC3">
        <w:t xml:space="preserve"> </w:t>
      </w:r>
      <w:r w:rsidR="009E3FBB">
        <w:t>serves both</w:t>
      </w:r>
      <w:r w:rsidR="00E57A99">
        <w:t xml:space="preserve"> </w:t>
      </w:r>
      <w:r w:rsidR="00914AFB">
        <w:t>p</w:t>
      </w:r>
      <w:r w:rsidR="00E57A99">
        <w:t>urposes of prog</w:t>
      </w:r>
      <w:r w:rsidR="009E3FBB">
        <w:t xml:space="preserve">ressive discipline and </w:t>
      </w:r>
      <w:r w:rsidR="00E57A99">
        <w:t>protection of the public, the courts, and the legal profession</w:t>
      </w:r>
      <w:r w:rsidR="00A11C87">
        <w:t xml:space="preserve">.  </w:t>
      </w:r>
      <w:r w:rsidR="004165CE">
        <w:t xml:space="preserve">Our recommendation is consistent with </w:t>
      </w:r>
      <w:r w:rsidR="009667DE">
        <w:t>case law</w:t>
      </w:r>
      <w:r w:rsidR="00BB4929">
        <w:t xml:space="preserve"> involving prior </w:t>
      </w:r>
      <w:r w:rsidR="00C73959">
        <w:t xml:space="preserve">disciplines coupled with </w:t>
      </w:r>
      <w:r w:rsidR="00BB4929">
        <w:t>failure to</w:t>
      </w:r>
      <w:r w:rsidR="00C73959">
        <w:t xml:space="preserve"> </w:t>
      </w:r>
      <w:r w:rsidR="00BB4929">
        <w:t xml:space="preserve">cooperate </w:t>
      </w:r>
      <w:r w:rsidR="009B01D7">
        <w:t>in</w:t>
      </w:r>
      <w:r w:rsidR="00BC30E6">
        <w:t xml:space="preserve"> discipline pro</w:t>
      </w:r>
      <w:r w:rsidR="00C73959">
        <w:t xml:space="preserve">ceedings or </w:t>
      </w:r>
      <w:r w:rsidR="005C6783">
        <w:t xml:space="preserve">to </w:t>
      </w:r>
      <w:r w:rsidR="00C73959">
        <w:t>comply with probation terms</w:t>
      </w:r>
      <w:r w:rsidR="00E57A99">
        <w:t>.</w:t>
      </w:r>
      <w:r w:rsidR="00BB4929">
        <w:t xml:space="preserve">  (</w:t>
      </w:r>
      <w:r w:rsidR="00E906D3">
        <w:rPr>
          <w:i/>
        </w:rPr>
        <w:t>Conroy v. State Bar</w:t>
      </w:r>
      <w:r w:rsidR="00914AFB">
        <w:rPr>
          <w:i/>
        </w:rPr>
        <w:t>, supra,</w:t>
      </w:r>
      <w:r w:rsidR="00835BB7">
        <w:t xml:space="preserve"> 53 Cal.3d 495 [one-</w:t>
      </w:r>
      <w:r w:rsidR="00E906D3">
        <w:t>year actual suspension for attorney with two prior disciplines who abandoned client and failed to cooperate during disciplinary proceeding</w:t>
      </w:r>
      <w:r w:rsidR="00BB4929">
        <w:t>]</w:t>
      </w:r>
      <w:r w:rsidR="00E906D3">
        <w:t xml:space="preserve">; </w:t>
      </w:r>
      <w:r w:rsidR="00E906D3">
        <w:rPr>
          <w:i/>
        </w:rPr>
        <w:t>In the Matter of Broderick</w:t>
      </w:r>
      <w:r w:rsidR="00E906D3">
        <w:t xml:space="preserve"> (Review Dept. 1994) 3 Ca</w:t>
      </w:r>
      <w:r w:rsidR="00BC30E6">
        <w:t>l. State Bar Ct. Rptr. 138 [</w:t>
      </w:r>
      <w:r w:rsidR="009B01D7">
        <w:t xml:space="preserve">concurrent </w:t>
      </w:r>
      <w:r w:rsidR="00BC30E6">
        <w:t>one-</w:t>
      </w:r>
      <w:r w:rsidR="00E906D3">
        <w:t>year actual suspension</w:t>
      </w:r>
      <w:r w:rsidR="009B01D7">
        <w:t>s</w:t>
      </w:r>
      <w:r w:rsidR="00E906D3">
        <w:t xml:space="preserve"> after probation revocation </w:t>
      </w:r>
      <w:r w:rsidR="008A77D8">
        <w:t xml:space="preserve">and discipline </w:t>
      </w:r>
      <w:r w:rsidR="00E906D3">
        <w:t>proceeding</w:t>
      </w:r>
      <w:r w:rsidR="008A77D8">
        <w:t>s</w:t>
      </w:r>
      <w:r w:rsidR="00E906D3">
        <w:t xml:space="preserve"> where attorney with two prior </w:t>
      </w:r>
      <w:r w:rsidR="005C6783">
        <w:t xml:space="preserve">disciplinary </w:t>
      </w:r>
      <w:r w:rsidR="00E906D3">
        <w:t xml:space="preserve">records engaged in three probation violations, misused his CTA, and </w:t>
      </w:r>
      <w:r w:rsidR="000E4BC9">
        <w:t xml:space="preserve">failed to respond to </w:t>
      </w:r>
      <w:r w:rsidR="009B01D7">
        <w:t xml:space="preserve">two </w:t>
      </w:r>
      <w:r w:rsidR="000E4BC9">
        <w:t>State Bar investigator</w:t>
      </w:r>
      <w:r w:rsidR="009B01D7">
        <w:t xml:space="preserve"> letters</w:t>
      </w:r>
      <w:r w:rsidR="000E4BC9">
        <w:t>]</w:t>
      </w:r>
      <w:r w:rsidR="00BC30E6">
        <w:t xml:space="preserve">; </w:t>
      </w:r>
      <w:r w:rsidR="00BC30E6">
        <w:rPr>
          <w:i/>
        </w:rPr>
        <w:t>In the Matter of Tierna</w:t>
      </w:r>
      <w:r w:rsidR="008A77D8">
        <w:rPr>
          <w:i/>
        </w:rPr>
        <w:t xml:space="preserve">n, </w:t>
      </w:r>
      <w:r w:rsidR="008A77D8" w:rsidRPr="008A77D8">
        <w:rPr>
          <w:i/>
        </w:rPr>
        <w:t>supra</w:t>
      </w:r>
      <w:r w:rsidR="008A77D8">
        <w:rPr>
          <w:i/>
        </w:rPr>
        <w:t>,</w:t>
      </w:r>
      <w:r w:rsidR="00BC30E6">
        <w:t xml:space="preserve"> 3 Cal. State Bar Ct. Rptr. 523 [11-month actual suspension for attorney with four prior disciplines who failed to cooperate with probation monitor or file quarterly reports]</w:t>
      </w:r>
      <w:r w:rsidR="000E4BC9">
        <w:t>.)</w:t>
      </w:r>
      <w:r w:rsidR="00040F26">
        <w:t xml:space="preserve"> </w:t>
      </w:r>
      <w:r w:rsidR="004165CE">
        <w:t xml:space="preserve"> </w:t>
      </w:r>
    </w:p>
    <w:p w:rsidR="007F1D54" w:rsidRPr="005C6783" w:rsidRDefault="005C6783" w:rsidP="005C6783">
      <w:pPr>
        <w:jc w:val="center"/>
      </w:pPr>
      <w:r>
        <w:rPr>
          <w:b/>
        </w:rPr>
        <w:t xml:space="preserve">V.  </w:t>
      </w:r>
      <w:r w:rsidR="007F1D54" w:rsidRPr="007F1D54">
        <w:rPr>
          <w:b/>
        </w:rPr>
        <w:t>FORMAL RECOMMENDATION</w:t>
      </w:r>
    </w:p>
    <w:p w:rsidR="007F1D54" w:rsidRDefault="007F1D54" w:rsidP="007F1D54">
      <w:pPr>
        <w:ind w:firstLine="720"/>
      </w:pPr>
      <w:r>
        <w:t xml:space="preserve">We recommend that respondent </w:t>
      </w:r>
      <w:r w:rsidR="009667DE">
        <w:t xml:space="preserve">Kaveh Ardalan </w:t>
      </w:r>
      <w:r>
        <w:t>be suspended from the practice of law in California for two years, that execution of that period of suspension be stayed, and that he be placed on probation for a period of two years subject to the following conditions:</w:t>
      </w:r>
    </w:p>
    <w:p w:rsidR="007F1D54" w:rsidRDefault="007F1D54" w:rsidP="00C36A3D">
      <w:pPr>
        <w:spacing w:line="240" w:lineRule="auto"/>
      </w:pPr>
      <w:r>
        <w:t>1.</w:t>
      </w:r>
      <w:r>
        <w:tab/>
        <w:t>He must be suspended from the practice</w:t>
      </w:r>
      <w:r w:rsidR="008A77D8">
        <w:t xml:space="preserve"> of law for the first year o</w:t>
      </w:r>
      <w:r>
        <w:t>f probation;</w:t>
      </w:r>
    </w:p>
    <w:p w:rsidR="00C36A3D" w:rsidRDefault="00C36A3D" w:rsidP="00C36A3D">
      <w:pPr>
        <w:spacing w:line="240" w:lineRule="auto"/>
      </w:pPr>
    </w:p>
    <w:p w:rsidR="00C36A3D" w:rsidRDefault="007F1D54" w:rsidP="00C36A3D">
      <w:pPr>
        <w:spacing w:line="240" w:lineRule="auto"/>
        <w:ind w:left="720" w:hanging="720"/>
      </w:pPr>
      <w:r>
        <w:t>2.</w:t>
      </w:r>
      <w:r>
        <w:tab/>
      </w:r>
      <w:r w:rsidRPr="007F1D54">
        <w:t>He must comply with the provisions of the State Bar Act, the Rules of Professional Conduct of the State Bar of California, and all the conditions of this probation.</w:t>
      </w:r>
    </w:p>
    <w:p w:rsidR="008A77D8" w:rsidRDefault="008A77D8" w:rsidP="00C36A3D">
      <w:pPr>
        <w:spacing w:line="240" w:lineRule="auto"/>
        <w:ind w:left="720" w:hanging="720"/>
      </w:pPr>
    </w:p>
    <w:p w:rsidR="00C36A3D" w:rsidRDefault="00C36A3D" w:rsidP="00C36A3D">
      <w:pPr>
        <w:spacing w:line="240" w:lineRule="auto"/>
        <w:ind w:left="720" w:hanging="720"/>
      </w:pPr>
      <w:r>
        <w:t>3.</w:t>
      </w:r>
      <w:r>
        <w:tab/>
      </w:r>
      <w:r w:rsidR="007F1D54" w:rsidRPr="007F1D54">
        <w:t>He must submit written quarterly reports to the Office of Probation on each January 10, April 10, July 10, and October 10 of the period of probation.  Under penalty of perjury, he must state whether he has complied with the State Bar Act, the Rules of Professional Conduct, and all conditions of probation during the preceding calendar quarter.  In addition to all quarterly reports, a final report, containing the same information, is due no earlier than 20 days before the last day of the probation period and no later than the last day of the probation period.</w:t>
      </w:r>
    </w:p>
    <w:p w:rsidR="00C36A3D" w:rsidRDefault="00C36A3D" w:rsidP="00C36A3D">
      <w:pPr>
        <w:spacing w:line="240" w:lineRule="auto"/>
        <w:ind w:left="720" w:hanging="720"/>
      </w:pPr>
    </w:p>
    <w:p w:rsidR="007F1D54" w:rsidRDefault="00C36A3D" w:rsidP="00C36A3D">
      <w:pPr>
        <w:spacing w:line="240" w:lineRule="auto"/>
        <w:ind w:left="720" w:hanging="720"/>
      </w:pPr>
      <w:r>
        <w:t>4.</w:t>
      </w:r>
      <w:r>
        <w:tab/>
      </w:r>
      <w:r w:rsidR="007F1D54" w:rsidRPr="007F1D54">
        <w:t>Subject to asserting applicable privileges, he must answer fully, promptly, and truthfully, any inquiries of the Office of Probation which are directed to him personally or in writing, relating to whether he is complying or has complied with the conditions contained herein.</w:t>
      </w:r>
    </w:p>
    <w:p w:rsidR="00C36A3D" w:rsidRDefault="00C36A3D" w:rsidP="00C36A3D">
      <w:pPr>
        <w:spacing w:line="240" w:lineRule="auto"/>
        <w:ind w:left="360"/>
      </w:pPr>
    </w:p>
    <w:p w:rsidR="007F1D54" w:rsidRDefault="007F1D54" w:rsidP="00C36A3D">
      <w:pPr>
        <w:spacing w:line="240" w:lineRule="auto"/>
        <w:ind w:left="720" w:hanging="720"/>
      </w:pPr>
      <w:r>
        <w:t xml:space="preserve">5. </w:t>
      </w:r>
      <w:r>
        <w:tab/>
      </w:r>
      <w:r w:rsidR="00C36A3D" w:rsidRPr="00C36A3D">
        <w:t>Within 10 days of any change in the information required to be maintained on the membership records of the State Bar pursuant to Business and Professions Code section 6002.1, subdivision (a), including his current office address and telephone number, or if no office is maintained, the address to be used for State Bar purposes, he must report such change in writing to the Membership Records Office of the State Bar and the State Bar’s Office of Probation.</w:t>
      </w:r>
    </w:p>
    <w:p w:rsidR="007F1D54" w:rsidRDefault="007F1D54" w:rsidP="00C36A3D">
      <w:pPr>
        <w:spacing w:line="240" w:lineRule="auto"/>
        <w:ind w:firstLine="720"/>
      </w:pPr>
    </w:p>
    <w:p w:rsidR="00C36A3D" w:rsidRDefault="00C36A3D" w:rsidP="00C36A3D">
      <w:pPr>
        <w:spacing w:line="240" w:lineRule="auto"/>
        <w:ind w:left="720" w:hanging="720"/>
      </w:pPr>
      <w:r>
        <w:t>6.</w:t>
      </w:r>
      <w:r>
        <w:tab/>
      </w:r>
      <w:r w:rsidRPr="00C36A3D">
        <w:t>Within one year after the effective date of the discipline herein, he must submit to the Office of Probation satisfactory evidence of completion of the State Bar’s Ethics School and passage of the test given at the end of that session.  This requirement is separate from any Minimum Continuing Legal Education (MCLE) requirement, and he shall not receive MCLE credit for attending Ethics School.</w:t>
      </w:r>
    </w:p>
    <w:p w:rsidR="00C36A3D" w:rsidRDefault="00C36A3D" w:rsidP="00C36A3D">
      <w:pPr>
        <w:spacing w:line="240" w:lineRule="auto"/>
        <w:ind w:left="720" w:hanging="720"/>
      </w:pPr>
    </w:p>
    <w:p w:rsidR="007F1D54" w:rsidRDefault="00C36A3D" w:rsidP="00C36A3D">
      <w:pPr>
        <w:spacing w:line="240" w:lineRule="auto"/>
        <w:ind w:left="720" w:hanging="720"/>
      </w:pPr>
      <w:r>
        <w:t>7.</w:t>
      </w:r>
      <w:r>
        <w:tab/>
      </w:r>
      <w:r w:rsidR="007F1D54" w:rsidRPr="007F1D54">
        <w:t>At the expiration of the period of probation, if he has complied with all the c</w:t>
      </w:r>
      <w:r>
        <w:t xml:space="preserve">onditions of probation, the </w:t>
      </w:r>
      <w:r w:rsidR="007F1D54" w:rsidRPr="007F1D54">
        <w:t>two-year period of stayed suspension will be satisfied and that suspension will be terminated.</w:t>
      </w:r>
    </w:p>
    <w:p w:rsidR="007F1D54" w:rsidRPr="00C36A3D" w:rsidRDefault="00C36A3D" w:rsidP="00815A65">
      <w:pPr>
        <w:jc w:val="center"/>
        <w:rPr>
          <w:b/>
        </w:rPr>
      </w:pPr>
      <w:r w:rsidRPr="00C36A3D">
        <w:rPr>
          <w:b/>
        </w:rPr>
        <w:t>V</w:t>
      </w:r>
      <w:r w:rsidR="008E31BC">
        <w:rPr>
          <w:b/>
        </w:rPr>
        <w:t>I</w:t>
      </w:r>
      <w:r w:rsidRPr="00C36A3D">
        <w:rPr>
          <w:b/>
        </w:rPr>
        <w:t xml:space="preserve">. </w:t>
      </w:r>
      <w:r w:rsidRPr="00C36A3D">
        <w:rPr>
          <w:b/>
        </w:rPr>
        <w:tab/>
      </w:r>
      <w:r w:rsidR="007F1D54" w:rsidRPr="00C36A3D">
        <w:rPr>
          <w:b/>
        </w:rPr>
        <w:t>PROFESSIONAL RESPONSIBILITY EXAMINATION</w:t>
      </w:r>
    </w:p>
    <w:p w:rsidR="007F1D54" w:rsidRDefault="008A77D8" w:rsidP="008A77D8">
      <w:pPr>
        <w:ind w:firstLine="720"/>
      </w:pPr>
      <w:r>
        <w:t>We further recommend that Ardalan</w:t>
      </w:r>
      <w:r w:rsidR="007F1D54">
        <w:t xml:space="preserve"> take and pass the Multistate Professional Responsibility Examination (MPRE) administered by the National Conference of Bar Examiners</w:t>
      </w:r>
      <w:r w:rsidR="00815A65">
        <w:t xml:space="preserve"> </w:t>
      </w:r>
      <w:r w:rsidR="007F1D54">
        <w:t>within one year after the effective date of the Supreme Court’s disciplinary order in this matter and provide satisfactory proof of such passage to the State Bar’s Office of Probation within the same period.  Failure to do so may result in an automatic suspension.  (Cal. Rules of Court, rule 9.10(b).)</w:t>
      </w:r>
    </w:p>
    <w:p w:rsidR="007F1D54" w:rsidRPr="008E31BC" w:rsidRDefault="00C36A3D" w:rsidP="00815A65">
      <w:pPr>
        <w:pStyle w:val="ListParagraph"/>
        <w:numPr>
          <w:ilvl w:val="0"/>
          <w:numId w:val="6"/>
        </w:numPr>
        <w:ind w:left="0" w:firstLine="0"/>
        <w:jc w:val="center"/>
        <w:rPr>
          <w:b/>
        </w:rPr>
      </w:pPr>
      <w:r w:rsidRPr="008E31BC">
        <w:rPr>
          <w:b/>
        </w:rPr>
        <w:t xml:space="preserve">CALIFORNIA RULES OF COURT, RULE </w:t>
      </w:r>
      <w:r w:rsidR="007F1D54" w:rsidRPr="008E31BC">
        <w:rPr>
          <w:b/>
        </w:rPr>
        <w:t>9.20</w:t>
      </w:r>
    </w:p>
    <w:p w:rsidR="007F1D54" w:rsidRDefault="008A77D8" w:rsidP="007F1D54">
      <w:pPr>
        <w:ind w:firstLine="720"/>
      </w:pPr>
      <w:r>
        <w:t>We further recommend that Ardalan</w:t>
      </w:r>
      <w:r w:rsidR="007F1D54">
        <w:t xml:space="preserve"> be ordered to comply with California Rules of Court, rule 9.20, and to perform the acts specified in subdivisions (a) and (c) of that rule within 30 and 40 calendar days, respectively, after the effective date of the Supreme Court order in this matter.  Willful failure to comply with the provisions of rule 9.20 may result in revocation of probation, suspension, disbarment, denial of reinstatement, conviction of contempt, or criminal conviction. </w:t>
      </w:r>
    </w:p>
    <w:p w:rsidR="007F1D54" w:rsidRPr="00C36A3D" w:rsidRDefault="007F1D54" w:rsidP="00815A65">
      <w:pPr>
        <w:pStyle w:val="ListParagraph"/>
        <w:numPr>
          <w:ilvl w:val="0"/>
          <w:numId w:val="6"/>
        </w:numPr>
        <w:ind w:left="0" w:firstLine="0"/>
        <w:jc w:val="center"/>
        <w:rPr>
          <w:b/>
        </w:rPr>
      </w:pPr>
      <w:r w:rsidRPr="00C36A3D">
        <w:rPr>
          <w:b/>
        </w:rPr>
        <w:t>COSTS</w:t>
      </w:r>
    </w:p>
    <w:p w:rsidR="00C11CC8" w:rsidRPr="008A154E" w:rsidRDefault="007F1D54" w:rsidP="008A77D8">
      <w:pPr>
        <w:ind w:firstLine="720"/>
      </w:pPr>
      <w:r>
        <w:t>We further recommend that costs be awarded to the State Bar in accordance with Business and Professions Code section 6086.10, such costs being enforceable both as provided in section 6140.7 and as a money judgment.</w:t>
      </w:r>
    </w:p>
    <w:p w:rsidR="00C11CC8" w:rsidRPr="008A154E" w:rsidRDefault="00C11CC8" w:rsidP="00232823">
      <w:pPr>
        <w:spacing w:line="240" w:lineRule="auto"/>
      </w:pPr>
    </w:p>
    <w:p w:rsidR="00783AF1" w:rsidRDefault="007768C9" w:rsidP="00232823">
      <w:pPr>
        <w:spacing w:line="240" w:lineRule="auto"/>
      </w:pPr>
      <w:r w:rsidRPr="007768C9">
        <w:tab/>
      </w:r>
      <w:r w:rsidRPr="007768C9">
        <w:tab/>
      </w:r>
      <w:r w:rsidRPr="007768C9">
        <w:tab/>
      </w:r>
      <w:r w:rsidRPr="007768C9">
        <w:tab/>
      </w:r>
      <w:r w:rsidRPr="007768C9">
        <w:tab/>
      </w:r>
      <w:r w:rsidRPr="007768C9">
        <w:tab/>
      </w:r>
      <w:r w:rsidRPr="007768C9">
        <w:tab/>
      </w:r>
      <w:bookmarkStart w:id="10" w:name="judge"/>
      <w:bookmarkEnd w:id="10"/>
      <w:r w:rsidR="00333F77">
        <w:t>REMKE, P. J.</w:t>
      </w:r>
    </w:p>
    <w:p w:rsidR="00756266" w:rsidRDefault="00756266" w:rsidP="00232823">
      <w:pPr>
        <w:spacing w:line="240" w:lineRule="auto"/>
      </w:pPr>
    </w:p>
    <w:p w:rsidR="00756266" w:rsidRDefault="00756266" w:rsidP="00756266">
      <w:r>
        <w:t>WE CONCUR:</w:t>
      </w:r>
    </w:p>
    <w:p w:rsidR="00333F77" w:rsidRDefault="00333F77" w:rsidP="00756266">
      <w:bookmarkStart w:id="11" w:name="multinames"/>
      <w:bookmarkEnd w:id="11"/>
      <w:r>
        <w:t>PURCELL, J.</w:t>
      </w:r>
    </w:p>
    <w:p w:rsidR="005C6783" w:rsidRDefault="00333F77" w:rsidP="00756266">
      <w:r>
        <w:t>EPSTEIN, J</w:t>
      </w:r>
      <w:r w:rsidR="005C6783">
        <w:t>.</w:t>
      </w:r>
    </w:p>
    <w:p w:rsidR="00CE357F" w:rsidRDefault="00CE357F" w:rsidP="00756266"/>
    <w:sectPr w:rsidR="00CE357F" w:rsidSect="006022A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864" w:left="144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EC2" w:rsidRDefault="00AE2EC2" w:rsidP="00783AF1">
      <w:pPr>
        <w:spacing w:line="240" w:lineRule="auto"/>
      </w:pPr>
      <w:r>
        <w:separator/>
      </w:r>
    </w:p>
  </w:endnote>
  <w:endnote w:type="continuationSeparator" w:id="0">
    <w:p w:rsidR="00AE2EC2" w:rsidRDefault="00AE2EC2" w:rsidP="00783A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B8F" w:rsidRDefault="00562B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C2" w:rsidRDefault="00AE2EC2" w:rsidP="00783AF1">
    <w:pPr>
      <w:pStyle w:val="Footer"/>
      <w:spacing w:before="120" w:line="240" w:lineRule="auto"/>
      <w:jc w:val="center"/>
    </w:pPr>
    <w:r>
      <w:t>-</w:t>
    </w:r>
    <w:fldSimple w:instr=" PAGE   \* MERGEFORMAT ">
      <w:r w:rsidR="00562B8F">
        <w:rPr>
          <w:noProof/>
        </w:rPr>
        <w:t>10</w:t>
      </w:r>
    </w:fldSimple>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C2" w:rsidRPr="00B856CF" w:rsidRDefault="00AE2EC2">
    <w:pPr>
      <w:pStyle w:val="Footer"/>
      <w:rPr>
        <w:color w:val="FFFFFF" w:themeColor="background1"/>
        <w:sz w:val="16"/>
        <w:szCs w:val="16"/>
      </w:rPr>
    </w:pPr>
    <w:r w:rsidRPr="00B856CF">
      <w:rPr>
        <w:color w:val="FFFFFF" w:themeColor="background1"/>
        <w:sz w:val="16"/>
        <w:szCs w:val="16"/>
      </w:rPr>
      <w:t>Opinion_Frm (03/11)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EC2" w:rsidRDefault="00AE2EC2" w:rsidP="00783AF1">
      <w:pPr>
        <w:spacing w:line="240" w:lineRule="auto"/>
      </w:pPr>
      <w:r>
        <w:separator/>
      </w:r>
    </w:p>
  </w:footnote>
  <w:footnote w:type="continuationSeparator" w:id="0">
    <w:p w:rsidR="00AE2EC2" w:rsidRDefault="00AE2EC2" w:rsidP="00783AF1">
      <w:pPr>
        <w:spacing w:line="240" w:lineRule="auto"/>
      </w:pPr>
      <w:r>
        <w:continuationSeparator/>
      </w:r>
    </w:p>
  </w:footnote>
  <w:footnote w:type="continuationNotice" w:id="1">
    <w:p w:rsidR="00AE2EC2" w:rsidRDefault="00AE2EC2">
      <w:pPr>
        <w:spacing w:line="240" w:lineRule="auto"/>
      </w:pPr>
    </w:p>
  </w:footnote>
  <w:footnote w:id="2">
    <w:p w:rsidR="00AE2EC2" w:rsidRDefault="00AE2EC2" w:rsidP="00DC3FBD">
      <w:pPr>
        <w:pStyle w:val="FootnoteText"/>
      </w:pPr>
      <w:r>
        <w:rPr>
          <w:rStyle w:val="FootnoteReference"/>
        </w:rPr>
        <w:footnoteRef/>
      </w:r>
      <w:r>
        <w:t xml:space="preserve"> All further references to “standard(s)” are to the Rules of Procedure of the State Bar, title IV, Standards for Attorney Sanctions for Professional Misconduct. </w:t>
      </w:r>
    </w:p>
  </w:footnote>
  <w:footnote w:id="3">
    <w:p w:rsidR="00AE2EC2" w:rsidRDefault="00AE2EC2" w:rsidP="006743E0">
      <w:pPr>
        <w:pStyle w:val="FootnoteText"/>
        <w:spacing w:after="0"/>
      </w:pPr>
      <w:r>
        <w:rPr>
          <w:rStyle w:val="FootnoteReference"/>
        </w:rPr>
        <w:footnoteRef/>
      </w:r>
      <w:r>
        <w:t xml:space="preserve"> All further references to “section(s)” are to this source.</w:t>
      </w:r>
    </w:p>
  </w:footnote>
  <w:footnote w:id="4">
    <w:p w:rsidR="00AE2EC2" w:rsidRDefault="00AE2EC2" w:rsidP="00CE0794">
      <w:pPr>
        <w:autoSpaceDE w:val="0"/>
        <w:autoSpaceDN w:val="0"/>
        <w:adjustRightInd w:val="0"/>
        <w:spacing w:line="240" w:lineRule="auto"/>
      </w:pPr>
      <w:r>
        <w:tab/>
      </w:r>
      <w:r>
        <w:rPr>
          <w:rStyle w:val="FootnoteReference"/>
        </w:rPr>
        <w:footnoteRef/>
      </w:r>
      <w:r>
        <w:t xml:space="preserve"> The NDC originally included one count of moral turpitude in violation of section 6106 for the NSF check, but the hearing judge dismissed this count prior to trial upon the State Bar’s motion.  Ardalan’s failure to properly manage his CTA is troubling, especially since he was disciplined for similar misconduct in 2005 (see below).  Nonetheless, we adopt the dismissal of the count because it was based on one NSF check, which under the limited facts of this case would not support a finding of moral turpitude.  (</w:t>
      </w:r>
      <w:r w:rsidR="00914AFB">
        <w:t>C</w:t>
      </w:r>
      <w:r w:rsidR="00914AC1">
        <w:t>f.</w:t>
      </w:r>
      <w:r>
        <w:t xml:space="preserve"> </w:t>
      </w:r>
      <w:r>
        <w:rPr>
          <w:i/>
          <w:iCs/>
        </w:rPr>
        <w:t>Bambic v. State Bar</w:t>
      </w:r>
      <w:r>
        <w:t xml:space="preserve"> (1985) 40 Cal.3d 314, 324, citing </w:t>
      </w:r>
      <w:r>
        <w:rPr>
          <w:i/>
          <w:iCs/>
        </w:rPr>
        <w:t>Tomlinson v. State Bar</w:t>
      </w:r>
      <w:r>
        <w:t xml:space="preserve"> (1975) 13 Cal.3d 567, 577</w:t>
      </w:r>
      <w:r w:rsidR="00914AC1">
        <w:t xml:space="preserve"> [issuing numerous NSF checks manifests dishonesty]</w:t>
      </w:r>
      <w:r>
        <w:t>.)</w:t>
      </w:r>
    </w:p>
  </w:footnote>
  <w:footnote w:id="5">
    <w:p w:rsidR="00AE2EC2" w:rsidRDefault="00AE2EC2" w:rsidP="00AE2EC2">
      <w:pPr>
        <w:pStyle w:val="FootnoteText"/>
      </w:pPr>
      <w:r>
        <w:rPr>
          <w:rStyle w:val="FootnoteReference"/>
        </w:rPr>
        <w:footnoteRef/>
      </w:r>
      <w:r w:rsidRPr="00D95306">
        <w:t xml:space="preserve"> Standard 2.6(a)</w:t>
      </w:r>
      <w:r>
        <w:t>, also applicable,</w:t>
      </w:r>
      <w:r w:rsidRPr="00D95306">
        <w:t xml:space="preserve"> provides that any violation under section 6068 should result in suspension or disbarment depending on the gravity of the offense and the harm to the victim.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B8F" w:rsidRDefault="00562B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B8F" w:rsidRDefault="00562B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B8F" w:rsidRDefault="00562B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6D92"/>
    <w:multiLevelType w:val="hybridMultilevel"/>
    <w:tmpl w:val="2668DBFC"/>
    <w:lvl w:ilvl="0" w:tplc="358CC67C">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57299"/>
    <w:multiLevelType w:val="hybridMultilevel"/>
    <w:tmpl w:val="A31261D2"/>
    <w:lvl w:ilvl="0" w:tplc="E836FF96">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8652A"/>
    <w:multiLevelType w:val="hybridMultilevel"/>
    <w:tmpl w:val="5DAAC9B0"/>
    <w:lvl w:ilvl="0" w:tplc="299822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2C0D5E"/>
    <w:multiLevelType w:val="hybridMultilevel"/>
    <w:tmpl w:val="32229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D40C54"/>
    <w:multiLevelType w:val="hybridMultilevel"/>
    <w:tmpl w:val="FD1E12F4"/>
    <w:lvl w:ilvl="0" w:tplc="C38A0FF8">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AA7615"/>
    <w:multiLevelType w:val="hybridMultilevel"/>
    <w:tmpl w:val="04BE2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8963EF"/>
    <w:multiLevelType w:val="hybridMultilevel"/>
    <w:tmpl w:val="A31261D2"/>
    <w:lvl w:ilvl="0" w:tplc="E836F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D40646"/>
    <w:multiLevelType w:val="hybridMultilevel"/>
    <w:tmpl w:val="7C4E1D1E"/>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04677"/>
    <w:multiLevelType w:val="hybridMultilevel"/>
    <w:tmpl w:val="A4AC097E"/>
    <w:lvl w:ilvl="0" w:tplc="A5B6C4B4">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891C2D"/>
    <w:multiLevelType w:val="hybridMultilevel"/>
    <w:tmpl w:val="2B36316A"/>
    <w:lvl w:ilvl="0" w:tplc="EAF8E6C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rsids>
    <w:rsidRoot w:val="00BE1346"/>
    <w:rsid w:val="00001B48"/>
    <w:rsid w:val="0001298F"/>
    <w:rsid w:val="00024C79"/>
    <w:rsid w:val="00035FA4"/>
    <w:rsid w:val="000367FE"/>
    <w:rsid w:val="00040F26"/>
    <w:rsid w:val="000515B3"/>
    <w:rsid w:val="00051E14"/>
    <w:rsid w:val="000659A8"/>
    <w:rsid w:val="00065EBE"/>
    <w:rsid w:val="00066B53"/>
    <w:rsid w:val="00090FB0"/>
    <w:rsid w:val="00095A4B"/>
    <w:rsid w:val="000A21FD"/>
    <w:rsid w:val="000A3B5B"/>
    <w:rsid w:val="000A3EC4"/>
    <w:rsid w:val="000A4A7F"/>
    <w:rsid w:val="000B79EB"/>
    <w:rsid w:val="000C514D"/>
    <w:rsid w:val="000D2F77"/>
    <w:rsid w:val="000E4BC9"/>
    <w:rsid w:val="000E68D1"/>
    <w:rsid w:val="000F04A8"/>
    <w:rsid w:val="000F0B14"/>
    <w:rsid w:val="000F0F74"/>
    <w:rsid w:val="000F374D"/>
    <w:rsid w:val="001013D0"/>
    <w:rsid w:val="00101846"/>
    <w:rsid w:val="00104975"/>
    <w:rsid w:val="001154A7"/>
    <w:rsid w:val="00123247"/>
    <w:rsid w:val="001248FD"/>
    <w:rsid w:val="0013376C"/>
    <w:rsid w:val="00147DD9"/>
    <w:rsid w:val="00156DC3"/>
    <w:rsid w:val="00166009"/>
    <w:rsid w:val="00170BE1"/>
    <w:rsid w:val="001727BD"/>
    <w:rsid w:val="0018032D"/>
    <w:rsid w:val="0018793E"/>
    <w:rsid w:val="001A4C1C"/>
    <w:rsid w:val="001A7DDF"/>
    <w:rsid w:val="001C5319"/>
    <w:rsid w:val="001C778D"/>
    <w:rsid w:val="001C7EAB"/>
    <w:rsid w:val="00207FCE"/>
    <w:rsid w:val="00222424"/>
    <w:rsid w:val="00232823"/>
    <w:rsid w:val="002347E2"/>
    <w:rsid w:val="00261463"/>
    <w:rsid w:val="0026287B"/>
    <w:rsid w:val="00281C22"/>
    <w:rsid w:val="00286B5C"/>
    <w:rsid w:val="00287D9A"/>
    <w:rsid w:val="00287FA4"/>
    <w:rsid w:val="002928BD"/>
    <w:rsid w:val="002A25D7"/>
    <w:rsid w:val="002B1B2E"/>
    <w:rsid w:val="002B7571"/>
    <w:rsid w:val="002C0297"/>
    <w:rsid w:val="002C3942"/>
    <w:rsid w:val="002D5977"/>
    <w:rsid w:val="002E7623"/>
    <w:rsid w:val="002F0C26"/>
    <w:rsid w:val="00300F88"/>
    <w:rsid w:val="00305780"/>
    <w:rsid w:val="00333F77"/>
    <w:rsid w:val="00334DA4"/>
    <w:rsid w:val="00337AB9"/>
    <w:rsid w:val="00350E99"/>
    <w:rsid w:val="00362DD5"/>
    <w:rsid w:val="00381669"/>
    <w:rsid w:val="00393577"/>
    <w:rsid w:val="003A5466"/>
    <w:rsid w:val="003A6AAE"/>
    <w:rsid w:val="003B46EE"/>
    <w:rsid w:val="003D151E"/>
    <w:rsid w:val="003E4315"/>
    <w:rsid w:val="0040179D"/>
    <w:rsid w:val="004133E9"/>
    <w:rsid w:val="004165CE"/>
    <w:rsid w:val="004253E7"/>
    <w:rsid w:val="00425F1F"/>
    <w:rsid w:val="004310E7"/>
    <w:rsid w:val="004401A0"/>
    <w:rsid w:val="0044663C"/>
    <w:rsid w:val="004542DB"/>
    <w:rsid w:val="00454EA7"/>
    <w:rsid w:val="0045651B"/>
    <w:rsid w:val="00456D36"/>
    <w:rsid w:val="00457CD5"/>
    <w:rsid w:val="00462C08"/>
    <w:rsid w:val="00465617"/>
    <w:rsid w:val="00471121"/>
    <w:rsid w:val="004750DC"/>
    <w:rsid w:val="004761EC"/>
    <w:rsid w:val="004820F5"/>
    <w:rsid w:val="004927C6"/>
    <w:rsid w:val="00495595"/>
    <w:rsid w:val="00497A94"/>
    <w:rsid w:val="004A6E2F"/>
    <w:rsid w:val="004B1308"/>
    <w:rsid w:val="004C04AF"/>
    <w:rsid w:val="004C583B"/>
    <w:rsid w:val="004D1E44"/>
    <w:rsid w:val="004D4245"/>
    <w:rsid w:val="005036B9"/>
    <w:rsid w:val="005038C3"/>
    <w:rsid w:val="00505128"/>
    <w:rsid w:val="0051316A"/>
    <w:rsid w:val="00513391"/>
    <w:rsid w:val="00524112"/>
    <w:rsid w:val="005264F8"/>
    <w:rsid w:val="00526F4F"/>
    <w:rsid w:val="00530A2D"/>
    <w:rsid w:val="00534FD5"/>
    <w:rsid w:val="005519B1"/>
    <w:rsid w:val="00562B8F"/>
    <w:rsid w:val="00565D82"/>
    <w:rsid w:val="00575031"/>
    <w:rsid w:val="00577F63"/>
    <w:rsid w:val="0058410F"/>
    <w:rsid w:val="00591B9B"/>
    <w:rsid w:val="005C6783"/>
    <w:rsid w:val="005D521C"/>
    <w:rsid w:val="005E6703"/>
    <w:rsid w:val="005F1A58"/>
    <w:rsid w:val="006022AA"/>
    <w:rsid w:val="00611E73"/>
    <w:rsid w:val="0061434B"/>
    <w:rsid w:val="00617E2A"/>
    <w:rsid w:val="00617F39"/>
    <w:rsid w:val="006212A1"/>
    <w:rsid w:val="00622FF3"/>
    <w:rsid w:val="006317AD"/>
    <w:rsid w:val="006335E3"/>
    <w:rsid w:val="006376AC"/>
    <w:rsid w:val="006433E2"/>
    <w:rsid w:val="0065126A"/>
    <w:rsid w:val="0065392B"/>
    <w:rsid w:val="00663970"/>
    <w:rsid w:val="00666583"/>
    <w:rsid w:val="006743E0"/>
    <w:rsid w:val="00691D9B"/>
    <w:rsid w:val="006B17FD"/>
    <w:rsid w:val="006C162F"/>
    <w:rsid w:val="006C296F"/>
    <w:rsid w:val="006C5CAA"/>
    <w:rsid w:val="006D1505"/>
    <w:rsid w:val="006D356A"/>
    <w:rsid w:val="006F318D"/>
    <w:rsid w:val="006F5AC9"/>
    <w:rsid w:val="00732E82"/>
    <w:rsid w:val="00746A47"/>
    <w:rsid w:val="00753956"/>
    <w:rsid w:val="0075432A"/>
    <w:rsid w:val="00756266"/>
    <w:rsid w:val="007623D7"/>
    <w:rsid w:val="007627BC"/>
    <w:rsid w:val="00762D35"/>
    <w:rsid w:val="0077208B"/>
    <w:rsid w:val="007768C9"/>
    <w:rsid w:val="00783AF1"/>
    <w:rsid w:val="00797EA9"/>
    <w:rsid w:val="007B111C"/>
    <w:rsid w:val="007D1F24"/>
    <w:rsid w:val="007D3BCD"/>
    <w:rsid w:val="007E2200"/>
    <w:rsid w:val="007E2D36"/>
    <w:rsid w:val="007F1D54"/>
    <w:rsid w:val="007F537A"/>
    <w:rsid w:val="007F5555"/>
    <w:rsid w:val="007F62AD"/>
    <w:rsid w:val="0081498C"/>
    <w:rsid w:val="008156A1"/>
    <w:rsid w:val="00815A65"/>
    <w:rsid w:val="00817C66"/>
    <w:rsid w:val="0082143A"/>
    <w:rsid w:val="00835BB7"/>
    <w:rsid w:val="00835DC3"/>
    <w:rsid w:val="00835F54"/>
    <w:rsid w:val="00836CB7"/>
    <w:rsid w:val="008425BA"/>
    <w:rsid w:val="008468C4"/>
    <w:rsid w:val="00866593"/>
    <w:rsid w:val="0087469A"/>
    <w:rsid w:val="00894925"/>
    <w:rsid w:val="008A154E"/>
    <w:rsid w:val="008A77D8"/>
    <w:rsid w:val="008B1231"/>
    <w:rsid w:val="008B5CFD"/>
    <w:rsid w:val="008B708F"/>
    <w:rsid w:val="008C51CE"/>
    <w:rsid w:val="008D07D2"/>
    <w:rsid w:val="008E31BC"/>
    <w:rsid w:val="008E3541"/>
    <w:rsid w:val="008E4725"/>
    <w:rsid w:val="008F3169"/>
    <w:rsid w:val="008F3A97"/>
    <w:rsid w:val="008F529C"/>
    <w:rsid w:val="00914AC1"/>
    <w:rsid w:val="00914AFB"/>
    <w:rsid w:val="0092010F"/>
    <w:rsid w:val="009216E0"/>
    <w:rsid w:val="00931039"/>
    <w:rsid w:val="00940842"/>
    <w:rsid w:val="00943692"/>
    <w:rsid w:val="00945611"/>
    <w:rsid w:val="00947568"/>
    <w:rsid w:val="00951614"/>
    <w:rsid w:val="0095705A"/>
    <w:rsid w:val="009667DE"/>
    <w:rsid w:val="0097307F"/>
    <w:rsid w:val="009A20FB"/>
    <w:rsid w:val="009A2B46"/>
    <w:rsid w:val="009B01D7"/>
    <w:rsid w:val="009B4971"/>
    <w:rsid w:val="009C298B"/>
    <w:rsid w:val="009D3096"/>
    <w:rsid w:val="009E3081"/>
    <w:rsid w:val="009E3FBB"/>
    <w:rsid w:val="009E4C22"/>
    <w:rsid w:val="009F5D8B"/>
    <w:rsid w:val="00A07497"/>
    <w:rsid w:val="00A11C87"/>
    <w:rsid w:val="00A41F4E"/>
    <w:rsid w:val="00A454B1"/>
    <w:rsid w:val="00A45C34"/>
    <w:rsid w:val="00A47AB0"/>
    <w:rsid w:val="00A50783"/>
    <w:rsid w:val="00A62EF9"/>
    <w:rsid w:val="00A66037"/>
    <w:rsid w:val="00A97CBA"/>
    <w:rsid w:val="00AA11A9"/>
    <w:rsid w:val="00AA1856"/>
    <w:rsid w:val="00AB2679"/>
    <w:rsid w:val="00AB38FA"/>
    <w:rsid w:val="00AD3D4A"/>
    <w:rsid w:val="00AD5634"/>
    <w:rsid w:val="00AD71AF"/>
    <w:rsid w:val="00AE0203"/>
    <w:rsid w:val="00AE2EC2"/>
    <w:rsid w:val="00AE3CFD"/>
    <w:rsid w:val="00B05A66"/>
    <w:rsid w:val="00B062ED"/>
    <w:rsid w:val="00B06B36"/>
    <w:rsid w:val="00B1288A"/>
    <w:rsid w:val="00B14453"/>
    <w:rsid w:val="00B20581"/>
    <w:rsid w:val="00B25373"/>
    <w:rsid w:val="00B279AB"/>
    <w:rsid w:val="00B32B26"/>
    <w:rsid w:val="00B421AC"/>
    <w:rsid w:val="00B43B1B"/>
    <w:rsid w:val="00B4532D"/>
    <w:rsid w:val="00B52B3A"/>
    <w:rsid w:val="00B56B49"/>
    <w:rsid w:val="00B606B3"/>
    <w:rsid w:val="00B856CF"/>
    <w:rsid w:val="00B92689"/>
    <w:rsid w:val="00BB06A0"/>
    <w:rsid w:val="00BB4929"/>
    <w:rsid w:val="00BB78C4"/>
    <w:rsid w:val="00BC30E6"/>
    <w:rsid w:val="00BC47E0"/>
    <w:rsid w:val="00BD34CC"/>
    <w:rsid w:val="00BE1346"/>
    <w:rsid w:val="00BE196D"/>
    <w:rsid w:val="00BE1978"/>
    <w:rsid w:val="00BE40ED"/>
    <w:rsid w:val="00BE695F"/>
    <w:rsid w:val="00BF3DCE"/>
    <w:rsid w:val="00C04020"/>
    <w:rsid w:val="00C11CC8"/>
    <w:rsid w:val="00C16896"/>
    <w:rsid w:val="00C21F04"/>
    <w:rsid w:val="00C234B3"/>
    <w:rsid w:val="00C2402F"/>
    <w:rsid w:val="00C2466B"/>
    <w:rsid w:val="00C32F01"/>
    <w:rsid w:val="00C36A3D"/>
    <w:rsid w:val="00C4380C"/>
    <w:rsid w:val="00C579BF"/>
    <w:rsid w:val="00C614A8"/>
    <w:rsid w:val="00C71E33"/>
    <w:rsid w:val="00C722D9"/>
    <w:rsid w:val="00C73959"/>
    <w:rsid w:val="00C87253"/>
    <w:rsid w:val="00CA3675"/>
    <w:rsid w:val="00CB7320"/>
    <w:rsid w:val="00CD1A31"/>
    <w:rsid w:val="00CE0794"/>
    <w:rsid w:val="00CE0CF8"/>
    <w:rsid w:val="00CE357F"/>
    <w:rsid w:val="00CE766C"/>
    <w:rsid w:val="00CE7EAE"/>
    <w:rsid w:val="00CF2020"/>
    <w:rsid w:val="00CF2E5D"/>
    <w:rsid w:val="00CF63ED"/>
    <w:rsid w:val="00D00ADB"/>
    <w:rsid w:val="00D01EA1"/>
    <w:rsid w:val="00D07C3D"/>
    <w:rsid w:val="00D16A63"/>
    <w:rsid w:val="00D36BDC"/>
    <w:rsid w:val="00D50338"/>
    <w:rsid w:val="00D553F8"/>
    <w:rsid w:val="00D57AD0"/>
    <w:rsid w:val="00D90643"/>
    <w:rsid w:val="00D91225"/>
    <w:rsid w:val="00D95306"/>
    <w:rsid w:val="00DB07CB"/>
    <w:rsid w:val="00DB2D48"/>
    <w:rsid w:val="00DB2E6C"/>
    <w:rsid w:val="00DB6E12"/>
    <w:rsid w:val="00DC0D07"/>
    <w:rsid w:val="00DC3FBD"/>
    <w:rsid w:val="00DD0AA9"/>
    <w:rsid w:val="00DD1530"/>
    <w:rsid w:val="00DD2D25"/>
    <w:rsid w:val="00DE0997"/>
    <w:rsid w:val="00DF3B29"/>
    <w:rsid w:val="00E040F4"/>
    <w:rsid w:val="00E0442A"/>
    <w:rsid w:val="00E13676"/>
    <w:rsid w:val="00E13DFC"/>
    <w:rsid w:val="00E20835"/>
    <w:rsid w:val="00E212BC"/>
    <w:rsid w:val="00E212BF"/>
    <w:rsid w:val="00E232B5"/>
    <w:rsid w:val="00E2703A"/>
    <w:rsid w:val="00E41E6C"/>
    <w:rsid w:val="00E453EE"/>
    <w:rsid w:val="00E471AE"/>
    <w:rsid w:val="00E51628"/>
    <w:rsid w:val="00E5770A"/>
    <w:rsid w:val="00E57A99"/>
    <w:rsid w:val="00E6529F"/>
    <w:rsid w:val="00E706E5"/>
    <w:rsid w:val="00E81D6C"/>
    <w:rsid w:val="00E83EC2"/>
    <w:rsid w:val="00E906D3"/>
    <w:rsid w:val="00EB1916"/>
    <w:rsid w:val="00EC4A1B"/>
    <w:rsid w:val="00EE725B"/>
    <w:rsid w:val="00EF3BF4"/>
    <w:rsid w:val="00F11333"/>
    <w:rsid w:val="00F234E3"/>
    <w:rsid w:val="00F2704D"/>
    <w:rsid w:val="00F3607B"/>
    <w:rsid w:val="00F40EED"/>
    <w:rsid w:val="00F42277"/>
    <w:rsid w:val="00F42A37"/>
    <w:rsid w:val="00F46D99"/>
    <w:rsid w:val="00F613FE"/>
    <w:rsid w:val="00F64E1C"/>
    <w:rsid w:val="00F66924"/>
    <w:rsid w:val="00F74C1E"/>
    <w:rsid w:val="00F777EA"/>
    <w:rsid w:val="00F90CC2"/>
    <w:rsid w:val="00FA02DA"/>
    <w:rsid w:val="00FA542A"/>
    <w:rsid w:val="00FB6EC1"/>
    <w:rsid w:val="00FD3BD0"/>
    <w:rsid w:val="00FE0910"/>
    <w:rsid w:val="00FE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725"/>
    <w:pPr>
      <w:spacing w:line="480" w:lineRule="auto"/>
    </w:pPr>
  </w:style>
  <w:style w:type="paragraph" w:styleId="Heading1">
    <w:name w:val="heading 1"/>
    <w:basedOn w:val="Normal"/>
    <w:next w:val="Normal"/>
    <w:link w:val="Heading1Char"/>
    <w:qFormat/>
    <w:rsid w:val="008E4725"/>
    <w:pPr>
      <w:keepNext/>
      <w:jc w:val="center"/>
      <w:outlineLvl w:val="0"/>
    </w:pPr>
    <w:rPr>
      <w:b/>
      <w:bCs/>
      <w:caps/>
    </w:rPr>
  </w:style>
  <w:style w:type="paragraph" w:styleId="Heading2">
    <w:name w:val="heading 2"/>
    <w:basedOn w:val="Normal"/>
    <w:next w:val="Normal"/>
    <w:link w:val="Heading2Char"/>
    <w:uiPriority w:val="9"/>
    <w:unhideWhenUsed/>
    <w:qFormat/>
    <w:rsid w:val="008156A1"/>
    <w:pPr>
      <w:keepNext/>
      <w:keepLines/>
      <w:outlineLvl w:val="1"/>
    </w:pPr>
    <w:rPr>
      <w:rFonts w:asciiTheme="minorHAnsi" w:eastAsiaTheme="majorEastAsia" w:hAnsiTheme="minorHAnsi" w:cstheme="majorBidi"/>
      <w:b/>
      <w:bCs/>
      <w:szCs w:val="26"/>
    </w:rPr>
  </w:style>
  <w:style w:type="paragraph" w:styleId="Heading3">
    <w:name w:val="heading 3"/>
    <w:basedOn w:val="Normal"/>
    <w:next w:val="Normal"/>
    <w:link w:val="Heading3Char"/>
    <w:uiPriority w:val="9"/>
    <w:unhideWhenUsed/>
    <w:qFormat/>
    <w:rsid w:val="008E4725"/>
    <w:pPr>
      <w:keepNext/>
      <w:keepLines/>
      <w:outlineLvl w:val="2"/>
    </w:pPr>
    <w:rPr>
      <w:rFonts w:asciiTheme="minorHAnsi" w:eastAsiaTheme="majorEastAsia" w:hAnsiTheme="minorHAnsi" w:cstheme="majorBid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ipleheadings">
    <w:name w:val="Multiple headings"/>
    <w:basedOn w:val="Normal"/>
    <w:link w:val="MultipleheadingsChar"/>
    <w:qFormat/>
    <w:rsid w:val="008156A1"/>
    <w:pPr>
      <w:keepNext/>
      <w:jc w:val="center"/>
    </w:pPr>
    <w:rPr>
      <w:b/>
      <w:bCs/>
    </w:rPr>
  </w:style>
  <w:style w:type="character" w:customStyle="1" w:styleId="MultipleheadingsChar">
    <w:name w:val="Multiple headings Char"/>
    <w:basedOn w:val="DefaultParagraphFont"/>
    <w:link w:val="Multipleheadings"/>
    <w:rsid w:val="008156A1"/>
    <w:rPr>
      <w:rFonts w:ascii="Times New Roman" w:eastAsia="Times New Roman" w:hAnsi="Times New Roman" w:cs="Times New Roman"/>
      <w:b/>
      <w:bCs/>
      <w:sz w:val="24"/>
      <w:szCs w:val="24"/>
    </w:rPr>
  </w:style>
  <w:style w:type="paragraph" w:customStyle="1" w:styleId="Mainheading">
    <w:name w:val="Main heading"/>
    <w:basedOn w:val="Normal"/>
    <w:link w:val="MainheadingChar"/>
    <w:qFormat/>
    <w:rsid w:val="008156A1"/>
    <w:pPr>
      <w:keepNext/>
      <w:jc w:val="center"/>
    </w:pPr>
    <w:rPr>
      <w:b/>
      <w:bCs/>
    </w:rPr>
  </w:style>
  <w:style w:type="character" w:customStyle="1" w:styleId="MainheadingChar">
    <w:name w:val="Main heading Char"/>
    <w:basedOn w:val="DefaultParagraphFont"/>
    <w:link w:val="Mainheading"/>
    <w:rsid w:val="008156A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156A1"/>
    <w:rPr>
      <w:rFonts w:eastAsiaTheme="majorEastAsia" w:cstheme="majorBidi"/>
      <w:b/>
      <w:bCs/>
      <w:sz w:val="24"/>
      <w:szCs w:val="26"/>
    </w:rPr>
  </w:style>
  <w:style w:type="character" w:customStyle="1" w:styleId="Heading3Char">
    <w:name w:val="Heading 3 Char"/>
    <w:basedOn w:val="DefaultParagraphFont"/>
    <w:link w:val="Heading3"/>
    <w:uiPriority w:val="9"/>
    <w:rsid w:val="008E4725"/>
    <w:rPr>
      <w:rFonts w:eastAsiaTheme="majorEastAsia" w:cstheme="majorBidi"/>
      <w:bCs/>
      <w:sz w:val="24"/>
      <w:szCs w:val="24"/>
      <w:u w:val="single"/>
    </w:rPr>
  </w:style>
  <w:style w:type="character" w:customStyle="1" w:styleId="Heading1Char">
    <w:name w:val="Heading 1 Char"/>
    <w:basedOn w:val="DefaultParagraphFont"/>
    <w:link w:val="Heading1"/>
    <w:rsid w:val="008E4725"/>
    <w:rPr>
      <w:rFonts w:ascii="Times New Roman" w:eastAsia="Times New Roman" w:hAnsi="Times New Roman" w:cs="Times New Roman"/>
      <w:b/>
      <w:bCs/>
      <w:caps/>
      <w:sz w:val="24"/>
      <w:szCs w:val="24"/>
    </w:rPr>
  </w:style>
  <w:style w:type="paragraph" w:styleId="FootnoteText">
    <w:name w:val="footnote text"/>
    <w:basedOn w:val="Normal"/>
    <w:link w:val="FootnoteTextChar"/>
    <w:autoRedefine/>
    <w:qFormat/>
    <w:rsid w:val="008A154E"/>
    <w:pPr>
      <w:keepLines/>
      <w:spacing w:after="120" w:line="240" w:lineRule="auto"/>
      <w:ind w:firstLine="720"/>
    </w:pPr>
  </w:style>
  <w:style w:type="character" w:customStyle="1" w:styleId="FootnoteTextChar">
    <w:name w:val="Footnote Text Char"/>
    <w:basedOn w:val="DefaultParagraphFont"/>
    <w:link w:val="FootnoteText"/>
    <w:rsid w:val="008A154E"/>
  </w:style>
  <w:style w:type="paragraph" w:customStyle="1" w:styleId="Footnote">
    <w:name w:val="Footnote"/>
    <w:basedOn w:val="Normal"/>
    <w:link w:val="FootnoteChar"/>
    <w:autoRedefine/>
    <w:qFormat/>
    <w:rsid w:val="00F234E3"/>
    <w:pPr>
      <w:spacing w:line="240" w:lineRule="auto"/>
    </w:pPr>
    <w:rPr>
      <w:rFonts w:cstheme="minorBidi"/>
    </w:rPr>
  </w:style>
  <w:style w:type="character" w:customStyle="1" w:styleId="FootnoteChar">
    <w:name w:val="Footnote Char"/>
    <w:basedOn w:val="DefaultParagraphFont"/>
    <w:link w:val="Footnote"/>
    <w:rsid w:val="00F234E3"/>
    <w:rPr>
      <w:rFonts w:cstheme="minorBidi"/>
    </w:rPr>
  </w:style>
  <w:style w:type="table" w:styleId="TableGrid">
    <w:name w:val="Table Grid"/>
    <w:basedOn w:val="TableNormal"/>
    <w:uiPriority w:val="59"/>
    <w:rsid w:val="00C11C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783AF1"/>
    <w:rPr>
      <w:vertAlign w:val="superscript"/>
    </w:rPr>
  </w:style>
  <w:style w:type="paragraph" w:styleId="Header">
    <w:name w:val="header"/>
    <w:basedOn w:val="Normal"/>
    <w:link w:val="HeaderChar"/>
    <w:uiPriority w:val="99"/>
    <w:semiHidden/>
    <w:unhideWhenUsed/>
    <w:rsid w:val="00783AF1"/>
    <w:pPr>
      <w:tabs>
        <w:tab w:val="center" w:pos="4680"/>
        <w:tab w:val="right" w:pos="9360"/>
      </w:tabs>
    </w:pPr>
  </w:style>
  <w:style w:type="character" w:customStyle="1" w:styleId="HeaderChar">
    <w:name w:val="Header Char"/>
    <w:basedOn w:val="DefaultParagraphFont"/>
    <w:link w:val="Header"/>
    <w:uiPriority w:val="99"/>
    <w:semiHidden/>
    <w:rsid w:val="00783AF1"/>
  </w:style>
  <w:style w:type="paragraph" w:styleId="Footer">
    <w:name w:val="footer"/>
    <w:basedOn w:val="Normal"/>
    <w:link w:val="FooterChar"/>
    <w:uiPriority w:val="99"/>
    <w:unhideWhenUsed/>
    <w:rsid w:val="00783AF1"/>
    <w:pPr>
      <w:tabs>
        <w:tab w:val="center" w:pos="4680"/>
        <w:tab w:val="right" w:pos="9360"/>
      </w:tabs>
    </w:pPr>
  </w:style>
  <w:style w:type="character" w:customStyle="1" w:styleId="FooterChar">
    <w:name w:val="Footer Char"/>
    <w:basedOn w:val="DefaultParagraphFont"/>
    <w:link w:val="Footer"/>
    <w:uiPriority w:val="99"/>
    <w:rsid w:val="00783AF1"/>
  </w:style>
  <w:style w:type="paragraph" w:styleId="ListParagraph">
    <w:name w:val="List Paragraph"/>
    <w:basedOn w:val="Normal"/>
    <w:uiPriority w:val="34"/>
    <w:qFormat/>
    <w:rsid w:val="00BE1346"/>
    <w:pPr>
      <w:ind w:left="720"/>
    </w:pPr>
  </w:style>
</w:styles>
</file>

<file path=word/webSettings.xml><?xml version="1.0" encoding="utf-8"?>
<w:webSettings xmlns:r="http://schemas.openxmlformats.org/officeDocument/2006/relationships" xmlns:w="http://schemas.openxmlformats.org/wordprocessingml/2006/main">
  <w:divs>
    <w:div w:id="7544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14ED-36B7-4ED4-92D0-D89113CE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2012-09-25T21:09:00Z</dcterms:created>
  <dcterms:modified xsi:type="dcterms:W3CDTF">2012-09-25T21:09:00Z</dcterms:modified>
</cp:coreProperties>
</file>