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04C67">
        <w:trPr>
          <w:cantSplit/>
          <w:trHeight w:val="442"/>
        </w:trPr>
        <w:tc>
          <w:tcPr>
            <w:tcW w:w="5227" w:type="dxa"/>
            <w:vMerge w:val="restart"/>
          </w:tcPr>
          <w:p w:rsidR="00904C67" w:rsidRDefault="00BE7931">
            <w:pPr>
              <w:rPr>
                <w:rFonts w:ascii="Arial" w:hAnsi="Arial" w:cs="Arial"/>
                <w:sz w:val="20"/>
                <w:szCs w:val="22"/>
              </w:rPr>
            </w:pPr>
            <w:r>
              <w:rPr>
                <w:rFonts w:ascii="Arial" w:hAnsi="Arial" w:cs="Arial"/>
                <w:sz w:val="20"/>
                <w:szCs w:val="22"/>
              </w:rPr>
              <w:t>In the Matter of</w:t>
            </w:r>
            <w:r w:rsidR="00DB124A">
              <w:rPr>
                <w:rFonts w:ascii="Arial" w:hAnsi="Arial" w:cs="Arial"/>
                <w:sz w:val="20"/>
                <w:szCs w:val="22"/>
              </w:rPr>
              <w:t>:</w:t>
            </w:r>
          </w:p>
          <w:p w:rsidR="00904C67" w:rsidRDefault="00593C5B">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bookmarkEnd w:id="1"/>
            <w:r>
              <w:rPr>
                <w:rFonts w:ascii="Arial" w:hAnsi="Arial" w:cs="Arial"/>
                <w:b/>
                <w:bCs/>
                <w:sz w:val="20"/>
                <w:szCs w:val="22"/>
              </w:rPr>
              <w:fldChar w:fldCharType="end"/>
            </w:r>
            <w:bookmarkEnd w:id="0"/>
          </w:p>
          <w:p w:rsidR="00904C67" w:rsidRDefault="00904C67">
            <w:pPr>
              <w:rPr>
                <w:rFonts w:ascii="Arial" w:hAnsi="Arial" w:cs="Arial"/>
                <w:b/>
                <w:bCs/>
                <w:sz w:val="20"/>
                <w:szCs w:val="22"/>
              </w:rPr>
            </w:pPr>
          </w:p>
        </w:tc>
        <w:tc>
          <w:tcPr>
            <w:tcW w:w="5220" w:type="dxa"/>
            <w:vMerge w:val="restart"/>
          </w:tcPr>
          <w:p w:rsidR="00904C67" w:rsidRDefault="00BE7931">
            <w:pPr>
              <w:rPr>
                <w:rFonts w:ascii="Arial" w:hAnsi="Arial" w:cs="Arial"/>
                <w:sz w:val="20"/>
                <w:szCs w:val="22"/>
              </w:rPr>
            </w:pPr>
            <w:r>
              <w:rPr>
                <w:rFonts w:ascii="Arial" w:hAnsi="Arial" w:cs="Arial"/>
                <w:sz w:val="20"/>
                <w:szCs w:val="22"/>
              </w:rPr>
              <w:t>Case Number(s):</w:t>
            </w:r>
          </w:p>
          <w:p w:rsidR="00904C67" w:rsidRDefault="00593C5B">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2"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sz w:val="20"/>
                <w:szCs w:val="22"/>
              </w:rPr>
              <w:fldChar w:fldCharType="end"/>
            </w:r>
            <w:bookmarkEnd w:id="2"/>
          </w:p>
          <w:p w:rsidR="00A4643F" w:rsidRDefault="00A4643F">
            <w:pPr>
              <w:rPr>
                <w:rFonts w:ascii="Arial" w:hAnsi="Arial" w:cs="Arial"/>
                <w:sz w:val="20"/>
                <w:szCs w:val="22"/>
              </w:rPr>
            </w:pPr>
          </w:p>
          <w:p w:rsidR="00904C67" w:rsidRDefault="00904C67">
            <w:pPr>
              <w:rPr>
                <w:rFonts w:ascii="Arial" w:hAnsi="Arial" w:cs="Arial"/>
                <w:sz w:val="20"/>
                <w:szCs w:val="22"/>
              </w:rPr>
            </w:pPr>
          </w:p>
        </w:tc>
      </w:tr>
      <w:tr w:rsidR="00904C67">
        <w:trPr>
          <w:cantSplit/>
          <w:trHeight w:val="632"/>
        </w:trPr>
        <w:tc>
          <w:tcPr>
            <w:tcW w:w="5227" w:type="dxa"/>
            <w:vMerge/>
          </w:tcPr>
          <w:p w:rsidR="00904C67" w:rsidRDefault="00904C67">
            <w:pPr>
              <w:rPr>
                <w:rFonts w:ascii="Arial" w:hAnsi="Arial" w:cs="Arial"/>
                <w:sz w:val="20"/>
                <w:szCs w:val="22"/>
              </w:rPr>
            </w:pPr>
          </w:p>
        </w:tc>
        <w:tc>
          <w:tcPr>
            <w:tcW w:w="5220" w:type="dxa"/>
            <w:vMerge/>
          </w:tcPr>
          <w:p w:rsidR="00904C67" w:rsidRDefault="00904C67">
            <w:pPr>
              <w:rPr>
                <w:rFonts w:ascii="Arial" w:hAnsi="Arial" w:cs="Arial"/>
                <w:sz w:val="20"/>
                <w:szCs w:val="22"/>
              </w:rPr>
            </w:pPr>
          </w:p>
        </w:tc>
      </w:tr>
    </w:tbl>
    <w:p w:rsidR="00E7252A" w:rsidRDefault="00E7252A">
      <w:pPr>
        <w:rPr>
          <w:rFonts w:ascii="Arial" w:hAnsi="Arial" w:cs="Arial"/>
        </w:rPr>
        <w:sectPr w:rsidR="00E7252A" w:rsidSect="00F95C41">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pPr>
    </w:p>
    <w:p w:rsidR="00E7252A" w:rsidRDefault="00E7252A" w:rsidP="00E7252A">
      <w:pPr>
        <w:pStyle w:val="Heading1"/>
        <w:rPr>
          <w:rFonts w:ascii="Arial" w:hAnsi="Arial" w:cs="Arial"/>
          <w:sz w:val="24"/>
          <w:szCs w:val="24"/>
        </w:rPr>
      </w:pPr>
    </w:p>
    <w:p w:rsidR="00E7252A" w:rsidRPr="003851F7" w:rsidRDefault="003851F7" w:rsidP="00E7252A">
      <w:pPr>
        <w:pStyle w:val="Heading1"/>
        <w:rPr>
          <w:rFonts w:ascii="Arial" w:hAnsi="Arial" w:cs="Arial"/>
          <w:sz w:val="24"/>
          <w:szCs w:val="24"/>
        </w:rPr>
      </w:pPr>
      <w:r w:rsidRPr="003851F7">
        <w:rPr>
          <w:rFonts w:ascii="Arial" w:hAnsi="Arial" w:cs="Arial"/>
          <w:sz w:val="24"/>
          <w:szCs w:val="24"/>
        </w:rPr>
        <w:t>Substance Abuse Conditions</w:t>
      </w:r>
    </w:p>
    <w:p w:rsidR="00201DD6" w:rsidRDefault="00201DD6" w:rsidP="00201DD6">
      <w:pPr>
        <w:ind w:left="360"/>
        <w:rPr>
          <w:rFonts w:ascii="Arial" w:hAnsi="Arial" w:cs="Arial"/>
          <w:b/>
          <w:bCs/>
        </w:rPr>
      </w:pPr>
    </w:p>
    <w:p w:rsidR="00F93566" w:rsidRPr="00201DD6" w:rsidRDefault="00201DD6" w:rsidP="00201DD6">
      <w:pPr>
        <w:tabs>
          <w:tab w:val="left" w:pos="360"/>
          <w:tab w:val="left" w:pos="720"/>
        </w:tabs>
        <w:ind w:left="720" w:hanging="720"/>
        <w:rPr>
          <w:rFonts w:ascii="Arial" w:hAnsi="Arial" w:cs="Arial"/>
          <w:sz w:val="20"/>
        </w:rPr>
      </w:pPr>
      <w:r w:rsidRPr="00201DD6">
        <w:rPr>
          <w:rFonts w:ascii="Arial" w:hAnsi="Arial" w:cs="Arial"/>
          <w:bCs/>
          <w:sz w:val="20"/>
        </w:rPr>
        <w:t>a.</w:t>
      </w:r>
      <w:r>
        <w:rPr>
          <w:rFonts w:ascii="Arial" w:hAnsi="Arial" w:cs="Arial"/>
          <w:sz w:val="20"/>
        </w:rPr>
        <w:tab/>
      </w:r>
      <w:r w:rsidR="009576A0" w:rsidRPr="00201DD6">
        <w:rPr>
          <w:rFonts w:ascii="Arial" w:hAnsi="Arial" w:cs="Arial"/>
          <w:sz w:val="20"/>
        </w:rPr>
        <w:fldChar w:fldCharType="begin">
          <w:ffData>
            <w:name w:val="Check1"/>
            <w:enabled/>
            <w:calcOnExit w:val="0"/>
            <w:helpText w:type="text" w:val="Abstinence"/>
            <w:statusText w:type="text" w:val="Abstinence "/>
            <w:checkBox>
              <w:sizeAuto/>
              <w:default w:val="0"/>
            </w:checkBox>
          </w:ffData>
        </w:fldChar>
      </w:r>
      <w:bookmarkStart w:id="3" w:name="Check1"/>
      <w:r w:rsidR="009576A0" w:rsidRPr="00201DD6">
        <w:rPr>
          <w:rFonts w:ascii="Arial" w:hAnsi="Arial" w:cs="Arial"/>
          <w:sz w:val="20"/>
        </w:rPr>
        <w:instrText xml:space="preserve"> FORMCHECKBOX </w:instrText>
      </w:r>
      <w:r w:rsidR="00962140">
        <w:rPr>
          <w:rFonts w:ascii="Arial" w:hAnsi="Arial" w:cs="Arial"/>
          <w:sz w:val="20"/>
        </w:rPr>
      </w:r>
      <w:r w:rsidR="00962140">
        <w:rPr>
          <w:rFonts w:ascii="Arial" w:hAnsi="Arial" w:cs="Arial"/>
          <w:sz w:val="20"/>
        </w:rPr>
        <w:fldChar w:fldCharType="separate"/>
      </w:r>
      <w:r w:rsidR="009576A0" w:rsidRPr="00201DD6">
        <w:rPr>
          <w:rFonts w:ascii="Arial" w:hAnsi="Arial" w:cs="Arial"/>
          <w:sz w:val="20"/>
        </w:rPr>
        <w:fldChar w:fldCharType="end"/>
      </w:r>
      <w:bookmarkEnd w:id="3"/>
      <w:r w:rsidR="008B3164" w:rsidRPr="00201DD6">
        <w:rPr>
          <w:rFonts w:ascii="Arial" w:hAnsi="Arial" w:cs="Arial"/>
          <w:sz w:val="20"/>
        </w:rPr>
        <w:tab/>
      </w:r>
      <w:r w:rsidR="00571B03" w:rsidRPr="00201DD6">
        <w:rPr>
          <w:rFonts w:ascii="Arial" w:hAnsi="Arial" w:cs="Arial"/>
          <w:b/>
          <w:sz w:val="20"/>
        </w:rPr>
        <w:t>Abstinence:</w:t>
      </w:r>
      <w:r w:rsidR="00571B03" w:rsidRPr="00201DD6">
        <w:rPr>
          <w:rFonts w:ascii="Arial" w:hAnsi="Arial" w:cs="Arial"/>
          <w:sz w:val="20"/>
        </w:rPr>
        <w:t xml:space="preserve">  </w:t>
      </w:r>
      <w:r w:rsidR="009B4875" w:rsidRPr="00201DD6">
        <w:rPr>
          <w:rFonts w:ascii="Arial" w:hAnsi="Arial" w:cs="Arial"/>
          <w:sz w:val="20"/>
        </w:rPr>
        <w:t>Respondent must abstain from using alcoholic beverages and must not use or possess any illegal drugs or illegal drug paraphernalia.  In each quarterly and final report, Respondent must report compliance with this condition.</w:t>
      </w:r>
      <w:r w:rsidR="005D4250" w:rsidRPr="00201DD6">
        <w:rPr>
          <w:rFonts w:ascii="Arial" w:hAnsi="Arial" w:cs="Arial"/>
          <w:sz w:val="20"/>
        </w:rPr>
        <w:t xml:space="preserve"> </w:t>
      </w:r>
    </w:p>
    <w:p w:rsidR="00201DD6" w:rsidRDefault="00201DD6" w:rsidP="00201DD6">
      <w:pPr>
        <w:ind w:left="360"/>
        <w:rPr>
          <w:rFonts w:ascii="Arial" w:hAnsi="Arial" w:cs="Arial"/>
          <w:sz w:val="20"/>
        </w:rPr>
      </w:pPr>
    </w:p>
    <w:p w:rsidR="009B4875" w:rsidRPr="00E412C5" w:rsidRDefault="00201DD6" w:rsidP="00201DD6">
      <w:pPr>
        <w:tabs>
          <w:tab w:val="left" w:pos="360"/>
        </w:tabs>
        <w:ind w:left="720" w:hanging="720"/>
        <w:rPr>
          <w:rFonts w:ascii="Arial" w:hAnsi="Arial" w:cs="Arial"/>
          <w:sz w:val="20"/>
        </w:rPr>
      </w:pPr>
      <w:r>
        <w:rPr>
          <w:rFonts w:ascii="Arial" w:hAnsi="Arial" w:cs="Arial"/>
          <w:sz w:val="20"/>
        </w:rPr>
        <w:t>b.</w:t>
      </w:r>
      <w:r>
        <w:rPr>
          <w:rFonts w:ascii="Arial" w:hAnsi="Arial" w:cs="Arial"/>
          <w:sz w:val="20"/>
        </w:rPr>
        <w:tab/>
      </w:r>
      <w:r w:rsidR="009576A0">
        <w:rPr>
          <w:rFonts w:ascii="Arial" w:hAnsi="Arial" w:cs="Arial"/>
          <w:sz w:val="20"/>
        </w:rPr>
        <w:fldChar w:fldCharType="begin">
          <w:ffData>
            <w:name w:val="Check2"/>
            <w:enabled/>
            <w:calcOnExit w:val="0"/>
            <w:helpText w:type="text" w:val="Abstinence Program Meetings"/>
            <w:statusText w:type="text" w:val="Abstinence Program Meetings"/>
            <w:checkBox>
              <w:sizeAuto/>
              <w:default w:val="0"/>
            </w:checkBox>
          </w:ffData>
        </w:fldChar>
      </w:r>
      <w:bookmarkStart w:id="4" w:name="Check2"/>
      <w:r w:rsidR="009576A0">
        <w:rPr>
          <w:rFonts w:ascii="Arial" w:hAnsi="Arial" w:cs="Arial"/>
          <w:sz w:val="20"/>
        </w:rPr>
        <w:instrText xml:space="preserve"> FORMCHECKBOX </w:instrText>
      </w:r>
      <w:r w:rsidR="00962140">
        <w:rPr>
          <w:rFonts w:ascii="Arial" w:hAnsi="Arial" w:cs="Arial"/>
          <w:sz w:val="20"/>
        </w:rPr>
      </w:r>
      <w:r w:rsidR="00962140">
        <w:rPr>
          <w:rFonts w:ascii="Arial" w:hAnsi="Arial" w:cs="Arial"/>
          <w:sz w:val="20"/>
        </w:rPr>
        <w:fldChar w:fldCharType="separate"/>
      </w:r>
      <w:r w:rsidR="009576A0">
        <w:rPr>
          <w:rFonts w:ascii="Arial" w:hAnsi="Arial" w:cs="Arial"/>
          <w:sz w:val="20"/>
        </w:rPr>
        <w:fldChar w:fldCharType="end"/>
      </w:r>
      <w:bookmarkEnd w:id="4"/>
      <w:r w:rsidR="003851F7" w:rsidRPr="00E412C5">
        <w:rPr>
          <w:rFonts w:ascii="Arial" w:hAnsi="Arial" w:cs="Arial"/>
          <w:sz w:val="20"/>
        </w:rPr>
        <w:tab/>
      </w:r>
      <w:r w:rsidR="00571B03" w:rsidRPr="00571B03">
        <w:rPr>
          <w:rFonts w:ascii="Arial" w:hAnsi="Arial" w:cs="Arial"/>
          <w:b/>
          <w:sz w:val="20"/>
        </w:rPr>
        <w:t>Abstinence Program Meetings</w:t>
      </w:r>
      <w:r w:rsidR="00571B03">
        <w:rPr>
          <w:rFonts w:ascii="Arial" w:hAnsi="Arial" w:cs="Arial"/>
          <w:b/>
          <w:sz w:val="20"/>
        </w:rPr>
        <w:t>:</w:t>
      </w:r>
      <w:r w:rsidR="00571B03" w:rsidRPr="00571B03">
        <w:rPr>
          <w:rFonts w:ascii="Arial" w:hAnsi="Arial" w:cs="Arial"/>
          <w:sz w:val="20"/>
        </w:rPr>
        <w:t xml:space="preserve"> </w:t>
      </w:r>
      <w:r w:rsidR="00571B03">
        <w:rPr>
          <w:rFonts w:ascii="Arial" w:hAnsi="Arial" w:cs="Arial"/>
          <w:sz w:val="20"/>
        </w:rPr>
        <w:t xml:space="preserve"> </w:t>
      </w:r>
      <w:r w:rsidR="009B4875" w:rsidRPr="00E412C5">
        <w:rPr>
          <w:rFonts w:ascii="Arial" w:hAnsi="Arial" w:cs="Arial"/>
          <w:sz w:val="20"/>
        </w:rPr>
        <w:t xml:space="preserve">Respondent must attend a minimum of </w:t>
      </w:r>
      <w:r w:rsidR="009576A0" w:rsidRPr="00A12B37">
        <w:rPr>
          <w:rFonts w:ascii="Arial" w:hAnsi="Arial" w:cs="Arial"/>
          <w:b/>
          <w:sz w:val="20"/>
        </w:rPr>
        <w:fldChar w:fldCharType="begin">
          <w:ffData>
            <w:name w:val="Text1"/>
            <w:enabled/>
            <w:calcOnExit w:val="0"/>
            <w:helpText w:type="text" w:val="Enter number of meetings."/>
            <w:statusText w:type="text" w:val="Enter number of meetings."/>
            <w:textInput/>
          </w:ffData>
        </w:fldChar>
      </w:r>
      <w:bookmarkStart w:id="5" w:name="Text1"/>
      <w:r w:rsidR="009576A0" w:rsidRPr="00A12B37">
        <w:rPr>
          <w:rFonts w:ascii="Arial" w:hAnsi="Arial" w:cs="Arial"/>
          <w:b/>
          <w:sz w:val="20"/>
        </w:rPr>
        <w:instrText xml:space="preserve"> FORMTEXT </w:instrText>
      </w:r>
      <w:r w:rsidR="009576A0" w:rsidRPr="00A12B37">
        <w:rPr>
          <w:rFonts w:ascii="Arial" w:hAnsi="Arial" w:cs="Arial"/>
          <w:b/>
          <w:sz w:val="20"/>
        </w:rPr>
      </w:r>
      <w:r w:rsidR="009576A0" w:rsidRPr="00A12B37">
        <w:rPr>
          <w:rFonts w:ascii="Arial" w:hAnsi="Arial" w:cs="Arial"/>
          <w:b/>
          <w:sz w:val="20"/>
        </w:rPr>
        <w:fldChar w:fldCharType="separate"/>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9576A0" w:rsidRPr="00A12B37">
        <w:rPr>
          <w:rFonts w:ascii="Arial" w:hAnsi="Arial" w:cs="Arial"/>
          <w:b/>
          <w:sz w:val="20"/>
        </w:rPr>
        <w:fldChar w:fldCharType="end"/>
      </w:r>
      <w:bookmarkEnd w:id="5"/>
      <w:r w:rsidR="0047051E">
        <w:rPr>
          <w:rFonts w:ascii="Arial" w:hAnsi="Arial" w:cs="Arial"/>
          <w:sz w:val="20"/>
        </w:rPr>
        <w:t xml:space="preserve"> meetings per </w:t>
      </w:r>
      <w:r w:rsidR="009576A0" w:rsidRPr="00612741">
        <w:rPr>
          <w:rFonts w:ascii="Arial" w:hAnsi="Arial" w:cs="Arial"/>
          <w:b/>
          <w:sz w:val="20"/>
        </w:rPr>
        <w:fldChar w:fldCharType="begin">
          <w:ffData>
            <w:name w:val="Text5"/>
            <w:enabled/>
            <w:calcOnExit w:val="0"/>
            <w:helpText w:type="text" w:val="Enter frequency of meeting(s). "/>
            <w:statusText w:type="text" w:val="Enter frequency of meeting(s)."/>
            <w:textInput/>
          </w:ffData>
        </w:fldChar>
      </w:r>
      <w:bookmarkStart w:id="6" w:name="Text5"/>
      <w:r w:rsidR="009576A0" w:rsidRPr="00612741">
        <w:rPr>
          <w:rFonts w:ascii="Arial" w:hAnsi="Arial" w:cs="Arial"/>
          <w:b/>
          <w:sz w:val="20"/>
        </w:rPr>
        <w:instrText xml:space="preserve"> FORMTEXT </w:instrText>
      </w:r>
      <w:r w:rsidR="009576A0" w:rsidRPr="00612741">
        <w:rPr>
          <w:rFonts w:ascii="Arial" w:hAnsi="Arial" w:cs="Arial"/>
          <w:b/>
          <w:sz w:val="20"/>
        </w:rPr>
      </w:r>
      <w:r w:rsidR="009576A0" w:rsidRPr="00612741">
        <w:rPr>
          <w:rFonts w:ascii="Arial" w:hAnsi="Arial" w:cs="Arial"/>
          <w:b/>
          <w:sz w:val="20"/>
        </w:rPr>
        <w:fldChar w:fldCharType="separate"/>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9576A0" w:rsidRPr="00612741">
        <w:rPr>
          <w:rFonts w:ascii="Arial" w:hAnsi="Arial" w:cs="Arial"/>
          <w:b/>
          <w:sz w:val="20"/>
        </w:rPr>
        <w:fldChar w:fldCharType="end"/>
      </w:r>
      <w:bookmarkEnd w:id="6"/>
      <w:r w:rsidR="00571B03">
        <w:rPr>
          <w:rFonts w:ascii="Arial" w:hAnsi="Arial" w:cs="Arial"/>
          <w:sz w:val="20"/>
        </w:rPr>
        <w:t xml:space="preserve"> </w:t>
      </w:r>
      <w:r w:rsidR="009B4875" w:rsidRPr="00793829">
        <w:rPr>
          <w:rFonts w:ascii="Arial" w:hAnsi="Arial" w:cs="Arial"/>
          <w:sz w:val="20"/>
        </w:rPr>
        <w:t>of an abstinence-based self-help group approved</w:t>
      </w:r>
      <w:r w:rsidR="009B4875" w:rsidRPr="00E412C5">
        <w:rPr>
          <w:rFonts w:ascii="Arial" w:hAnsi="Arial" w:cs="Arial"/>
          <w:sz w:val="20"/>
        </w:rPr>
        <w:t xml:space="preserve"> by the Office of Probation.  Programs that are not abstinence-based and allow the participant to continue consuming alcohol are not acceptable.  Respondent must contact the Office of Probation and obtain written approval for the program Respondent wishes to select prior to receiving credit for compliance with this condition for attending meetings of such group.  Respondent must provide to the Office of Probation satisfactory proof of attendance at such group meetings with each quarterly and final report; however, in providing such proof, Respondent may not sign as the verifier of such attendance.</w:t>
      </w:r>
    </w:p>
    <w:p w:rsidR="00720BF6" w:rsidRDefault="00720BF6" w:rsidP="00201DD6">
      <w:pPr>
        <w:pStyle w:val="ListParagraph"/>
        <w:tabs>
          <w:tab w:val="left" w:pos="360"/>
        </w:tabs>
        <w:ind w:hanging="720"/>
        <w:rPr>
          <w:rFonts w:ascii="Arial" w:hAnsi="Arial" w:cs="Arial"/>
          <w:sz w:val="20"/>
        </w:rPr>
      </w:pPr>
    </w:p>
    <w:p w:rsidR="009B4875" w:rsidRPr="00201DD6" w:rsidRDefault="00201DD6" w:rsidP="00201DD6">
      <w:pPr>
        <w:tabs>
          <w:tab w:val="left" w:pos="360"/>
        </w:tabs>
        <w:ind w:left="720" w:hanging="720"/>
        <w:rPr>
          <w:rFonts w:ascii="Arial" w:hAnsi="Arial" w:cs="Arial"/>
          <w:sz w:val="20"/>
        </w:rPr>
      </w:pPr>
      <w:r>
        <w:rPr>
          <w:rFonts w:ascii="Arial" w:hAnsi="Arial" w:cs="Arial"/>
          <w:sz w:val="20"/>
        </w:rPr>
        <w:t>c.</w:t>
      </w:r>
      <w:r>
        <w:rPr>
          <w:rFonts w:ascii="Arial" w:hAnsi="Arial" w:cs="Arial"/>
          <w:sz w:val="20"/>
        </w:rPr>
        <w:tab/>
      </w:r>
      <w:r w:rsidR="009576A0" w:rsidRPr="00201DD6">
        <w:rPr>
          <w:rFonts w:ascii="Arial" w:hAnsi="Arial" w:cs="Arial"/>
          <w:sz w:val="20"/>
        </w:rPr>
        <w:fldChar w:fldCharType="begin">
          <w:ffData>
            <w:name w:val="Check3"/>
            <w:enabled/>
            <w:calcOnExit w:val="0"/>
            <w:helpText w:type="text" w:val="Laboratory Testing "/>
            <w:statusText w:type="text" w:val="Laboratory Testing "/>
            <w:checkBox>
              <w:sizeAuto/>
              <w:default w:val="0"/>
            </w:checkBox>
          </w:ffData>
        </w:fldChar>
      </w:r>
      <w:bookmarkStart w:id="7" w:name="Check3"/>
      <w:r w:rsidR="009576A0" w:rsidRPr="00201DD6">
        <w:rPr>
          <w:rFonts w:ascii="Arial" w:hAnsi="Arial" w:cs="Arial"/>
          <w:sz w:val="20"/>
        </w:rPr>
        <w:instrText xml:space="preserve"> FORMCHECKBOX </w:instrText>
      </w:r>
      <w:r w:rsidR="00962140">
        <w:rPr>
          <w:rFonts w:ascii="Arial" w:hAnsi="Arial" w:cs="Arial"/>
          <w:sz w:val="20"/>
        </w:rPr>
      </w:r>
      <w:r w:rsidR="00962140">
        <w:rPr>
          <w:rFonts w:ascii="Arial" w:hAnsi="Arial" w:cs="Arial"/>
          <w:sz w:val="20"/>
        </w:rPr>
        <w:fldChar w:fldCharType="separate"/>
      </w:r>
      <w:r w:rsidR="009576A0" w:rsidRPr="00201DD6">
        <w:rPr>
          <w:rFonts w:ascii="Arial" w:hAnsi="Arial" w:cs="Arial"/>
          <w:sz w:val="20"/>
        </w:rPr>
        <w:fldChar w:fldCharType="end"/>
      </w:r>
      <w:bookmarkEnd w:id="7"/>
      <w:r w:rsidR="00720BF6" w:rsidRPr="00201DD6">
        <w:rPr>
          <w:rFonts w:ascii="Arial" w:hAnsi="Arial" w:cs="Arial"/>
          <w:sz w:val="20"/>
        </w:rPr>
        <w:tab/>
      </w:r>
      <w:r w:rsidR="00571B03" w:rsidRPr="00201DD6">
        <w:rPr>
          <w:rFonts w:ascii="Arial" w:hAnsi="Arial" w:cs="Arial"/>
          <w:b/>
          <w:sz w:val="20"/>
        </w:rPr>
        <w:t xml:space="preserve">Laboratory Testing:  </w:t>
      </w:r>
      <w:r w:rsidR="009B4875" w:rsidRPr="00201DD6">
        <w:rPr>
          <w:rFonts w:ascii="Arial" w:hAnsi="Arial" w:cs="Arial"/>
          <w:sz w:val="20"/>
        </w:rPr>
        <w:t xml:space="preserve">Within 45 days after the effective date of the </w:t>
      </w:r>
      <w:r w:rsidR="009576A0" w:rsidRPr="00201DD6">
        <w:rPr>
          <w:rFonts w:ascii="Arial" w:hAnsi="Arial" w:cs="Arial"/>
          <w:bCs/>
          <w:sz w:val="20"/>
          <w:szCs w:val="20"/>
        </w:rPr>
        <w:fldChar w:fldCharType="begin">
          <w:ffData>
            <w:name w:val=""/>
            <w:enabled/>
            <w:calcOnExit w:val="0"/>
            <w:helpText w:type="text" w:val="Select one:  Supreme Court or State Bar Court."/>
            <w:statusText w:type="text" w:val="Select one: Supreme Court or State Bar Court."/>
            <w:ddList>
              <w:listEntry w:val="SELECT ONE                                    "/>
              <w:listEntry w:val="Supreme Court"/>
              <w:listEntry w:val="State Bar Court"/>
            </w:ddList>
          </w:ffData>
        </w:fldChar>
      </w:r>
      <w:r w:rsidR="009576A0" w:rsidRPr="00201DD6">
        <w:rPr>
          <w:rFonts w:ascii="Arial" w:hAnsi="Arial" w:cs="Arial"/>
          <w:bCs/>
          <w:sz w:val="20"/>
          <w:szCs w:val="20"/>
        </w:rPr>
        <w:instrText xml:space="preserve"> FORMDROPDOWN </w:instrText>
      </w:r>
      <w:r w:rsidR="00962140">
        <w:rPr>
          <w:rFonts w:ascii="Arial" w:hAnsi="Arial" w:cs="Arial"/>
          <w:bCs/>
          <w:sz w:val="20"/>
          <w:szCs w:val="20"/>
        </w:rPr>
      </w:r>
      <w:r w:rsidR="00962140">
        <w:rPr>
          <w:rFonts w:ascii="Arial" w:hAnsi="Arial" w:cs="Arial"/>
          <w:bCs/>
          <w:sz w:val="20"/>
          <w:szCs w:val="20"/>
        </w:rPr>
        <w:fldChar w:fldCharType="separate"/>
      </w:r>
      <w:r w:rsidR="009576A0" w:rsidRPr="00201DD6">
        <w:rPr>
          <w:rFonts w:ascii="Arial" w:hAnsi="Arial" w:cs="Arial"/>
          <w:bCs/>
          <w:sz w:val="20"/>
          <w:szCs w:val="20"/>
        </w:rPr>
        <w:fldChar w:fldCharType="end"/>
      </w:r>
      <w:r w:rsidR="00834BDA" w:rsidRPr="00201DD6">
        <w:rPr>
          <w:rFonts w:ascii="Arial" w:hAnsi="Arial" w:cs="Arial"/>
          <w:bCs/>
          <w:sz w:val="20"/>
          <w:szCs w:val="20"/>
        </w:rPr>
        <w:t xml:space="preserve"> </w:t>
      </w:r>
      <w:r w:rsidR="009B4875" w:rsidRPr="00201DD6">
        <w:rPr>
          <w:rFonts w:ascii="Arial" w:hAnsi="Arial" w:cs="Arial"/>
          <w:sz w:val="20"/>
        </w:rPr>
        <w:t>order imposing discipline in this matter, Respondent must select a licensed medical laboratory or laboratories acceptable to the Office of Probation and having the capability to provide observed testing of Respondent as specified below.  Respondent must provide a copy of this condition and of the Office of Probation Lab Test Information Sheet to each and every laboratory Respondent uses to perform any portion of the testing required to comply with this probation condition.  In the event that Respondent subsequently is informed or learns that any laboratory, previously approved by the Office of Probation to conduct the testing set forth below, is no longer willing or able to perform such testing in the manner set forth below, Respondent must (1) notify the Office of Probation in writing of that fact within 72 hours after acquiring such information, and (2) select a new licensed medical laboratory, acceptable to the Office of Probation and capable of providing observed testing of Respondent as specified below, sufficiently promptly that Respondent will be able to continue to comply timely with the testing requirements set forth below.</w:t>
      </w:r>
    </w:p>
    <w:p w:rsidR="009B4875" w:rsidRPr="009B4875" w:rsidRDefault="009B4875" w:rsidP="00201DD6">
      <w:pPr>
        <w:tabs>
          <w:tab w:val="left" w:pos="360"/>
        </w:tabs>
        <w:ind w:left="720" w:hanging="720"/>
        <w:rPr>
          <w:rFonts w:ascii="Arial" w:hAnsi="Arial" w:cs="Arial"/>
          <w:sz w:val="20"/>
        </w:rPr>
      </w:pPr>
    </w:p>
    <w:p w:rsidR="009B4875" w:rsidRDefault="00201DD6" w:rsidP="00201DD6">
      <w:pPr>
        <w:tabs>
          <w:tab w:val="left" w:pos="360"/>
        </w:tabs>
        <w:ind w:left="720" w:hanging="720"/>
        <w:rPr>
          <w:rFonts w:ascii="Arial" w:hAnsi="Arial" w:cs="Arial"/>
          <w:sz w:val="20"/>
        </w:rPr>
      </w:pPr>
      <w:r>
        <w:rPr>
          <w:rFonts w:ascii="Arial" w:hAnsi="Arial" w:cs="Arial"/>
          <w:sz w:val="20"/>
        </w:rPr>
        <w:tab/>
      </w:r>
      <w:r>
        <w:rPr>
          <w:rFonts w:ascii="Arial" w:hAnsi="Arial" w:cs="Arial"/>
          <w:sz w:val="20"/>
        </w:rPr>
        <w:tab/>
      </w:r>
      <w:r w:rsidR="009B4875" w:rsidRPr="009B4875">
        <w:rPr>
          <w:rFonts w:ascii="Arial" w:hAnsi="Arial" w:cs="Arial"/>
          <w:sz w:val="20"/>
        </w:rPr>
        <w:t>After the expiration of the first 60 days of Respondent’s probation</w:t>
      </w:r>
      <w:r w:rsidR="009576A0">
        <w:rPr>
          <w:rFonts w:ascii="Arial" w:hAnsi="Arial" w:cs="Arial"/>
          <w:sz w:val="20"/>
        </w:rPr>
        <w:t>/reproval</w:t>
      </w:r>
      <w:r w:rsidR="009B4875" w:rsidRPr="009B4875">
        <w:rPr>
          <w:rFonts w:ascii="Arial" w:hAnsi="Arial" w:cs="Arial"/>
          <w:sz w:val="20"/>
        </w:rPr>
        <w:t>, Respondent must be tested monthly, at Respondent’s expense, during the first five (5) days of each remaining calendar month of Respondent’s probation</w:t>
      </w:r>
      <w:r w:rsidR="009576A0">
        <w:rPr>
          <w:rFonts w:ascii="Arial" w:hAnsi="Arial" w:cs="Arial"/>
          <w:sz w:val="20"/>
        </w:rPr>
        <w:t>/reproval conditions period</w:t>
      </w:r>
      <w:r w:rsidR="009B4875" w:rsidRPr="009B4875">
        <w:rPr>
          <w:rFonts w:ascii="Arial" w:hAnsi="Arial" w:cs="Arial"/>
          <w:sz w:val="20"/>
        </w:rPr>
        <w:t xml:space="preserve"> to show that Respondent has abstained from the use of alcohol and drugs.  This testin</w:t>
      </w:r>
      <w:r w:rsidR="00CC6F2C">
        <w:rPr>
          <w:rFonts w:ascii="Arial" w:hAnsi="Arial" w:cs="Arial"/>
          <w:sz w:val="20"/>
        </w:rPr>
        <w:t>g will include an ethyl glucuron</w:t>
      </w:r>
      <w:r w:rsidR="009B4875" w:rsidRPr="009B4875">
        <w:rPr>
          <w:rFonts w:ascii="Arial" w:hAnsi="Arial" w:cs="Arial"/>
          <w:sz w:val="20"/>
        </w:rPr>
        <w:t xml:space="preserve">ide (EtG) test and a ten-panel drug test (or equivalent tests accepted and approved in advance by the Office of Probation) and for drugs and other substances specified by the Office of Probation, including but not necessarily limited to alcohol, amphetamines, methamphetamines, barbiturates, benzodiazepines, cocaine metabolite, opiates, oxycodone, marijuana, methadone, and propoxyphene.  These tests must be performed by the laboratory pursuant to United States Department of Transportation guidelines, and all testing must be observed.  Respondent must comply with all laboratory requirements regarding specimen collection and the integrity of specimens.  </w:t>
      </w:r>
    </w:p>
    <w:p w:rsidR="009B4875" w:rsidRPr="009B4875" w:rsidRDefault="009B4875" w:rsidP="00201DD6">
      <w:pPr>
        <w:tabs>
          <w:tab w:val="left" w:pos="360"/>
        </w:tabs>
        <w:ind w:left="720" w:hanging="720"/>
        <w:rPr>
          <w:rFonts w:ascii="Arial" w:hAnsi="Arial" w:cs="Arial"/>
          <w:sz w:val="20"/>
        </w:rPr>
      </w:pPr>
    </w:p>
    <w:p w:rsidR="009B4875" w:rsidRDefault="00201DD6" w:rsidP="00201DD6">
      <w:pPr>
        <w:tabs>
          <w:tab w:val="left" w:pos="360"/>
        </w:tabs>
        <w:ind w:left="720" w:hanging="720"/>
        <w:rPr>
          <w:rFonts w:ascii="Arial" w:hAnsi="Arial" w:cs="Arial"/>
          <w:sz w:val="20"/>
        </w:rPr>
      </w:pPr>
      <w:r>
        <w:rPr>
          <w:rFonts w:ascii="Arial" w:hAnsi="Arial" w:cs="Arial"/>
          <w:sz w:val="20"/>
        </w:rPr>
        <w:tab/>
      </w:r>
      <w:r>
        <w:rPr>
          <w:rFonts w:ascii="Arial" w:hAnsi="Arial" w:cs="Arial"/>
          <w:sz w:val="20"/>
        </w:rPr>
        <w:tab/>
      </w:r>
      <w:r w:rsidR="009B4875" w:rsidRPr="009B4875">
        <w:rPr>
          <w:rFonts w:ascii="Arial" w:hAnsi="Arial" w:cs="Arial"/>
          <w:sz w:val="20"/>
        </w:rPr>
        <w:t xml:space="preserve">In addition to the monthly testing, the Office of Probation may require Respondent to undergo up to </w:t>
      </w:r>
      <w:r w:rsidR="009576A0" w:rsidRPr="00612741">
        <w:rPr>
          <w:rFonts w:ascii="Arial" w:hAnsi="Arial" w:cs="Arial"/>
          <w:b/>
          <w:sz w:val="20"/>
        </w:rPr>
        <w:fldChar w:fldCharType="begin">
          <w:ffData>
            <w:name w:val="Text2"/>
            <w:enabled/>
            <w:calcOnExit w:val="0"/>
            <w:helpText w:type="text" w:val="Enter number of additional tests per month."/>
            <w:statusText w:type="text" w:val="Enter number of additional tests per month."/>
            <w:textInput/>
          </w:ffData>
        </w:fldChar>
      </w:r>
      <w:bookmarkStart w:id="8" w:name="Text2"/>
      <w:r w:rsidR="009576A0" w:rsidRPr="00612741">
        <w:rPr>
          <w:rFonts w:ascii="Arial" w:hAnsi="Arial" w:cs="Arial"/>
          <w:b/>
          <w:sz w:val="20"/>
        </w:rPr>
        <w:instrText xml:space="preserve"> FORMTEXT </w:instrText>
      </w:r>
      <w:r w:rsidR="009576A0" w:rsidRPr="00612741">
        <w:rPr>
          <w:rFonts w:ascii="Arial" w:hAnsi="Arial" w:cs="Arial"/>
          <w:b/>
          <w:sz w:val="20"/>
        </w:rPr>
      </w:r>
      <w:r w:rsidR="009576A0" w:rsidRPr="00612741">
        <w:rPr>
          <w:rFonts w:ascii="Arial" w:hAnsi="Arial" w:cs="Arial"/>
          <w:b/>
          <w:sz w:val="20"/>
        </w:rPr>
        <w:fldChar w:fldCharType="separate"/>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5C5AC2">
        <w:rPr>
          <w:rFonts w:ascii="Arial" w:hAnsi="Arial" w:cs="Arial"/>
          <w:b/>
          <w:sz w:val="20"/>
        </w:rPr>
        <w:t> </w:t>
      </w:r>
      <w:r w:rsidR="009576A0" w:rsidRPr="00612741">
        <w:rPr>
          <w:rFonts w:ascii="Arial" w:hAnsi="Arial" w:cs="Arial"/>
          <w:b/>
          <w:sz w:val="20"/>
        </w:rPr>
        <w:fldChar w:fldCharType="end"/>
      </w:r>
      <w:bookmarkEnd w:id="8"/>
      <w:r w:rsidR="009B4875" w:rsidRPr="009B4875">
        <w:rPr>
          <w:rFonts w:ascii="Arial" w:hAnsi="Arial" w:cs="Arial"/>
          <w:sz w:val="20"/>
        </w:rPr>
        <w:t xml:space="preserve"> additional tests per month, as described above, during the period of Respondent’s probation</w:t>
      </w:r>
      <w:r w:rsidR="00F238B5">
        <w:rPr>
          <w:rFonts w:ascii="Arial" w:hAnsi="Arial" w:cs="Arial"/>
          <w:sz w:val="20"/>
        </w:rPr>
        <w:t>/reproval conditions period</w:t>
      </w:r>
      <w:r w:rsidR="009B4875" w:rsidRPr="009B4875">
        <w:rPr>
          <w:rFonts w:ascii="Arial" w:hAnsi="Arial" w:cs="Arial"/>
          <w:sz w:val="20"/>
        </w:rPr>
        <w:t>, at times selected by the Office of Probation on a random basis.  During the period of probation</w:t>
      </w:r>
      <w:r w:rsidR="00DF036B">
        <w:rPr>
          <w:rFonts w:ascii="Arial" w:hAnsi="Arial" w:cs="Arial"/>
          <w:sz w:val="20"/>
        </w:rPr>
        <w:t>/reproval conditions</w:t>
      </w:r>
      <w:r w:rsidR="009B4875" w:rsidRPr="009B4875">
        <w:rPr>
          <w:rFonts w:ascii="Arial" w:hAnsi="Arial" w:cs="Arial"/>
          <w:sz w:val="20"/>
        </w:rPr>
        <w:t xml:space="preserve">, Respondent must maintain with the Office of Probation a current telephone number and email address at which Respondent can be reached.  Such tests are to be performed by the laboratory no later than eight (8) hours after the Office of Probation’s email and telephone call to Respondent that the Office of Probation requires such additional testing.  </w:t>
      </w:r>
    </w:p>
    <w:p w:rsidR="009B4875" w:rsidRPr="009B4875" w:rsidRDefault="009B4875" w:rsidP="00201DD6">
      <w:pPr>
        <w:tabs>
          <w:tab w:val="left" w:pos="360"/>
        </w:tabs>
        <w:ind w:left="720" w:hanging="720"/>
        <w:rPr>
          <w:rFonts w:ascii="Arial" w:hAnsi="Arial" w:cs="Arial"/>
          <w:sz w:val="20"/>
        </w:rPr>
      </w:pPr>
    </w:p>
    <w:p w:rsidR="009B4875" w:rsidRPr="009B4875" w:rsidRDefault="00201DD6" w:rsidP="00201DD6">
      <w:pPr>
        <w:tabs>
          <w:tab w:val="left" w:pos="360"/>
        </w:tabs>
        <w:ind w:left="720" w:hanging="720"/>
        <w:rPr>
          <w:rFonts w:ascii="Arial" w:hAnsi="Arial" w:cs="Arial"/>
          <w:sz w:val="20"/>
        </w:rPr>
      </w:pPr>
      <w:r>
        <w:rPr>
          <w:rFonts w:ascii="Arial" w:hAnsi="Arial" w:cs="Arial"/>
          <w:sz w:val="20"/>
        </w:rPr>
        <w:tab/>
      </w:r>
      <w:r>
        <w:rPr>
          <w:rFonts w:ascii="Arial" w:hAnsi="Arial" w:cs="Arial"/>
          <w:sz w:val="20"/>
        </w:rPr>
        <w:tab/>
      </w:r>
      <w:r w:rsidR="009B4875" w:rsidRPr="009B4875">
        <w:rPr>
          <w:rFonts w:ascii="Arial" w:hAnsi="Arial" w:cs="Arial"/>
          <w:sz w:val="20"/>
        </w:rPr>
        <w:t xml:space="preserve">For each test, Respondent must instruct the laboratory to provide a screening report directly to the Office of Probation, at Respondent’s expense, that contains an analysis of the above tests, shows that each tested </w:t>
      </w:r>
      <w:r w:rsidR="009B4875" w:rsidRPr="009B4875">
        <w:rPr>
          <w:rFonts w:ascii="Arial" w:hAnsi="Arial" w:cs="Arial"/>
          <w:sz w:val="20"/>
        </w:rPr>
        <w:lastRenderedPageBreak/>
        <w:t>sample was properly obtained, and demonstrates that the above testing requirements were satisfied.  Failure to provide, or revocation of, such instruction for a particular required test may be deemed a failure to comply with this condition.  Each screening report must be provided directly to the Office of Probation at or before the time that its results are disclosed to Respondent and within ten (10) days after the time that the tested sample is provided to the laboratory.  Each report must record the date and time of the testing, list all of the substances for which Respondent was tested, and show the individual results for each such substance.  An overall synopsis, e.g., “negative,” with no specific breakdown, is not sufficient.  In the event a previously selected and approved laboratory fails to provide the Office of Probation with test results or screening reports meeting the above requirements within two weeks of testing, the Office of Probation may require Respondent to choose a different licensed medical laboratory, approved by the Office of Probation, for future testing.</w:t>
      </w:r>
    </w:p>
    <w:p w:rsidR="00200BFA" w:rsidRDefault="00200BFA" w:rsidP="00200BFA">
      <w:pPr>
        <w:tabs>
          <w:tab w:val="left" w:pos="360"/>
        </w:tabs>
        <w:ind w:left="360"/>
        <w:rPr>
          <w:rFonts w:ascii="Arial" w:hAnsi="Arial" w:cs="Arial"/>
          <w:sz w:val="20"/>
        </w:rPr>
      </w:pPr>
    </w:p>
    <w:p w:rsidR="009B4875" w:rsidRPr="00200BFA" w:rsidRDefault="00200BFA" w:rsidP="00200BFA">
      <w:pPr>
        <w:tabs>
          <w:tab w:val="left" w:pos="360"/>
        </w:tabs>
        <w:ind w:left="720" w:hanging="720"/>
        <w:rPr>
          <w:rFonts w:ascii="Arial" w:hAnsi="Arial" w:cs="Arial"/>
          <w:sz w:val="20"/>
        </w:rPr>
      </w:pPr>
      <w:r w:rsidRPr="00200BFA">
        <w:rPr>
          <w:rFonts w:ascii="Arial" w:hAnsi="Arial" w:cs="Arial"/>
          <w:sz w:val="20"/>
        </w:rPr>
        <w:t>d.</w:t>
      </w:r>
      <w:r>
        <w:rPr>
          <w:rFonts w:ascii="Arial" w:hAnsi="Arial" w:cs="Arial"/>
          <w:sz w:val="20"/>
        </w:rPr>
        <w:tab/>
      </w:r>
      <w:r w:rsidR="009576A0" w:rsidRPr="00200BFA">
        <w:rPr>
          <w:rFonts w:ascii="Arial" w:hAnsi="Arial" w:cs="Arial"/>
          <w:sz w:val="20"/>
        </w:rPr>
        <w:fldChar w:fldCharType="begin">
          <w:ffData>
            <w:name w:val=""/>
            <w:enabled/>
            <w:calcOnExit w:val="0"/>
            <w:helpText w:type="text" w:val="Medical Waivers "/>
            <w:statusText w:type="text" w:val="Medical Waivers "/>
            <w:checkBox>
              <w:sizeAuto/>
              <w:default w:val="0"/>
            </w:checkBox>
          </w:ffData>
        </w:fldChar>
      </w:r>
      <w:r w:rsidR="009576A0" w:rsidRPr="00200BFA">
        <w:rPr>
          <w:rFonts w:ascii="Arial" w:hAnsi="Arial" w:cs="Arial"/>
          <w:sz w:val="20"/>
        </w:rPr>
        <w:instrText xml:space="preserve"> FORMCHECKBOX </w:instrText>
      </w:r>
      <w:r w:rsidR="00962140">
        <w:rPr>
          <w:rFonts w:ascii="Arial" w:hAnsi="Arial" w:cs="Arial"/>
          <w:sz w:val="20"/>
        </w:rPr>
      </w:r>
      <w:r w:rsidR="00962140">
        <w:rPr>
          <w:rFonts w:ascii="Arial" w:hAnsi="Arial" w:cs="Arial"/>
          <w:sz w:val="20"/>
        </w:rPr>
        <w:fldChar w:fldCharType="separate"/>
      </w:r>
      <w:r w:rsidR="009576A0" w:rsidRPr="00200BFA">
        <w:rPr>
          <w:rFonts w:ascii="Arial" w:hAnsi="Arial" w:cs="Arial"/>
          <w:sz w:val="20"/>
        </w:rPr>
        <w:fldChar w:fldCharType="end"/>
      </w:r>
      <w:r w:rsidR="00F93566" w:rsidRPr="00200BFA">
        <w:rPr>
          <w:rFonts w:ascii="Arial" w:hAnsi="Arial" w:cs="Arial"/>
          <w:sz w:val="20"/>
        </w:rPr>
        <w:tab/>
      </w:r>
      <w:r w:rsidR="00593C5B" w:rsidRPr="00200BFA">
        <w:rPr>
          <w:rFonts w:ascii="Arial" w:hAnsi="Arial" w:cs="Arial"/>
          <w:b/>
          <w:sz w:val="20"/>
        </w:rPr>
        <w:t xml:space="preserve">Medical Waivers:  </w:t>
      </w:r>
      <w:r w:rsidR="009B4875" w:rsidRPr="00200BFA">
        <w:rPr>
          <w:rFonts w:ascii="Arial" w:hAnsi="Arial" w:cs="Arial"/>
          <w:sz w:val="20"/>
        </w:rPr>
        <w:t xml:space="preserve">Within 45 days after the effective date of the </w:t>
      </w:r>
      <w:r w:rsidR="009576A0" w:rsidRPr="00200BFA">
        <w:rPr>
          <w:rFonts w:ascii="Arial" w:hAnsi="Arial" w:cs="Arial"/>
          <w:bCs/>
          <w:sz w:val="20"/>
          <w:szCs w:val="20"/>
        </w:rPr>
        <w:fldChar w:fldCharType="begin">
          <w:ffData>
            <w:name w:val=""/>
            <w:enabled/>
            <w:calcOnExit w:val="0"/>
            <w:helpText w:type="text" w:val="Select one:  Supreme Court or State Bar Court."/>
            <w:statusText w:type="text" w:val="Select one: Supreme Court or State Bar Court."/>
            <w:ddList>
              <w:listEntry w:val="SELECT ONE                                    "/>
              <w:listEntry w:val="Supreme Court"/>
              <w:listEntry w:val="State Bar Court"/>
            </w:ddList>
          </w:ffData>
        </w:fldChar>
      </w:r>
      <w:r w:rsidR="009576A0" w:rsidRPr="00200BFA">
        <w:rPr>
          <w:rFonts w:ascii="Arial" w:hAnsi="Arial" w:cs="Arial"/>
          <w:bCs/>
          <w:sz w:val="20"/>
          <w:szCs w:val="20"/>
        </w:rPr>
        <w:instrText xml:space="preserve"> FORMDROPDOWN </w:instrText>
      </w:r>
      <w:r w:rsidR="00962140">
        <w:rPr>
          <w:rFonts w:ascii="Arial" w:hAnsi="Arial" w:cs="Arial"/>
          <w:bCs/>
          <w:sz w:val="20"/>
          <w:szCs w:val="20"/>
        </w:rPr>
      </w:r>
      <w:r w:rsidR="00962140">
        <w:rPr>
          <w:rFonts w:ascii="Arial" w:hAnsi="Arial" w:cs="Arial"/>
          <w:bCs/>
          <w:sz w:val="20"/>
          <w:szCs w:val="20"/>
        </w:rPr>
        <w:fldChar w:fldCharType="separate"/>
      </w:r>
      <w:r w:rsidR="009576A0" w:rsidRPr="00200BFA">
        <w:rPr>
          <w:rFonts w:ascii="Arial" w:hAnsi="Arial" w:cs="Arial"/>
          <w:bCs/>
          <w:sz w:val="20"/>
          <w:szCs w:val="20"/>
        </w:rPr>
        <w:fldChar w:fldCharType="end"/>
      </w:r>
      <w:r w:rsidR="00834BDA" w:rsidRPr="00200BFA">
        <w:rPr>
          <w:rFonts w:ascii="Arial" w:hAnsi="Arial" w:cs="Arial"/>
          <w:bCs/>
          <w:sz w:val="20"/>
          <w:szCs w:val="20"/>
        </w:rPr>
        <w:t xml:space="preserve"> </w:t>
      </w:r>
      <w:r w:rsidR="009B4875" w:rsidRPr="00200BFA">
        <w:rPr>
          <w:rFonts w:ascii="Arial" w:hAnsi="Arial" w:cs="Arial"/>
          <w:sz w:val="20"/>
        </w:rPr>
        <w:t xml:space="preserve">order imposing discipline in this matter, Respondent must provide the Office of Probation with an authorization to disclose and obtain medical information (medical waiver) and access to all of Respondent’s medical </w:t>
      </w:r>
      <w:r w:rsidR="00593C5B" w:rsidRPr="00200BFA">
        <w:rPr>
          <w:rFonts w:ascii="Arial" w:hAnsi="Arial" w:cs="Arial"/>
          <w:sz w:val="20"/>
        </w:rPr>
        <w:t xml:space="preserve">records related to Respondent’s substance abuse problem </w:t>
      </w:r>
      <w:r w:rsidR="009B4875" w:rsidRPr="00200BFA">
        <w:rPr>
          <w:rFonts w:ascii="Arial" w:hAnsi="Arial" w:cs="Arial"/>
          <w:sz w:val="20"/>
        </w:rPr>
        <w:t>for the period</w:t>
      </w:r>
      <w:r w:rsidR="008F1C5E" w:rsidRPr="00200BFA">
        <w:rPr>
          <w:rFonts w:ascii="Arial" w:hAnsi="Arial" w:cs="Arial"/>
          <w:sz w:val="20"/>
        </w:rPr>
        <w:t xml:space="preserve"> </w:t>
      </w:r>
      <w:r w:rsidR="009576A0" w:rsidRPr="00200BFA">
        <w:rPr>
          <w:rFonts w:ascii="Arial" w:hAnsi="Arial" w:cs="Arial"/>
          <w:b/>
          <w:sz w:val="20"/>
        </w:rPr>
        <w:fldChar w:fldCharType="begin">
          <w:ffData>
            <w:name w:val="Text3"/>
            <w:enabled/>
            <w:calcOnExit w:val="0"/>
            <w:helpText w:type="text" w:val="Enter time period."/>
            <w:statusText w:type="text" w:val="Enter time period."/>
            <w:textInput/>
          </w:ffData>
        </w:fldChar>
      </w:r>
      <w:bookmarkStart w:id="9" w:name="Text3"/>
      <w:r w:rsidR="009576A0" w:rsidRPr="00200BFA">
        <w:rPr>
          <w:rFonts w:ascii="Arial" w:hAnsi="Arial" w:cs="Arial"/>
          <w:b/>
          <w:sz w:val="20"/>
        </w:rPr>
        <w:instrText xml:space="preserve"> FORMTEXT </w:instrText>
      </w:r>
      <w:r w:rsidR="009576A0" w:rsidRPr="00200BFA">
        <w:rPr>
          <w:rFonts w:ascii="Arial" w:hAnsi="Arial" w:cs="Arial"/>
          <w:b/>
          <w:sz w:val="20"/>
        </w:rPr>
      </w:r>
      <w:r w:rsidR="009576A0" w:rsidRPr="00200BFA">
        <w:rPr>
          <w:rFonts w:ascii="Arial" w:hAnsi="Arial" w:cs="Arial"/>
          <w:b/>
          <w:sz w:val="20"/>
        </w:rPr>
        <w:fldChar w:fldCharType="separate"/>
      </w:r>
      <w:r w:rsidR="009576A0" w:rsidRPr="00612741">
        <w:rPr>
          <w:b/>
          <w:noProof/>
        </w:rPr>
        <w:t> </w:t>
      </w:r>
      <w:r w:rsidR="009576A0" w:rsidRPr="00612741">
        <w:rPr>
          <w:b/>
          <w:noProof/>
        </w:rPr>
        <w:t> </w:t>
      </w:r>
      <w:r w:rsidR="009576A0" w:rsidRPr="00612741">
        <w:rPr>
          <w:b/>
          <w:noProof/>
        </w:rPr>
        <w:t> </w:t>
      </w:r>
      <w:r w:rsidR="009576A0" w:rsidRPr="00612741">
        <w:rPr>
          <w:b/>
          <w:noProof/>
        </w:rPr>
        <w:t> </w:t>
      </w:r>
      <w:r w:rsidR="009576A0" w:rsidRPr="00612741">
        <w:rPr>
          <w:b/>
          <w:noProof/>
        </w:rPr>
        <w:t> </w:t>
      </w:r>
      <w:r w:rsidR="009576A0" w:rsidRPr="00200BFA">
        <w:rPr>
          <w:rFonts w:ascii="Arial" w:hAnsi="Arial" w:cs="Arial"/>
          <w:b/>
          <w:sz w:val="20"/>
        </w:rPr>
        <w:fldChar w:fldCharType="end"/>
      </w:r>
      <w:bookmarkEnd w:id="9"/>
      <w:r w:rsidR="009B4875" w:rsidRPr="00200BFA">
        <w:rPr>
          <w:rFonts w:ascii="Arial" w:hAnsi="Arial" w:cs="Arial"/>
          <w:sz w:val="20"/>
        </w:rPr>
        <w:t>.  Revocation of any medical waiver is a violation of this condition.  Any medical records obtained by the Office of Probation are confidential and no information concerning them or their contents will be given to anyone except members of the Office of Probation, the Office of Chief Trial Counsel, and the State Bar Court who are directly involved with maintaining, enforcing, or adjudicating this probation</w:t>
      </w:r>
      <w:r w:rsidR="00593C5B" w:rsidRPr="00200BFA">
        <w:rPr>
          <w:rFonts w:ascii="Arial" w:hAnsi="Arial" w:cs="Arial"/>
          <w:sz w:val="20"/>
        </w:rPr>
        <w:t>/reproval</w:t>
      </w:r>
      <w:r w:rsidR="009B4875" w:rsidRPr="00200BFA">
        <w:rPr>
          <w:rFonts w:ascii="Arial" w:hAnsi="Arial" w:cs="Arial"/>
          <w:sz w:val="20"/>
        </w:rPr>
        <w:t xml:space="preserve"> condition.</w:t>
      </w:r>
    </w:p>
    <w:p w:rsidR="00200BFA" w:rsidRDefault="00200BFA" w:rsidP="00200BFA">
      <w:pPr>
        <w:pStyle w:val="ListParagraph"/>
        <w:tabs>
          <w:tab w:val="left" w:pos="360"/>
        </w:tabs>
        <w:rPr>
          <w:rFonts w:ascii="Arial" w:hAnsi="Arial" w:cs="Arial"/>
          <w:sz w:val="20"/>
        </w:rPr>
      </w:pPr>
    </w:p>
    <w:p w:rsidR="00E7252A" w:rsidRPr="007A275E" w:rsidRDefault="007238DA" w:rsidP="007238DA">
      <w:pPr>
        <w:pStyle w:val="ListParagraph"/>
        <w:tabs>
          <w:tab w:val="left" w:pos="360"/>
        </w:tabs>
        <w:ind w:hanging="720"/>
        <w:rPr>
          <w:rFonts w:ascii="Arial" w:hAnsi="Arial" w:cs="Arial"/>
          <w:bCs/>
          <w:sz w:val="20"/>
        </w:rPr>
      </w:pPr>
      <w:r>
        <w:rPr>
          <w:rFonts w:ascii="Arial" w:hAnsi="Arial" w:cs="Arial"/>
          <w:sz w:val="20"/>
        </w:rPr>
        <w:t>e.</w:t>
      </w:r>
      <w:r>
        <w:rPr>
          <w:rFonts w:ascii="Arial" w:hAnsi="Arial" w:cs="Arial"/>
          <w:sz w:val="20"/>
        </w:rPr>
        <w:tab/>
      </w:r>
      <w:r w:rsidR="009576A0">
        <w:rPr>
          <w:rFonts w:ascii="Arial" w:hAnsi="Arial" w:cs="Arial"/>
          <w:sz w:val="20"/>
        </w:rPr>
        <w:fldChar w:fldCharType="begin">
          <w:ffData>
            <w:name w:val="Check4"/>
            <w:enabled/>
            <w:calcOnExit w:val="0"/>
            <w:helpText w:type="text" w:val="Other. "/>
            <w:statusText w:type="text" w:val="Other. "/>
            <w:checkBox>
              <w:sizeAuto/>
              <w:default w:val="0"/>
            </w:checkBox>
          </w:ffData>
        </w:fldChar>
      </w:r>
      <w:bookmarkStart w:id="10" w:name="Check4"/>
      <w:r w:rsidR="009576A0">
        <w:rPr>
          <w:rFonts w:ascii="Arial" w:hAnsi="Arial" w:cs="Arial"/>
          <w:sz w:val="20"/>
        </w:rPr>
        <w:instrText xml:space="preserve"> FORMCHECKBOX </w:instrText>
      </w:r>
      <w:r w:rsidR="00962140">
        <w:rPr>
          <w:rFonts w:ascii="Arial" w:hAnsi="Arial" w:cs="Arial"/>
          <w:sz w:val="20"/>
        </w:rPr>
      </w:r>
      <w:r w:rsidR="00962140">
        <w:rPr>
          <w:rFonts w:ascii="Arial" w:hAnsi="Arial" w:cs="Arial"/>
          <w:sz w:val="20"/>
        </w:rPr>
        <w:fldChar w:fldCharType="separate"/>
      </w:r>
      <w:r w:rsidR="009576A0">
        <w:rPr>
          <w:rFonts w:ascii="Arial" w:hAnsi="Arial" w:cs="Arial"/>
          <w:sz w:val="20"/>
        </w:rPr>
        <w:fldChar w:fldCharType="end"/>
      </w:r>
      <w:bookmarkEnd w:id="10"/>
      <w:r w:rsidR="00E50B99" w:rsidRPr="00E412C5">
        <w:rPr>
          <w:rFonts w:ascii="Arial" w:hAnsi="Arial" w:cs="Arial"/>
          <w:sz w:val="20"/>
        </w:rPr>
        <w:tab/>
      </w:r>
      <w:bookmarkStart w:id="11" w:name="Text8"/>
      <w:r w:rsidR="00E50B99" w:rsidRPr="00593C5B">
        <w:rPr>
          <w:rFonts w:ascii="Arial" w:hAnsi="Arial" w:cs="Arial"/>
          <w:b/>
          <w:sz w:val="20"/>
        </w:rPr>
        <w:t>Other:</w:t>
      </w:r>
      <w:r w:rsidR="00E412C5" w:rsidRPr="007A275E">
        <w:rPr>
          <w:rFonts w:ascii="Arial" w:hAnsi="Arial" w:cs="Arial"/>
          <w:sz w:val="20"/>
        </w:rPr>
        <w:t xml:space="preserve"> </w:t>
      </w:r>
      <w:bookmarkEnd w:id="11"/>
      <w:r w:rsidR="00AD3F2E">
        <w:rPr>
          <w:rFonts w:ascii="Arial" w:hAnsi="Arial" w:cs="Arial"/>
          <w:b/>
          <w:bCs/>
          <w:sz w:val="20"/>
        </w:rPr>
        <w:fldChar w:fldCharType="begin">
          <w:ffData>
            <w:name w:val=""/>
            <w:enabled/>
            <w:calcOnExit w:val="0"/>
            <w:helpText w:type="text" w:val="Enter other conditions."/>
            <w:statusText w:type="text" w:val="Enter other conditions."/>
            <w:textInput/>
          </w:ffData>
        </w:fldChar>
      </w:r>
      <w:r w:rsidR="00AD3F2E">
        <w:rPr>
          <w:rFonts w:ascii="Arial" w:hAnsi="Arial" w:cs="Arial"/>
          <w:b/>
          <w:bCs/>
          <w:sz w:val="20"/>
        </w:rPr>
        <w:instrText xml:space="preserve"> FORMTEXT </w:instrText>
      </w:r>
      <w:r w:rsidR="00AD3F2E">
        <w:rPr>
          <w:rFonts w:ascii="Arial" w:hAnsi="Arial" w:cs="Arial"/>
          <w:b/>
          <w:bCs/>
          <w:sz w:val="20"/>
        </w:rPr>
      </w:r>
      <w:r w:rsidR="00AD3F2E">
        <w:rPr>
          <w:rFonts w:ascii="Arial" w:hAnsi="Arial" w:cs="Arial"/>
          <w:b/>
          <w:bCs/>
          <w:sz w:val="20"/>
        </w:rPr>
        <w:fldChar w:fldCharType="separate"/>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noProof/>
          <w:sz w:val="20"/>
        </w:rPr>
        <w:t> </w:t>
      </w:r>
      <w:r w:rsidR="00AD3F2E">
        <w:rPr>
          <w:rFonts w:ascii="Arial" w:hAnsi="Arial" w:cs="Arial"/>
          <w:b/>
          <w:bCs/>
          <w:sz w:val="20"/>
        </w:rPr>
        <w:fldChar w:fldCharType="end"/>
      </w:r>
    </w:p>
    <w:p w:rsidR="00E7252A" w:rsidRDefault="00E7252A" w:rsidP="00200BFA">
      <w:pPr>
        <w:tabs>
          <w:tab w:val="left" w:pos="360"/>
        </w:tabs>
        <w:ind w:left="720" w:hanging="720"/>
        <w:rPr>
          <w:rFonts w:ascii="Arial" w:hAnsi="Arial" w:cs="Arial"/>
          <w:sz w:val="20"/>
          <w:szCs w:val="20"/>
        </w:rPr>
      </w:pPr>
    </w:p>
    <w:p w:rsidR="00DB124A" w:rsidRPr="00E7252A" w:rsidRDefault="00DB124A">
      <w:pPr>
        <w:rPr>
          <w:rFonts w:ascii="Arial" w:hAnsi="Arial" w:cs="Arial"/>
          <w:sz w:val="20"/>
          <w:szCs w:val="20"/>
        </w:rPr>
      </w:pPr>
    </w:p>
    <w:sectPr w:rsidR="00DB124A" w:rsidRPr="00E7252A" w:rsidSect="00904C67">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40" w:rsidRDefault="00962140">
      <w:r>
        <w:separator/>
      </w:r>
    </w:p>
  </w:endnote>
  <w:endnote w:type="continuationSeparator" w:id="0">
    <w:p w:rsidR="00962140" w:rsidRDefault="009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8136C0">
    <w:pPr>
      <w:pStyle w:val="Footer"/>
      <w:framePr w:wrap="around" w:vAnchor="text" w:hAnchor="margin" w:xAlign="center" w:y="1"/>
      <w:rPr>
        <w:rStyle w:val="PageNumber"/>
      </w:rPr>
    </w:pPr>
    <w:r>
      <w:rPr>
        <w:rStyle w:val="PageNumber"/>
      </w:rPr>
      <w:fldChar w:fldCharType="begin"/>
    </w:r>
    <w:r w:rsidR="00BE7931">
      <w:rPr>
        <w:rStyle w:val="PageNumber"/>
      </w:rPr>
      <w:instrText xml:space="preserve">PAGE  </w:instrText>
    </w:r>
    <w:r>
      <w:rPr>
        <w:rStyle w:val="PageNumber"/>
      </w:rPr>
      <w:fldChar w:fldCharType="end"/>
    </w:r>
  </w:p>
  <w:p w:rsidR="00904C67" w:rsidRDefault="00904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218"/>
      <w:gridCol w:w="3150"/>
    </w:tblGrid>
    <w:tr w:rsidR="00BE7931" w:rsidTr="00E7252A">
      <w:trPr>
        <w:trHeight w:val="336"/>
      </w:trPr>
      <w:tc>
        <w:tcPr>
          <w:tcW w:w="7218" w:type="dxa"/>
        </w:tcPr>
        <w:p w:rsidR="00BE7931" w:rsidRDefault="00313996" w:rsidP="00DF036B">
          <w:pPr>
            <w:pStyle w:val="Footer"/>
            <w:tabs>
              <w:tab w:val="right" w:pos="10440"/>
            </w:tabs>
            <w:rPr>
              <w:rFonts w:ascii="Arial" w:hAnsi="Arial" w:cs="Arial"/>
              <w:sz w:val="16"/>
            </w:rPr>
          </w:pPr>
          <w:r>
            <w:rPr>
              <w:rFonts w:ascii="Arial" w:hAnsi="Arial" w:cs="Arial"/>
              <w:sz w:val="16"/>
            </w:rPr>
            <w:t xml:space="preserve">(Effective </w:t>
          </w:r>
          <w:r w:rsidR="00DF036B">
            <w:rPr>
              <w:rFonts w:ascii="Arial" w:hAnsi="Arial" w:cs="Arial"/>
              <w:sz w:val="16"/>
            </w:rPr>
            <w:t>March</w:t>
          </w:r>
          <w:r>
            <w:rPr>
              <w:rFonts w:ascii="Arial" w:hAnsi="Arial" w:cs="Arial"/>
              <w:sz w:val="16"/>
            </w:rPr>
            <w:t xml:space="preserve"> 1</w:t>
          </w:r>
          <w:r w:rsidR="00DF036B">
            <w:rPr>
              <w:rFonts w:ascii="Arial" w:hAnsi="Arial" w:cs="Arial"/>
              <w:sz w:val="16"/>
            </w:rPr>
            <w:t>5, 2019</w:t>
          </w:r>
          <w:r w:rsidR="00BE7931" w:rsidRPr="00F439A5">
            <w:rPr>
              <w:rFonts w:ascii="Arial" w:hAnsi="Arial" w:cs="Arial"/>
              <w:sz w:val="16"/>
            </w:rPr>
            <w:t>)</w:t>
          </w:r>
        </w:p>
      </w:tc>
      <w:tc>
        <w:tcPr>
          <w:tcW w:w="3150" w:type="dxa"/>
        </w:tcPr>
        <w:p w:rsidR="00BE7931" w:rsidRDefault="00BE7931" w:rsidP="00C2528D">
          <w:pPr>
            <w:pStyle w:val="Footer"/>
            <w:jc w:val="right"/>
            <w:rPr>
              <w:rFonts w:ascii="Arial" w:hAnsi="Arial" w:cs="Arial"/>
              <w:sz w:val="16"/>
            </w:rPr>
          </w:pPr>
        </w:p>
        <w:p w:rsidR="00BE7931" w:rsidRDefault="003851F7" w:rsidP="00C2528D">
          <w:pPr>
            <w:pStyle w:val="Footer"/>
            <w:jc w:val="right"/>
            <w:rPr>
              <w:rFonts w:ascii="Arial" w:hAnsi="Arial" w:cs="Arial"/>
              <w:sz w:val="16"/>
            </w:rPr>
          </w:pPr>
          <w:r w:rsidRPr="003851F7">
            <w:rPr>
              <w:rFonts w:ascii="Arial" w:hAnsi="Arial" w:cs="Arial"/>
              <w:sz w:val="16"/>
            </w:rPr>
            <w:t>Substance Abuse Conditions</w:t>
          </w:r>
        </w:p>
      </w:tc>
    </w:tr>
    <w:tr w:rsidR="00BE7931" w:rsidTr="00C2528D">
      <w:trPr>
        <w:trHeight w:val="336"/>
      </w:trPr>
      <w:tc>
        <w:tcPr>
          <w:tcW w:w="10368" w:type="dxa"/>
          <w:gridSpan w:val="2"/>
        </w:tcPr>
        <w:p w:rsidR="00BE7931" w:rsidRPr="009B24AB" w:rsidRDefault="00BE7931" w:rsidP="00C2528D">
          <w:pPr>
            <w:pStyle w:val="Footer"/>
            <w:jc w:val="center"/>
            <w:rPr>
              <w:rFonts w:ascii="Arial" w:hAnsi="Arial" w:cs="Arial"/>
              <w:b/>
              <w:bCs/>
            </w:rPr>
          </w:pPr>
          <w:r>
            <w:rPr>
              <w:rStyle w:val="PageNumber"/>
              <w:rFonts w:ascii="Arial" w:eastAsia="Calibri" w:hAnsi="Arial" w:cs="Arial"/>
              <w:b/>
              <w:bCs/>
            </w:rPr>
            <w:t>Page ____</w:t>
          </w:r>
        </w:p>
      </w:tc>
    </w:tr>
    <w:tr w:rsidR="00BE7931" w:rsidTr="00C2528D">
      <w:trPr>
        <w:trHeight w:val="336"/>
      </w:trPr>
      <w:tc>
        <w:tcPr>
          <w:tcW w:w="10368" w:type="dxa"/>
          <w:gridSpan w:val="2"/>
        </w:tcPr>
        <w:p w:rsidR="00BE7931" w:rsidRDefault="00BE7931" w:rsidP="00C2528D">
          <w:pPr>
            <w:pStyle w:val="Footer"/>
            <w:jc w:val="center"/>
            <w:rPr>
              <w:rStyle w:val="PageNumber"/>
              <w:rFonts w:ascii="Arial" w:hAnsi="Arial" w:cs="Arial"/>
            </w:rPr>
          </w:pPr>
        </w:p>
      </w:tc>
    </w:tr>
  </w:tbl>
  <w:p w:rsidR="00904C67" w:rsidRDefault="00904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904C67">
      <w:trPr>
        <w:trHeight w:val="263"/>
      </w:trPr>
      <w:tc>
        <w:tcPr>
          <w:tcW w:w="5453" w:type="dxa"/>
        </w:tcPr>
        <w:p w:rsidR="00904C67" w:rsidRDefault="00BE793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904C67" w:rsidRDefault="00BE7931">
          <w:pPr>
            <w:pStyle w:val="Footer"/>
            <w:jc w:val="right"/>
            <w:rPr>
              <w:rFonts w:ascii="AvantGarde Bk BT" w:hAnsi="AvantGarde Bk BT"/>
              <w:sz w:val="16"/>
            </w:rPr>
          </w:pPr>
          <w:r>
            <w:rPr>
              <w:rFonts w:ascii="AvantGarde Bk BT" w:hAnsi="AvantGarde Bk BT"/>
              <w:sz w:val="16"/>
            </w:rPr>
            <w:t>Actual Suspension</w:t>
          </w:r>
        </w:p>
      </w:tc>
    </w:tr>
  </w:tbl>
  <w:p w:rsidR="00904C67" w:rsidRDefault="0090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40" w:rsidRDefault="00962140">
      <w:r>
        <w:separator/>
      </w:r>
    </w:p>
  </w:footnote>
  <w:footnote w:type="continuationSeparator" w:id="0">
    <w:p w:rsidR="00962140" w:rsidRDefault="0096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67" w:rsidRDefault="00904C67">
    <w:pPr>
      <w:pStyle w:val="Header"/>
      <w:tabs>
        <w:tab w:val="clear" w:pos="4320"/>
        <w:tab w:val="clear" w:pos="8640"/>
        <w:tab w:val="left" w:pos="6630"/>
      </w:tabs>
      <w:rPr>
        <w:rFonts w:ascii="Arial" w:hAnsi="Arial" w:cs="Arial"/>
        <w:sz w:val="16"/>
      </w:rPr>
    </w:pPr>
  </w:p>
  <w:p w:rsidR="00904C67" w:rsidRDefault="00904C67">
    <w:pPr>
      <w:pStyle w:val="Header"/>
      <w:tabs>
        <w:tab w:val="clear" w:pos="4320"/>
        <w:tab w:val="clear" w:pos="8640"/>
        <w:tab w:val="left" w:pos="6630"/>
      </w:tabs>
      <w:rPr>
        <w:rFonts w:ascii="Arial" w:hAnsi="Arial" w:cs="Arial"/>
        <w:sz w:val="16"/>
      </w:rPr>
    </w:pPr>
  </w:p>
  <w:p w:rsidR="00904C67" w:rsidRDefault="00A9083B">
    <w:pPr>
      <w:pStyle w:val="Header"/>
      <w:tabs>
        <w:tab w:val="clear" w:pos="4320"/>
        <w:tab w:val="clear" w:pos="8640"/>
        <w:tab w:val="left" w:pos="6630"/>
      </w:tabs>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6294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sidR="00BE7931">
      <w:rPr>
        <w:rFonts w:ascii="Arial" w:hAnsi="Arial" w:cs="Arial"/>
        <w:sz w:val="16"/>
      </w:rPr>
      <w:t>(Do not write above this line.)</w:t>
    </w:r>
    <w:r w:rsidR="00BE7931">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4AF"/>
    <w:multiLevelType w:val="hybridMultilevel"/>
    <w:tmpl w:val="AFA49FE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7520D"/>
    <w:multiLevelType w:val="hybridMultilevel"/>
    <w:tmpl w:val="CD1E80BA"/>
    <w:lvl w:ilvl="0" w:tplc="55482D5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51159"/>
    <w:multiLevelType w:val="hybridMultilevel"/>
    <w:tmpl w:val="28D84232"/>
    <w:lvl w:ilvl="0" w:tplc="353CB5A0">
      <w:start w:val="5"/>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9B17466"/>
    <w:multiLevelType w:val="hybridMultilevel"/>
    <w:tmpl w:val="6CD8FDF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A6EAF"/>
    <w:multiLevelType w:val="hybridMultilevel"/>
    <w:tmpl w:val="A17E107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7831342"/>
    <w:multiLevelType w:val="hybridMultilevel"/>
    <w:tmpl w:val="915E466E"/>
    <w:lvl w:ilvl="0" w:tplc="592ECD6A">
      <w:start w:val="1"/>
      <w:numFmt w:val="lowerLetter"/>
      <w:lvlText w:val="%1."/>
      <w:lvlJc w:val="left"/>
      <w:pPr>
        <w:tabs>
          <w:tab w:val="num" w:pos="1080"/>
        </w:tabs>
        <w:ind w:left="1080" w:hanging="720"/>
      </w:pPr>
      <w:rPr>
        <w:rFonts w:hint="default"/>
        <w:b w:val="0"/>
      </w:rPr>
    </w:lvl>
    <w:lvl w:ilvl="1" w:tplc="F3AC958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480D86"/>
    <w:multiLevelType w:val="hybridMultilevel"/>
    <w:tmpl w:val="2D4C213A"/>
    <w:lvl w:ilvl="0" w:tplc="7DFEE41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603860"/>
    <w:multiLevelType w:val="hybridMultilevel"/>
    <w:tmpl w:val="0062029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H8eqRn7RbFRjQw7qLxeIYEH2sWs=" w:salt="hKHrKUNwneZEEiTcGHte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6"/>
    <w:rsid w:val="00030E81"/>
    <w:rsid w:val="000C165C"/>
    <w:rsid w:val="001004C0"/>
    <w:rsid w:val="00125EE6"/>
    <w:rsid w:val="001A0A5C"/>
    <w:rsid w:val="00200BFA"/>
    <w:rsid w:val="00201DD6"/>
    <w:rsid w:val="002E59DE"/>
    <w:rsid w:val="002F23C2"/>
    <w:rsid w:val="00304F9B"/>
    <w:rsid w:val="00313996"/>
    <w:rsid w:val="00335B6F"/>
    <w:rsid w:val="003851F7"/>
    <w:rsid w:val="003B7BC6"/>
    <w:rsid w:val="003E3E74"/>
    <w:rsid w:val="003E45C2"/>
    <w:rsid w:val="00416C64"/>
    <w:rsid w:val="0047051E"/>
    <w:rsid w:val="004809BE"/>
    <w:rsid w:val="004E062B"/>
    <w:rsid w:val="00571B03"/>
    <w:rsid w:val="00593C5B"/>
    <w:rsid w:val="005C5AC2"/>
    <w:rsid w:val="005D4250"/>
    <w:rsid w:val="00612741"/>
    <w:rsid w:val="00634EB8"/>
    <w:rsid w:val="00654D78"/>
    <w:rsid w:val="00720BF6"/>
    <w:rsid w:val="007238DA"/>
    <w:rsid w:val="00772C1B"/>
    <w:rsid w:val="00793829"/>
    <w:rsid w:val="007A275E"/>
    <w:rsid w:val="007D61F3"/>
    <w:rsid w:val="00811D4B"/>
    <w:rsid w:val="008136C0"/>
    <w:rsid w:val="00834BDA"/>
    <w:rsid w:val="008B3164"/>
    <w:rsid w:val="008D604F"/>
    <w:rsid w:val="008E46A5"/>
    <w:rsid w:val="008F1C5E"/>
    <w:rsid w:val="008F69E1"/>
    <w:rsid w:val="00904C67"/>
    <w:rsid w:val="00942ACC"/>
    <w:rsid w:val="009576A0"/>
    <w:rsid w:val="00962140"/>
    <w:rsid w:val="009B4875"/>
    <w:rsid w:val="00A12B37"/>
    <w:rsid w:val="00A4643F"/>
    <w:rsid w:val="00A9083B"/>
    <w:rsid w:val="00AD0EB0"/>
    <w:rsid w:val="00AD3F2E"/>
    <w:rsid w:val="00AF08D7"/>
    <w:rsid w:val="00B0535C"/>
    <w:rsid w:val="00B116EE"/>
    <w:rsid w:val="00B36E79"/>
    <w:rsid w:val="00BA5B17"/>
    <w:rsid w:val="00BE7931"/>
    <w:rsid w:val="00C2528D"/>
    <w:rsid w:val="00C26BD8"/>
    <w:rsid w:val="00CC6F2C"/>
    <w:rsid w:val="00CF7E8C"/>
    <w:rsid w:val="00D026E5"/>
    <w:rsid w:val="00D6502A"/>
    <w:rsid w:val="00D707E3"/>
    <w:rsid w:val="00DB124A"/>
    <w:rsid w:val="00DF036B"/>
    <w:rsid w:val="00E412C5"/>
    <w:rsid w:val="00E50B99"/>
    <w:rsid w:val="00E7252A"/>
    <w:rsid w:val="00E76408"/>
    <w:rsid w:val="00E84DC8"/>
    <w:rsid w:val="00E90539"/>
    <w:rsid w:val="00EB1832"/>
    <w:rsid w:val="00F238B5"/>
    <w:rsid w:val="00F93566"/>
    <w:rsid w:val="00F95C41"/>
    <w:rsid w:val="00FB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7"/>
    <w:rPr>
      <w:sz w:val="24"/>
      <w:szCs w:val="24"/>
    </w:rPr>
  </w:style>
  <w:style w:type="paragraph" w:styleId="Heading1">
    <w:name w:val="heading 1"/>
    <w:basedOn w:val="Normal"/>
    <w:next w:val="Normal"/>
    <w:qFormat/>
    <w:rsid w:val="00904C67"/>
    <w:pPr>
      <w:keepNext/>
      <w:outlineLvl w:val="0"/>
    </w:pPr>
    <w:rPr>
      <w:rFonts w:ascii="Avant Garde" w:hAnsi="Avant Garde"/>
      <w:b/>
      <w:bCs/>
      <w:sz w:val="22"/>
      <w:szCs w:val="22"/>
    </w:rPr>
  </w:style>
  <w:style w:type="paragraph" w:styleId="Heading2">
    <w:name w:val="heading 2"/>
    <w:basedOn w:val="Normal"/>
    <w:next w:val="Normal"/>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904C67"/>
    <w:pPr>
      <w:tabs>
        <w:tab w:val="center" w:pos="4320"/>
        <w:tab w:val="right" w:pos="8640"/>
      </w:tabs>
    </w:pPr>
  </w:style>
  <w:style w:type="character" w:styleId="PageNumber">
    <w:name w:val="page number"/>
    <w:basedOn w:val="DefaultParagraphFont"/>
    <w:rsid w:val="00904C67"/>
  </w:style>
  <w:style w:type="paragraph" w:styleId="Footer">
    <w:name w:val="footer"/>
    <w:basedOn w:val="Normal"/>
    <w:link w:val="FooterChar"/>
    <w:rsid w:val="00904C67"/>
    <w:pPr>
      <w:tabs>
        <w:tab w:val="center" w:pos="4320"/>
        <w:tab w:val="right" w:pos="8640"/>
      </w:tabs>
    </w:pPr>
  </w:style>
  <w:style w:type="character" w:customStyle="1" w:styleId="FooterChar">
    <w:name w:val="Footer Char"/>
    <w:basedOn w:val="DefaultParagraphFont"/>
    <w:link w:val="Footer"/>
    <w:rsid w:val="00BE7931"/>
    <w:rPr>
      <w:sz w:val="24"/>
      <w:szCs w:val="24"/>
    </w:rPr>
  </w:style>
  <w:style w:type="paragraph" w:styleId="ListParagraph">
    <w:name w:val="List Paragraph"/>
    <w:basedOn w:val="Normal"/>
    <w:uiPriority w:val="34"/>
    <w:qFormat/>
    <w:rsid w:val="00720BF6"/>
    <w:pPr>
      <w:ind w:left="720"/>
      <w:contextualSpacing/>
    </w:pPr>
  </w:style>
  <w:style w:type="paragraph" w:styleId="BalloonText">
    <w:name w:val="Balloon Text"/>
    <w:basedOn w:val="Normal"/>
    <w:link w:val="BalloonTextChar"/>
    <w:uiPriority w:val="99"/>
    <w:semiHidden/>
    <w:unhideWhenUsed/>
    <w:rsid w:val="00E50B99"/>
    <w:rPr>
      <w:rFonts w:ascii="Tahoma" w:hAnsi="Tahoma" w:cs="Tahoma"/>
      <w:sz w:val="16"/>
      <w:szCs w:val="16"/>
    </w:rPr>
  </w:style>
  <w:style w:type="character" w:customStyle="1" w:styleId="BalloonTextChar">
    <w:name w:val="Balloon Text Char"/>
    <w:basedOn w:val="DefaultParagraphFont"/>
    <w:link w:val="BalloonText"/>
    <w:uiPriority w:val="99"/>
    <w:semiHidden/>
    <w:rsid w:val="00E50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67"/>
    <w:rPr>
      <w:sz w:val="24"/>
      <w:szCs w:val="24"/>
    </w:rPr>
  </w:style>
  <w:style w:type="paragraph" w:styleId="Heading1">
    <w:name w:val="heading 1"/>
    <w:basedOn w:val="Normal"/>
    <w:next w:val="Normal"/>
    <w:qFormat/>
    <w:rsid w:val="00904C67"/>
    <w:pPr>
      <w:keepNext/>
      <w:outlineLvl w:val="0"/>
    </w:pPr>
    <w:rPr>
      <w:rFonts w:ascii="Avant Garde" w:hAnsi="Avant Garde"/>
      <w:b/>
      <w:bCs/>
      <w:sz w:val="22"/>
      <w:szCs w:val="22"/>
    </w:rPr>
  </w:style>
  <w:style w:type="paragraph" w:styleId="Heading2">
    <w:name w:val="heading 2"/>
    <w:basedOn w:val="Normal"/>
    <w:next w:val="Normal"/>
    <w:qFormat/>
    <w:rsid w:val="00904C67"/>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904C67"/>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904C67"/>
    <w:pPr>
      <w:tabs>
        <w:tab w:val="clear" w:pos="585"/>
        <w:tab w:val="left" w:pos="360"/>
      </w:tabs>
      <w:ind w:left="315" w:hanging="315"/>
    </w:pPr>
  </w:style>
  <w:style w:type="paragraph" w:customStyle="1" w:styleId="HangingIndentA">
    <w:name w:val="Hanging Indent A"/>
    <w:basedOn w:val="Hangingindent"/>
    <w:next w:val="Hangingindent"/>
    <w:rsid w:val="00904C67"/>
    <w:pPr>
      <w:tabs>
        <w:tab w:val="clear" w:pos="540"/>
        <w:tab w:val="clear" w:pos="945"/>
        <w:tab w:val="left" w:pos="585"/>
      </w:tabs>
      <w:ind w:left="540" w:hanging="540"/>
    </w:pPr>
    <w:rPr>
      <w:color w:val="auto"/>
    </w:rPr>
  </w:style>
  <w:style w:type="paragraph" w:customStyle="1" w:styleId="Hangingindent">
    <w:name w:val="Hanging indent"/>
    <w:rsid w:val="00904C67"/>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904C67"/>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904C67"/>
    <w:pPr>
      <w:tabs>
        <w:tab w:val="clear" w:pos="495"/>
        <w:tab w:val="clear" w:pos="1485"/>
        <w:tab w:val="left" w:pos="1440"/>
      </w:tabs>
      <w:ind w:left="1440" w:hanging="945"/>
    </w:pPr>
  </w:style>
  <w:style w:type="paragraph" w:customStyle="1" w:styleId="hangingindent3wbox">
    <w:name w:val="hanging indent 3/w box"/>
    <w:basedOn w:val="Hangingindent"/>
    <w:rsid w:val="00904C67"/>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904C67"/>
    <w:pPr>
      <w:tabs>
        <w:tab w:val="center" w:pos="4320"/>
        <w:tab w:val="right" w:pos="8640"/>
      </w:tabs>
    </w:pPr>
  </w:style>
  <w:style w:type="character" w:styleId="PageNumber">
    <w:name w:val="page number"/>
    <w:basedOn w:val="DefaultParagraphFont"/>
    <w:rsid w:val="00904C67"/>
  </w:style>
  <w:style w:type="paragraph" w:styleId="Footer">
    <w:name w:val="footer"/>
    <w:basedOn w:val="Normal"/>
    <w:link w:val="FooterChar"/>
    <w:rsid w:val="00904C67"/>
    <w:pPr>
      <w:tabs>
        <w:tab w:val="center" w:pos="4320"/>
        <w:tab w:val="right" w:pos="8640"/>
      </w:tabs>
    </w:pPr>
  </w:style>
  <w:style w:type="character" w:customStyle="1" w:styleId="FooterChar">
    <w:name w:val="Footer Char"/>
    <w:basedOn w:val="DefaultParagraphFont"/>
    <w:link w:val="Footer"/>
    <w:rsid w:val="00BE7931"/>
    <w:rPr>
      <w:sz w:val="24"/>
      <w:szCs w:val="24"/>
    </w:rPr>
  </w:style>
  <w:style w:type="paragraph" w:styleId="ListParagraph">
    <w:name w:val="List Paragraph"/>
    <w:basedOn w:val="Normal"/>
    <w:uiPriority w:val="34"/>
    <w:qFormat/>
    <w:rsid w:val="00720BF6"/>
    <w:pPr>
      <w:ind w:left="720"/>
      <w:contextualSpacing/>
    </w:pPr>
  </w:style>
  <w:style w:type="paragraph" w:styleId="BalloonText">
    <w:name w:val="Balloon Text"/>
    <w:basedOn w:val="Normal"/>
    <w:link w:val="BalloonTextChar"/>
    <w:uiPriority w:val="99"/>
    <w:semiHidden/>
    <w:unhideWhenUsed/>
    <w:rsid w:val="00E50B99"/>
    <w:rPr>
      <w:rFonts w:ascii="Tahoma" w:hAnsi="Tahoma" w:cs="Tahoma"/>
      <w:sz w:val="16"/>
      <w:szCs w:val="16"/>
    </w:rPr>
  </w:style>
  <w:style w:type="character" w:customStyle="1" w:styleId="BalloonTextChar">
    <w:name w:val="Balloon Text Char"/>
    <w:basedOn w:val="DefaultParagraphFont"/>
    <w:link w:val="BalloonText"/>
    <w:uiPriority w:val="99"/>
    <w:semiHidden/>
    <w:rsid w:val="00E50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pm1\Desktop\Substance_Abuse_Conditions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Substance_Abuse_Conditions_ADA.dot</Template>
  <TotalTime>104</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Substance Abuse Conditions stip form effective July 2018</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Conditions stip form effective July 2018</dc:title>
  <dc:creator/>
  <cp:lastModifiedBy>Jose Aguilar</cp:lastModifiedBy>
  <cp:revision>34</cp:revision>
  <cp:lastPrinted>2018-05-30T17:16:00Z</cp:lastPrinted>
  <dcterms:created xsi:type="dcterms:W3CDTF">2018-05-14T17:18:00Z</dcterms:created>
  <dcterms:modified xsi:type="dcterms:W3CDTF">2019-08-22T18:07:00Z</dcterms:modified>
</cp:coreProperties>
</file>