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223" w:rsidRPr="0037231F" w:rsidRDefault="00214427" w:rsidP="00A80E84">
      <w:bookmarkStart w:id="0" w:name="designation"/>
      <w:bookmarkEnd w:id="0"/>
      <w:r w:rsidRPr="0037231F">
        <w:t xml:space="preserve">PUBLIC MATTER </w:t>
      </w:r>
      <w:r w:rsidR="003D393D" w:rsidRPr="0037231F">
        <w:t>—</w:t>
      </w:r>
      <w:r w:rsidRPr="0037231F">
        <w:t xml:space="preserve"> DESIGNATED FOR PUBLICATION</w:t>
      </w:r>
    </w:p>
    <w:p w:rsidR="00832223" w:rsidRPr="0037231F" w:rsidRDefault="00832223" w:rsidP="00A80E84"/>
    <w:p w:rsidR="00832223" w:rsidRPr="0037231F" w:rsidRDefault="00C44F7B" w:rsidP="00A80E84">
      <w:r w:rsidRPr="0037231F">
        <w:tab/>
      </w:r>
      <w:r w:rsidRPr="0037231F">
        <w:tab/>
      </w:r>
      <w:r w:rsidRPr="0037231F">
        <w:tab/>
      </w:r>
      <w:r w:rsidRPr="0037231F">
        <w:tab/>
      </w:r>
      <w:r w:rsidRPr="0037231F">
        <w:tab/>
      </w:r>
      <w:r w:rsidRPr="0037231F">
        <w:tab/>
      </w:r>
      <w:r w:rsidRPr="0037231F">
        <w:tab/>
      </w:r>
      <w:r w:rsidRPr="0037231F">
        <w:tab/>
        <w:t>FILED MARCH 17, 2017</w:t>
      </w:r>
      <w:r w:rsidRPr="0037231F">
        <w:tab/>
      </w:r>
      <w:r w:rsidRPr="0037231F">
        <w:tab/>
      </w:r>
    </w:p>
    <w:p w:rsidR="00832223" w:rsidRPr="0037231F" w:rsidRDefault="00C44F7B" w:rsidP="00A80E84">
      <w:r w:rsidRPr="0037231F">
        <w:tab/>
      </w:r>
      <w:r w:rsidRPr="0037231F">
        <w:tab/>
      </w:r>
      <w:r w:rsidRPr="0037231F">
        <w:tab/>
      </w:r>
      <w:r w:rsidRPr="0037231F">
        <w:tab/>
      </w:r>
      <w:r w:rsidRPr="0037231F">
        <w:tab/>
      </w:r>
    </w:p>
    <w:p w:rsidR="00832223" w:rsidRPr="0037231F" w:rsidRDefault="00832223" w:rsidP="00832223"/>
    <w:p w:rsidR="00832223" w:rsidRPr="0037231F" w:rsidRDefault="00832223" w:rsidP="00024A66">
      <w:pPr>
        <w:pStyle w:val="Heading1"/>
        <w:rPr>
          <w:rFonts w:ascii="Times New Roman" w:hAnsi="Times New Roman" w:cs="Times New Roman"/>
        </w:rPr>
      </w:pPr>
      <w:bookmarkStart w:id="1" w:name="_GoBack"/>
      <w:bookmarkEnd w:id="1"/>
      <w:r w:rsidRPr="0037231F">
        <w:rPr>
          <w:rFonts w:ascii="Times New Roman" w:hAnsi="Times New Roman" w:cs="Times New Roman"/>
        </w:rPr>
        <w:t>STATE BAR COURT OF CALIFORNIA</w:t>
      </w:r>
    </w:p>
    <w:p w:rsidR="00832223" w:rsidRPr="0037231F" w:rsidRDefault="00832223" w:rsidP="00024A66">
      <w:pPr>
        <w:pStyle w:val="Heading1"/>
        <w:rPr>
          <w:rFonts w:ascii="Times New Roman" w:hAnsi="Times New Roman" w:cs="Times New Roman"/>
        </w:rPr>
      </w:pPr>
    </w:p>
    <w:p w:rsidR="00832223" w:rsidRPr="0037231F" w:rsidRDefault="00832223" w:rsidP="00024A66">
      <w:pPr>
        <w:pStyle w:val="Heading1"/>
        <w:rPr>
          <w:rFonts w:ascii="Times New Roman" w:hAnsi="Times New Roman" w:cs="Times New Roman"/>
        </w:rPr>
      </w:pPr>
      <w:r w:rsidRPr="0037231F">
        <w:rPr>
          <w:rFonts w:ascii="Times New Roman" w:hAnsi="Times New Roman" w:cs="Times New Roman"/>
        </w:rPr>
        <w:t>REVIEW DEPARTMENT</w:t>
      </w:r>
    </w:p>
    <w:p w:rsidR="00832223" w:rsidRPr="0037231F" w:rsidRDefault="00832223" w:rsidP="00832223">
      <w:pPr>
        <w:jc w:val="center"/>
        <w:rPr>
          <w:b/>
        </w:rPr>
      </w:pPr>
    </w:p>
    <w:p w:rsidR="00832223" w:rsidRPr="0037231F" w:rsidRDefault="00832223" w:rsidP="00832223">
      <w:pPr>
        <w:rPr>
          <w:b/>
        </w:rPr>
      </w:pPr>
    </w:p>
    <w:tbl>
      <w:tblPr>
        <w:tblStyle w:val="TableGrid"/>
        <w:tblW w:w="0" w:type="auto"/>
        <w:tblLook w:val="04A0" w:firstRow="1" w:lastRow="0" w:firstColumn="1" w:lastColumn="0" w:noHBand="0" w:noVBand="1"/>
      </w:tblPr>
      <w:tblGrid>
        <w:gridCol w:w="4770"/>
        <w:gridCol w:w="497"/>
        <w:gridCol w:w="4201"/>
      </w:tblGrid>
      <w:tr w:rsidR="00832223" w:rsidRPr="0037231F" w:rsidTr="0024025E">
        <w:tc>
          <w:tcPr>
            <w:tcW w:w="4770" w:type="dxa"/>
            <w:tcBorders>
              <w:top w:val="nil"/>
              <w:left w:val="nil"/>
              <w:right w:val="nil"/>
            </w:tcBorders>
            <w:tcMar>
              <w:left w:w="0" w:type="dxa"/>
              <w:right w:w="0" w:type="dxa"/>
            </w:tcMar>
          </w:tcPr>
          <w:p w:rsidR="00832223" w:rsidRPr="0037231F" w:rsidRDefault="00832223" w:rsidP="0024025E">
            <w:r w:rsidRPr="0037231F">
              <w:t>In the Matter of</w:t>
            </w:r>
          </w:p>
          <w:p w:rsidR="00832223" w:rsidRPr="0037231F" w:rsidRDefault="00832223" w:rsidP="0024025E"/>
          <w:p w:rsidR="00832223" w:rsidRPr="0037231F" w:rsidRDefault="00C70027" w:rsidP="0024025E">
            <w:bookmarkStart w:id="2" w:name="Respondent"/>
            <w:bookmarkEnd w:id="2"/>
            <w:r w:rsidRPr="0037231F">
              <w:t>STEVEN HOWARD</w:t>
            </w:r>
            <w:r w:rsidR="00214427" w:rsidRPr="0037231F">
              <w:t xml:space="preserve"> UNGER</w:t>
            </w:r>
            <w:r w:rsidR="00832223" w:rsidRPr="0037231F">
              <w:t>,</w:t>
            </w:r>
          </w:p>
          <w:p w:rsidR="00832223" w:rsidRPr="0037231F" w:rsidRDefault="00832223" w:rsidP="0024025E"/>
          <w:p w:rsidR="00832223" w:rsidRPr="0037231F" w:rsidRDefault="00214427" w:rsidP="00214427">
            <w:bookmarkStart w:id="3" w:name="type"/>
            <w:bookmarkStart w:id="4" w:name="memno"/>
            <w:bookmarkStart w:id="5" w:name="MemberNo"/>
            <w:bookmarkEnd w:id="3"/>
            <w:bookmarkEnd w:id="4"/>
            <w:bookmarkEnd w:id="5"/>
            <w:r w:rsidRPr="0037231F">
              <w:t>Petitioner for Reinstatement.</w:t>
            </w:r>
          </w:p>
        </w:tc>
        <w:tc>
          <w:tcPr>
            <w:tcW w:w="497" w:type="dxa"/>
            <w:tcBorders>
              <w:top w:val="nil"/>
              <w:left w:val="nil"/>
              <w:bottom w:val="nil"/>
              <w:right w:val="nil"/>
            </w:tcBorders>
            <w:tcMar>
              <w:left w:w="0" w:type="dxa"/>
              <w:right w:w="0" w:type="dxa"/>
            </w:tcMar>
          </w:tcPr>
          <w:p w:rsidR="00832223" w:rsidRPr="0037231F" w:rsidRDefault="00832223" w:rsidP="0024025E">
            <w:pPr>
              <w:rPr>
                <w:b/>
              </w:rPr>
            </w:pPr>
            <w:r w:rsidRPr="0037231F">
              <w:rPr>
                <w:b/>
              </w:rPr>
              <w:t>)</w:t>
            </w:r>
          </w:p>
          <w:p w:rsidR="00832223" w:rsidRPr="0037231F" w:rsidRDefault="00832223" w:rsidP="0024025E">
            <w:pPr>
              <w:rPr>
                <w:b/>
              </w:rPr>
            </w:pPr>
            <w:r w:rsidRPr="0037231F">
              <w:rPr>
                <w:b/>
              </w:rPr>
              <w:t>)</w:t>
            </w:r>
            <w:r w:rsidRPr="0037231F">
              <w:rPr>
                <w:b/>
              </w:rPr>
              <w:br/>
              <w:t>)</w:t>
            </w:r>
            <w:r w:rsidRPr="0037231F">
              <w:rPr>
                <w:b/>
              </w:rPr>
              <w:br/>
              <w:t>)</w:t>
            </w:r>
            <w:r w:rsidRPr="0037231F">
              <w:rPr>
                <w:b/>
              </w:rPr>
              <w:br/>
              <w:t>)</w:t>
            </w:r>
            <w:r w:rsidRPr="0037231F">
              <w:rPr>
                <w:b/>
              </w:rPr>
              <w:br/>
              <w:t>)</w:t>
            </w:r>
          </w:p>
        </w:tc>
        <w:tc>
          <w:tcPr>
            <w:tcW w:w="4201" w:type="dxa"/>
            <w:tcBorders>
              <w:top w:val="nil"/>
              <w:left w:val="nil"/>
              <w:bottom w:val="nil"/>
              <w:right w:val="nil"/>
            </w:tcBorders>
          </w:tcPr>
          <w:p w:rsidR="00832223" w:rsidRPr="0037231F" w:rsidRDefault="00832223" w:rsidP="0024025E">
            <w:r w:rsidRPr="0037231F">
              <w:t xml:space="preserve">Case No. </w:t>
            </w:r>
            <w:bookmarkStart w:id="6" w:name="caseno"/>
            <w:bookmarkEnd w:id="6"/>
            <w:r w:rsidR="00214427" w:rsidRPr="0037231F">
              <w:t>16-R-13205</w:t>
            </w:r>
          </w:p>
          <w:p w:rsidR="00832223" w:rsidRPr="0037231F" w:rsidRDefault="00832223" w:rsidP="0024025E"/>
          <w:p w:rsidR="00832223" w:rsidRPr="0037231F" w:rsidRDefault="00214427" w:rsidP="0024025E">
            <w:bookmarkStart w:id="7" w:name="title"/>
            <w:bookmarkEnd w:id="7"/>
            <w:r w:rsidRPr="0037231F">
              <w:t>OPINION</w:t>
            </w:r>
            <w:r w:rsidR="003C3BD3" w:rsidRPr="0037231F">
              <w:t xml:space="preserve"> AND ORDER</w:t>
            </w:r>
          </w:p>
        </w:tc>
      </w:tr>
    </w:tbl>
    <w:p w:rsidR="00A06498" w:rsidRPr="0037231F" w:rsidRDefault="00A06498" w:rsidP="00A06498">
      <w:bookmarkStart w:id="8" w:name="multinames"/>
      <w:bookmarkEnd w:id="8"/>
    </w:p>
    <w:p w:rsidR="00A06498" w:rsidRPr="0037231F" w:rsidRDefault="00A06498" w:rsidP="003E72A0">
      <w:pPr>
        <w:spacing w:line="480" w:lineRule="auto"/>
      </w:pPr>
      <w:r w:rsidRPr="0037231F">
        <w:t>THE COURT</w:t>
      </w:r>
      <w:r w:rsidR="002110A2" w:rsidRPr="0037231F">
        <w:t>.</w:t>
      </w:r>
      <w:r w:rsidRPr="0037231F">
        <w:rPr>
          <w:rStyle w:val="FootnoteReference"/>
        </w:rPr>
        <w:footnoteReference w:customMarkFollows="1" w:id="1"/>
        <w:t>*</w:t>
      </w:r>
    </w:p>
    <w:p w:rsidR="00337816" w:rsidRPr="0037231F" w:rsidRDefault="00A06498" w:rsidP="00D13943">
      <w:pPr>
        <w:spacing w:line="480" w:lineRule="auto"/>
      </w:pPr>
      <w:r w:rsidRPr="0037231F">
        <w:tab/>
      </w:r>
      <w:bookmarkStart w:id="9" w:name="start"/>
      <w:bookmarkEnd w:id="9"/>
      <w:r w:rsidR="00C70027" w:rsidRPr="0037231F">
        <w:t>In 2002, Steven Howard</w:t>
      </w:r>
      <w:r w:rsidR="00843D32" w:rsidRPr="0037231F">
        <w:t xml:space="preserve"> Un</w:t>
      </w:r>
      <w:r w:rsidR="00460B3C" w:rsidRPr="0037231F">
        <w:t xml:space="preserve">ger resigned from the State Bar of California </w:t>
      </w:r>
      <w:r w:rsidR="00843D32" w:rsidRPr="0037231F">
        <w:t>with</w:t>
      </w:r>
      <w:r w:rsidR="00763EEA" w:rsidRPr="0037231F">
        <w:t xml:space="preserve"> </w:t>
      </w:r>
      <w:r w:rsidR="00C80EBF" w:rsidRPr="0037231F">
        <w:t xml:space="preserve">disciplinary </w:t>
      </w:r>
      <w:r w:rsidR="00763EEA" w:rsidRPr="0037231F">
        <w:t>charges pending.  In 2016, he filed</w:t>
      </w:r>
      <w:r w:rsidR="00D75B04" w:rsidRPr="0037231F">
        <w:t xml:space="preserve"> </w:t>
      </w:r>
      <w:r w:rsidR="00843D32" w:rsidRPr="0037231F">
        <w:t xml:space="preserve">a petition for reinstatement </w:t>
      </w:r>
      <w:r w:rsidR="00C80EBF" w:rsidRPr="0037231F">
        <w:t>to the practice of law</w:t>
      </w:r>
      <w:r w:rsidR="00D13943" w:rsidRPr="0037231F">
        <w:t xml:space="preserve"> </w:t>
      </w:r>
      <w:r w:rsidR="00486978" w:rsidRPr="0037231F">
        <w:t xml:space="preserve">(petition) </w:t>
      </w:r>
      <w:r w:rsidR="00D13943" w:rsidRPr="0037231F">
        <w:t xml:space="preserve">and attached evidence that he had </w:t>
      </w:r>
      <w:r w:rsidR="00AB61F4" w:rsidRPr="0037231F">
        <w:t xml:space="preserve">taken and </w:t>
      </w:r>
      <w:r w:rsidR="00D13943" w:rsidRPr="0037231F">
        <w:t xml:space="preserve">passed </w:t>
      </w:r>
      <w:r w:rsidR="00D13943" w:rsidRPr="0037231F">
        <w:rPr>
          <w:color w:val="212121"/>
          <w:szCs w:val="24"/>
          <w:shd w:val="clear" w:color="auto" w:fill="FFFFFF"/>
        </w:rPr>
        <w:t>the Attorneys’ Examination</w:t>
      </w:r>
      <w:r w:rsidR="00C70027" w:rsidRPr="0037231F">
        <w:rPr>
          <w:color w:val="212121"/>
          <w:szCs w:val="24"/>
          <w:shd w:val="clear" w:color="auto" w:fill="FFFFFF"/>
        </w:rPr>
        <w:t xml:space="preserve"> administered</w:t>
      </w:r>
      <w:r w:rsidR="00D13943" w:rsidRPr="0037231F">
        <w:rPr>
          <w:color w:val="212121"/>
          <w:szCs w:val="24"/>
          <w:shd w:val="clear" w:color="auto" w:fill="FFFFFF"/>
        </w:rPr>
        <w:t xml:space="preserve"> by the Committee of Bar Examiners</w:t>
      </w:r>
      <w:r w:rsidR="00C62594" w:rsidRPr="0037231F">
        <w:rPr>
          <w:color w:val="212121"/>
          <w:szCs w:val="24"/>
          <w:shd w:val="clear" w:color="auto" w:fill="FFFFFF"/>
        </w:rPr>
        <w:t xml:space="preserve"> (Attorney</w:t>
      </w:r>
      <w:r w:rsidR="00D13943" w:rsidRPr="0037231F">
        <w:rPr>
          <w:color w:val="212121"/>
          <w:szCs w:val="24"/>
          <w:shd w:val="clear" w:color="auto" w:fill="FFFFFF"/>
        </w:rPr>
        <w:t xml:space="preserve"> Exam)</w:t>
      </w:r>
      <w:r w:rsidR="00641721" w:rsidRPr="0037231F">
        <w:t xml:space="preserve">.  On </w:t>
      </w:r>
      <w:r w:rsidR="00C70027" w:rsidRPr="0037231F">
        <w:t>July</w:t>
      </w:r>
      <w:r w:rsidR="002110A2" w:rsidRPr="0037231F">
        <w:t> </w:t>
      </w:r>
      <w:r w:rsidR="00C70027" w:rsidRPr="0037231F">
        <w:t xml:space="preserve">27, </w:t>
      </w:r>
      <w:r w:rsidR="00641721" w:rsidRPr="0037231F">
        <w:t>2016,</w:t>
      </w:r>
      <w:r w:rsidR="00C35D46" w:rsidRPr="0037231F">
        <w:t xml:space="preserve"> a hearing judge dismissed </w:t>
      </w:r>
      <w:r w:rsidR="00641721" w:rsidRPr="0037231F">
        <w:t xml:space="preserve">the petition as untimely </w:t>
      </w:r>
      <w:r w:rsidR="00CB58CC" w:rsidRPr="0037231F">
        <w:t>under</w:t>
      </w:r>
      <w:r w:rsidR="00641721" w:rsidRPr="0037231F">
        <w:t xml:space="preserve"> rule</w:t>
      </w:r>
      <w:r w:rsidR="00AF1713" w:rsidRPr="0037231F">
        <w:t> </w:t>
      </w:r>
      <w:r w:rsidR="00641721" w:rsidRPr="0037231F">
        <w:t>9.10(f) of the California Rules of Court (</w:t>
      </w:r>
      <w:r w:rsidR="00AF41B3" w:rsidRPr="0037231F">
        <w:t>R</w:t>
      </w:r>
      <w:r w:rsidR="00641721" w:rsidRPr="0037231F">
        <w:t>ule</w:t>
      </w:r>
      <w:r w:rsidR="00AF1713" w:rsidRPr="0037231F">
        <w:t> </w:t>
      </w:r>
      <w:r w:rsidR="00641721" w:rsidRPr="0037231F">
        <w:t xml:space="preserve">9.10(f)).  </w:t>
      </w:r>
      <w:r w:rsidR="0028591F" w:rsidRPr="0037231F">
        <w:t>U</w:t>
      </w:r>
      <w:r w:rsidR="00C944E1" w:rsidRPr="0037231F">
        <w:t>nger</w:t>
      </w:r>
      <w:r w:rsidR="000F32A8" w:rsidRPr="0037231F">
        <w:t xml:space="preserve"> </w:t>
      </w:r>
      <w:r w:rsidR="00460B3C" w:rsidRPr="0037231F">
        <w:t>appeals, arguing</w:t>
      </w:r>
      <w:r w:rsidR="00C70027" w:rsidRPr="0037231F">
        <w:t xml:space="preserve"> that</w:t>
      </w:r>
      <w:r w:rsidR="00460B3C" w:rsidRPr="0037231F">
        <w:t xml:space="preserve"> the</w:t>
      </w:r>
      <w:r w:rsidR="003C3BD3" w:rsidRPr="0037231F">
        <w:t xml:space="preserve"> hearing judge </w:t>
      </w:r>
      <w:r w:rsidR="000078FC" w:rsidRPr="0037231F">
        <w:t>erroneous</w:t>
      </w:r>
      <w:r w:rsidR="00C70027" w:rsidRPr="0037231F">
        <w:t xml:space="preserve">ly interpreted </w:t>
      </w:r>
      <w:r w:rsidR="00164106" w:rsidRPr="0037231F">
        <w:t>that rule</w:t>
      </w:r>
      <w:r w:rsidR="00C70027" w:rsidRPr="0037231F">
        <w:t xml:space="preserve">, and </w:t>
      </w:r>
      <w:r w:rsidR="00D13943" w:rsidRPr="0037231F">
        <w:t xml:space="preserve">requests that </w:t>
      </w:r>
      <w:r w:rsidR="000F32A8" w:rsidRPr="0037231F">
        <w:t>his</w:t>
      </w:r>
      <w:r w:rsidR="00CE601B" w:rsidRPr="0037231F">
        <w:t xml:space="preserve"> p</w:t>
      </w:r>
      <w:r w:rsidR="000F32A8" w:rsidRPr="0037231F">
        <w:t xml:space="preserve">etition </w:t>
      </w:r>
      <w:r w:rsidR="00763EEA" w:rsidRPr="0037231F">
        <w:t xml:space="preserve">proceed </w:t>
      </w:r>
      <w:r w:rsidR="000F32A8" w:rsidRPr="0037231F">
        <w:t xml:space="preserve">on the merits.  </w:t>
      </w:r>
      <w:r w:rsidR="003C3BD3" w:rsidRPr="0037231F">
        <w:t>T</w:t>
      </w:r>
      <w:r w:rsidR="00641721" w:rsidRPr="0037231F">
        <w:t xml:space="preserve">he Office of the Chief Trial Counsel of the State Bar (OCTC) </w:t>
      </w:r>
      <w:r w:rsidR="009E6B42" w:rsidRPr="0037231F">
        <w:t>maintains that the hearing judge</w:t>
      </w:r>
      <w:r w:rsidR="00184DDE" w:rsidRPr="0037231F">
        <w:t xml:space="preserve"> ruled</w:t>
      </w:r>
      <w:r w:rsidR="009E6B42" w:rsidRPr="0037231F">
        <w:t xml:space="preserve"> correctl</w:t>
      </w:r>
      <w:r w:rsidR="00763EEA" w:rsidRPr="0037231F">
        <w:t>y</w:t>
      </w:r>
      <w:r w:rsidR="00D13943" w:rsidRPr="0037231F">
        <w:t xml:space="preserve">.  </w:t>
      </w:r>
      <w:r w:rsidR="00337816" w:rsidRPr="0037231F">
        <w:t xml:space="preserve">Having reviewed the pleadings submitted in this matter, we </w:t>
      </w:r>
      <w:r w:rsidR="00701C14" w:rsidRPr="0037231F">
        <w:t xml:space="preserve">reverse the dismissal </w:t>
      </w:r>
      <w:r w:rsidR="00337816" w:rsidRPr="0037231F">
        <w:t>and remand for further proceedings under rule</w:t>
      </w:r>
      <w:r w:rsidR="00AF1713" w:rsidRPr="0037231F">
        <w:t> </w:t>
      </w:r>
      <w:r w:rsidR="00337816" w:rsidRPr="0037231F">
        <w:t xml:space="preserve">5.440 et seq. of the Rules of Procedure of the State Bar. </w:t>
      </w:r>
    </w:p>
    <w:p w:rsidR="00F114D5" w:rsidRPr="0037231F" w:rsidRDefault="00F114D5" w:rsidP="00024A66">
      <w:pPr>
        <w:pStyle w:val="Heading2"/>
        <w:rPr>
          <w:rFonts w:ascii="Times New Roman" w:hAnsi="Times New Roman" w:cs="Times New Roman"/>
        </w:rPr>
      </w:pPr>
      <w:r w:rsidRPr="0037231F">
        <w:rPr>
          <w:rFonts w:ascii="Times New Roman" w:hAnsi="Times New Roman" w:cs="Times New Roman"/>
        </w:rPr>
        <w:t xml:space="preserve">I.  </w:t>
      </w:r>
      <w:r w:rsidR="003C3BD3" w:rsidRPr="0037231F">
        <w:rPr>
          <w:rFonts w:ascii="Times New Roman" w:hAnsi="Times New Roman" w:cs="Times New Roman"/>
        </w:rPr>
        <w:t>PROCEDURAL HISTORY ON REVIEW</w:t>
      </w:r>
    </w:p>
    <w:p w:rsidR="00A41A62" w:rsidRPr="0037231F" w:rsidRDefault="00DC1C51">
      <w:pPr>
        <w:spacing w:line="480" w:lineRule="auto"/>
      </w:pPr>
      <w:r w:rsidRPr="0037231F">
        <w:rPr>
          <w:rFonts w:eastAsia="Times New Roman"/>
          <w:szCs w:val="20"/>
        </w:rPr>
        <w:tab/>
      </w:r>
      <w:r w:rsidR="00191827" w:rsidRPr="0037231F">
        <w:rPr>
          <w:rFonts w:eastAsia="Times New Roman"/>
          <w:szCs w:val="20"/>
        </w:rPr>
        <w:t xml:space="preserve">On </w:t>
      </w:r>
      <w:r w:rsidR="008A4B71" w:rsidRPr="0037231F">
        <w:rPr>
          <w:rFonts w:eastAsia="Times New Roman"/>
          <w:szCs w:val="20"/>
        </w:rPr>
        <w:t>September</w:t>
      </w:r>
      <w:r w:rsidR="00AF1713" w:rsidRPr="0037231F">
        <w:rPr>
          <w:rFonts w:eastAsia="Times New Roman"/>
          <w:szCs w:val="20"/>
        </w:rPr>
        <w:t> </w:t>
      </w:r>
      <w:r w:rsidR="008A4B71" w:rsidRPr="0037231F">
        <w:rPr>
          <w:rFonts w:eastAsia="Times New Roman"/>
          <w:szCs w:val="20"/>
        </w:rPr>
        <w:t>1,</w:t>
      </w:r>
      <w:r w:rsidR="00191827" w:rsidRPr="0037231F">
        <w:rPr>
          <w:rFonts w:eastAsia="Times New Roman"/>
          <w:szCs w:val="20"/>
        </w:rPr>
        <w:t xml:space="preserve"> 201</w:t>
      </w:r>
      <w:r w:rsidR="008A4B71" w:rsidRPr="0037231F">
        <w:rPr>
          <w:rFonts w:eastAsia="Times New Roman"/>
          <w:szCs w:val="20"/>
        </w:rPr>
        <w:t>6</w:t>
      </w:r>
      <w:r w:rsidR="00F114D5" w:rsidRPr="0037231F">
        <w:rPr>
          <w:rFonts w:eastAsia="Times New Roman"/>
          <w:szCs w:val="20"/>
        </w:rPr>
        <w:t xml:space="preserve">, we granted </w:t>
      </w:r>
      <w:r w:rsidR="00CC090F" w:rsidRPr="0037231F">
        <w:rPr>
          <w:rFonts w:eastAsia="Times New Roman"/>
          <w:szCs w:val="20"/>
        </w:rPr>
        <w:t>Unger’s</w:t>
      </w:r>
      <w:r w:rsidR="00F114D5" w:rsidRPr="0037231F">
        <w:rPr>
          <w:rFonts w:eastAsia="Times New Roman"/>
          <w:szCs w:val="20"/>
        </w:rPr>
        <w:t xml:space="preserve"> unopposed request </w:t>
      </w:r>
      <w:r w:rsidR="008A4B71" w:rsidRPr="0037231F">
        <w:rPr>
          <w:rFonts w:eastAsia="Times New Roman"/>
          <w:szCs w:val="20"/>
        </w:rPr>
        <w:t>to designate this</w:t>
      </w:r>
      <w:r w:rsidR="001F218D" w:rsidRPr="0037231F">
        <w:rPr>
          <w:rFonts w:eastAsia="Times New Roman"/>
          <w:szCs w:val="20"/>
        </w:rPr>
        <w:t xml:space="preserve"> matter</w:t>
      </w:r>
      <w:r w:rsidR="008A4B71" w:rsidRPr="0037231F">
        <w:rPr>
          <w:rFonts w:eastAsia="Times New Roman"/>
          <w:szCs w:val="20"/>
        </w:rPr>
        <w:t xml:space="preserve"> </w:t>
      </w:r>
      <w:r w:rsidR="00F114D5" w:rsidRPr="0037231F">
        <w:rPr>
          <w:rFonts w:eastAsia="Times New Roman"/>
          <w:szCs w:val="20"/>
        </w:rPr>
        <w:t>for summary review under rule</w:t>
      </w:r>
      <w:r w:rsidR="00AF1713" w:rsidRPr="0037231F">
        <w:rPr>
          <w:rFonts w:eastAsia="Times New Roman"/>
          <w:szCs w:val="20"/>
        </w:rPr>
        <w:t> </w:t>
      </w:r>
      <w:r w:rsidR="00F114D5" w:rsidRPr="0037231F">
        <w:rPr>
          <w:rFonts w:eastAsia="Times New Roman"/>
          <w:szCs w:val="20"/>
        </w:rPr>
        <w:t xml:space="preserve">5.157 of the Rules of Procedure of the State Bar.  </w:t>
      </w:r>
      <w:r w:rsidR="008A4B71" w:rsidRPr="0037231F">
        <w:rPr>
          <w:rFonts w:eastAsia="Times New Roman"/>
          <w:szCs w:val="20"/>
        </w:rPr>
        <w:t xml:space="preserve">Unger and OCTC </w:t>
      </w:r>
      <w:r w:rsidR="00460B3C" w:rsidRPr="0037231F">
        <w:rPr>
          <w:rFonts w:eastAsia="Times New Roman"/>
          <w:szCs w:val="20"/>
        </w:rPr>
        <w:t xml:space="preserve">then submitted briefing.  </w:t>
      </w:r>
      <w:r w:rsidR="00CC090F" w:rsidRPr="0037231F">
        <w:rPr>
          <w:rFonts w:eastAsia="Times New Roman"/>
          <w:szCs w:val="20"/>
        </w:rPr>
        <w:t>On November</w:t>
      </w:r>
      <w:r w:rsidR="00AF1713" w:rsidRPr="0037231F">
        <w:rPr>
          <w:rFonts w:eastAsia="Times New Roman"/>
          <w:szCs w:val="20"/>
        </w:rPr>
        <w:t> </w:t>
      </w:r>
      <w:r w:rsidR="00CC090F" w:rsidRPr="0037231F">
        <w:rPr>
          <w:rFonts w:eastAsia="Times New Roman"/>
          <w:szCs w:val="20"/>
        </w:rPr>
        <w:t xml:space="preserve">4, 2016, </w:t>
      </w:r>
      <w:r w:rsidR="00C35D46" w:rsidRPr="0037231F">
        <w:rPr>
          <w:rFonts w:eastAsia="Times New Roman"/>
          <w:szCs w:val="20"/>
        </w:rPr>
        <w:t xml:space="preserve">we granted Unger’s unopposed </w:t>
      </w:r>
      <w:r w:rsidR="00CC090F" w:rsidRPr="0037231F">
        <w:rPr>
          <w:rFonts w:eastAsia="Times New Roman"/>
          <w:szCs w:val="20"/>
        </w:rPr>
        <w:t xml:space="preserve">request </w:t>
      </w:r>
      <w:r w:rsidR="00CC090F" w:rsidRPr="0037231F">
        <w:rPr>
          <w:rFonts w:eastAsia="Times New Roman"/>
          <w:szCs w:val="20"/>
        </w:rPr>
        <w:lastRenderedPageBreak/>
        <w:t xml:space="preserve">for judicial notice </w:t>
      </w:r>
      <w:r w:rsidR="004E0DBF" w:rsidRPr="0037231F">
        <w:t>an</w:t>
      </w:r>
      <w:r w:rsidR="00460B3C" w:rsidRPr="0037231F">
        <w:t xml:space="preserve">d ordered the record augmented </w:t>
      </w:r>
      <w:r w:rsidR="004E0DBF" w:rsidRPr="0037231F">
        <w:t>to include a copy of a</w:t>
      </w:r>
      <w:r w:rsidR="00290F08" w:rsidRPr="0037231F">
        <w:t xml:space="preserve"> non-published</w:t>
      </w:r>
      <w:r w:rsidR="004E0DBF" w:rsidRPr="0037231F">
        <w:t xml:space="preserve"> Hearing Department order filed on</w:t>
      </w:r>
      <w:r w:rsidR="00460B3C" w:rsidRPr="0037231F">
        <w:t xml:space="preserve"> August</w:t>
      </w:r>
      <w:r w:rsidR="00AF1713" w:rsidRPr="0037231F">
        <w:t> </w:t>
      </w:r>
      <w:r w:rsidR="00460B3C" w:rsidRPr="0037231F">
        <w:t>3, 2016</w:t>
      </w:r>
      <w:r w:rsidR="00C80EBF" w:rsidRPr="0037231F">
        <w:t>,</w:t>
      </w:r>
      <w:r w:rsidR="00460B3C" w:rsidRPr="0037231F">
        <w:t xml:space="preserve"> in </w:t>
      </w:r>
      <w:r w:rsidR="00290F08" w:rsidRPr="0037231F">
        <w:rPr>
          <w:i/>
        </w:rPr>
        <w:t xml:space="preserve">In the Matter of Ellerman </w:t>
      </w:r>
      <w:r w:rsidR="00290F08" w:rsidRPr="0037231F">
        <w:t>(State</w:t>
      </w:r>
      <w:r w:rsidR="00C70027" w:rsidRPr="0037231F">
        <w:t xml:space="preserve"> Bar</w:t>
      </w:r>
      <w:r w:rsidR="00290F08" w:rsidRPr="0037231F">
        <w:t xml:space="preserve"> Court Case No.</w:t>
      </w:r>
      <w:r w:rsidR="00AF1713" w:rsidRPr="0037231F">
        <w:t> </w:t>
      </w:r>
      <w:r w:rsidR="004E0DBF" w:rsidRPr="0037231F">
        <w:t>16-R-13066</w:t>
      </w:r>
      <w:r w:rsidR="00290F08" w:rsidRPr="0037231F">
        <w:t>)</w:t>
      </w:r>
      <w:r w:rsidR="00E01D19" w:rsidRPr="0037231F">
        <w:t xml:space="preserve"> </w:t>
      </w:r>
      <w:r w:rsidR="00290F08" w:rsidRPr="0037231F">
        <w:t>(</w:t>
      </w:r>
      <w:r w:rsidR="00290F08" w:rsidRPr="0037231F">
        <w:rPr>
          <w:i/>
        </w:rPr>
        <w:t>Ellerman</w:t>
      </w:r>
      <w:r w:rsidR="00290F08" w:rsidRPr="0037231F">
        <w:t>)</w:t>
      </w:r>
      <w:r w:rsidR="004E0DBF" w:rsidRPr="0037231F">
        <w:t>.  (Rules Proc. of State Bar, rules</w:t>
      </w:r>
      <w:r w:rsidR="00AF1713" w:rsidRPr="0037231F">
        <w:t> </w:t>
      </w:r>
      <w:r w:rsidR="004E0DBF" w:rsidRPr="0037231F">
        <w:t>5.156(B), 5.157(D); Evid. Code, §</w:t>
      </w:r>
      <w:r w:rsidR="007075E3" w:rsidRPr="0037231F">
        <w:t> </w:t>
      </w:r>
      <w:r w:rsidR="004E0DBF" w:rsidRPr="0037231F">
        <w:t>452, subd.</w:t>
      </w:r>
      <w:r w:rsidR="007075E3" w:rsidRPr="0037231F">
        <w:t> </w:t>
      </w:r>
      <w:r w:rsidR="004E0DBF" w:rsidRPr="0037231F">
        <w:t>(d).)</w:t>
      </w:r>
      <w:r w:rsidR="00701C14" w:rsidRPr="0037231F">
        <w:t xml:space="preserve">  Oral argument took place on January</w:t>
      </w:r>
      <w:r w:rsidR="007075E3" w:rsidRPr="0037231F">
        <w:t> </w:t>
      </w:r>
      <w:r w:rsidR="00701C14" w:rsidRPr="0037231F">
        <w:t>25, 2017</w:t>
      </w:r>
      <w:r w:rsidR="003C3BD3" w:rsidRPr="0037231F">
        <w:t>.</w:t>
      </w:r>
      <w:r w:rsidR="00FE08D4" w:rsidRPr="0037231F">
        <w:rPr>
          <w:color w:val="212121"/>
          <w:szCs w:val="24"/>
          <w:shd w:val="clear" w:color="auto" w:fill="FFFFFF"/>
        </w:rPr>
        <w:t xml:space="preserve"> </w:t>
      </w:r>
    </w:p>
    <w:p w:rsidR="00D15E66" w:rsidRPr="0037231F" w:rsidRDefault="006E5F70" w:rsidP="00024A66">
      <w:pPr>
        <w:pStyle w:val="Heading2"/>
        <w:rPr>
          <w:rFonts w:ascii="Times New Roman" w:hAnsi="Times New Roman" w:cs="Times New Roman"/>
        </w:rPr>
      </w:pPr>
      <w:r w:rsidRPr="0037231F">
        <w:rPr>
          <w:rFonts w:ascii="Times New Roman" w:hAnsi="Times New Roman" w:cs="Times New Roman"/>
        </w:rPr>
        <w:t xml:space="preserve">II.  </w:t>
      </w:r>
      <w:r w:rsidR="00D15E66" w:rsidRPr="0037231F">
        <w:rPr>
          <w:rFonts w:ascii="Times New Roman" w:hAnsi="Times New Roman" w:cs="Times New Roman"/>
        </w:rPr>
        <w:t>FACTS</w:t>
      </w:r>
      <w:r w:rsidR="005C2EFC" w:rsidRPr="0037231F">
        <w:rPr>
          <w:rFonts w:ascii="Times New Roman" w:hAnsi="Times New Roman" w:cs="Times New Roman"/>
        </w:rPr>
        <w:t xml:space="preserve"> AND CONCLUSIONS OF LAW</w:t>
      </w:r>
    </w:p>
    <w:p w:rsidR="00E22D0C" w:rsidRPr="0037231F" w:rsidRDefault="00E22D0C" w:rsidP="00E22D0C">
      <w:pPr>
        <w:spacing w:line="480" w:lineRule="auto"/>
        <w:ind w:firstLine="720"/>
        <w:rPr>
          <w:rFonts w:eastAsia="Times New Roman"/>
          <w:szCs w:val="20"/>
        </w:rPr>
      </w:pPr>
      <w:r w:rsidRPr="0037231F">
        <w:t>I</w:t>
      </w:r>
      <w:r w:rsidRPr="0037231F">
        <w:rPr>
          <w:rFonts w:eastAsia="Times New Roman"/>
          <w:szCs w:val="20"/>
        </w:rPr>
        <w:t>n summary review proceedings, the hearing judge’s decision is final as to all material findings of fact</w:t>
      </w:r>
      <w:r w:rsidR="007075E3" w:rsidRPr="0037231F">
        <w:rPr>
          <w:rFonts w:eastAsia="Times New Roman"/>
          <w:szCs w:val="20"/>
        </w:rPr>
        <w:t>, which are binding on</w:t>
      </w:r>
      <w:r w:rsidRPr="0037231F">
        <w:rPr>
          <w:rFonts w:eastAsia="Times New Roman"/>
          <w:szCs w:val="20"/>
        </w:rPr>
        <w:t xml:space="preserve"> the parties.  </w:t>
      </w:r>
      <w:r w:rsidRPr="0037231F">
        <w:t>(Rules Proc. of State Bar, rule</w:t>
      </w:r>
      <w:r w:rsidR="007075E3" w:rsidRPr="0037231F">
        <w:t> </w:t>
      </w:r>
      <w:r w:rsidRPr="0037231F">
        <w:t xml:space="preserve">5.157(B).)  </w:t>
      </w:r>
      <w:r w:rsidR="00290F08" w:rsidRPr="0037231F">
        <w:t xml:space="preserve">On review, </w:t>
      </w:r>
      <w:r w:rsidRPr="0037231F">
        <w:rPr>
          <w:rFonts w:eastAsia="Times New Roman"/>
          <w:szCs w:val="20"/>
        </w:rPr>
        <w:t xml:space="preserve">the </w:t>
      </w:r>
      <w:r w:rsidR="00C80EBF" w:rsidRPr="0037231F">
        <w:rPr>
          <w:rFonts w:eastAsia="Times New Roman"/>
          <w:szCs w:val="20"/>
        </w:rPr>
        <w:t xml:space="preserve">issues </w:t>
      </w:r>
      <w:r w:rsidR="00290F08" w:rsidRPr="0037231F">
        <w:rPr>
          <w:rFonts w:eastAsia="Times New Roman"/>
          <w:szCs w:val="20"/>
        </w:rPr>
        <w:t>“</w:t>
      </w:r>
      <w:r w:rsidR="00C80EBF" w:rsidRPr="0037231F">
        <w:rPr>
          <w:rFonts w:eastAsia="Times New Roman"/>
          <w:szCs w:val="20"/>
        </w:rPr>
        <w:t>are limited to</w:t>
      </w:r>
      <w:r w:rsidR="00290F08" w:rsidRPr="0037231F">
        <w:rPr>
          <w:rFonts w:eastAsia="Times New Roman"/>
          <w:szCs w:val="20"/>
        </w:rPr>
        <w:t>: [¶]</w:t>
      </w:r>
      <w:r w:rsidRPr="0037231F">
        <w:rPr>
          <w:rFonts w:eastAsia="Times New Roman"/>
          <w:szCs w:val="20"/>
        </w:rPr>
        <w:t xml:space="preserve"> (1)</w:t>
      </w:r>
      <w:r w:rsidR="007075E3" w:rsidRPr="0037231F">
        <w:rPr>
          <w:rFonts w:eastAsia="Times New Roman"/>
          <w:szCs w:val="20"/>
        </w:rPr>
        <w:t> </w:t>
      </w:r>
      <w:r w:rsidRPr="0037231F">
        <w:rPr>
          <w:rFonts w:eastAsia="Times New Roman"/>
          <w:szCs w:val="20"/>
        </w:rPr>
        <w:t xml:space="preserve">contentions that the facts support conclusions of law different from those </w:t>
      </w:r>
      <w:r w:rsidR="001A3A2C" w:rsidRPr="0037231F">
        <w:rPr>
          <w:rFonts w:eastAsia="Times New Roman"/>
          <w:szCs w:val="20"/>
        </w:rPr>
        <w:t>reached by</w:t>
      </w:r>
      <w:r w:rsidRPr="0037231F">
        <w:rPr>
          <w:rFonts w:eastAsia="Times New Roman"/>
          <w:szCs w:val="20"/>
        </w:rPr>
        <w:t xml:space="preserve"> the hearing judge; </w:t>
      </w:r>
      <w:r w:rsidR="001A3A2C" w:rsidRPr="0037231F">
        <w:rPr>
          <w:rFonts w:eastAsia="Times New Roman"/>
          <w:szCs w:val="20"/>
        </w:rPr>
        <w:t xml:space="preserve">[¶] </w:t>
      </w:r>
      <w:r w:rsidRPr="0037231F">
        <w:rPr>
          <w:rFonts w:eastAsia="Times New Roman"/>
          <w:szCs w:val="20"/>
        </w:rPr>
        <w:t>(2)</w:t>
      </w:r>
      <w:r w:rsidR="007075E3" w:rsidRPr="0037231F">
        <w:rPr>
          <w:rFonts w:eastAsia="Times New Roman"/>
          <w:szCs w:val="20"/>
        </w:rPr>
        <w:t> </w:t>
      </w:r>
      <w:r w:rsidRPr="0037231F">
        <w:rPr>
          <w:rFonts w:eastAsia="Times New Roman"/>
          <w:szCs w:val="20"/>
        </w:rPr>
        <w:t xml:space="preserve">disagreement about the appropriate disposition or degree of discipline; or </w:t>
      </w:r>
      <w:r w:rsidR="001A3A2C" w:rsidRPr="0037231F">
        <w:rPr>
          <w:rFonts w:eastAsia="Times New Roman"/>
          <w:szCs w:val="20"/>
        </w:rPr>
        <w:t xml:space="preserve">[¶] </w:t>
      </w:r>
      <w:r w:rsidRPr="0037231F">
        <w:rPr>
          <w:rFonts w:eastAsia="Times New Roman"/>
          <w:szCs w:val="20"/>
        </w:rPr>
        <w:t>(3) other questions of law.</w:t>
      </w:r>
      <w:r w:rsidR="001A3A2C" w:rsidRPr="0037231F">
        <w:rPr>
          <w:rFonts w:eastAsia="Times New Roman"/>
          <w:szCs w:val="20"/>
        </w:rPr>
        <w:t>”  (Rules Proc. of State Bar, rule 5.157(B).)</w:t>
      </w:r>
      <w:r w:rsidRPr="0037231F">
        <w:rPr>
          <w:rFonts w:eastAsia="Times New Roman"/>
          <w:szCs w:val="20"/>
        </w:rPr>
        <w:t xml:space="preserve">  If the parties do not raise an issue or contention, it is waived.  </w:t>
      </w:r>
      <w:r w:rsidR="001A3A2C" w:rsidRPr="0037231F">
        <w:rPr>
          <w:rFonts w:eastAsia="Times New Roman"/>
          <w:szCs w:val="20"/>
        </w:rPr>
        <w:t>(Rules Proc. of State Bar, rule 5.157(C).)</w:t>
      </w:r>
    </w:p>
    <w:p w:rsidR="00E22D0C" w:rsidRPr="0037231F" w:rsidRDefault="00E22D0C" w:rsidP="00E22D0C">
      <w:pPr>
        <w:spacing w:line="480" w:lineRule="auto"/>
        <w:ind w:firstLine="720"/>
        <w:rPr>
          <w:rFonts w:eastAsia="Times New Roman"/>
          <w:szCs w:val="24"/>
        </w:rPr>
      </w:pPr>
      <w:r w:rsidRPr="0037231F">
        <w:rPr>
          <w:rFonts w:eastAsia="Times New Roman"/>
          <w:szCs w:val="20"/>
        </w:rPr>
        <w:t>In th</w:t>
      </w:r>
      <w:r w:rsidR="00144C59" w:rsidRPr="0037231F">
        <w:rPr>
          <w:rFonts w:eastAsia="Times New Roman"/>
          <w:szCs w:val="20"/>
        </w:rPr>
        <w:t>is</w:t>
      </w:r>
      <w:r w:rsidRPr="0037231F">
        <w:rPr>
          <w:rFonts w:eastAsia="Times New Roman"/>
          <w:szCs w:val="20"/>
        </w:rPr>
        <w:t xml:space="preserve"> case, the sole </w:t>
      </w:r>
      <w:r w:rsidR="006049ED" w:rsidRPr="0037231F">
        <w:rPr>
          <w:rFonts w:eastAsia="Times New Roman"/>
          <w:szCs w:val="20"/>
        </w:rPr>
        <w:t>question before us is whether Unger timely filed his petition</w:t>
      </w:r>
      <w:r w:rsidR="00C554CB" w:rsidRPr="0037231F">
        <w:rPr>
          <w:rFonts w:eastAsia="Times New Roman"/>
          <w:szCs w:val="20"/>
        </w:rPr>
        <w:t>.</w:t>
      </w:r>
      <w:r w:rsidR="003C0070" w:rsidRPr="0037231F">
        <w:rPr>
          <w:rFonts w:eastAsia="Times New Roman"/>
          <w:szCs w:val="20"/>
        </w:rPr>
        <w:t xml:space="preserve">  </w:t>
      </w:r>
      <w:r w:rsidR="006049ED" w:rsidRPr="0037231F">
        <w:rPr>
          <w:rFonts w:eastAsia="Times New Roman"/>
          <w:szCs w:val="20"/>
        </w:rPr>
        <w:t>To answer this</w:t>
      </w:r>
      <w:r w:rsidR="00DB4906" w:rsidRPr="0037231F">
        <w:rPr>
          <w:rFonts w:eastAsia="Times New Roman"/>
          <w:szCs w:val="20"/>
        </w:rPr>
        <w:t xml:space="preserve">, </w:t>
      </w:r>
      <w:r w:rsidRPr="0037231F">
        <w:rPr>
          <w:rFonts w:eastAsia="Times New Roman"/>
          <w:szCs w:val="24"/>
        </w:rPr>
        <w:t xml:space="preserve">we must </w:t>
      </w:r>
      <w:r w:rsidR="00DB4906" w:rsidRPr="0037231F">
        <w:rPr>
          <w:rFonts w:eastAsia="Times New Roman"/>
          <w:szCs w:val="24"/>
        </w:rPr>
        <w:t>de</w:t>
      </w:r>
      <w:r w:rsidR="00144C59" w:rsidRPr="0037231F">
        <w:rPr>
          <w:rFonts w:eastAsia="Times New Roman"/>
          <w:szCs w:val="24"/>
        </w:rPr>
        <w:t>termine</w:t>
      </w:r>
      <w:r w:rsidR="00DB4906" w:rsidRPr="0037231F">
        <w:rPr>
          <w:rFonts w:eastAsia="Times New Roman"/>
          <w:szCs w:val="24"/>
        </w:rPr>
        <w:t xml:space="preserve"> what triggers</w:t>
      </w:r>
      <w:r w:rsidRPr="0037231F">
        <w:rPr>
          <w:rFonts w:eastAsia="Times New Roman"/>
          <w:szCs w:val="24"/>
        </w:rPr>
        <w:t xml:space="preserve"> the time limitation</w:t>
      </w:r>
      <w:r w:rsidR="00DB4906" w:rsidRPr="0037231F">
        <w:rPr>
          <w:rFonts w:eastAsia="Times New Roman"/>
          <w:szCs w:val="24"/>
        </w:rPr>
        <w:t xml:space="preserve"> </w:t>
      </w:r>
      <w:r w:rsidRPr="0037231F">
        <w:rPr>
          <w:rFonts w:eastAsia="Times New Roman"/>
          <w:szCs w:val="24"/>
        </w:rPr>
        <w:t xml:space="preserve">set forth in </w:t>
      </w:r>
      <w:r w:rsidR="00164106" w:rsidRPr="0037231F">
        <w:rPr>
          <w:rFonts w:eastAsia="Times New Roman"/>
          <w:szCs w:val="24"/>
        </w:rPr>
        <w:t>R</w:t>
      </w:r>
      <w:r w:rsidRPr="0037231F">
        <w:rPr>
          <w:rFonts w:eastAsia="Times New Roman"/>
          <w:szCs w:val="24"/>
        </w:rPr>
        <w:t>ule</w:t>
      </w:r>
      <w:r w:rsidR="00144C59" w:rsidRPr="0037231F">
        <w:rPr>
          <w:rFonts w:eastAsia="Times New Roman"/>
          <w:szCs w:val="24"/>
        </w:rPr>
        <w:t> </w:t>
      </w:r>
      <w:r w:rsidRPr="0037231F">
        <w:rPr>
          <w:rFonts w:eastAsia="Times New Roman"/>
          <w:szCs w:val="24"/>
        </w:rPr>
        <w:t>9.10(f)</w:t>
      </w:r>
      <w:r w:rsidR="00144C59" w:rsidRPr="0037231F">
        <w:rPr>
          <w:rFonts w:eastAsia="Times New Roman"/>
          <w:szCs w:val="24"/>
        </w:rPr>
        <w:t>.  That rule</w:t>
      </w:r>
      <w:r w:rsidRPr="0037231F">
        <w:rPr>
          <w:rFonts w:eastAsia="Times New Roman"/>
          <w:szCs w:val="24"/>
        </w:rPr>
        <w:t xml:space="preserve"> states, in relevant part, that </w:t>
      </w:r>
      <w:r w:rsidR="00DB4906" w:rsidRPr="0037231F">
        <w:rPr>
          <w:rFonts w:eastAsia="Times New Roman"/>
          <w:szCs w:val="24"/>
        </w:rPr>
        <w:t>petitioners</w:t>
      </w:r>
      <w:r w:rsidRPr="0037231F">
        <w:rPr>
          <w:rFonts w:eastAsia="Times New Roman"/>
          <w:szCs w:val="24"/>
        </w:rPr>
        <w:t xml:space="preserve"> for reinstatement who </w:t>
      </w:r>
      <w:r w:rsidRPr="0037231F">
        <w:rPr>
          <w:color w:val="212121"/>
          <w:szCs w:val="24"/>
          <w:shd w:val="clear" w:color="auto" w:fill="FFFFFF"/>
        </w:rPr>
        <w:t xml:space="preserve">resigned with charges pending “must establish present ability and learning in the general law by providing proof, at the time of filing the application for readmission or reinstatement, that they have taken and passed the </w:t>
      </w:r>
      <w:r w:rsidR="00C62594" w:rsidRPr="0037231F">
        <w:rPr>
          <w:color w:val="212121"/>
          <w:szCs w:val="24"/>
          <w:shd w:val="clear" w:color="auto" w:fill="FFFFFF"/>
        </w:rPr>
        <w:t>[Attorney Exam]</w:t>
      </w:r>
      <w:r w:rsidRPr="0037231F">
        <w:rPr>
          <w:color w:val="212121"/>
          <w:szCs w:val="24"/>
          <w:shd w:val="clear" w:color="auto" w:fill="FFFFFF"/>
        </w:rPr>
        <w:t xml:space="preserve"> within three years prior to the filing of the application for readmission or reinstatement.”</w:t>
      </w:r>
      <w:r w:rsidRPr="0037231F">
        <w:rPr>
          <w:rStyle w:val="FootnoteReference"/>
          <w:color w:val="212121"/>
          <w:szCs w:val="24"/>
          <w:shd w:val="clear" w:color="auto" w:fill="FFFFFF"/>
        </w:rPr>
        <w:footnoteReference w:id="2"/>
      </w:r>
      <w:r w:rsidRPr="0037231F">
        <w:rPr>
          <w:color w:val="212121"/>
          <w:szCs w:val="24"/>
          <w:shd w:val="clear" w:color="auto" w:fill="FFFFFF"/>
        </w:rPr>
        <w:t xml:space="preserve">  </w:t>
      </w:r>
    </w:p>
    <w:p w:rsidR="00760356" w:rsidRPr="0037231F" w:rsidRDefault="006E5F70" w:rsidP="00024A66">
      <w:pPr>
        <w:pStyle w:val="Heading3"/>
        <w:rPr>
          <w:rFonts w:ascii="Times New Roman" w:hAnsi="Times New Roman" w:cs="Times New Roman"/>
        </w:rPr>
      </w:pPr>
      <w:r w:rsidRPr="0037231F">
        <w:rPr>
          <w:rFonts w:ascii="Times New Roman" w:hAnsi="Times New Roman" w:cs="Times New Roman"/>
        </w:rPr>
        <w:t>A.</w:t>
      </w:r>
      <w:r w:rsidRPr="0037231F">
        <w:rPr>
          <w:rFonts w:ascii="Times New Roman" w:hAnsi="Times New Roman" w:cs="Times New Roman"/>
        </w:rPr>
        <w:tab/>
      </w:r>
      <w:r w:rsidR="00760356" w:rsidRPr="0037231F">
        <w:rPr>
          <w:rFonts w:ascii="Times New Roman" w:hAnsi="Times New Roman" w:cs="Times New Roman"/>
        </w:rPr>
        <w:t>Petition for Reinstatement</w:t>
      </w:r>
    </w:p>
    <w:p w:rsidR="00D15E66" w:rsidRPr="0037231F" w:rsidRDefault="00033F87">
      <w:pPr>
        <w:spacing w:line="480" w:lineRule="auto"/>
      </w:pPr>
      <w:r w:rsidRPr="0037231F">
        <w:tab/>
      </w:r>
      <w:r w:rsidR="00D15E66" w:rsidRPr="0037231F">
        <w:t xml:space="preserve">Unger </w:t>
      </w:r>
      <w:r w:rsidR="00AB61F4" w:rsidRPr="0037231F">
        <w:t>sat for</w:t>
      </w:r>
      <w:r w:rsidR="00D15E66" w:rsidRPr="0037231F">
        <w:t xml:space="preserve"> the </w:t>
      </w:r>
      <w:r w:rsidR="00C62594" w:rsidRPr="0037231F">
        <w:rPr>
          <w:color w:val="212121"/>
          <w:szCs w:val="24"/>
          <w:shd w:val="clear" w:color="auto" w:fill="FFFFFF"/>
        </w:rPr>
        <w:t>Attorney Exam</w:t>
      </w:r>
      <w:r w:rsidR="00C62594" w:rsidRPr="0037231F">
        <w:t xml:space="preserve"> </w:t>
      </w:r>
      <w:r w:rsidR="00C35D05" w:rsidRPr="0037231F">
        <w:t xml:space="preserve">administered </w:t>
      </w:r>
      <w:r w:rsidR="00650DDD" w:rsidRPr="0037231F">
        <w:t>i</w:t>
      </w:r>
      <w:r w:rsidR="00C80EBF" w:rsidRPr="0037231F">
        <w:t>n</w:t>
      </w:r>
      <w:r w:rsidR="00C35D05" w:rsidRPr="0037231F">
        <w:t xml:space="preserve"> February 2013</w:t>
      </w:r>
      <w:r w:rsidR="00D15E66" w:rsidRPr="0037231F">
        <w:t>.  He received notification, dated May</w:t>
      </w:r>
      <w:r w:rsidR="00AF41B3" w:rsidRPr="0037231F">
        <w:t> </w:t>
      </w:r>
      <w:r w:rsidR="00D15E66" w:rsidRPr="0037231F">
        <w:t xml:space="preserve">17, 2013, that he had passed the </w:t>
      </w:r>
      <w:r w:rsidR="00CB58CC" w:rsidRPr="0037231F">
        <w:t>exam</w:t>
      </w:r>
      <w:r w:rsidR="00D15E66" w:rsidRPr="0037231F">
        <w:t>.  On May</w:t>
      </w:r>
      <w:r w:rsidR="00AF41B3" w:rsidRPr="0037231F">
        <w:t> </w:t>
      </w:r>
      <w:r w:rsidR="00D15E66" w:rsidRPr="0037231F">
        <w:t xml:space="preserve">16, 2016, Unger filed </w:t>
      </w:r>
      <w:r w:rsidR="00CB58CC" w:rsidRPr="0037231F">
        <w:lastRenderedPageBreak/>
        <w:t>his</w:t>
      </w:r>
      <w:r w:rsidR="00275FDE" w:rsidRPr="0037231F">
        <w:t xml:space="preserve"> petition and</w:t>
      </w:r>
      <w:r w:rsidR="00D15E66" w:rsidRPr="0037231F">
        <w:t xml:space="preserve"> attached the </w:t>
      </w:r>
      <w:r w:rsidR="00E22D0C" w:rsidRPr="0037231F">
        <w:t>passage</w:t>
      </w:r>
      <w:r w:rsidR="00D15E66" w:rsidRPr="0037231F">
        <w:t xml:space="preserve"> notification</w:t>
      </w:r>
      <w:r w:rsidR="007E4544" w:rsidRPr="0037231F">
        <w:t xml:space="preserve"> as </w:t>
      </w:r>
      <w:r w:rsidR="00255642" w:rsidRPr="0037231F">
        <w:t xml:space="preserve">his </w:t>
      </w:r>
      <w:r w:rsidR="00D33AB4" w:rsidRPr="0037231F">
        <w:t xml:space="preserve">evidence of compliance </w:t>
      </w:r>
      <w:r w:rsidR="00325309" w:rsidRPr="0037231F">
        <w:t xml:space="preserve">with </w:t>
      </w:r>
      <w:r w:rsidR="00DD297C" w:rsidRPr="0037231F">
        <w:t>R</w:t>
      </w:r>
      <w:r w:rsidR="007E4544" w:rsidRPr="0037231F">
        <w:t>ule</w:t>
      </w:r>
      <w:r w:rsidR="00AF41B3" w:rsidRPr="0037231F">
        <w:t> </w:t>
      </w:r>
      <w:r w:rsidR="007E4544" w:rsidRPr="0037231F">
        <w:t>9.10(f)</w:t>
      </w:r>
      <w:r w:rsidR="00D33AB4" w:rsidRPr="0037231F">
        <w:t xml:space="preserve"> and </w:t>
      </w:r>
      <w:r w:rsidR="00DD297C" w:rsidRPr="0037231F">
        <w:t>R</w:t>
      </w:r>
      <w:r w:rsidR="00D33AB4" w:rsidRPr="0037231F">
        <w:t>ule</w:t>
      </w:r>
      <w:r w:rsidR="00AF41B3" w:rsidRPr="0037231F">
        <w:t> </w:t>
      </w:r>
      <w:r w:rsidR="00D33AB4" w:rsidRPr="0037231F">
        <w:t>5.441</w:t>
      </w:r>
      <w:r w:rsidR="00D15E66" w:rsidRPr="0037231F">
        <w:t xml:space="preserve">.  </w:t>
      </w:r>
    </w:p>
    <w:p w:rsidR="00D15E66" w:rsidRPr="0037231F" w:rsidRDefault="00D15E66" w:rsidP="00D11050">
      <w:pPr>
        <w:spacing w:line="480" w:lineRule="auto"/>
        <w:ind w:firstLine="720"/>
      </w:pPr>
      <w:r w:rsidRPr="0037231F">
        <w:t>On June</w:t>
      </w:r>
      <w:r w:rsidR="00DD297C" w:rsidRPr="0037231F">
        <w:t> </w:t>
      </w:r>
      <w:r w:rsidRPr="0037231F">
        <w:t xml:space="preserve">27, 2016, </w:t>
      </w:r>
      <w:r w:rsidR="000078FC" w:rsidRPr="0037231F">
        <w:t>OCTC</w:t>
      </w:r>
      <w:r w:rsidRPr="0037231F">
        <w:t xml:space="preserve"> filed a motion to dismiss on </w:t>
      </w:r>
      <w:r w:rsidR="00E76133" w:rsidRPr="0037231F">
        <w:t xml:space="preserve">the </w:t>
      </w:r>
      <w:r w:rsidRPr="0037231F">
        <w:t xml:space="preserve">grounds that </w:t>
      </w:r>
      <w:r w:rsidR="00A41A62" w:rsidRPr="0037231F">
        <w:t>Unger “failed to have</w:t>
      </w:r>
      <w:r w:rsidRPr="0037231F">
        <w:t xml:space="preserve"> </w:t>
      </w:r>
      <w:r w:rsidR="006462AA" w:rsidRPr="0037231F">
        <w:t xml:space="preserve">taken and passed” the </w:t>
      </w:r>
      <w:r w:rsidR="00D33AB4" w:rsidRPr="0037231F">
        <w:t>Attorney</w:t>
      </w:r>
      <w:r w:rsidR="006462AA" w:rsidRPr="0037231F">
        <w:t xml:space="preserve"> Exam “within three years prior to the filing of the petition for reinstatement.”  </w:t>
      </w:r>
      <w:r w:rsidR="00FE08D4" w:rsidRPr="0037231F">
        <w:t xml:space="preserve">OCTC </w:t>
      </w:r>
      <w:r w:rsidR="00D11050" w:rsidRPr="0037231F">
        <w:t>argued that Unger had to have filed his petition no later than February</w:t>
      </w:r>
      <w:r w:rsidR="006B5C50" w:rsidRPr="0037231F">
        <w:t> </w:t>
      </w:r>
      <w:r w:rsidR="00D11050" w:rsidRPr="0037231F">
        <w:t>25, 2</w:t>
      </w:r>
      <w:r w:rsidR="00AC596F" w:rsidRPr="0037231F">
        <w:t>016</w:t>
      </w:r>
      <w:r w:rsidR="00692744" w:rsidRPr="0037231F">
        <w:t>,</w:t>
      </w:r>
      <w:r w:rsidR="006B5C50" w:rsidRPr="0037231F">
        <w:t xml:space="preserve"> to be timely</w:t>
      </w:r>
      <w:r w:rsidR="00692744" w:rsidRPr="0037231F">
        <w:t xml:space="preserve">, three years after he </w:t>
      </w:r>
      <w:r w:rsidR="00692744" w:rsidRPr="0037231F">
        <w:rPr>
          <w:i/>
        </w:rPr>
        <w:t>took</w:t>
      </w:r>
      <w:r w:rsidR="00692744" w:rsidRPr="0037231F">
        <w:t xml:space="preserve"> the Attorney Exam</w:t>
      </w:r>
      <w:r w:rsidR="00AC596F" w:rsidRPr="0037231F">
        <w:t xml:space="preserve">.  In his opposition, Unger </w:t>
      </w:r>
      <w:r w:rsidR="00692744" w:rsidRPr="0037231F">
        <w:t>argued</w:t>
      </w:r>
      <w:r w:rsidR="00AC596F" w:rsidRPr="0037231F">
        <w:t xml:space="preserve"> that </w:t>
      </w:r>
      <w:r w:rsidR="00D33AB4" w:rsidRPr="0037231F">
        <w:t>the</w:t>
      </w:r>
      <w:r w:rsidR="006049ED" w:rsidRPr="0037231F">
        <w:t xml:space="preserve"> three-year limitation cannot </w:t>
      </w:r>
      <w:r w:rsidR="00AC596F" w:rsidRPr="0037231F">
        <w:t xml:space="preserve">accrue until the petitioner </w:t>
      </w:r>
      <w:r w:rsidR="00AC596F" w:rsidRPr="0037231F">
        <w:rPr>
          <w:i/>
        </w:rPr>
        <w:t>passes</w:t>
      </w:r>
      <w:r w:rsidR="00AC596F" w:rsidRPr="0037231F">
        <w:t xml:space="preserve"> the </w:t>
      </w:r>
      <w:r w:rsidR="00FB6B78" w:rsidRPr="0037231F">
        <w:t>e</w:t>
      </w:r>
      <w:r w:rsidR="00275FDE" w:rsidRPr="0037231F">
        <w:rPr>
          <w:color w:val="212121"/>
          <w:szCs w:val="24"/>
          <w:shd w:val="clear" w:color="auto" w:fill="FFFFFF"/>
        </w:rPr>
        <w:t>xam</w:t>
      </w:r>
      <w:r w:rsidR="00AC596F" w:rsidRPr="0037231F">
        <w:t xml:space="preserve">.  </w:t>
      </w:r>
    </w:p>
    <w:p w:rsidR="00760356" w:rsidRPr="0037231F" w:rsidRDefault="006E5F70" w:rsidP="00024A66">
      <w:pPr>
        <w:pStyle w:val="Heading3"/>
        <w:rPr>
          <w:rFonts w:ascii="Times New Roman" w:hAnsi="Times New Roman" w:cs="Times New Roman"/>
        </w:rPr>
      </w:pPr>
      <w:r w:rsidRPr="0037231F">
        <w:rPr>
          <w:rFonts w:ascii="Times New Roman" w:hAnsi="Times New Roman" w:cs="Times New Roman"/>
        </w:rPr>
        <w:t>B.</w:t>
      </w:r>
      <w:r w:rsidRPr="0037231F">
        <w:rPr>
          <w:rFonts w:ascii="Times New Roman" w:hAnsi="Times New Roman" w:cs="Times New Roman"/>
        </w:rPr>
        <w:tab/>
      </w:r>
      <w:r w:rsidR="00760356" w:rsidRPr="0037231F">
        <w:rPr>
          <w:rFonts w:ascii="Times New Roman" w:hAnsi="Times New Roman" w:cs="Times New Roman"/>
        </w:rPr>
        <w:t>Dismissal Order</w:t>
      </w:r>
    </w:p>
    <w:p w:rsidR="007E4544" w:rsidRPr="0037231F" w:rsidRDefault="007E4544" w:rsidP="00D11050">
      <w:pPr>
        <w:spacing w:line="480" w:lineRule="auto"/>
        <w:ind w:firstLine="720"/>
      </w:pPr>
      <w:r w:rsidRPr="0037231F">
        <w:t xml:space="preserve">In </w:t>
      </w:r>
      <w:r w:rsidR="00C35D05" w:rsidRPr="0037231F">
        <w:t xml:space="preserve">ruling </w:t>
      </w:r>
      <w:r w:rsidR="00470D1E" w:rsidRPr="0037231F">
        <w:t>on</w:t>
      </w:r>
      <w:r w:rsidRPr="0037231F">
        <w:t xml:space="preserve"> </w:t>
      </w:r>
      <w:r w:rsidR="00451C56" w:rsidRPr="0037231F">
        <w:t>OCTC’s</w:t>
      </w:r>
      <w:r w:rsidRPr="0037231F">
        <w:t xml:space="preserve"> motion, the hearing judge stated that </w:t>
      </w:r>
      <w:r w:rsidR="00116519" w:rsidRPr="0037231F">
        <w:t xml:space="preserve">the “limitation on the time period during which the petitioner is required to take the examination is important to ensuring that the results of the examination, when favorable, are indicative of that individual’s </w:t>
      </w:r>
      <w:r w:rsidR="00116519" w:rsidRPr="0037231F">
        <w:rPr>
          <w:u w:val="single"/>
        </w:rPr>
        <w:t>present</w:t>
      </w:r>
      <w:r w:rsidR="00116519" w:rsidRPr="0037231F">
        <w:t xml:space="preserve"> ability and learning in the general law.”  (Underlin</w:t>
      </w:r>
      <w:r w:rsidR="003B73AF" w:rsidRPr="0037231F">
        <w:t>in</w:t>
      </w:r>
      <w:r w:rsidR="00116519" w:rsidRPr="0037231F">
        <w:t xml:space="preserve">g in original.)  </w:t>
      </w:r>
      <w:r w:rsidR="00470D1E" w:rsidRPr="0037231F">
        <w:t>The judge reasoned that Unger’s proposed interpretation would place “no time limitation on when the petitioner is required to take the examination but, instead, merely require the reinstatement petition to be filed within three years after the individual has been notified of the examination results.”</w:t>
      </w:r>
      <w:r w:rsidR="009B3F05" w:rsidRPr="0037231F">
        <w:t xml:space="preserve">  He concluded that Unger “failed to present proof that he successfully took the examination within three years prior to the filing of his petition, and the evidence presented by him showed that the examination he passed wa</w:t>
      </w:r>
      <w:r w:rsidR="00275FDE" w:rsidRPr="0037231F">
        <w:t xml:space="preserve">s outside the three-year window.” </w:t>
      </w:r>
    </w:p>
    <w:p w:rsidR="00760356" w:rsidRPr="0037231F" w:rsidRDefault="006E5F70" w:rsidP="00024A66">
      <w:pPr>
        <w:pStyle w:val="Heading3"/>
        <w:rPr>
          <w:rFonts w:ascii="Times New Roman" w:hAnsi="Times New Roman" w:cs="Times New Roman"/>
        </w:rPr>
      </w:pPr>
      <w:r w:rsidRPr="0037231F">
        <w:rPr>
          <w:rFonts w:ascii="Times New Roman" w:hAnsi="Times New Roman" w:cs="Times New Roman"/>
        </w:rPr>
        <w:t>C.</w:t>
      </w:r>
      <w:r w:rsidRPr="0037231F">
        <w:rPr>
          <w:rFonts w:ascii="Times New Roman" w:hAnsi="Times New Roman" w:cs="Times New Roman"/>
        </w:rPr>
        <w:tab/>
      </w:r>
      <w:r w:rsidR="00760356" w:rsidRPr="0037231F">
        <w:rPr>
          <w:rFonts w:ascii="Times New Roman" w:hAnsi="Times New Roman" w:cs="Times New Roman"/>
        </w:rPr>
        <w:t>Arguments on Review</w:t>
      </w:r>
    </w:p>
    <w:p w:rsidR="00454645" w:rsidRPr="0037231F" w:rsidRDefault="005C2EFC" w:rsidP="005C74CE">
      <w:pPr>
        <w:spacing w:line="480" w:lineRule="auto"/>
      </w:pPr>
      <w:r w:rsidRPr="0037231F">
        <w:rPr>
          <w:b/>
        </w:rPr>
        <w:tab/>
      </w:r>
      <w:r w:rsidR="00760356" w:rsidRPr="0037231F">
        <w:t>In his opening brief</w:t>
      </w:r>
      <w:r w:rsidR="00275FDE" w:rsidRPr="0037231F">
        <w:t xml:space="preserve"> on review</w:t>
      </w:r>
      <w:r w:rsidR="00760356" w:rsidRPr="0037231F">
        <w:t>,</w:t>
      </w:r>
      <w:r w:rsidR="004321AF" w:rsidRPr="0037231F">
        <w:t xml:space="preserve"> Unger </w:t>
      </w:r>
      <w:r w:rsidR="0081259F" w:rsidRPr="0037231F">
        <w:t xml:space="preserve">advances three arguments.  First, </w:t>
      </w:r>
      <w:r w:rsidR="00B011B3" w:rsidRPr="0037231F">
        <w:t xml:space="preserve">he </w:t>
      </w:r>
      <w:r w:rsidR="003B73AF" w:rsidRPr="0037231F">
        <w:t>contends that</w:t>
      </w:r>
      <w:r w:rsidR="00B011B3" w:rsidRPr="0037231F">
        <w:t xml:space="preserve"> </w:t>
      </w:r>
      <w:r w:rsidR="004321AF" w:rsidRPr="0037231F">
        <w:t xml:space="preserve">the language of </w:t>
      </w:r>
      <w:r w:rsidR="00D33AB4" w:rsidRPr="0037231F">
        <w:t>the rule</w:t>
      </w:r>
      <w:r w:rsidR="004321AF" w:rsidRPr="0037231F">
        <w:t xml:space="preserve"> supports multiple readings</w:t>
      </w:r>
      <w:r w:rsidR="00B011B3" w:rsidRPr="0037231F">
        <w:t xml:space="preserve">, so we should </w:t>
      </w:r>
      <w:r w:rsidR="003B73AF" w:rsidRPr="0037231F">
        <w:t xml:space="preserve">consider it </w:t>
      </w:r>
      <w:r w:rsidR="004321AF" w:rsidRPr="0037231F">
        <w:t xml:space="preserve">in </w:t>
      </w:r>
      <w:r w:rsidR="003B73AF" w:rsidRPr="0037231F">
        <w:t xml:space="preserve">the </w:t>
      </w:r>
      <w:r w:rsidR="00D33AB4" w:rsidRPr="0037231F">
        <w:t xml:space="preserve">context </w:t>
      </w:r>
      <w:r w:rsidR="003B73AF" w:rsidRPr="0037231F">
        <w:t>of</w:t>
      </w:r>
      <w:r w:rsidR="00B011B3" w:rsidRPr="0037231F">
        <w:t xml:space="preserve"> its purpose—</w:t>
      </w:r>
      <w:r w:rsidR="00527E6C" w:rsidRPr="0037231F">
        <w:t xml:space="preserve">to ensure that the petitioner </w:t>
      </w:r>
      <w:r w:rsidR="00B011B3" w:rsidRPr="0037231F">
        <w:t>has shown competence—</w:t>
      </w:r>
      <w:r w:rsidR="00225188" w:rsidRPr="0037231F">
        <w:t xml:space="preserve">and </w:t>
      </w:r>
      <w:r w:rsidR="00865686" w:rsidRPr="0037231F">
        <w:t xml:space="preserve">that purpose is served by </w:t>
      </w:r>
      <w:r w:rsidR="00527E6C" w:rsidRPr="0037231F">
        <w:t>proof of passage of the exam</w:t>
      </w:r>
      <w:r w:rsidR="0081259F" w:rsidRPr="0037231F">
        <w:t>, not proof of taking it</w:t>
      </w:r>
      <w:r w:rsidR="005A57CB" w:rsidRPr="0037231F">
        <w:t xml:space="preserve">.  </w:t>
      </w:r>
      <w:r w:rsidR="00454645" w:rsidRPr="0037231F">
        <w:t xml:space="preserve">Second, Unger </w:t>
      </w:r>
      <w:r w:rsidR="001B31DD" w:rsidRPr="0037231F">
        <w:t xml:space="preserve">compares the rules </w:t>
      </w:r>
      <w:r w:rsidR="00FB32F7" w:rsidRPr="0037231F">
        <w:t>governing</w:t>
      </w:r>
      <w:r w:rsidR="001B31DD" w:rsidRPr="0037231F">
        <w:t xml:space="preserve"> reinstatement </w:t>
      </w:r>
      <w:r w:rsidR="00FB32F7" w:rsidRPr="0037231F">
        <w:t>with</w:t>
      </w:r>
      <w:r w:rsidR="001B31DD" w:rsidRPr="0037231F">
        <w:t xml:space="preserve"> the rule governing admission, which </w:t>
      </w:r>
      <w:r w:rsidR="0088576D" w:rsidRPr="0037231F">
        <w:t xml:space="preserve">he asserts </w:t>
      </w:r>
      <w:r w:rsidR="001B31DD" w:rsidRPr="0037231F">
        <w:t>“specifically”</w:t>
      </w:r>
      <w:r w:rsidR="0088576D" w:rsidRPr="0037231F">
        <w:t xml:space="preserve"> sets </w:t>
      </w:r>
      <w:r w:rsidR="0088576D" w:rsidRPr="0037231F">
        <w:lastRenderedPageBreak/>
        <w:t>for</w:t>
      </w:r>
      <w:r w:rsidR="001B31DD" w:rsidRPr="0037231F">
        <w:t>th</w:t>
      </w:r>
      <w:r w:rsidR="00454645" w:rsidRPr="0037231F">
        <w:t xml:space="preserve"> th</w:t>
      </w:r>
      <w:r w:rsidR="001B31DD" w:rsidRPr="0037231F">
        <w:t xml:space="preserve">e applicable time limitation for using </w:t>
      </w:r>
      <w:r w:rsidR="004B50AD" w:rsidRPr="0037231F">
        <w:t>California Bar Examination</w:t>
      </w:r>
      <w:r w:rsidR="004B50AD" w:rsidRPr="0037231F">
        <w:rPr>
          <w:rStyle w:val="FootnoteReference"/>
        </w:rPr>
        <w:footnoteReference w:id="3"/>
      </w:r>
      <w:r w:rsidR="004B50AD" w:rsidRPr="0037231F">
        <w:t xml:space="preserve"> </w:t>
      </w:r>
      <w:r w:rsidR="001B31DD" w:rsidRPr="0037231F">
        <w:t>results as “</w:t>
      </w:r>
      <w:r w:rsidR="00E76133" w:rsidRPr="0037231F">
        <w:t>[</w:t>
      </w:r>
      <w:r w:rsidR="001B31DD" w:rsidRPr="0037231F">
        <w:t>n</w:t>
      </w:r>
      <w:r w:rsidR="00E76133" w:rsidRPr="0037231F">
        <w:t>]</w:t>
      </w:r>
      <w:r w:rsidR="001B31DD" w:rsidRPr="0037231F">
        <w:t xml:space="preserve">o later than five years from the last day of administration of the </w:t>
      </w:r>
      <w:r w:rsidR="004B50AD" w:rsidRPr="0037231F">
        <w:t xml:space="preserve">California Bar Examination </w:t>
      </w:r>
      <w:r w:rsidR="001B31DD" w:rsidRPr="0037231F">
        <w:t>the applicant passes.”  (</w:t>
      </w:r>
      <w:r w:rsidR="0088576D" w:rsidRPr="0037231F">
        <w:t xml:space="preserve">Rules </w:t>
      </w:r>
      <w:r w:rsidR="00E76133" w:rsidRPr="0037231F">
        <w:t xml:space="preserve">of </w:t>
      </w:r>
      <w:r w:rsidR="0088576D" w:rsidRPr="0037231F">
        <w:t>State Bar, rule</w:t>
      </w:r>
      <w:r w:rsidR="00925890" w:rsidRPr="0037231F">
        <w:t> </w:t>
      </w:r>
      <w:r w:rsidR="0088576D" w:rsidRPr="0037231F">
        <w:t xml:space="preserve">4.17(A).)  </w:t>
      </w:r>
      <w:r w:rsidR="00B011B3" w:rsidRPr="0037231F">
        <w:t xml:space="preserve">He </w:t>
      </w:r>
      <w:r w:rsidR="00925890" w:rsidRPr="0037231F">
        <w:t>argues</w:t>
      </w:r>
      <w:r w:rsidR="0088576D" w:rsidRPr="0037231F">
        <w:t xml:space="preserve"> that “</w:t>
      </w:r>
      <w:r w:rsidR="00E76133" w:rsidRPr="0037231F">
        <w:t>[</w:t>
      </w:r>
      <w:r w:rsidR="0088576D" w:rsidRPr="0037231F">
        <w:t>h</w:t>
      </w:r>
      <w:r w:rsidR="00E76133" w:rsidRPr="0037231F">
        <w:t>]</w:t>
      </w:r>
      <w:r w:rsidR="0088576D" w:rsidRPr="0037231F">
        <w:t>ad the State Bar wanted to assert the last day of the [</w:t>
      </w:r>
      <w:r w:rsidR="004B50AD" w:rsidRPr="0037231F">
        <w:t>Attorney Exam</w:t>
      </w:r>
      <w:r w:rsidR="0088576D" w:rsidRPr="0037231F">
        <w:t>] as the applicable accrual date, they could have and should have done so.”</w:t>
      </w:r>
      <w:r w:rsidR="00454645" w:rsidRPr="0037231F">
        <w:t xml:space="preserve">  Third, Unger</w:t>
      </w:r>
      <w:r w:rsidR="0088576D" w:rsidRPr="0037231F">
        <w:t xml:space="preserve"> </w:t>
      </w:r>
      <w:r w:rsidR="00B011B3" w:rsidRPr="0037231F">
        <w:t>urges</w:t>
      </w:r>
      <w:r w:rsidR="00454645" w:rsidRPr="0037231F">
        <w:t xml:space="preserve"> that strong public policy favors trying cases on the merits.</w:t>
      </w:r>
    </w:p>
    <w:p w:rsidR="00275FDE" w:rsidRPr="0037231F" w:rsidRDefault="00454645" w:rsidP="005C74CE">
      <w:pPr>
        <w:spacing w:line="480" w:lineRule="auto"/>
      </w:pPr>
      <w:r w:rsidRPr="0037231F">
        <w:tab/>
        <w:t>OCTC counters</w:t>
      </w:r>
      <w:r w:rsidR="00666EAF" w:rsidRPr="0037231F">
        <w:t xml:space="preserve"> that if the “intention was to measure the three</w:t>
      </w:r>
      <w:r w:rsidR="00E76133" w:rsidRPr="0037231F">
        <w:t>[-]</w:t>
      </w:r>
      <w:r w:rsidR="00666EAF" w:rsidRPr="0037231F">
        <w:t xml:space="preserve">year time period from notification of passage, the rule would have stated </w:t>
      </w:r>
      <w:r w:rsidR="00666EAF" w:rsidRPr="0037231F">
        <w:rPr>
          <w:i/>
        </w:rPr>
        <w:t>within three years after notice of passage of the attorney exam</w:t>
      </w:r>
      <w:r w:rsidR="00666EAF" w:rsidRPr="0037231F">
        <w:t>.”  (Italics in original.)</w:t>
      </w:r>
      <w:r w:rsidR="00893EF8" w:rsidRPr="0037231F">
        <w:t xml:space="preserve">  Further, </w:t>
      </w:r>
      <w:r w:rsidR="00F629D1" w:rsidRPr="0037231F">
        <w:t xml:space="preserve">it contends that </w:t>
      </w:r>
      <w:r w:rsidR="00893EF8" w:rsidRPr="0037231F">
        <w:t xml:space="preserve">the word “passed” </w:t>
      </w:r>
      <w:r w:rsidR="00DA40B7" w:rsidRPr="0037231F">
        <w:t>in R</w:t>
      </w:r>
      <w:r w:rsidR="00FB6B78" w:rsidRPr="0037231F">
        <w:t xml:space="preserve">ule 9.10(f) </w:t>
      </w:r>
      <w:r w:rsidR="00893EF8" w:rsidRPr="0037231F">
        <w:t>only clarifies that a petit</w:t>
      </w:r>
      <w:r w:rsidR="0077339B" w:rsidRPr="0037231F">
        <w:t>ioner must be successful in taking</w:t>
      </w:r>
      <w:r w:rsidR="00893EF8" w:rsidRPr="0037231F">
        <w:t xml:space="preserve"> the </w:t>
      </w:r>
      <w:r w:rsidR="0077339B" w:rsidRPr="0037231F">
        <w:t>Attorney Exam</w:t>
      </w:r>
      <w:r w:rsidR="00893EF8" w:rsidRPr="0037231F">
        <w:t xml:space="preserve"> to apply for reinstatement; the word </w:t>
      </w:r>
      <w:r w:rsidR="00925890" w:rsidRPr="0037231F">
        <w:t xml:space="preserve">itself </w:t>
      </w:r>
      <w:r w:rsidR="00893EF8" w:rsidRPr="0037231F">
        <w:t>has no impact on the time limitation.</w:t>
      </w:r>
      <w:r w:rsidR="00D876B0" w:rsidRPr="0037231F">
        <w:t xml:space="preserve">  Additionally, OCTC argues that the date </w:t>
      </w:r>
      <w:r w:rsidR="00E76133" w:rsidRPr="0037231F">
        <w:t xml:space="preserve">the </w:t>
      </w:r>
      <w:r w:rsidR="00D876B0" w:rsidRPr="0037231F">
        <w:t xml:space="preserve">petitioner is notified of passage is of little relevance in assessing </w:t>
      </w:r>
      <w:r w:rsidR="00C1156C" w:rsidRPr="0037231F">
        <w:t xml:space="preserve">his or her present ability and learning in the general law.  OCTC did not address Unger’s observation regarding the rule on admission or his policy argument </w:t>
      </w:r>
      <w:r w:rsidR="00451C56" w:rsidRPr="0037231F">
        <w:t>favoring consideration</w:t>
      </w:r>
      <w:r w:rsidR="00C1156C" w:rsidRPr="0037231F">
        <w:t xml:space="preserve"> </w:t>
      </w:r>
      <w:r w:rsidR="002E0D8E" w:rsidRPr="0037231F">
        <w:t xml:space="preserve">of his disciplinary case </w:t>
      </w:r>
      <w:r w:rsidR="00C1156C" w:rsidRPr="0037231F">
        <w:t xml:space="preserve">on the merits.  </w:t>
      </w:r>
    </w:p>
    <w:p w:rsidR="00484FD7" w:rsidRPr="0037231F" w:rsidRDefault="006E5F70" w:rsidP="00024A66">
      <w:pPr>
        <w:pStyle w:val="Heading3"/>
        <w:rPr>
          <w:rFonts w:ascii="Times New Roman" w:hAnsi="Times New Roman" w:cs="Times New Roman"/>
        </w:rPr>
      </w:pPr>
      <w:r w:rsidRPr="0037231F">
        <w:rPr>
          <w:rFonts w:ascii="Times New Roman" w:hAnsi="Times New Roman" w:cs="Times New Roman"/>
        </w:rPr>
        <w:t>D.</w:t>
      </w:r>
      <w:r w:rsidRPr="0037231F">
        <w:rPr>
          <w:rFonts w:ascii="Times New Roman" w:hAnsi="Times New Roman" w:cs="Times New Roman"/>
        </w:rPr>
        <w:tab/>
      </w:r>
      <w:r w:rsidR="00484FD7" w:rsidRPr="0037231F">
        <w:rPr>
          <w:rFonts w:ascii="Times New Roman" w:hAnsi="Times New Roman" w:cs="Times New Roman"/>
        </w:rPr>
        <w:t>Analysis</w:t>
      </w:r>
    </w:p>
    <w:p w:rsidR="004F4ED0" w:rsidRPr="0037231F" w:rsidRDefault="00AF4249" w:rsidP="00033F87">
      <w:pPr>
        <w:spacing w:line="480" w:lineRule="auto"/>
        <w:ind w:firstLine="720"/>
      </w:pPr>
      <w:r w:rsidRPr="0037231F">
        <w:t xml:space="preserve">Neither the Supreme Court nor the State Bar Court has </w:t>
      </w:r>
      <w:r w:rsidR="00E03306" w:rsidRPr="0037231F">
        <w:t>addressed</w:t>
      </w:r>
      <w:r w:rsidRPr="0037231F">
        <w:t xml:space="preserve"> in a published decision </w:t>
      </w:r>
      <w:r w:rsidR="00C45729" w:rsidRPr="0037231F">
        <w:t>the</w:t>
      </w:r>
      <w:r w:rsidRPr="0037231F">
        <w:t xml:space="preserve"> event</w:t>
      </w:r>
      <w:r w:rsidR="00C45729" w:rsidRPr="0037231F">
        <w:t xml:space="preserve"> that</w:t>
      </w:r>
      <w:r w:rsidRPr="0037231F">
        <w:t xml:space="preserve"> triggers</w:t>
      </w:r>
      <w:r w:rsidR="009B3F05" w:rsidRPr="0037231F">
        <w:t xml:space="preserve"> the</w:t>
      </w:r>
      <w:r w:rsidRPr="0037231F">
        <w:t xml:space="preserve"> start of</w:t>
      </w:r>
      <w:r w:rsidR="00664814" w:rsidRPr="0037231F">
        <w:t xml:space="preserve"> the three-year limitation</w:t>
      </w:r>
      <w:r w:rsidR="002E0D8E" w:rsidRPr="0037231F">
        <w:t xml:space="preserve"> at issue here</w:t>
      </w:r>
      <w:r w:rsidR="00664814" w:rsidRPr="0037231F">
        <w:t>.</w:t>
      </w:r>
      <w:r w:rsidR="00C45729" w:rsidRPr="0037231F">
        <w:t xml:space="preserve"> </w:t>
      </w:r>
      <w:r w:rsidR="00664814" w:rsidRPr="0037231F">
        <w:t xml:space="preserve"> </w:t>
      </w:r>
      <w:r w:rsidRPr="0037231F">
        <w:t xml:space="preserve">We observe that </w:t>
      </w:r>
      <w:r w:rsidR="009B3F05" w:rsidRPr="0037231F">
        <w:t>a few days after</w:t>
      </w:r>
      <w:r w:rsidRPr="0037231F">
        <w:t xml:space="preserve"> the </w:t>
      </w:r>
      <w:r w:rsidR="009B3F05" w:rsidRPr="0037231F">
        <w:t xml:space="preserve">judge </w:t>
      </w:r>
      <w:r w:rsidR="006342FE" w:rsidRPr="0037231F">
        <w:t xml:space="preserve">filed his </w:t>
      </w:r>
      <w:r w:rsidR="00E01D19" w:rsidRPr="0037231F">
        <w:t xml:space="preserve">order dismissing Unger’s petition </w:t>
      </w:r>
      <w:r w:rsidR="006342FE" w:rsidRPr="0037231F">
        <w:t>in this matter, a hearing judge</w:t>
      </w:r>
      <w:r w:rsidR="00DC1C51" w:rsidRPr="0037231F">
        <w:t xml:space="preserve"> in a</w:t>
      </w:r>
      <w:r w:rsidR="00CE1565" w:rsidRPr="0037231F">
        <w:t xml:space="preserve"> different</w:t>
      </w:r>
      <w:r w:rsidR="00DC1C51" w:rsidRPr="0037231F">
        <w:t xml:space="preserve"> reinstatement matter</w:t>
      </w:r>
      <w:r w:rsidR="00E76133" w:rsidRPr="0037231F">
        <w:t xml:space="preserve">, </w:t>
      </w:r>
      <w:r w:rsidR="00E76133" w:rsidRPr="0037231F">
        <w:rPr>
          <w:i/>
        </w:rPr>
        <w:t>Ellerman</w:t>
      </w:r>
      <w:r w:rsidR="00E76133" w:rsidRPr="0037231F">
        <w:t>,</w:t>
      </w:r>
      <w:r w:rsidR="00DC1C51" w:rsidRPr="0037231F">
        <w:t xml:space="preserve"> </w:t>
      </w:r>
      <w:r w:rsidR="006342FE" w:rsidRPr="0037231F">
        <w:t>c</w:t>
      </w:r>
      <w:r w:rsidR="00DC1C51" w:rsidRPr="0037231F">
        <w:t>oncluded</w:t>
      </w:r>
      <w:r w:rsidR="002E0D8E" w:rsidRPr="0037231F">
        <w:t>,</w:t>
      </w:r>
      <w:r w:rsidR="009741FD" w:rsidRPr="0037231F">
        <w:t xml:space="preserve"> “As petitioner</w:t>
      </w:r>
      <w:r w:rsidR="0047034A" w:rsidRPr="0037231F">
        <w:t>s cannot file for reinstatement until</w:t>
      </w:r>
      <w:r w:rsidR="00265F5B" w:rsidRPr="0037231F">
        <w:t xml:space="preserve"> they pass the examination, [OCTC’s] proposed interp</w:t>
      </w:r>
      <w:r w:rsidR="0077339B" w:rsidRPr="0037231F">
        <w:t>retation of rule</w:t>
      </w:r>
      <w:r w:rsidR="003D393D" w:rsidRPr="0037231F">
        <w:t> </w:t>
      </w:r>
      <w:r w:rsidR="0077339B" w:rsidRPr="0037231F">
        <w:t xml:space="preserve">5.441(B)(3)(a) </w:t>
      </w:r>
      <w:r w:rsidR="00265F5B" w:rsidRPr="0037231F">
        <w:t>effectively and surreptitiously reduces the window of time to petition for reinstatement from three years to approximately thirty-three months.</w:t>
      </w:r>
      <w:r w:rsidR="00CC2B77" w:rsidRPr="0037231F">
        <w:t xml:space="preserve">  Such an interpretation is contrary to the clear </w:t>
      </w:r>
      <w:r w:rsidR="00CC2B77" w:rsidRPr="0037231F">
        <w:lastRenderedPageBreak/>
        <w:t>reading of the rule, and, as pointed out by Petitioner, serves no purpose other than creating a trap for unwary petitioners.  Moreover, there is a strong public policy favoring the resolution of matters on their merits.</w:t>
      </w:r>
      <w:r w:rsidR="005F4647" w:rsidRPr="0037231F">
        <w:t xml:space="preserve">”  </w:t>
      </w:r>
      <w:r w:rsidR="0077339B" w:rsidRPr="0037231F">
        <w:t>(</w:t>
      </w:r>
      <w:r w:rsidR="00D95350" w:rsidRPr="0037231F">
        <w:rPr>
          <w:i/>
        </w:rPr>
        <w:t>Ellerman</w:t>
      </w:r>
      <w:r w:rsidR="00D95350" w:rsidRPr="0037231F">
        <w:t xml:space="preserve">, </w:t>
      </w:r>
      <w:r w:rsidR="00D95350" w:rsidRPr="0037231F">
        <w:rPr>
          <w:i/>
        </w:rPr>
        <w:t>supra</w:t>
      </w:r>
      <w:r w:rsidR="00D95350" w:rsidRPr="0037231F">
        <w:t>,</w:t>
      </w:r>
      <w:r w:rsidR="00D95350" w:rsidRPr="0037231F">
        <w:rPr>
          <w:i/>
        </w:rPr>
        <w:t xml:space="preserve"> </w:t>
      </w:r>
      <w:r w:rsidR="00D95350" w:rsidRPr="0037231F">
        <w:t>o</w:t>
      </w:r>
      <w:r w:rsidR="00877E31" w:rsidRPr="0037231F">
        <w:t>rder</w:t>
      </w:r>
      <w:r w:rsidR="005A57CB" w:rsidRPr="0037231F">
        <w:t xml:space="preserve"> filed </w:t>
      </w:r>
      <w:r w:rsidR="00877E31" w:rsidRPr="0037231F">
        <w:t>Aug</w:t>
      </w:r>
      <w:r w:rsidR="00D95350" w:rsidRPr="0037231F">
        <w:t>.</w:t>
      </w:r>
      <w:r w:rsidR="00DA40B7" w:rsidRPr="0037231F">
        <w:t> </w:t>
      </w:r>
      <w:r w:rsidR="00877E31" w:rsidRPr="0037231F">
        <w:t>3, 2016</w:t>
      </w:r>
      <w:r w:rsidR="00D95350" w:rsidRPr="0037231F">
        <w:t>.</w:t>
      </w:r>
      <w:r w:rsidR="0077339B" w:rsidRPr="0037231F">
        <w:t>)</w:t>
      </w:r>
      <w:r w:rsidR="005F4647" w:rsidRPr="0037231F">
        <w:rPr>
          <w:rStyle w:val="FootnoteReference"/>
        </w:rPr>
        <w:t xml:space="preserve"> </w:t>
      </w:r>
      <w:r w:rsidR="005F4647" w:rsidRPr="0037231F">
        <w:rPr>
          <w:rStyle w:val="FootnoteReference"/>
        </w:rPr>
        <w:footnoteReference w:id="4"/>
      </w:r>
      <w:r w:rsidR="005F4647" w:rsidRPr="0037231F">
        <w:t xml:space="preserve"> </w:t>
      </w:r>
      <w:r w:rsidR="004F4ED0" w:rsidRPr="0037231F">
        <w:t xml:space="preserve">  </w:t>
      </w:r>
    </w:p>
    <w:p w:rsidR="0009090D" w:rsidRPr="0037231F" w:rsidRDefault="009C7071" w:rsidP="009F58D9">
      <w:pPr>
        <w:spacing w:line="480" w:lineRule="auto"/>
        <w:ind w:firstLine="720"/>
      </w:pPr>
      <w:r w:rsidRPr="0037231F">
        <w:t xml:space="preserve">Looking at </w:t>
      </w:r>
      <w:r w:rsidR="00292BED" w:rsidRPr="0037231F">
        <w:t>the plain language of</w:t>
      </w:r>
      <w:r w:rsidRPr="0037231F">
        <w:t xml:space="preserve"> Rule 9.10(f) and </w:t>
      </w:r>
      <w:r w:rsidR="005A57CB" w:rsidRPr="0037231F">
        <w:t>Rule 5.441</w:t>
      </w:r>
      <w:r w:rsidRPr="0037231F">
        <w:t>, w</w:t>
      </w:r>
      <w:r w:rsidR="00E706DB" w:rsidRPr="0037231F">
        <w:t>e read “have taken and passed</w:t>
      </w:r>
      <w:r w:rsidR="00D95350" w:rsidRPr="0037231F">
        <w:t xml:space="preserve"> </w:t>
      </w:r>
      <w:r w:rsidR="00C554CB" w:rsidRPr="0037231F">
        <w:t xml:space="preserve">the </w:t>
      </w:r>
      <w:r w:rsidR="00D95350" w:rsidRPr="0037231F">
        <w:t>[</w:t>
      </w:r>
      <w:r w:rsidR="00C554CB" w:rsidRPr="0037231F">
        <w:t>Attorney Exam]</w:t>
      </w:r>
      <w:r w:rsidR="00E706DB" w:rsidRPr="0037231F">
        <w:t>”</w:t>
      </w:r>
      <w:r w:rsidR="00C554CB" w:rsidRPr="0037231F">
        <w:t xml:space="preserve"> as a </w:t>
      </w:r>
      <w:r w:rsidR="00DB4906" w:rsidRPr="0037231F">
        <w:t>single prefiling requirement</w:t>
      </w:r>
      <w:r w:rsidR="00DB4906" w:rsidRPr="0037231F">
        <w:rPr>
          <w:rStyle w:val="FootnoteReference"/>
        </w:rPr>
        <w:footnoteReference w:id="5"/>
      </w:r>
      <w:r w:rsidR="0030694D" w:rsidRPr="0037231F">
        <w:t xml:space="preserve"> </w:t>
      </w:r>
      <w:r w:rsidR="00DB4906" w:rsidRPr="0037231F">
        <w:t xml:space="preserve">that </w:t>
      </w:r>
      <w:r w:rsidRPr="0037231F">
        <w:t xml:space="preserve">must </w:t>
      </w:r>
      <w:r w:rsidR="0030694D" w:rsidRPr="0037231F">
        <w:t>be fully satisfied</w:t>
      </w:r>
      <w:r w:rsidR="00DB4906" w:rsidRPr="0037231F">
        <w:t xml:space="preserve"> before </w:t>
      </w:r>
      <w:r w:rsidR="0030694D" w:rsidRPr="0037231F">
        <w:t>a petitioner</w:t>
      </w:r>
      <w:r w:rsidR="00DB4906" w:rsidRPr="0037231F">
        <w:t xml:space="preserve"> can file a petition for </w:t>
      </w:r>
      <w:r w:rsidRPr="0037231F">
        <w:t>reinstatement</w:t>
      </w:r>
      <w:r w:rsidR="00DB4906" w:rsidRPr="0037231F">
        <w:t>.</w:t>
      </w:r>
      <w:r w:rsidR="002404C7" w:rsidRPr="0037231F">
        <w:t xml:space="preserve">  </w:t>
      </w:r>
      <w:r w:rsidR="00292BED" w:rsidRPr="0037231F">
        <w:t>T</w:t>
      </w:r>
      <w:r w:rsidR="0030694D" w:rsidRPr="0037231F">
        <w:t>aking the Attorney Exam does not satisfy the</w:t>
      </w:r>
      <w:r w:rsidR="00DA5679" w:rsidRPr="0037231F">
        <w:t xml:space="preserve"> </w:t>
      </w:r>
      <w:r w:rsidR="0030694D" w:rsidRPr="0037231F">
        <w:t>requiremen</w:t>
      </w:r>
      <w:r w:rsidR="00DA5679" w:rsidRPr="0037231F">
        <w:t xml:space="preserve">t; </w:t>
      </w:r>
      <w:r w:rsidR="00292BED" w:rsidRPr="0037231F">
        <w:t xml:space="preserve">the petitioner </w:t>
      </w:r>
      <w:r w:rsidR="00E03306" w:rsidRPr="0037231F">
        <w:t>fulfills</w:t>
      </w:r>
      <w:r w:rsidR="00D95350" w:rsidRPr="0037231F">
        <w:t xml:space="preserve"> the pre</w:t>
      </w:r>
      <w:r w:rsidR="00292BED" w:rsidRPr="0037231F">
        <w:t xml:space="preserve">filing requirement </w:t>
      </w:r>
      <w:r w:rsidR="002E0D8E" w:rsidRPr="0037231F">
        <w:t xml:space="preserve">only </w:t>
      </w:r>
      <w:r w:rsidR="00A82DF6" w:rsidRPr="0037231F">
        <w:t>when</w:t>
      </w:r>
      <w:r w:rsidR="00292BED" w:rsidRPr="0037231F">
        <w:t xml:space="preserve"> he or she </w:t>
      </w:r>
      <w:r w:rsidR="00A82DF6" w:rsidRPr="0037231F">
        <w:t>passes</w:t>
      </w:r>
      <w:r w:rsidR="00292BED" w:rsidRPr="0037231F">
        <w:t xml:space="preserve"> the exam</w:t>
      </w:r>
      <w:r w:rsidR="00DA5679" w:rsidRPr="0037231F">
        <w:t xml:space="preserve">.  </w:t>
      </w:r>
      <w:r w:rsidR="00E03306" w:rsidRPr="0037231F">
        <w:t>W</w:t>
      </w:r>
      <w:r w:rsidR="002404C7" w:rsidRPr="0037231F">
        <w:t>e conclude</w:t>
      </w:r>
      <w:r w:rsidR="00DA5679" w:rsidRPr="0037231F">
        <w:t xml:space="preserve"> </w:t>
      </w:r>
      <w:r w:rsidR="006948C9" w:rsidRPr="0037231F">
        <w:t>that the most</w:t>
      </w:r>
      <w:r w:rsidR="002A41BB" w:rsidRPr="0037231F">
        <w:t xml:space="preserve"> reasonable </w:t>
      </w:r>
      <w:r w:rsidR="006948C9" w:rsidRPr="0037231F">
        <w:t>reading</w:t>
      </w:r>
      <w:r w:rsidR="002A41BB" w:rsidRPr="0037231F">
        <w:t xml:space="preserve"> of the rule is that</w:t>
      </w:r>
      <w:r w:rsidR="00DC3D26" w:rsidRPr="0037231F">
        <w:t xml:space="preserve"> </w:t>
      </w:r>
      <w:r w:rsidR="00292BED" w:rsidRPr="0037231F">
        <w:t>passage</w:t>
      </w:r>
      <w:r w:rsidR="00E03306" w:rsidRPr="0037231F">
        <w:t xml:space="preserve"> of the exam</w:t>
      </w:r>
      <w:r w:rsidR="00292BED" w:rsidRPr="0037231F">
        <w:t xml:space="preserve"> triggers the</w:t>
      </w:r>
      <w:r w:rsidR="00956BB7" w:rsidRPr="0037231F">
        <w:t xml:space="preserve"> start of the</w:t>
      </w:r>
      <w:r w:rsidR="00292BED" w:rsidRPr="0037231F">
        <w:t xml:space="preserve"> </w:t>
      </w:r>
      <w:r w:rsidR="00FA7F21" w:rsidRPr="0037231F">
        <w:t>three-year</w:t>
      </w:r>
      <w:r w:rsidR="00DC3D26" w:rsidRPr="0037231F">
        <w:t xml:space="preserve"> limitation</w:t>
      </w:r>
      <w:r w:rsidR="00292BED" w:rsidRPr="0037231F">
        <w:t xml:space="preserve">.  </w:t>
      </w:r>
      <w:r w:rsidR="00A11685" w:rsidRPr="0037231F">
        <w:t>Thus, a p</w:t>
      </w:r>
      <w:r w:rsidR="003041DB" w:rsidRPr="0037231F">
        <w:t>etitioner must file a petition</w:t>
      </w:r>
      <w:r w:rsidR="00A11685" w:rsidRPr="0037231F">
        <w:t xml:space="preserve"> for rein</w:t>
      </w:r>
      <w:r w:rsidR="003041DB" w:rsidRPr="0037231F">
        <w:t xml:space="preserve">statement within three years after </w:t>
      </w:r>
      <w:r w:rsidR="00F52657" w:rsidRPr="0037231F">
        <w:t xml:space="preserve">the date </w:t>
      </w:r>
      <w:r w:rsidR="00730FDB" w:rsidRPr="0037231F">
        <w:t>he or she</w:t>
      </w:r>
      <w:r w:rsidR="00F52657" w:rsidRPr="0037231F">
        <w:t xml:space="preserve"> passed the </w:t>
      </w:r>
      <w:r w:rsidR="00730FDB" w:rsidRPr="0037231F">
        <w:t>Attorney Exam</w:t>
      </w:r>
      <w:r w:rsidR="00F52657" w:rsidRPr="0037231F">
        <w:t>, which</w:t>
      </w:r>
      <w:r w:rsidR="0009090D" w:rsidRPr="0037231F">
        <w:t xml:space="preserve"> </w:t>
      </w:r>
      <w:r w:rsidR="00DE419E" w:rsidRPr="0037231F">
        <w:t xml:space="preserve">is </w:t>
      </w:r>
      <w:r w:rsidR="003041DB" w:rsidRPr="0037231F">
        <w:t>the date o</w:t>
      </w:r>
      <w:r w:rsidR="00780B70" w:rsidRPr="0037231F">
        <w:t xml:space="preserve">f </w:t>
      </w:r>
      <w:r w:rsidR="00A11685" w:rsidRPr="0037231F">
        <w:t>the</w:t>
      </w:r>
      <w:r w:rsidR="00F52657" w:rsidRPr="0037231F">
        <w:t xml:space="preserve"> written notification mailed by the Committee of Bar Examiners to </w:t>
      </w:r>
      <w:r w:rsidR="00DE419E" w:rsidRPr="0037231F">
        <w:t xml:space="preserve">the petitioner.  </w:t>
      </w:r>
      <w:r w:rsidR="00730FDB" w:rsidRPr="0037231F">
        <w:t xml:space="preserve">In this case, </w:t>
      </w:r>
      <w:r w:rsidR="00DE419E" w:rsidRPr="0037231F">
        <w:t>the date of passage was</w:t>
      </w:r>
      <w:r w:rsidR="001D61D4" w:rsidRPr="0037231F">
        <w:t xml:space="preserve"> </w:t>
      </w:r>
      <w:r w:rsidR="00DE419E" w:rsidRPr="0037231F">
        <w:t>May 17, 2013, and</w:t>
      </w:r>
      <w:r w:rsidR="001D61D4" w:rsidRPr="0037231F">
        <w:t xml:space="preserve"> we find that</w:t>
      </w:r>
      <w:r w:rsidR="00DE419E" w:rsidRPr="0037231F">
        <w:t xml:space="preserve"> </w:t>
      </w:r>
      <w:r w:rsidR="009F58D9" w:rsidRPr="0037231F">
        <w:t xml:space="preserve">Unger timely filed his petition within three years of that date on May 16, 2016. </w:t>
      </w:r>
      <w:r w:rsidR="00DE419E" w:rsidRPr="0037231F">
        <w:t xml:space="preserve"> </w:t>
      </w:r>
    </w:p>
    <w:p w:rsidR="004A56C7" w:rsidRPr="0037231F" w:rsidRDefault="00A92EF0" w:rsidP="0009090D">
      <w:pPr>
        <w:spacing w:line="480" w:lineRule="auto"/>
        <w:ind w:firstLine="720"/>
      </w:pPr>
      <w:r w:rsidRPr="0037231F">
        <w:t>We disagree with the</w:t>
      </w:r>
      <w:r w:rsidR="00E01D19" w:rsidRPr="0037231F">
        <w:t xml:space="preserve"> hearing judge’s reasoning</w:t>
      </w:r>
      <w:r w:rsidR="00F52657" w:rsidRPr="0037231F">
        <w:t xml:space="preserve"> that this</w:t>
      </w:r>
      <w:r w:rsidR="00110403" w:rsidRPr="0037231F">
        <w:t xml:space="preserve"> reading of the rule</w:t>
      </w:r>
      <w:r w:rsidR="00F52657" w:rsidRPr="0037231F">
        <w:t xml:space="preserve"> </w:t>
      </w:r>
      <w:r w:rsidR="00110403" w:rsidRPr="0037231F">
        <w:t>would result in</w:t>
      </w:r>
      <w:r w:rsidR="00F52657" w:rsidRPr="0037231F">
        <w:t xml:space="preserve"> “no time limitation on when the petitioner is r</w:t>
      </w:r>
      <w:r w:rsidR="00110403" w:rsidRPr="0037231F">
        <w:t>equired to take the examination</w:t>
      </w:r>
      <w:r w:rsidRPr="0037231F">
        <w:t>.</w:t>
      </w:r>
      <w:r w:rsidR="00110403" w:rsidRPr="0037231F">
        <w:t>”</w:t>
      </w:r>
      <w:r w:rsidRPr="0037231F">
        <w:t xml:space="preserve">  O</w:t>
      </w:r>
      <w:r w:rsidR="00ED7A32" w:rsidRPr="0037231F">
        <w:t xml:space="preserve">ur general understanding is that the Committee of Bar Examiners </w:t>
      </w:r>
      <w:r w:rsidR="0009090D" w:rsidRPr="0037231F">
        <w:t>notifies</w:t>
      </w:r>
      <w:r w:rsidR="00ED7A32" w:rsidRPr="0037231F">
        <w:t xml:space="preserve"> test</w:t>
      </w:r>
      <w:r w:rsidR="00D95350" w:rsidRPr="0037231F">
        <w:t xml:space="preserve"> </w:t>
      </w:r>
      <w:r w:rsidR="00ED7A32" w:rsidRPr="0037231F">
        <w:t xml:space="preserve">takers of </w:t>
      </w:r>
      <w:r w:rsidRPr="0037231F">
        <w:t>examination</w:t>
      </w:r>
      <w:r w:rsidR="00ED7A32" w:rsidRPr="0037231F">
        <w:t xml:space="preserve"> results in writing within </w:t>
      </w:r>
      <w:r w:rsidRPr="0037231F">
        <w:t xml:space="preserve">three </w:t>
      </w:r>
      <w:r w:rsidR="001515BE" w:rsidRPr="0037231F">
        <w:t>t</w:t>
      </w:r>
      <w:r w:rsidRPr="0037231F">
        <w:t xml:space="preserve">o four </w:t>
      </w:r>
      <w:r w:rsidR="00ED7A32" w:rsidRPr="0037231F">
        <w:t xml:space="preserve">months </w:t>
      </w:r>
      <w:r w:rsidR="001515BE" w:rsidRPr="0037231F">
        <w:t>after</w:t>
      </w:r>
      <w:r w:rsidR="00ED7A32" w:rsidRPr="0037231F">
        <w:t xml:space="preserve"> the administration of the </w:t>
      </w:r>
      <w:r w:rsidR="00730FDB" w:rsidRPr="0037231F">
        <w:t>Attorney Exam</w:t>
      </w:r>
      <w:r w:rsidR="00ED7A32" w:rsidRPr="0037231F">
        <w:t>.</w:t>
      </w:r>
      <w:r w:rsidR="00DE419E" w:rsidRPr="0037231F">
        <w:t xml:space="preserve">  </w:t>
      </w:r>
      <w:r w:rsidR="00602A1E" w:rsidRPr="0037231F">
        <w:t xml:space="preserve">Should a hearing judge confront </w:t>
      </w:r>
      <w:r w:rsidR="00730FDB" w:rsidRPr="0037231F">
        <w:t>a</w:t>
      </w:r>
      <w:r w:rsidR="00602A1E" w:rsidRPr="0037231F">
        <w:t xml:space="preserve"> factual situation</w:t>
      </w:r>
      <w:r w:rsidR="00443FFE" w:rsidRPr="0037231F">
        <w:t xml:space="preserve"> where</w:t>
      </w:r>
      <w:r w:rsidR="002D2DD9" w:rsidRPr="0037231F">
        <w:t xml:space="preserve"> </w:t>
      </w:r>
      <w:r w:rsidR="00443FFE" w:rsidRPr="0037231F">
        <w:t>a</w:t>
      </w:r>
      <w:r w:rsidR="002D2DD9" w:rsidRPr="0037231F">
        <w:t xml:space="preserve"> petitioner’s notification is </w:t>
      </w:r>
      <w:r w:rsidR="00332631" w:rsidRPr="0037231F">
        <w:t xml:space="preserve">dated </w:t>
      </w:r>
      <w:r w:rsidR="002D2DD9" w:rsidRPr="0037231F">
        <w:t xml:space="preserve">more than </w:t>
      </w:r>
      <w:r w:rsidR="001D61D4" w:rsidRPr="0037231F">
        <w:t>four</w:t>
      </w:r>
      <w:r w:rsidR="00956BB7" w:rsidRPr="0037231F">
        <w:t xml:space="preserve"> </w:t>
      </w:r>
      <w:r w:rsidR="00332631" w:rsidRPr="0037231F">
        <w:t xml:space="preserve">months </w:t>
      </w:r>
      <w:r w:rsidR="00A444A2" w:rsidRPr="0037231F">
        <w:t>after</w:t>
      </w:r>
      <w:r w:rsidR="00332631" w:rsidRPr="0037231F">
        <w:t xml:space="preserve"> the administration of the Attorney Exam</w:t>
      </w:r>
      <w:r w:rsidR="002D2DD9" w:rsidRPr="0037231F">
        <w:t xml:space="preserve">, </w:t>
      </w:r>
      <w:r w:rsidR="00A444A2" w:rsidRPr="0037231F">
        <w:t>the</w:t>
      </w:r>
      <w:r w:rsidR="00443FFE" w:rsidRPr="0037231F">
        <w:t xml:space="preserve"> judge </w:t>
      </w:r>
      <w:r w:rsidR="00332631" w:rsidRPr="0037231F">
        <w:t>retains</w:t>
      </w:r>
      <w:r w:rsidR="00902002" w:rsidRPr="0037231F">
        <w:t xml:space="preserve"> the</w:t>
      </w:r>
      <w:r w:rsidR="00443FFE" w:rsidRPr="0037231F">
        <w:t xml:space="preserve"> discretion to </w:t>
      </w:r>
      <w:r w:rsidR="002D2DD9" w:rsidRPr="0037231F">
        <w:lastRenderedPageBreak/>
        <w:t>determine</w:t>
      </w:r>
      <w:r w:rsidR="00332631" w:rsidRPr="0037231F">
        <w:t>,</w:t>
      </w:r>
      <w:r w:rsidR="002D2DD9" w:rsidRPr="0037231F">
        <w:t xml:space="preserve"> based on the particular facts of the case</w:t>
      </w:r>
      <w:r w:rsidR="00332631" w:rsidRPr="0037231F">
        <w:t>,</w:t>
      </w:r>
      <w:r w:rsidR="002D2DD9" w:rsidRPr="0037231F">
        <w:t xml:space="preserve"> whether the petitioner</w:t>
      </w:r>
      <w:r w:rsidR="00BF5A8F" w:rsidRPr="0037231F">
        <w:t xml:space="preserve"> has failed to timely file for reinstatement.</w:t>
      </w:r>
      <w:r w:rsidR="00DE419E" w:rsidRPr="0037231F">
        <w:t xml:space="preserve">  </w:t>
      </w:r>
      <w:r w:rsidR="00BF5A8F" w:rsidRPr="0037231F">
        <w:t xml:space="preserve"> </w:t>
      </w:r>
    </w:p>
    <w:p w:rsidR="00730FDB" w:rsidRPr="0037231F" w:rsidRDefault="00730FDB" w:rsidP="00024A66">
      <w:pPr>
        <w:pStyle w:val="Heading2"/>
        <w:rPr>
          <w:rFonts w:ascii="Times New Roman" w:hAnsi="Times New Roman" w:cs="Times New Roman"/>
        </w:rPr>
      </w:pPr>
      <w:r w:rsidRPr="0037231F">
        <w:rPr>
          <w:rFonts w:ascii="Times New Roman" w:hAnsi="Times New Roman" w:cs="Times New Roman"/>
        </w:rPr>
        <w:t>III.  ORDER</w:t>
      </w:r>
    </w:p>
    <w:p w:rsidR="00730FDB" w:rsidRPr="0037231F" w:rsidRDefault="00730FDB" w:rsidP="00730FDB">
      <w:pPr>
        <w:spacing w:line="480" w:lineRule="auto"/>
      </w:pPr>
      <w:r w:rsidRPr="0037231F">
        <w:rPr>
          <w:bCs/>
        </w:rPr>
        <w:tab/>
        <w:t>For the reasons set forth above, we reverse the hearing judge’s dismissal</w:t>
      </w:r>
      <w:r w:rsidR="00E01D19" w:rsidRPr="0037231F">
        <w:rPr>
          <w:bCs/>
        </w:rPr>
        <w:t xml:space="preserve"> of Unger’s petition for reinstatement to the practice of law,</w:t>
      </w:r>
      <w:r w:rsidRPr="0037231F">
        <w:rPr>
          <w:bCs/>
        </w:rPr>
        <w:t xml:space="preserve"> and remand this matter to the Hearing Department </w:t>
      </w:r>
      <w:r w:rsidR="00951128" w:rsidRPr="0037231F">
        <w:t>to allow for further proceedings under rule</w:t>
      </w:r>
      <w:r w:rsidR="00A444A2" w:rsidRPr="0037231F">
        <w:t> </w:t>
      </w:r>
      <w:r w:rsidR="00951128" w:rsidRPr="0037231F">
        <w:t>5.440 et seq. of the Rules of Procedure of the State Bar.</w:t>
      </w:r>
    </w:p>
    <w:p w:rsidR="006E5F70" w:rsidRPr="0037231F" w:rsidRDefault="006E5F70" w:rsidP="00730FDB">
      <w:pPr>
        <w:spacing w:line="480" w:lineRule="auto"/>
        <w:rPr>
          <w:bCs/>
        </w:rPr>
      </w:pPr>
    </w:p>
    <w:p w:rsidR="00FF3102" w:rsidRPr="0037231F" w:rsidRDefault="00FF3102">
      <w:pPr>
        <w:rPr>
          <w:bCs/>
        </w:rPr>
      </w:pPr>
      <w:r w:rsidRPr="0037231F">
        <w:rPr>
          <w:bCs/>
        </w:rPr>
        <w:br w:type="page"/>
      </w:r>
    </w:p>
    <w:p w:rsidR="00E568F8" w:rsidRPr="0037231F" w:rsidRDefault="00E568F8" w:rsidP="00E568F8">
      <w:pPr>
        <w:jc w:val="center"/>
        <w:rPr>
          <w:b/>
          <w:bCs/>
        </w:rPr>
      </w:pPr>
    </w:p>
    <w:p w:rsidR="00E568F8" w:rsidRPr="0037231F" w:rsidRDefault="00E568F8" w:rsidP="00E568F8">
      <w:pPr>
        <w:jc w:val="center"/>
        <w:rPr>
          <w:b/>
          <w:bCs/>
        </w:rPr>
      </w:pPr>
    </w:p>
    <w:p w:rsidR="00E568F8" w:rsidRPr="0037231F" w:rsidRDefault="00E568F8" w:rsidP="00E568F8">
      <w:pPr>
        <w:jc w:val="center"/>
        <w:rPr>
          <w:b/>
          <w:bCs/>
        </w:rPr>
      </w:pPr>
    </w:p>
    <w:p w:rsidR="00E568F8" w:rsidRPr="0037231F" w:rsidRDefault="00E568F8" w:rsidP="00E568F8">
      <w:pPr>
        <w:jc w:val="center"/>
        <w:rPr>
          <w:b/>
          <w:bCs/>
        </w:rPr>
      </w:pPr>
    </w:p>
    <w:p w:rsidR="00E568F8" w:rsidRPr="0037231F" w:rsidRDefault="00E568F8" w:rsidP="00E568F8">
      <w:pPr>
        <w:jc w:val="center"/>
      </w:pPr>
      <w:r w:rsidRPr="0037231F">
        <w:rPr>
          <w:b/>
          <w:bCs/>
        </w:rPr>
        <w:t>Case No. 16-R-13205</w:t>
      </w:r>
    </w:p>
    <w:p w:rsidR="00E568F8" w:rsidRPr="0037231F" w:rsidRDefault="00E568F8" w:rsidP="00E568F8">
      <w:pPr>
        <w:jc w:val="center"/>
      </w:pPr>
    </w:p>
    <w:p w:rsidR="00E568F8" w:rsidRPr="0037231F" w:rsidRDefault="00E568F8" w:rsidP="00E568F8">
      <w:pPr>
        <w:jc w:val="center"/>
      </w:pPr>
    </w:p>
    <w:p w:rsidR="00E568F8" w:rsidRPr="0037231F" w:rsidRDefault="00E568F8" w:rsidP="00E568F8">
      <w:pPr>
        <w:jc w:val="center"/>
      </w:pPr>
    </w:p>
    <w:p w:rsidR="00E568F8" w:rsidRPr="0037231F" w:rsidRDefault="00E568F8" w:rsidP="00E568F8">
      <w:pPr>
        <w:ind w:left="-90"/>
        <w:jc w:val="center"/>
        <w:rPr>
          <w:i/>
        </w:rPr>
      </w:pPr>
      <w:r w:rsidRPr="0037231F">
        <w:rPr>
          <w:b/>
          <w:bCs/>
          <w:i/>
          <w:iCs/>
        </w:rPr>
        <w:t xml:space="preserve">In the Matter of </w:t>
      </w:r>
    </w:p>
    <w:p w:rsidR="00E568F8" w:rsidRPr="0037231F" w:rsidRDefault="00E568F8" w:rsidP="00E568F8">
      <w:pPr>
        <w:ind w:left="-90"/>
        <w:jc w:val="center"/>
        <w:rPr>
          <w:i/>
        </w:rPr>
      </w:pPr>
    </w:p>
    <w:p w:rsidR="00E568F8" w:rsidRPr="0037231F" w:rsidRDefault="00E568F8" w:rsidP="00E568F8">
      <w:pPr>
        <w:ind w:left="-90"/>
        <w:jc w:val="center"/>
        <w:rPr>
          <w:i/>
        </w:rPr>
      </w:pPr>
    </w:p>
    <w:p w:rsidR="00E568F8" w:rsidRPr="0037231F" w:rsidRDefault="00E568F8" w:rsidP="00E568F8">
      <w:pPr>
        <w:ind w:left="-90"/>
        <w:jc w:val="center"/>
        <w:rPr>
          <w:b/>
        </w:rPr>
      </w:pPr>
      <w:r w:rsidRPr="0037231F">
        <w:rPr>
          <w:b/>
        </w:rPr>
        <w:t>STEVEN HOWARD UNGER</w:t>
      </w:r>
    </w:p>
    <w:p w:rsidR="00E568F8" w:rsidRPr="0037231F" w:rsidRDefault="00E568F8" w:rsidP="00E568F8">
      <w:pPr>
        <w:ind w:left="-90"/>
        <w:jc w:val="center"/>
      </w:pPr>
    </w:p>
    <w:p w:rsidR="00E568F8" w:rsidRPr="0037231F" w:rsidRDefault="00E568F8" w:rsidP="00E568F8">
      <w:pPr>
        <w:ind w:left="-90"/>
        <w:jc w:val="center"/>
      </w:pPr>
    </w:p>
    <w:p w:rsidR="00E568F8" w:rsidRPr="0037231F" w:rsidRDefault="00E568F8" w:rsidP="00E568F8">
      <w:pPr>
        <w:ind w:left="-90"/>
        <w:jc w:val="center"/>
      </w:pPr>
    </w:p>
    <w:p w:rsidR="00E568F8" w:rsidRPr="0037231F" w:rsidRDefault="00E568F8" w:rsidP="00E568F8">
      <w:pPr>
        <w:ind w:left="-90"/>
        <w:jc w:val="center"/>
      </w:pPr>
    </w:p>
    <w:p w:rsidR="00E568F8" w:rsidRPr="0037231F" w:rsidRDefault="00E568F8" w:rsidP="00E568F8">
      <w:pPr>
        <w:ind w:left="-90"/>
        <w:jc w:val="center"/>
      </w:pPr>
    </w:p>
    <w:p w:rsidR="00E568F8" w:rsidRPr="0037231F" w:rsidRDefault="00E568F8" w:rsidP="00E568F8">
      <w:pPr>
        <w:ind w:left="-90"/>
        <w:jc w:val="center"/>
      </w:pPr>
    </w:p>
    <w:p w:rsidR="00E568F8" w:rsidRPr="0037231F" w:rsidRDefault="00E568F8" w:rsidP="00E568F8">
      <w:pPr>
        <w:ind w:left="-90"/>
        <w:jc w:val="center"/>
      </w:pPr>
    </w:p>
    <w:p w:rsidR="00E568F8" w:rsidRPr="0037231F" w:rsidRDefault="00E568F8" w:rsidP="00E568F8">
      <w:pPr>
        <w:ind w:left="-90"/>
        <w:jc w:val="center"/>
      </w:pPr>
    </w:p>
    <w:p w:rsidR="00E568F8" w:rsidRPr="0037231F" w:rsidRDefault="00E568F8" w:rsidP="00E568F8">
      <w:pPr>
        <w:ind w:left="-90"/>
        <w:jc w:val="center"/>
        <w:rPr>
          <w:iCs/>
        </w:rPr>
      </w:pPr>
      <w:r w:rsidRPr="0037231F">
        <w:rPr>
          <w:iCs/>
        </w:rPr>
        <w:t>Hearing Judge</w:t>
      </w:r>
    </w:p>
    <w:p w:rsidR="00E568F8" w:rsidRPr="0037231F" w:rsidRDefault="00E568F8" w:rsidP="00E568F8">
      <w:pPr>
        <w:ind w:left="-90"/>
        <w:rPr>
          <w:u w:val="single"/>
        </w:rPr>
      </w:pPr>
    </w:p>
    <w:p w:rsidR="00E568F8" w:rsidRPr="0037231F" w:rsidRDefault="00E568F8" w:rsidP="00E568F8">
      <w:pPr>
        <w:tabs>
          <w:tab w:val="center" w:pos="4635"/>
          <w:tab w:val="left" w:pos="4950"/>
          <w:tab w:val="left" w:pos="5670"/>
          <w:tab w:val="left" w:pos="6390"/>
          <w:tab w:val="left" w:pos="7110"/>
          <w:tab w:val="left" w:pos="7830"/>
          <w:tab w:val="left" w:pos="8550"/>
          <w:tab w:val="left" w:pos="9270"/>
        </w:tabs>
        <w:ind w:left="-90"/>
      </w:pPr>
      <w:r w:rsidRPr="0037231F">
        <w:tab/>
      </w:r>
      <w:r w:rsidRPr="0037231F">
        <w:rPr>
          <w:b/>
          <w:bCs/>
        </w:rPr>
        <w:t>Hon. Donald F. Miles</w:t>
      </w:r>
    </w:p>
    <w:p w:rsidR="00E568F8" w:rsidRPr="0037231F" w:rsidRDefault="00E568F8" w:rsidP="00E568F8">
      <w:pPr>
        <w:ind w:left="-90"/>
      </w:pPr>
    </w:p>
    <w:p w:rsidR="00E568F8" w:rsidRPr="0037231F" w:rsidRDefault="00E568F8" w:rsidP="00E568F8">
      <w:pPr>
        <w:ind w:left="-90"/>
      </w:pPr>
    </w:p>
    <w:p w:rsidR="00E568F8" w:rsidRPr="0037231F" w:rsidRDefault="00E568F8" w:rsidP="00E568F8">
      <w:pPr>
        <w:ind w:left="-90" w:firstLine="7200"/>
      </w:pPr>
    </w:p>
    <w:p w:rsidR="00E568F8" w:rsidRPr="0037231F" w:rsidRDefault="00E568F8" w:rsidP="00E568F8">
      <w:pPr>
        <w:ind w:left="-90"/>
      </w:pPr>
    </w:p>
    <w:p w:rsidR="00E568F8" w:rsidRPr="0037231F" w:rsidRDefault="00E568F8" w:rsidP="00E568F8">
      <w:pPr>
        <w:ind w:left="-90"/>
      </w:pPr>
    </w:p>
    <w:p w:rsidR="00E568F8" w:rsidRPr="0037231F" w:rsidRDefault="00E568F8" w:rsidP="00E568F8">
      <w:pPr>
        <w:ind w:left="-90"/>
      </w:pPr>
    </w:p>
    <w:p w:rsidR="00E568F8" w:rsidRPr="0037231F" w:rsidRDefault="00E568F8" w:rsidP="00E568F8">
      <w:pPr>
        <w:ind w:left="-90"/>
      </w:pPr>
    </w:p>
    <w:p w:rsidR="00E568F8" w:rsidRPr="0037231F" w:rsidRDefault="00E568F8" w:rsidP="00E568F8">
      <w:pPr>
        <w:ind w:left="-90"/>
      </w:pPr>
    </w:p>
    <w:p w:rsidR="00E568F8" w:rsidRPr="0037231F" w:rsidRDefault="00E568F8" w:rsidP="00E568F8">
      <w:pPr>
        <w:tabs>
          <w:tab w:val="center" w:pos="4635"/>
          <w:tab w:val="left" w:pos="4950"/>
          <w:tab w:val="left" w:pos="5670"/>
          <w:tab w:val="left" w:pos="6390"/>
          <w:tab w:val="left" w:pos="7110"/>
          <w:tab w:val="left" w:pos="7830"/>
          <w:tab w:val="left" w:pos="8550"/>
          <w:tab w:val="left" w:pos="9270"/>
        </w:tabs>
        <w:ind w:left="-90"/>
        <w:rPr>
          <w:b/>
          <w:bCs/>
          <w:iCs/>
        </w:rPr>
      </w:pPr>
      <w:r w:rsidRPr="0037231F">
        <w:tab/>
      </w:r>
      <w:r w:rsidRPr="0037231F">
        <w:rPr>
          <w:iCs/>
        </w:rPr>
        <w:t>Counsel for the Parties</w:t>
      </w:r>
    </w:p>
    <w:p w:rsidR="00E568F8" w:rsidRPr="0037231F" w:rsidRDefault="00E568F8" w:rsidP="00E568F8">
      <w:pPr>
        <w:ind w:left="-90"/>
        <w:rPr>
          <w:b/>
          <w:bCs/>
        </w:rPr>
      </w:pPr>
    </w:p>
    <w:p w:rsidR="00E568F8" w:rsidRPr="0037231F" w:rsidRDefault="00E568F8" w:rsidP="00E568F8">
      <w:pPr>
        <w:ind w:left="-90"/>
      </w:pPr>
    </w:p>
    <w:p w:rsidR="00E568F8" w:rsidRPr="0037231F" w:rsidRDefault="00E568F8" w:rsidP="00E568F8">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4950" w:hanging="3600"/>
        <w:rPr>
          <w:b/>
          <w:bCs/>
        </w:rPr>
      </w:pPr>
      <w:r w:rsidRPr="0037231F">
        <w:t>For State Bar of California:</w:t>
      </w:r>
      <w:r w:rsidRPr="0037231F">
        <w:rPr>
          <w:b/>
          <w:bCs/>
        </w:rPr>
        <w:tab/>
      </w:r>
      <w:r w:rsidRPr="0037231F">
        <w:rPr>
          <w:b/>
          <w:bCs/>
        </w:rPr>
        <w:tab/>
        <w:t>Kevin B. Taylor, Esq.</w:t>
      </w:r>
    </w:p>
    <w:p w:rsidR="00E568F8" w:rsidRPr="0037231F" w:rsidRDefault="00E568F8" w:rsidP="00E568F8">
      <w:pPr>
        <w:ind w:left="-90" w:firstLine="5040"/>
        <w:rPr>
          <w:b/>
          <w:bCs/>
        </w:rPr>
      </w:pPr>
      <w:r w:rsidRPr="0037231F">
        <w:rPr>
          <w:b/>
          <w:bCs/>
        </w:rPr>
        <w:t>Office of the Chief Trial Counsel</w:t>
      </w:r>
    </w:p>
    <w:p w:rsidR="00E568F8" w:rsidRPr="0037231F" w:rsidRDefault="00E568F8" w:rsidP="00E568F8">
      <w:pPr>
        <w:ind w:left="-90" w:firstLine="5040"/>
        <w:rPr>
          <w:b/>
          <w:bCs/>
        </w:rPr>
      </w:pPr>
      <w:r w:rsidRPr="0037231F">
        <w:rPr>
          <w:b/>
          <w:bCs/>
        </w:rPr>
        <w:t>The State Bar of California</w:t>
      </w:r>
    </w:p>
    <w:p w:rsidR="00E568F8" w:rsidRPr="0037231F" w:rsidRDefault="00E568F8" w:rsidP="00E568F8">
      <w:pPr>
        <w:ind w:left="-90" w:firstLine="5040"/>
        <w:rPr>
          <w:b/>
          <w:bCs/>
        </w:rPr>
      </w:pPr>
      <w:r w:rsidRPr="0037231F">
        <w:rPr>
          <w:b/>
          <w:bCs/>
        </w:rPr>
        <w:t>180 Howard St.</w:t>
      </w:r>
    </w:p>
    <w:p w:rsidR="00E568F8" w:rsidRPr="0037231F" w:rsidRDefault="00E568F8" w:rsidP="00E568F8">
      <w:pPr>
        <w:ind w:left="-90" w:firstLine="5040"/>
        <w:rPr>
          <w:b/>
          <w:bCs/>
        </w:rPr>
      </w:pPr>
      <w:r w:rsidRPr="0037231F">
        <w:rPr>
          <w:b/>
          <w:bCs/>
        </w:rPr>
        <w:t>San Francisco, CA 94105</w:t>
      </w:r>
    </w:p>
    <w:p w:rsidR="00E568F8" w:rsidRPr="0037231F" w:rsidRDefault="00E568F8" w:rsidP="00E568F8">
      <w:pPr>
        <w:ind w:left="-90"/>
        <w:rPr>
          <w:b/>
          <w:bCs/>
        </w:rPr>
      </w:pPr>
    </w:p>
    <w:p w:rsidR="00E568F8" w:rsidRPr="0037231F" w:rsidRDefault="00E568F8" w:rsidP="00E568F8">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5670" w:hanging="4320"/>
        <w:rPr>
          <w:b/>
          <w:bCs/>
        </w:rPr>
      </w:pPr>
      <w:r w:rsidRPr="0037231F">
        <w:t>For Respondent:</w:t>
      </w:r>
      <w:r w:rsidRPr="0037231F">
        <w:rPr>
          <w:b/>
          <w:bCs/>
        </w:rPr>
        <w:tab/>
      </w:r>
      <w:r w:rsidRPr="0037231F">
        <w:rPr>
          <w:b/>
          <w:bCs/>
        </w:rPr>
        <w:tab/>
      </w:r>
      <w:r w:rsidRPr="0037231F">
        <w:rPr>
          <w:b/>
          <w:bCs/>
        </w:rPr>
        <w:tab/>
        <w:t>Kevin P. Gerry, Esq.</w:t>
      </w:r>
    </w:p>
    <w:p w:rsidR="00E568F8" w:rsidRPr="0037231F" w:rsidRDefault="00E568F8" w:rsidP="00E568F8">
      <w:pPr>
        <w:ind w:left="-90" w:firstLine="5040"/>
        <w:rPr>
          <w:b/>
          <w:bCs/>
        </w:rPr>
      </w:pPr>
      <w:r w:rsidRPr="0037231F">
        <w:rPr>
          <w:b/>
        </w:rPr>
        <w:t>711 N. Soledad St.</w:t>
      </w:r>
    </w:p>
    <w:p w:rsidR="00E568F8" w:rsidRPr="0037231F" w:rsidRDefault="00FF0B6F" w:rsidP="00E568F8">
      <w:pPr>
        <w:ind w:left="-90" w:firstLine="5040"/>
        <w:rPr>
          <w:b/>
        </w:rPr>
      </w:pPr>
      <w:r w:rsidRPr="0037231F">
        <w:rPr>
          <w:b/>
        </w:rPr>
        <w:t xml:space="preserve">Santa Barbara, CA </w:t>
      </w:r>
      <w:r w:rsidR="00E568F8" w:rsidRPr="0037231F">
        <w:rPr>
          <w:b/>
        </w:rPr>
        <w:t>93103</w:t>
      </w:r>
    </w:p>
    <w:p w:rsidR="00E568F8" w:rsidRPr="0037231F" w:rsidRDefault="00E568F8" w:rsidP="00E568F8">
      <w:pPr>
        <w:ind w:left="-90" w:firstLine="5040"/>
        <w:rPr>
          <w:b/>
        </w:rPr>
      </w:pPr>
    </w:p>
    <w:p w:rsidR="00FF3102" w:rsidRPr="0037231F" w:rsidRDefault="00FF3102" w:rsidP="00730FDB">
      <w:pPr>
        <w:spacing w:line="480" w:lineRule="auto"/>
        <w:rPr>
          <w:bCs/>
        </w:rPr>
      </w:pPr>
    </w:p>
    <w:sectPr w:rsidR="00FF3102" w:rsidRPr="0037231F" w:rsidSect="002A15D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864" w:left="1440" w:header="720"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D26" w:rsidRDefault="00C64D26" w:rsidP="00055C8A">
      <w:r>
        <w:separator/>
      </w:r>
    </w:p>
  </w:endnote>
  <w:endnote w:type="continuationSeparator" w:id="0">
    <w:p w:rsidR="00C64D26" w:rsidRDefault="00C64D26" w:rsidP="00055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DD" w:rsidRDefault="00541E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A62" w:rsidRDefault="00541EDD">
    <w:pPr>
      <w:pStyle w:val="Footer"/>
      <w:jc w:val="center"/>
    </w:pPr>
    <w:sdt>
      <w:sdtPr>
        <w:id w:val="11328990"/>
        <w:docPartObj>
          <w:docPartGallery w:val="Page Numbers (Bottom of Page)"/>
          <w:docPartUnique/>
        </w:docPartObj>
      </w:sdtPr>
      <w:sdtEndPr/>
      <w:sdtContent>
        <w:r w:rsidR="00A41A62">
          <w:t>-</w:t>
        </w:r>
        <w:r w:rsidR="00A41A62">
          <w:fldChar w:fldCharType="begin"/>
        </w:r>
        <w:r w:rsidR="00A41A62">
          <w:instrText xml:space="preserve"> PAGE   \* MERGEFORMAT </w:instrText>
        </w:r>
        <w:r w:rsidR="00A41A62">
          <w:fldChar w:fldCharType="separate"/>
        </w:r>
        <w:r>
          <w:rPr>
            <w:noProof/>
          </w:rPr>
          <w:t>6</w:t>
        </w:r>
        <w:r w:rsidR="00A41A62">
          <w:rPr>
            <w:noProof/>
          </w:rPr>
          <w:fldChar w:fldCharType="end"/>
        </w:r>
      </w:sdtContent>
    </w:sdt>
    <w:r w:rsidR="00A41A62">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1A62" w:rsidRDefault="00A41A62">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D26" w:rsidRDefault="00C64D26" w:rsidP="00055C8A">
      <w:r>
        <w:separator/>
      </w:r>
    </w:p>
  </w:footnote>
  <w:footnote w:type="continuationSeparator" w:id="0">
    <w:p w:rsidR="00C64D26" w:rsidRDefault="00C64D26" w:rsidP="00055C8A">
      <w:r>
        <w:continuationSeparator/>
      </w:r>
    </w:p>
  </w:footnote>
  <w:footnote w:id="1">
    <w:p w:rsidR="00A41A62" w:rsidRDefault="00A41A62" w:rsidP="00FF0B6F">
      <w:pPr>
        <w:pStyle w:val="FootnoteText"/>
      </w:pPr>
      <w:r>
        <w:rPr>
          <w:rStyle w:val="FootnoteReference"/>
        </w:rPr>
        <w:t>*</w:t>
      </w:r>
      <w:r>
        <w:t>Before Purcell, P. J., Honn, J., and McGill, J.</w:t>
      </w:r>
    </w:p>
  </w:footnote>
  <w:footnote w:id="2">
    <w:p w:rsidR="00E22D0C" w:rsidRDefault="00E22D0C" w:rsidP="00FF0B6F">
      <w:pPr>
        <w:pStyle w:val="FootnoteText"/>
      </w:pPr>
      <w:r>
        <w:rPr>
          <w:rStyle w:val="FootnoteReference"/>
        </w:rPr>
        <w:footnoteRef/>
      </w:r>
      <w:r>
        <w:t xml:space="preserve"> </w:t>
      </w:r>
      <w:r w:rsidR="00C62594">
        <w:t xml:space="preserve">Similarly, </w:t>
      </w:r>
      <w:r w:rsidR="00C62594">
        <w:rPr>
          <w:shd w:val="clear" w:color="auto" w:fill="FFFFFF"/>
        </w:rPr>
        <w:t>r</w:t>
      </w:r>
      <w:r w:rsidR="00D33AB4">
        <w:rPr>
          <w:shd w:val="clear" w:color="auto" w:fill="FFFFFF"/>
        </w:rPr>
        <w:t>ule</w:t>
      </w:r>
      <w:r w:rsidR="00144C59">
        <w:rPr>
          <w:shd w:val="clear" w:color="auto" w:fill="FFFFFF"/>
        </w:rPr>
        <w:t> </w:t>
      </w:r>
      <w:r w:rsidR="00D33AB4">
        <w:rPr>
          <w:shd w:val="clear" w:color="auto" w:fill="FFFFFF"/>
        </w:rPr>
        <w:t>5.441</w:t>
      </w:r>
      <w:r w:rsidR="006049ED">
        <w:rPr>
          <w:shd w:val="clear" w:color="auto" w:fill="FFFFFF"/>
        </w:rPr>
        <w:t>(B)(3)(a</w:t>
      </w:r>
      <w:r>
        <w:rPr>
          <w:shd w:val="clear" w:color="auto" w:fill="FFFFFF"/>
        </w:rPr>
        <w:t xml:space="preserve">) of the Rules of Procedure of the State Bar </w:t>
      </w:r>
      <w:r w:rsidR="00650DDD">
        <w:rPr>
          <w:shd w:val="clear" w:color="auto" w:fill="FFFFFF"/>
        </w:rPr>
        <w:t xml:space="preserve">(Rule 5.441) </w:t>
      </w:r>
      <w:r w:rsidR="00C62594">
        <w:rPr>
          <w:shd w:val="clear" w:color="auto" w:fill="FFFFFF"/>
        </w:rPr>
        <w:t>states</w:t>
      </w:r>
      <w:r w:rsidR="00144C59">
        <w:rPr>
          <w:shd w:val="clear" w:color="auto" w:fill="FFFFFF"/>
        </w:rPr>
        <w:t xml:space="preserve"> that</w:t>
      </w:r>
      <w:r w:rsidR="00C62594">
        <w:rPr>
          <w:shd w:val="clear" w:color="auto" w:fill="FFFFFF"/>
        </w:rPr>
        <w:t xml:space="preserve"> petitioners</w:t>
      </w:r>
      <w:r w:rsidR="006049ED">
        <w:rPr>
          <w:shd w:val="clear" w:color="auto" w:fill="FFFFFF"/>
        </w:rPr>
        <w:t xml:space="preserve"> for reinstatement</w:t>
      </w:r>
      <w:r w:rsidR="00650DDD">
        <w:rPr>
          <w:shd w:val="clear" w:color="auto" w:fill="FFFFFF"/>
        </w:rPr>
        <w:t xml:space="preserve"> who resigned with charges pending</w:t>
      </w:r>
      <w:r w:rsidR="00C62594">
        <w:rPr>
          <w:shd w:val="clear" w:color="auto" w:fill="FFFFFF"/>
        </w:rPr>
        <w:t xml:space="preserve"> “must establish that they have taken and passed the [Attorney Exam] within three years prior to the filing of the </w:t>
      </w:r>
      <w:r w:rsidR="00650DDD">
        <w:rPr>
          <w:shd w:val="clear" w:color="auto" w:fill="FFFFFF"/>
        </w:rPr>
        <w:t>petition</w:t>
      </w:r>
      <w:r w:rsidR="00C62594">
        <w:rPr>
          <w:shd w:val="clear" w:color="auto" w:fill="FFFFFF"/>
        </w:rPr>
        <w:t xml:space="preserve"> for reinstatement.”</w:t>
      </w:r>
      <w:r w:rsidR="00D33AB4">
        <w:rPr>
          <w:shd w:val="clear" w:color="auto" w:fill="FFFFFF"/>
        </w:rPr>
        <w:t xml:space="preserve"> </w:t>
      </w:r>
    </w:p>
  </w:footnote>
  <w:footnote w:id="3">
    <w:p w:rsidR="004B50AD" w:rsidRDefault="004B50AD" w:rsidP="00FF0B6F">
      <w:pPr>
        <w:pStyle w:val="FootnoteText"/>
      </w:pPr>
      <w:r>
        <w:rPr>
          <w:rStyle w:val="FootnoteReference"/>
        </w:rPr>
        <w:footnoteRef/>
      </w:r>
      <w:r>
        <w:t xml:space="preserve"> Petitioners for reinstatement are required to take the Attorney Exam rather than the California Bar Examination</w:t>
      </w:r>
      <w:r w:rsidR="005A57CB">
        <w:t>, which individuals seeking admission must pass</w:t>
      </w:r>
      <w:r>
        <w:t>.</w:t>
      </w:r>
    </w:p>
  </w:footnote>
  <w:footnote w:id="4">
    <w:p w:rsidR="005F4647" w:rsidRDefault="005F4647" w:rsidP="00FF0B6F">
      <w:pPr>
        <w:pStyle w:val="FootnoteText"/>
      </w:pPr>
      <w:r>
        <w:rPr>
          <w:rStyle w:val="FootnoteReference"/>
        </w:rPr>
        <w:footnoteRef/>
      </w:r>
      <w:r>
        <w:t xml:space="preserve"> We take judicial notice of the fact that </w:t>
      </w:r>
      <w:r w:rsidR="00D95350">
        <w:t xml:space="preserve">in </w:t>
      </w:r>
      <w:r w:rsidR="00D95350">
        <w:rPr>
          <w:i/>
        </w:rPr>
        <w:t>Ellerman</w:t>
      </w:r>
      <w:r w:rsidR="00D95350" w:rsidRPr="00D95350">
        <w:t>,</w:t>
      </w:r>
      <w:r>
        <w:t xml:space="preserve"> OCTC has filed a petition for interlocutory review challenging the hearing judge’s order, which is pending before this court.  (Rules Proc. of State Bar, rules</w:t>
      </w:r>
      <w:r w:rsidR="00A444A2">
        <w:t> </w:t>
      </w:r>
      <w:r>
        <w:t>5.156(B), 5.157(D); Evid. Code, §</w:t>
      </w:r>
      <w:r w:rsidR="00A444A2">
        <w:t> </w:t>
      </w:r>
      <w:r>
        <w:t>452, subd.</w:t>
      </w:r>
      <w:r w:rsidR="00A444A2">
        <w:t> </w:t>
      </w:r>
      <w:r>
        <w:t>(d).)</w:t>
      </w:r>
    </w:p>
  </w:footnote>
  <w:footnote w:id="5">
    <w:p w:rsidR="00DB4906" w:rsidRDefault="00DB4906" w:rsidP="00FF0B6F">
      <w:pPr>
        <w:pStyle w:val="FootnoteText"/>
        <w:spacing w:after="0"/>
      </w:pPr>
      <w:r>
        <w:rPr>
          <w:rStyle w:val="FootnoteReference"/>
        </w:rPr>
        <w:footnoteRef/>
      </w:r>
      <w:r w:rsidR="00332631">
        <w:t xml:space="preserve"> </w:t>
      </w:r>
      <w:r w:rsidR="00AC5B3C">
        <w:t>A</w:t>
      </w:r>
      <w:r>
        <w:t xml:space="preserve"> petitioner </w:t>
      </w:r>
      <w:r w:rsidR="00AC5B3C">
        <w:t xml:space="preserve">is also required </w:t>
      </w:r>
      <w:r>
        <w:t>to have submitted</w:t>
      </w:r>
      <w:r w:rsidR="009C7071">
        <w:t xml:space="preserve"> fingerprints to the California Department of Justice, to have paid all discipline costs and reimbursed any payments made by the Client Security Fund, and to include a $1,600 filing fee.  </w:t>
      </w:r>
      <w:r w:rsidR="00AC5B3C">
        <w:t>(Rules Proc. of State Bar, rule 5.441(B)(1), (2) &amp;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DD" w:rsidRDefault="00541E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DD" w:rsidRDefault="00541E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EDD" w:rsidRDefault="00541E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A8"/>
    <w:multiLevelType w:val="hybridMultilevel"/>
    <w:tmpl w:val="A598321A"/>
    <w:lvl w:ilvl="0" w:tplc="C29C8B8C">
      <w:start w:val="1"/>
      <w:numFmt w:val="decimal"/>
      <w:lvlText w:val="%1."/>
      <w:lvlJc w:val="left"/>
      <w:pPr>
        <w:ind w:left="43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B4859"/>
    <w:multiLevelType w:val="hybridMultilevel"/>
    <w:tmpl w:val="AA8AF4DA"/>
    <w:lvl w:ilvl="0" w:tplc="20A8264A">
      <w:start w:val="1"/>
      <w:numFmt w:val="decimal"/>
      <w:lvlText w:val="%1."/>
      <w:lvlJc w:val="left"/>
      <w:pPr>
        <w:ind w:left="720" w:hanging="360"/>
      </w:pPr>
      <w:rPr>
        <w:rFonts w:hint="default"/>
        <w:b w:val="0"/>
      </w:rPr>
    </w:lvl>
    <w:lvl w:ilvl="1" w:tplc="FA8A3F2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A479D"/>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984927"/>
    <w:multiLevelType w:val="hybridMultilevel"/>
    <w:tmpl w:val="E3827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96370"/>
    <w:multiLevelType w:val="multilevel"/>
    <w:tmpl w:val="A1BE5F24"/>
    <w:lvl w:ilvl="0">
      <w:start w:val="1"/>
      <w:numFmt w:val="decimal"/>
      <w:lvlText w:val="%1."/>
      <w:lvlJc w:val="left"/>
      <w:pPr>
        <w:tabs>
          <w:tab w:val="num" w:pos="360"/>
        </w:tabs>
        <w:ind w:left="0" w:firstLine="720"/>
      </w:pPr>
      <w:rPr>
        <w:rFonts w:ascii="Times New Roman" w:hAnsi="Times New Roman" w:hint="default"/>
        <w:b w:val="0"/>
        <w:i w:val="0"/>
        <w:sz w:val="24"/>
      </w:rPr>
    </w:lvl>
    <w:lvl w:ilvl="1">
      <w:start w:val="1"/>
      <w:numFmt w:val="lowerLetter"/>
      <w:lvlText w:val="%2."/>
      <w:lvlJc w:val="left"/>
      <w:pPr>
        <w:tabs>
          <w:tab w:val="num" w:pos="0"/>
        </w:tabs>
        <w:ind w:left="1224" w:hanging="144"/>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0" w:firstLine="702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5">
    <w:nsid w:val="1FE55E30"/>
    <w:multiLevelType w:val="hybridMultilevel"/>
    <w:tmpl w:val="266E96F8"/>
    <w:lvl w:ilvl="0" w:tplc="E76E031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B3739"/>
    <w:multiLevelType w:val="hybridMultilevel"/>
    <w:tmpl w:val="870C7218"/>
    <w:lvl w:ilvl="0" w:tplc="F07E9B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36694C"/>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8">
    <w:nsid w:val="2B115EC1"/>
    <w:multiLevelType w:val="hybridMultilevel"/>
    <w:tmpl w:val="EDFECDA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2ED5D8F"/>
    <w:multiLevelType w:val="hybridMultilevel"/>
    <w:tmpl w:val="06E4B89A"/>
    <w:lvl w:ilvl="0" w:tplc="08587C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48E6D58"/>
    <w:multiLevelType w:val="hybridMultilevel"/>
    <w:tmpl w:val="237A7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A7187"/>
    <w:multiLevelType w:val="multilevel"/>
    <w:tmpl w:val="AE823D20"/>
    <w:lvl w:ilvl="0">
      <w:start w:val="1"/>
      <w:numFmt w:val="decimal"/>
      <w:lvlText w:val="%1."/>
      <w:lvlJc w:val="left"/>
      <w:pPr>
        <w:tabs>
          <w:tab w:val="num" w:pos="720"/>
        </w:tabs>
        <w:ind w:left="0" w:firstLine="720"/>
      </w:pPr>
      <w:rPr>
        <w:rFonts w:ascii="Times New Roman" w:hAnsi="Times New Roman" w:hint="default"/>
        <w:b w:val="0"/>
        <w:i w:val="0"/>
        <w:sz w:val="24"/>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2">
    <w:nsid w:val="3E3C4566"/>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3">
    <w:nsid w:val="42614904"/>
    <w:multiLevelType w:val="hybridMultilevel"/>
    <w:tmpl w:val="AD24C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ED22D9"/>
    <w:multiLevelType w:val="hybridMultilevel"/>
    <w:tmpl w:val="781AF9E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9E3CC6"/>
    <w:multiLevelType w:val="hybridMultilevel"/>
    <w:tmpl w:val="8A685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F737FF5"/>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abstractNum w:abstractNumId="17">
    <w:nsid w:val="5FAC1BDE"/>
    <w:multiLevelType w:val="hybridMultilevel"/>
    <w:tmpl w:val="11A093A2"/>
    <w:lvl w:ilvl="0" w:tplc="75CA23E2">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8">
    <w:nsid w:val="611641A2"/>
    <w:multiLevelType w:val="hybridMultilevel"/>
    <w:tmpl w:val="2AF68118"/>
    <w:lvl w:ilvl="0" w:tplc="04090019">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651B7D4D"/>
    <w:multiLevelType w:val="hybridMultilevel"/>
    <w:tmpl w:val="69E86872"/>
    <w:lvl w:ilvl="0" w:tplc="E388542C">
      <w:start w:val="1"/>
      <w:numFmt w:val="decimal"/>
      <w:lvlText w:val="(%1)"/>
      <w:lvlJc w:val="left"/>
      <w:pPr>
        <w:ind w:left="720" w:hanging="360"/>
      </w:pPr>
      <w:rPr>
        <w:rFonts w:hint="default"/>
      </w:rPr>
    </w:lvl>
    <w:lvl w:ilvl="1" w:tplc="E388542C">
      <w:start w:val="1"/>
      <w:numFmt w:val="decimal"/>
      <w:lvlText w:val="(%2)"/>
      <w:lvlJc w:val="left"/>
      <w:pPr>
        <w:ind w:left="1440" w:hanging="360"/>
      </w:pPr>
      <w:rPr>
        <w:rFonts w:hint="default"/>
      </w:rPr>
    </w:lvl>
    <w:lvl w:ilvl="2" w:tplc="E388542C">
      <w:start w:val="1"/>
      <w:numFmt w:val="decimal"/>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7FA1EE1"/>
    <w:multiLevelType w:val="hybridMultilevel"/>
    <w:tmpl w:val="AC34E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3037D5"/>
    <w:multiLevelType w:val="hybridMultilevel"/>
    <w:tmpl w:val="9E4EB30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8F6510F"/>
    <w:multiLevelType w:val="hybridMultilevel"/>
    <w:tmpl w:val="5FEC4238"/>
    <w:lvl w:ilvl="0" w:tplc="20A8264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EF54D1D"/>
    <w:multiLevelType w:val="multilevel"/>
    <w:tmpl w:val="D66A178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720"/>
        </w:tabs>
        <w:ind w:left="720" w:firstLine="0"/>
      </w:pPr>
      <w:rPr>
        <w:rFonts w:hint="default"/>
      </w:rPr>
    </w:lvl>
    <w:lvl w:ilvl="2">
      <w:start w:val="1"/>
      <w:numFmt w:val="lowerRoman"/>
      <w:lvlText w:val="%3."/>
      <w:lvlJc w:val="right"/>
      <w:pPr>
        <w:ind w:left="5040" w:hanging="180"/>
      </w:pPr>
      <w:rPr>
        <w:rFonts w:hint="default"/>
      </w:rPr>
    </w:lvl>
    <w:lvl w:ilvl="3">
      <w:start w:val="1"/>
      <w:numFmt w:val="decimal"/>
      <w:lvlText w:val="%4."/>
      <w:lvlJc w:val="left"/>
      <w:pPr>
        <w:ind w:left="5760" w:hanging="360"/>
      </w:pPr>
      <w:rPr>
        <w:rFonts w:hint="default"/>
      </w:rPr>
    </w:lvl>
    <w:lvl w:ilvl="4">
      <w:start w:val="1"/>
      <w:numFmt w:val="lowerLetter"/>
      <w:lvlText w:val="%5."/>
      <w:lvlJc w:val="left"/>
      <w:pPr>
        <w:ind w:left="6480" w:hanging="360"/>
      </w:pPr>
      <w:rPr>
        <w:rFonts w:hint="default"/>
      </w:rPr>
    </w:lvl>
    <w:lvl w:ilvl="5">
      <w:start w:val="1"/>
      <w:numFmt w:val="lowerRoman"/>
      <w:lvlText w:val="%6."/>
      <w:lvlJc w:val="right"/>
      <w:pPr>
        <w:ind w:left="7200" w:hanging="180"/>
      </w:pPr>
      <w:rPr>
        <w:rFonts w:hint="default"/>
      </w:rPr>
    </w:lvl>
    <w:lvl w:ilvl="6">
      <w:start w:val="1"/>
      <w:numFmt w:val="decimal"/>
      <w:lvlText w:val="%7."/>
      <w:lvlJc w:val="left"/>
      <w:pPr>
        <w:ind w:left="7920" w:hanging="360"/>
      </w:pPr>
      <w:rPr>
        <w:rFonts w:hint="default"/>
      </w:rPr>
    </w:lvl>
    <w:lvl w:ilvl="7">
      <w:start w:val="1"/>
      <w:numFmt w:val="lowerLetter"/>
      <w:lvlText w:val="%8."/>
      <w:lvlJc w:val="left"/>
      <w:pPr>
        <w:ind w:left="8640" w:hanging="360"/>
      </w:pPr>
      <w:rPr>
        <w:rFonts w:hint="default"/>
      </w:rPr>
    </w:lvl>
    <w:lvl w:ilvl="8">
      <w:start w:val="1"/>
      <w:numFmt w:val="lowerRoman"/>
      <w:lvlText w:val="%9."/>
      <w:lvlJc w:val="right"/>
      <w:pPr>
        <w:ind w:left="9360" w:hanging="180"/>
      </w:pPr>
      <w:rPr>
        <w:rFonts w:hint="default"/>
      </w:rPr>
    </w:lvl>
  </w:abstractNum>
  <w:num w:numId="1">
    <w:abstractNumId w:val="14"/>
  </w:num>
  <w:num w:numId="2">
    <w:abstractNumId w:val="13"/>
  </w:num>
  <w:num w:numId="3">
    <w:abstractNumId w:val="6"/>
  </w:num>
  <w:num w:numId="4">
    <w:abstractNumId w:val="19"/>
  </w:num>
  <w:num w:numId="5">
    <w:abstractNumId w:val="5"/>
  </w:num>
  <w:num w:numId="6">
    <w:abstractNumId w:val="15"/>
  </w:num>
  <w:num w:numId="7">
    <w:abstractNumId w:val="10"/>
  </w:num>
  <w:num w:numId="8">
    <w:abstractNumId w:val="9"/>
  </w:num>
  <w:num w:numId="9">
    <w:abstractNumId w:val="17"/>
  </w:num>
  <w:num w:numId="10">
    <w:abstractNumId w:val="16"/>
  </w:num>
  <w:num w:numId="11">
    <w:abstractNumId w:val="12"/>
  </w:num>
  <w:num w:numId="12">
    <w:abstractNumId w:val="7"/>
  </w:num>
  <w:num w:numId="13">
    <w:abstractNumId w:val="23"/>
  </w:num>
  <w:num w:numId="14">
    <w:abstractNumId w:val="18"/>
  </w:num>
  <w:num w:numId="15">
    <w:abstractNumId w:val="11"/>
  </w:num>
  <w:num w:numId="16">
    <w:abstractNumId w:val="4"/>
  </w:num>
  <w:num w:numId="17">
    <w:abstractNumId w:val="0"/>
  </w:num>
  <w:num w:numId="18">
    <w:abstractNumId w:val="22"/>
  </w:num>
  <w:num w:numId="19">
    <w:abstractNumId w:val="1"/>
  </w:num>
  <w:num w:numId="20">
    <w:abstractNumId w:val="3"/>
  </w:num>
  <w:num w:numId="21">
    <w:abstractNumId w:val="20"/>
  </w:num>
  <w:num w:numId="22">
    <w:abstractNumId w:val="2"/>
  </w:num>
  <w:num w:numId="23">
    <w:abstractNumId w:val="21"/>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NotTrackMoves/>
  <w:doNotTrackFormatting/>
  <w:defaultTabStop w:val="720"/>
  <w:drawingGridHorizontalSpacing w:val="12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427"/>
    <w:rsid w:val="000078FC"/>
    <w:rsid w:val="00023F72"/>
    <w:rsid w:val="00024A66"/>
    <w:rsid w:val="000252E7"/>
    <w:rsid w:val="00033F87"/>
    <w:rsid w:val="000439AA"/>
    <w:rsid w:val="00055C8A"/>
    <w:rsid w:val="00073E72"/>
    <w:rsid w:val="00083D20"/>
    <w:rsid w:val="00087B84"/>
    <w:rsid w:val="0009090D"/>
    <w:rsid w:val="000A3754"/>
    <w:rsid w:val="000B31E0"/>
    <w:rsid w:val="000C4D16"/>
    <w:rsid w:val="000E23F8"/>
    <w:rsid w:val="000F32A8"/>
    <w:rsid w:val="00110403"/>
    <w:rsid w:val="00110A69"/>
    <w:rsid w:val="00116519"/>
    <w:rsid w:val="00144C59"/>
    <w:rsid w:val="001515BE"/>
    <w:rsid w:val="00164106"/>
    <w:rsid w:val="00184DDE"/>
    <w:rsid w:val="00191827"/>
    <w:rsid w:val="001A117A"/>
    <w:rsid w:val="001A3082"/>
    <w:rsid w:val="001A3A2C"/>
    <w:rsid w:val="001A7D6F"/>
    <w:rsid w:val="001B0733"/>
    <w:rsid w:val="001B12A4"/>
    <w:rsid w:val="001B2F99"/>
    <w:rsid w:val="001B31DD"/>
    <w:rsid w:val="001B3B9E"/>
    <w:rsid w:val="001B4836"/>
    <w:rsid w:val="001D3A28"/>
    <w:rsid w:val="001D61D4"/>
    <w:rsid w:val="001D69C0"/>
    <w:rsid w:val="001D7AF8"/>
    <w:rsid w:val="001F218D"/>
    <w:rsid w:val="00203644"/>
    <w:rsid w:val="002110A2"/>
    <w:rsid w:val="00214427"/>
    <w:rsid w:val="00223504"/>
    <w:rsid w:val="00225188"/>
    <w:rsid w:val="00234D03"/>
    <w:rsid w:val="0023766E"/>
    <w:rsid w:val="0024025E"/>
    <w:rsid w:val="002404C7"/>
    <w:rsid w:val="0024299E"/>
    <w:rsid w:val="00244A80"/>
    <w:rsid w:val="002508B4"/>
    <w:rsid w:val="002518C1"/>
    <w:rsid w:val="00252C67"/>
    <w:rsid w:val="00255642"/>
    <w:rsid w:val="00257223"/>
    <w:rsid w:val="00265F5B"/>
    <w:rsid w:val="00266506"/>
    <w:rsid w:val="00275FDE"/>
    <w:rsid w:val="0028591F"/>
    <w:rsid w:val="0028625D"/>
    <w:rsid w:val="00290F08"/>
    <w:rsid w:val="00292BED"/>
    <w:rsid w:val="002A15D6"/>
    <w:rsid w:val="002A41BB"/>
    <w:rsid w:val="002A6E3E"/>
    <w:rsid w:val="002B0689"/>
    <w:rsid w:val="002C1DF8"/>
    <w:rsid w:val="002D2474"/>
    <w:rsid w:val="002D2DD9"/>
    <w:rsid w:val="002D7257"/>
    <w:rsid w:val="002E0932"/>
    <w:rsid w:val="002E0D8E"/>
    <w:rsid w:val="002F45AA"/>
    <w:rsid w:val="002F7F37"/>
    <w:rsid w:val="003041DB"/>
    <w:rsid w:val="0030694D"/>
    <w:rsid w:val="00311270"/>
    <w:rsid w:val="00314B7D"/>
    <w:rsid w:val="00315ED4"/>
    <w:rsid w:val="003209BE"/>
    <w:rsid w:val="00325309"/>
    <w:rsid w:val="003313E4"/>
    <w:rsid w:val="00332631"/>
    <w:rsid w:val="00337816"/>
    <w:rsid w:val="003427DA"/>
    <w:rsid w:val="00345541"/>
    <w:rsid w:val="0035432F"/>
    <w:rsid w:val="003578DB"/>
    <w:rsid w:val="00367461"/>
    <w:rsid w:val="0037231F"/>
    <w:rsid w:val="00376992"/>
    <w:rsid w:val="00382790"/>
    <w:rsid w:val="003A5F40"/>
    <w:rsid w:val="003A7188"/>
    <w:rsid w:val="003B73AF"/>
    <w:rsid w:val="003C0070"/>
    <w:rsid w:val="003C3BD3"/>
    <w:rsid w:val="003C6DDC"/>
    <w:rsid w:val="003D393D"/>
    <w:rsid w:val="003D41D0"/>
    <w:rsid w:val="003D7D88"/>
    <w:rsid w:val="003E2BE1"/>
    <w:rsid w:val="003E72A0"/>
    <w:rsid w:val="003F5A0E"/>
    <w:rsid w:val="003F76A5"/>
    <w:rsid w:val="00426015"/>
    <w:rsid w:val="004321AF"/>
    <w:rsid w:val="004330DE"/>
    <w:rsid w:val="00434FA7"/>
    <w:rsid w:val="00443FFE"/>
    <w:rsid w:val="00446A46"/>
    <w:rsid w:val="00451C56"/>
    <w:rsid w:val="00454645"/>
    <w:rsid w:val="004565B8"/>
    <w:rsid w:val="00460B3C"/>
    <w:rsid w:val="00466679"/>
    <w:rsid w:val="0047034A"/>
    <w:rsid w:val="00470D1E"/>
    <w:rsid w:val="00471B9C"/>
    <w:rsid w:val="00484FD7"/>
    <w:rsid w:val="00486978"/>
    <w:rsid w:val="004A56C7"/>
    <w:rsid w:val="004A7016"/>
    <w:rsid w:val="004B50AD"/>
    <w:rsid w:val="004C6A45"/>
    <w:rsid w:val="004E0DBF"/>
    <w:rsid w:val="004F4ED0"/>
    <w:rsid w:val="00512A3F"/>
    <w:rsid w:val="00527E6C"/>
    <w:rsid w:val="00541EDD"/>
    <w:rsid w:val="00546CD9"/>
    <w:rsid w:val="005539CE"/>
    <w:rsid w:val="00560ED4"/>
    <w:rsid w:val="005655E1"/>
    <w:rsid w:val="00566647"/>
    <w:rsid w:val="00580F21"/>
    <w:rsid w:val="00581B64"/>
    <w:rsid w:val="005A57CB"/>
    <w:rsid w:val="005C2EFC"/>
    <w:rsid w:val="005C74CE"/>
    <w:rsid w:val="005E0349"/>
    <w:rsid w:val="005E2EAE"/>
    <w:rsid w:val="005F0A32"/>
    <w:rsid w:val="005F4647"/>
    <w:rsid w:val="00602A1E"/>
    <w:rsid w:val="006049ED"/>
    <w:rsid w:val="00605473"/>
    <w:rsid w:val="006138F4"/>
    <w:rsid w:val="00625BF1"/>
    <w:rsid w:val="006342FE"/>
    <w:rsid w:val="00641721"/>
    <w:rsid w:val="00642191"/>
    <w:rsid w:val="00643332"/>
    <w:rsid w:val="006462AA"/>
    <w:rsid w:val="006476AD"/>
    <w:rsid w:val="0065009F"/>
    <w:rsid w:val="00650DDD"/>
    <w:rsid w:val="00650E13"/>
    <w:rsid w:val="00651EB4"/>
    <w:rsid w:val="00661C97"/>
    <w:rsid w:val="00664814"/>
    <w:rsid w:val="00666EAF"/>
    <w:rsid w:val="00673F29"/>
    <w:rsid w:val="0067604E"/>
    <w:rsid w:val="00692744"/>
    <w:rsid w:val="006948C9"/>
    <w:rsid w:val="006B1E21"/>
    <w:rsid w:val="006B3460"/>
    <w:rsid w:val="006B5C50"/>
    <w:rsid w:val="006E5F70"/>
    <w:rsid w:val="006F2BA1"/>
    <w:rsid w:val="006F4667"/>
    <w:rsid w:val="00701936"/>
    <w:rsid w:val="00701C14"/>
    <w:rsid w:val="007075E3"/>
    <w:rsid w:val="007152B1"/>
    <w:rsid w:val="00717F75"/>
    <w:rsid w:val="00730B4C"/>
    <w:rsid w:val="00730FDB"/>
    <w:rsid w:val="007314DC"/>
    <w:rsid w:val="00735FF8"/>
    <w:rsid w:val="00741B93"/>
    <w:rsid w:val="007550D6"/>
    <w:rsid w:val="00760356"/>
    <w:rsid w:val="00763312"/>
    <w:rsid w:val="00763EEA"/>
    <w:rsid w:val="0077339B"/>
    <w:rsid w:val="00776B44"/>
    <w:rsid w:val="00780B70"/>
    <w:rsid w:val="0078319E"/>
    <w:rsid w:val="00786B66"/>
    <w:rsid w:val="00797AA8"/>
    <w:rsid w:val="007A521D"/>
    <w:rsid w:val="007B3BC3"/>
    <w:rsid w:val="007D4A0E"/>
    <w:rsid w:val="007E315F"/>
    <w:rsid w:val="007E4544"/>
    <w:rsid w:val="007E761D"/>
    <w:rsid w:val="00800373"/>
    <w:rsid w:val="00806E23"/>
    <w:rsid w:val="0081259F"/>
    <w:rsid w:val="00812E41"/>
    <w:rsid w:val="00813125"/>
    <w:rsid w:val="008134D3"/>
    <w:rsid w:val="00815347"/>
    <w:rsid w:val="00820D0E"/>
    <w:rsid w:val="00824E47"/>
    <w:rsid w:val="0083058D"/>
    <w:rsid w:val="00832223"/>
    <w:rsid w:val="00843D32"/>
    <w:rsid w:val="00845086"/>
    <w:rsid w:val="00865686"/>
    <w:rsid w:val="008726CB"/>
    <w:rsid w:val="00874EF3"/>
    <w:rsid w:val="00877E31"/>
    <w:rsid w:val="0088576D"/>
    <w:rsid w:val="00885878"/>
    <w:rsid w:val="00885EA7"/>
    <w:rsid w:val="00893EF8"/>
    <w:rsid w:val="008A4B71"/>
    <w:rsid w:val="008C2C2D"/>
    <w:rsid w:val="008E1BF5"/>
    <w:rsid w:val="008F21A7"/>
    <w:rsid w:val="00902002"/>
    <w:rsid w:val="00910128"/>
    <w:rsid w:val="00913027"/>
    <w:rsid w:val="00925890"/>
    <w:rsid w:val="009422FE"/>
    <w:rsid w:val="0094519A"/>
    <w:rsid w:val="00951128"/>
    <w:rsid w:val="00954962"/>
    <w:rsid w:val="00956BB7"/>
    <w:rsid w:val="00962239"/>
    <w:rsid w:val="00973C28"/>
    <w:rsid w:val="009741FD"/>
    <w:rsid w:val="00984C7A"/>
    <w:rsid w:val="009A17BE"/>
    <w:rsid w:val="009B3F05"/>
    <w:rsid w:val="009B4736"/>
    <w:rsid w:val="009C3229"/>
    <w:rsid w:val="009C6992"/>
    <w:rsid w:val="009C7071"/>
    <w:rsid w:val="009E6B42"/>
    <w:rsid w:val="009F3720"/>
    <w:rsid w:val="009F58D9"/>
    <w:rsid w:val="00A03C58"/>
    <w:rsid w:val="00A06498"/>
    <w:rsid w:val="00A11685"/>
    <w:rsid w:val="00A11DE0"/>
    <w:rsid w:val="00A41A62"/>
    <w:rsid w:val="00A444A2"/>
    <w:rsid w:val="00A50889"/>
    <w:rsid w:val="00A649AA"/>
    <w:rsid w:val="00A80E84"/>
    <w:rsid w:val="00A82DF6"/>
    <w:rsid w:val="00A905BB"/>
    <w:rsid w:val="00A92EF0"/>
    <w:rsid w:val="00A94B9A"/>
    <w:rsid w:val="00AA68E9"/>
    <w:rsid w:val="00AB61F4"/>
    <w:rsid w:val="00AC596F"/>
    <w:rsid w:val="00AC5B3C"/>
    <w:rsid w:val="00AE1197"/>
    <w:rsid w:val="00AF0D46"/>
    <w:rsid w:val="00AF1713"/>
    <w:rsid w:val="00AF41B3"/>
    <w:rsid w:val="00AF4249"/>
    <w:rsid w:val="00AF7121"/>
    <w:rsid w:val="00B011B3"/>
    <w:rsid w:val="00B05826"/>
    <w:rsid w:val="00B2507A"/>
    <w:rsid w:val="00B2676C"/>
    <w:rsid w:val="00B34ACA"/>
    <w:rsid w:val="00B6305E"/>
    <w:rsid w:val="00B705D6"/>
    <w:rsid w:val="00B87B3C"/>
    <w:rsid w:val="00BA7C50"/>
    <w:rsid w:val="00BB62C6"/>
    <w:rsid w:val="00BC1A58"/>
    <w:rsid w:val="00BD0653"/>
    <w:rsid w:val="00BE505A"/>
    <w:rsid w:val="00BF098A"/>
    <w:rsid w:val="00BF3217"/>
    <w:rsid w:val="00BF38AA"/>
    <w:rsid w:val="00BF562D"/>
    <w:rsid w:val="00BF5A8F"/>
    <w:rsid w:val="00BF7DFB"/>
    <w:rsid w:val="00C1156C"/>
    <w:rsid w:val="00C2496B"/>
    <w:rsid w:val="00C35D05"/>
    <w:rsid w:val="00C35D46"/>
    <w:rsid w:val="00C44D74"/>
    <w:rsid w:val="00C44F7B"/>
    <w:rsid w:val="00C45729"/>
    <w:rsid w:val="00C554CB"/>
    <w:rsid w:val="00C62594"/>
    <w:rsid w:val="00C64D26"/>
    <w:rsid w:val="00C70027"/>
    <w:rsid w:val="00C740F9"/>
    <w:rsid w:val="00C80EBF"/>
    <w:rsid w:val="00C944E1"/>
    <w:rsid w:val="00CA0073"/>
    <w:rsid w:val="00CB035B"/>
    <w:rsid w:val="00CB160E"/>
    <w:rsid w:val="00CB58CC"/>
    <w:rsid w:val="00CB7D2E"/>
    <w:rsid w:val="00CC090F"/>
    <w:rsid w:val="00CC2B77"/>
    <w:rsid w:val="00CE0675"/>
    <w:rsid w:val="00CE1565"/>
    <w:rsid w:val="00CE2A12"/>
    <w:rsid w:val="00CE5CA0"/>
    <w:rsid w:val="00CE601B"/>
    <w:rsid w:val="00CF3379"/>
    <w:rsid w:val="00CF3CFA"/>
    <w:rsid w:val="00D11050"/>
    <w:rsid w:val="00D13943"/>
    <w:rsid w:val="00D15E66"/>
    <w:rsid w:val="00D27D0C"/>
    <w:rsid w:val="00D33AB4"/>
    <w:rsid w:val="00D3776F"/>
    <w:rsid w:val="00D427FC"/>
    <w:rsid w:val="00D66666"/>
    <w:rsid w:val="00D759E7"/>
    <w:rsid w:val="00D75B04"/>
    <w:rsid w:val="00D81782"/>
    <w:rsid w:val="00D876B0"/>
    <w:rsid w:val="00D91868"/>
    <w:rsid w:val="00D95350"/>
    <w:rsid w:val="00D95A57"/>
    <w:rsid w:val="00DA3709"/>
    <w:rsid w:val="00DA40B7"/>
    <w:rsid w:val="00DA5679"/>
    <w:rsid w:val="00DB23A5"/>
    <w:rsid w:val="00DB4906"/>
    <w:rsid w:val="00DC1C51"/>
    <w:rsid w:val="00DC3D26"/>
    <w:rsid w:val="00DD297C"/>
    <w:rsid w:val="00DE419E"/>
    <w:rsid w:val="00E01D19"/>
    <w:rsid w:val="00E03306"/>
    <w:rsid w:val="00E07295"/>
    <w:rsid w:val="00E15B7F"/>
    <w:rsid w:val="00E16802"/>
    <w:rsid w:val="00E22D0C"/>
    <w:rsid w:val="00E2516F"/>
    <w:rsid w:val="00E545F1"/>
    <w:rsid w:val="00E568F8"/>
    <w:rsid w:val="00E706DB"/>
    <w:rsid w:val="00E76133"/>
    <w:rsid w:val="00E77DDF"/>
    <w:rsid w:val="00E82230"/>
    <w:rsid w:val="00E976C4"/>
    <w:rsid w:val="00EB3950"/>
    <w:rsid w:val="00EB42FC"/>
    <w:rsid w:val="00ED4E96"/>
    <w:rsid w:val="00ED7A32"/>
    <w:rsid w:val="00F0463D"/>
    <w:rsid w:val="00F114D5"/>
    <w:rsid w:val="00F130F1"/>
    <w:rsid w:val="00F41703"/>
    <w:rsid w:val="00F45C39"/>
    <w:rsid w:val="00F52657"/>
    <w:rsid w:val="00F53059"/>
    <w:rsid w:val="00F629D1"/>
    <w:rsid w:val="00F65922"/>
    <w:rsid w:val="00F70E4A"/>
    <w:rsid w:val="00F80EC2"/>
    <w:rsid w:val="00F844BE"/>
    <w:rsid w:val="00F91750"/>
    <w:rsid w:val="00FA2861"/>
    <w:rsid w:val="00FA699B"/>
    <w:rsid w:val="00FA7F21"/>
    <w:rsid w:val="00FB3120"/>
    <w:rsid w:val="00FB32F7"/>
    <w:rsid w:val="00FB3A50"/>
    <w:rsid w:val="00FB6B78"/>
    <w:rsid w:val="00FC778F"/>
    <w:rsid w:val="00FE08D4"/>
    <w:rsid w:val="00FE15E9"/>
    <w:rsid w:val="00FF0B6F"/>
    <w:rsid w:val="00FF3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9A"/>
    <w:rPr>
      <w:rFonts w:ascii="Times New Roman" w:hAnsi="Times New Roman"/>
      <w:sz w:val="24"/>
      <w:szCs w:val="22"/>
    </w:rPr>
  </w:style>
  <w:style w:type="paragraph" w:styleId="Heading1">
    <w:name w:val="heading 1"/>
    <w:basedOn w:val="Normal"/>
    <w:next w:val="Normal"/>
    <w:link w:val="Heading1Char"/>
    <w:uiPriority w:val="9"/>
    <w:qFormat/>
    <w:rsid w:val="00024A66"/>
    <w:pPr>
      <w:jc w:val="center"/>
      <w:outlineLvl w:val="0"/>
    </w:pPr>
    <w:rPr>
      <w:rFonts w:ascii="Arial" w:hAnsi="Arial" w:cs="Arial"/>
      <w:b/>
    </w:rPr>
  </w:style>
  <w:style w:type="paragraph" w:styleId="Heading2">
    <w:name w:val="heading 2"/>
    <w:basedOn w:val="Normal"/>
    <w:next w:val="Normal"/>
    <w:link w:val="Heading2Char"/>
    <w:uiPriority w:val="9"/>
    <w:unhideWhenUsed/>
    <w:qFormat/>
    <w:rsid w:val="00024A66"/>
    <w:pPr>
      <w:spacing w:line="480" w:lineRule="auto"/>
      <w:jc w:val="center"/>
      <w:outlineLvl w:val="1"/>
    </w:pPr>
    <w:rPr>
      <w:rFonts w:ascii="Arial" w:eastAsia="Times New Roman" w:hAnsi="Arial" w:cs="Arial"/>
      <w:b/>
      <w:szCs w:val="20"/>
    </w:rPr>
  </w:style>
  <w:style w:type="paragraph" w:styleId="Heading3">
    <w:name w:val="heading 3"/>
    <w:basedOn w:val="ListParagraph"/>
    <w:next w:val="Normal"/>
    <w:link w:val="Heading3Char"/>
    <w:uiPriority w:val="9"/>
    <w:unhideWhenUsed/>
    <w:qFormat/>
    <w:rsid w:val="00024A66"/>
    <w:pPr>
      <w:spacing w:line="480" w:lineRule="auto"/>
      <w:ind w:left="0"/>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iPriority w:val="99"/>
    <w:unhideWhenUsed/>
    <w:rsid w:val="00055C8A"/>
    <w:pPr>
      <w:tabs>
        <w:tab w:val="center" w:pos="4680"/>
        <w:tab w:val="right" w:pos="9360"/>
      </w:tabs>
    </w:pPr>
  </w:style>
  <w:style w:type="character" w:customStyle="1" w:styleId="FooterChar">
    <w:name w:val="Footer Char"/>
    <w:basedOn w:val="DefaultParagraphFont"/>
    <w:link w:val="Footer"/>
    <w:uiPriority w:val="99"/>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
    <w:link w:val="FootnoteChar"/>
    <w:autoRedefine/>
    <w:qFormat/>
    <w:rsid w:val="00832223"/>
    <w:rPr>
      <w:rFonts w:eastAsia="Times New Roman" w:cstheme="minorBidi"/>
      <w:szCs w:val="24"/>
    </w:rPr>
  </w:style>
  <w:style w:type="character" w:customStyle="1" w:styleId="FootnoteChar">
    <w:name w:val="Footnote Char"/>
    <w:basedOn w:val="DefaultParagraphFont"/>
    <w:link w:val="Footnote"/>
    <w:rsid w:val="00832223"/>
    <w:rPr>
      <w:rFonts w:ascii="Times New Roman" w:eastAsia="Times New Roman" w:hAnsi="Times New Roman" w:cstheme="minorBidi"/>
      <w:sz w:val="24"/>
      <w:szCs w:val="24"/>
    </w:rPr>
  </w:style>
  <w:style w:type="paragraph" w:styleId="FootnoteText">
    <w:name w:val="footnote text"/>
    <w:basedOn w:val="Normal"/>
    <w:link w:val="FootnoteTextChar"/>
    <w:autoRedefine/>
    <w:qFormat/>
    <w:rsid w:val="00FF0B6F"/>
    <w:pPr>
      <w:keepLines/>
      <w:spacing w:after="120"/>
      <w:ind w:firstLine="720"/>
    </w:pPr>
    <w:rPr>
      <w:rFonts w:eastAsia="Times New Roman"/>
      <w:szCs w:val="24"/>
    </w:rPr>
  </w:style>
  <w:style w:type="character" w:customStyle="1" w:styleId="FootnoteTextChar">
    <w:name w:val="Footnote Text Char"/>
    <w:basedOn w:val="DefaultParagraphFont"/>
    <w:link w:val="FootnoteText"/>
    <w:rsid w:val="00FF0B6F"/>
    <w:rPr>
      <w:rFonts w:ascii="Times New Roman" w:eastAsia="Times New Roman" w:hAnsi="Times New Roman"/>
      <w:sz w:val="24"/>
      <w:szCs w:val="24"/>
    </w:rPr>
  </w:style>
  <w:style w:type="character" w:styleId="FootnoteReference">
    <w:name w:val="footnote reference"/>
    <w:basedOn w:val="DefaultParagraphFont"/>
    <w:uiPriority w:val="99"/>
    <w:semiHidden/>
    <w:unhideWhenUsed/>
    <w:rsid w:val="00A06498"/>
    <w:rPr>
      <w:vertAlign w:val="superscript"/>
    </w:rPr>
  </w:style>
  <w:style w:type="paragraph" w:styleId="Revision">
    <w:name w:val="Revision"/>
    <w:hidden/>
    <w:uiPriority w:val="99"/>
    <w:semiHidden/>
    <w:rsid w:val="00CE1565"/>
    <w:rPr>
      <w:rFonts w:ascii="Times New Roman" w:hAnsi="Times New Roman"/>
      <w:sz w:val="24"/>
      <w:szCs w:val="22"/>
    </w:rPr>
  </w:style>
  <w:style w:type="character" w:customStyle="1" w:styleId="Heading1Char">
    <w:name w:val="Heading 1 Char"/>
    <w:basedOn w:val="DefaultParagraphFont"/>
    <w:link w:val="Heading1"/>
    <w:uiPriority w:val="9"/>
    <w:rsid w:val="00024A66"/>
    <w:rPr>
      <w:rFonts w:ascii="Arial" w:hAnsi="Arial" w:cs="Arial"/>
      <w:b/>
      <w:sz w:val="24"/>
      <w:szCs w:val="22"/>
    </w:rPr>
  </w:style>
  <w:style w:type="character" w:customStyle="1" w:styleId="Heading2Char">
    <w:name w:val="Heading 2 Char"/>
    <w:basedOn w:val="DefaultParagraphFont"/>
    <w:link w:val="Heading2"/>
    <w:uiPriority w:val="9"/>
    <w:rsid w:val="00024A66"/>
    <w:rPr>
      <w:rFonts w:ascii="Arial" w:eastAsia="Times New Roman" w:hAnsi="Arial" w:cs="Arial"/>
      <w:b/>
      <w:sz w:val="24"/>
    </w:rPr>
  </w:style>
  <w:style w:type="character" w:customStyle="1" w:styleId="Heading3Char">
    <w:name w:val="Heading 3 Char"/>
    <w:basedOn w:val="DefaultParagraphFont"/>
    <w:link w:val="Heading3"/>
    <w:uiPriority w:val="9"/>
    <w:rsid w:val="00024A66"/>
    <w:rPr>
      <w:rFonts w:ascii="Arial" w:hAnsi="Arial" w:cs="Arial"/>
      <w:b/>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B9A"/>
    <w:rPr>
      <w:rFonts w:ascii="Times New Roman" w:hAnsi="Times New Roman"/>
      <w:sz w:val="24"/>
      <w:szCs w:val="22"/>
    </w:rPr>
  </w:style>
  <w:style w:type="paragraph" w:styleId="Heading1">
    <w:name w:val="heading 1"/>
    <w:basedOn w:val="Normal"/>
    <w:next w:val="Normal"/>
    <w:link w:val="Heading1Char"/>
    <w:uiPriority w:val="9"/>
    <w:qFormat/>
    <w:rsid w:val="00024A66"/>
    <w:pPr>
      <w:jc w:val="center"/>
      <w:outlineLvl w:val="0"/>
    </w:pPr>
    <w:rPr>
      <w:rFonts w:ascii="Arial" w:hAnsi="Arial" w:cs="Arial"/>
      <w:b/>
    </w:rPr>
  </w:style>
  <w:style w:type="paragraph" w:styleId="Heading2">
    <w:name w:val="heading 2"/>
    <w:basedOn w:val="Normal"/>
    <w:next w:val="Normal"/>
    <w:link w:val="Heading2Char"/>
    <w:uiPriority w:val="9"/>
    <w:unhideWhenUsed/>
    <w:qFormat/>
    <w:rsid w:val="00024A66"/>
    <w:pPr>
      <w:spacing w:line="480" w:lineRule="auto"/>
      <w:jc w:val="center"/>
      <w:outlineLvl w:val="1"/>
    </w:pPr>
    <w:rPr>
      <w:rFonts w:ascii="Arial" w:eastAsia="Times New Roman" w:hAnsi="Arial" w:cs="Arial"/>
      <w:b/>
      <w:szCs w:val="20"/>
    </w:rPr>
  </w:style>
  <w:style w:type="paragraph" w:styleId="Heading3">
    <w:name w:val="heading 3"/>
    <w:basedOn w:val="ListParagraph"/>
    <w:next w:val="Normal"/>
    <w:link w:val="Heading3Char"/>
    <w:uiPriority w:val="9"/>
    <w:unhideWhenUsed/>
    <w:qFormat/>
    <w:rsid w:val="00024A66"/>
    <w:pPr>
      <w:spacing w:line="480" w:lineRule="auto"/>
      <w:ind w:left="0"/>
      <w:outlineLvl w:val="2"/>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B9A"/>
    <w:pPr>
      <w:ind w:left="720"/>
      <w:contextualSpacing/>
    </w:pPr>
  </w:style>
  <w:style w:type="paragraph" w:styleId="Header">
    <w:name w:val="header"/>
    <w:basedOn w:val="Normal"/>
    <w:link w:val="HeaderChar"/>
    <w:uiPriority w:val="99"/>
    <w:unhideWhenUsed/>
    <w:rsid w:val="00055C8A"/>
    <w:pPr>
      <w:tabs>
        <w:tab w:val="center" w:pos="4680"/>
        <w:tab w:val="right" w:pos="9360"/>
      </w:tabs>
    </w:pPr>
  </w:style>
  <w:style w:type="character" w:customStyle="1" w:styleId="HeaderChar">
    <w:name w:val="Header Char"/>
    <w:basedOn w:val="DefaultParagraphFont"/>
    <w:link w:val="Header"/>
    <w:uiPriority w:val="99"/>
    <w:rsid w:val="00055C8A"/>
    <w:rPr>
      <w:rFonts w:ascii="Times New Roman" w:hAnsi="Times New Roman"/>
      <w:sz w:val="24"/>
    </w:rPr>
  </w:style>
  <w:style w:type="paragraph" w:styleId="Footer">
    <w:name w:val="footer"/>
    <w:basedOn w:val="Normal"/>
    <w:link w:val="FooterChar"/>
    <w:uiPriority w:val="99"/>
    <w:unhideWhenUsed/>
    <w:rsid w:val="00055C8A"/>
    <w:pPr>
      <w:tabs>
        <w:tab w:val="center" w:pos="4680"/>
        <w:tab w:val="right" w:pos="9360"/>
      </w:tabs>
    </w:pPr>
  </w:style>
  <w:style w:type="character" w:customStyle="1" w:styleId="FooterChar">
    <w:name w:val="Footer Char"/>
    <w:basedOn w:val="DefaultParagraphFont"/>
    <w:link w:val="Footer"/>
    <w:uiPriority w:val="99"/>
    <w:rsid w:val="00055C8A"/>
    <w:rPr>
      <w:rFonts w:ascii="Times New Roman" w:hAnsi="Times New Roman"/>
      <w:sz w:val="24"/>
    </w:rPr>
  </w:style>
  <w:style w:type="paragraph" w:styleId="BalloonText">
    <w:name w:val="Balloon Text"/>
    <w:basedOn w:val="Normal"/>
    <w:link w:val="BalloonTextChar"/>
    <w:uiPriority w:val="99"/>
    <w:semiHidden/>
    <w:unhideWhenUsed/>
    <w:rsid w:val="00581B64"/>
    <w:rPr>
      <w:rFonts w:ascii="Tahoma" w:hAnsi="Tahoma" w:cs="Tahoma"/>
      <w:sz w:val="16"/>
      <w:szCs w:val="16"/>
    </w:rPr>
  </w:style>
  <w:style w:type="character" w:customStyle="1" w:styleId="BalloonTextChar">
    <w:name w:val="Balloon Text Char"/>
    <w:basedOn w:val="DefaultParagraphFont"/>
    <w:link w:val="BalloonText"/>
    <w:uiPriority w:val="99"/>
    <w:semiHidden/>
    <w:rsid w:val="00581B64"/>
    <w:rPr>
      <w:rFonts w:ascii="Tahoma" w:hAnsi="Tahoma" w:cs="Tahoma"/>
      <w:sz w:val="16"/>
      <w:szCs w:val="16"/>
    </w:rPr>
  </w:style>
  <w:style w:type="table" w:styleId="TableGrid">
    <w:name w:val="Table Grid"/>
    <w:basedOn w:val="TableNormal"/>
    <w:uiPriority w:val="59"/>
    <w:rsid w:val="008726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
    <w:name w:val="Footnote"/>
    <w:basedOn w:val="Normal"/>
    <w:link w:val="FootnoteChar"/>
    <w:autoRedefine/>
    <w:qFormat/>
    <w:rsid w:val="00832223"/>
    <w:rPr>
      <w:rFonts w:eastAsia="Times New Roman" w:cstheme="minorBidi"/>
      <w:szCs w:val="24"/>
    </w:rPr>
  </w:style>
  <w:style w:type="character" w:customStyle="1" w:styleId="FootnoteChar">
    <w:name w:val="Footnote Char"/>
    <w:basedOn w:val="DefaultParagraphFont"/>
    <w:link w:val="Footnote"/>
    <w:rsid w:val="00832223"/>
    <w:rPr>
      <w:rFonts w:ascii="Times New Roman" w:eastAsia="Times New Roman" w:hAnsi="Times New Roman" w:cstheme="minorBidi"/>
      <w:sz w:val="24"/>
      <w:szCs w:val="24"/>
    </w:rPr>
  </w:style>
  <w:style w:type="paragraph" w:styleId="FootnoteText">
    <w:name w:val="footnote text"/>
    <w:basedOn w:val="Normal"/>
    <w:link w:val="FootnoteTextChar"/>
    <w:autoRedefine/>
    <w:qFormat/>
    <w:rsid w:val="00FF0B6F"/>
    <w:pPr>
      <w:keepLines/>
      <w:spacing w:after="120"/>
      <w:ind w:firstLine="720"/>
    </w:pPr>
    <w:rPr>
      <w:rFonts w:eastAsia="Times New Roman"/>
      <w:szCs w:val="24"/>
    </w:rPr>
  </w:style>
  <w:style w:type="character" w:customStyle="1" w:styleId="FootnoteTextChar">
    <w:name w:val="Footnote Text Char"/>
    <w:basedOn w:val="DefaultParagraphFont"/>
    <w:link w:val="FootnoteText"/>
    <w:rsid w:val="00FF0B6F"/>
    <w:rPr>
      <w:rFonts w:ascii="Times New Roman" w:eastAsia="Times New Roman" w:hAnsi="Times New Roman"/>
      <w:sz w:val="24"/>
      <w:szCs w:val="24"/>
    </w:rPr>
  </w:style>
  <w:style w:type="character" w:styleId="FootnoteReference">
    <w:name w:val="footnote reference"/>
    <w:basedOn w:val="DefaultParagraphFont"/>
    <w:uiPriority w:val="99"/>
    <w:semiHidden/>
    <w:unhideWhenUsed/>
    <w:rsid w:val="00A06498"/>
    <w:rPr>
      <w:vertAlign w:val="superscript"/>
    </w:rPr>
  </w:style>
  <w:style w:type="paragraph" w:styleId="Revision">
    <w:name w:val="Revision"/>
    <w:hidden/>
    <w:uiPriority w:val="99"/>
    <w:semiHidden/>
    <w:rsid w:val="00CE1565"/>
    <w:rPr>
      <w:rFonts w:ascii="Times New Roman" w:hAnsi="Times New Roman"/>
      <w:sz w:val="24"/>
      <w:szCs w:val="22"/>
    </w:rPr>
  </w:style>
  <w:style w:type="character" w:customStyle="1" w:styleId="Heading1Char">
    <w:name w:val="Heading 1 Char"/>
    <w:basedOn w:val="DefaultParagraphFont"/>
    <w:link w:val="Heading1"/>
    <w:uiPriority w:val="9"/>
    <w:rsid w:val="00024A66"/>
    <w:rPr>
      <w:rFonts w:ascii="Arial" w:hAnsi="Arial" w:cs="Arial"/>
      <w:b/>
      <w:sz w:val="24"/>
      <w:szCs w:val="22"/>
    </w:rPr>
  </w:style>
  <w:style w:type="character" w:customStyle="1" w:styleId="Heading2Char">
    <w:name w:val="Heading 2 Char"/>
    <w:basedOn w:val="DefaultParagraphFont"/>
    <w:link w:val="Heading2"/>
    <w:uiPriority w:val="9"/>
    <w:rsid w:val="00024A66"/>
    <w:rPr>
      <w:rFonts w:ascii="Arial" w:eastAsia="Times New Roman" w:hAnsi="Arial" w:cs="Arial"/>
      <w:b/>
      <w:sz w:val="24"/>
    </w:rPr>
  </w:style>
  <w:style w:type="character" w:customStyle="1" w:styleId="Heading3Char">
    <w:name w:val="Heading 3 Char"/>
    <w:basedOn w:val="DefaultParagraphFont"/>
    <w:link w:val="Heading3"/>
    <w:uiPriority w:val="9"/>
    <w:rsid w:val="00024A66"/>
    <w:rPr>
      <w:rFonts w:ascii="Arial" w:hAnsi="Arial" w:cs="Arial"/>
      <w:b/>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2536">
      <w:bodyDiv w:val="1"/>
      <w:marLeft w:val="0"/>
      <w:marRight w:val="0"/>
      <w:marTop w:val="0"/>
      <w:marBottom w:val="0"/>
      <w:divBdr>
        <w:top w:val="none" w:sz="0" w:space="0" w:color="auto"/>
        <w:left w:val="none" w:sz="0" w:space="0" w:color="auto"/>
        <w:bottom w:val="none" w:sz="0" w:space="0" w:color="auto"/>
        <w:right w:val="none" w:sz="0" w:space="0" w:color="auto"/>
      </w:divBdr>
    </w:div>
    <w:div w:id="1356884197">
      <w:bodyDiv w:val="1"/>
      <w:marLeft w:val="0"/>
      <w:marRight w:val="0"/>
      <w:marTop w:val="0"/>
      <w:marBottom w:val="0"/>
      <w:divBdr>
        <w:top w:val="none" w:sz="0" w:space="0" w:color="auto"/>
        <w:left w:val="none" w:sz="0" w:space="0" w:color="auto"/>
        <w:bottom w:val="none" w:sz="0" w:space="0" w:color="auto"/>
        <w:right w:val="none" w:sz="0" w:space="0" w:color="auto"/>
      </w:divBdr>
    </w:div>
    <w:div w:id="174086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User%20Templates\2011_CNSL\2011-Judge_Counsel_%20Forms\Per_Curia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53239D-6CED-4693-A57B-456818A0F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Per_Curiam.dotm</Template>
  <TotalTime>2</TotalTime>
  <Pages>7</Pages>
  <Words>1569</Words>
  <Characters>8076</Characters>
  <Application>Microsoft Office Word</Application>
  <DocSecurity>0</DocSecurity>
  <Lines>181</Lines>
  <Paragraphs>46</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 Opinion and Order</dc:title>
  <dc:creator>Jenny Teaford</dc:creator>
  <cp:lastModifiedBy>James Evans</cp:lastModifiedBy>
  <cp:revision>5</cp:revision>
  <cp:lastPrinted>2017-03-20T22:08:00Z</cp:lastPrinted>
  <dcterms:created xsi:type="dcterms:W3CDTF">2017-03-24T18:54:00Z</dcterms:created>
  <dcterms:modified xsi:type="dcterms:W3CDTF">2017-03-27T17:58:00Z</dcterms:modified>
</cp:coreProperties>
</file>